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3C1A9B">
      <w:pPr>
        <w:keepNext w:val="0"/>
        <w:keepLines w:val="0"/>
        <w:widowControl w:val="0"/>
        <w:kinsoku w:val="0"/>
        <w:overflowPunct w:val="0"/>
        <w:autoSpaceDE w:val="0"/>
        <w:autoSpaceDN w:val="0"/>
        <w:bidi w:val="0"/>
        <w:adjustRightInd w:val="0"/>
        <w:jc w:val="left"/>
        <w:rPr>
          <w:rFonts w:hint="eastAsia" w:ascii="宋体" w:hAnsi="宋体" w:eastAsia="宋体" w:cs="宋体"/>
          <w:color w:val="auto"/>
          <w:sz w:val="20"/>
          <w:highlight w:val="none"/>
          <w:lang w:eastAsia="zh-CN"/>
        </w:rPr>
      </w:pPr>
      <w:bookmarkStart w:id="685" w:name="_GoBack"/>
      <w:r>
        <w:rPr>
          <w:rFonts w:hint="eastAsia" w:ascii="宋体" w:hAnsi="宋体" w:eastAsia="宋体" w:cs="宋体"/>
          <w:color w:val="auto"/>
          <w:sz w:val="20"/>
          <w:highlight w:val="none"/>
          <w:lang w:eastAsia="zh-CN"/>
        </w:rPr>
        <w:drawing>
          <wp:inline distT="0" distB="0" distL="114300" distR="114300">
            <wp:extent cx="6114415" cy="8651240"/>
            <wp:effectExtent l="0" t="0" r="635" b="16510"/>
            <wp:docPr id="14" name="图片 14" descr="招标文件封面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招标文件封面_00"/>
                    <pic:cNvPicPr>
                      <a:picLocks noChangeAspect="1"/>
                    </pic:cNvPicPr>
                  </pic:nvPicPr>
                  <pic:blipFill>
                    <a:blip r:embed="rId24"/>
                    <a:stretch>
                      <a:fillRect/>
                    </a:stretch>
                  </pic:blipFill>
                  <pic:spPr>
                    <a:xfrm>
                      <a:off x="0" y="0"/>
                      <a:ext cx="6114415" cy="8651240"/>
                    </a:xfrm>
                    <a:prstGeom prst="rect">
                      <a:avLst/>
                    </a:prstGeom>
                  </pic:spPr>
                </pic:pic>
              </a:graphicData>
            </a:graphic>
          </wp:inline>
        </w:drawing>
      </w:r>
      <w:bookmarkEnd w:id="685"/>
    </w:p>
    <w:p w14:paraId="1F1B1AD8">
      <w:pPr>
        <w:keepNext w:val="0"/>
        <w:keepLines w:val="0"/>
        <w:bidi w:val="0"/>
        <w:jc w:val="center"/>
        <w:rPr>
          <w:rFonts w:hint="eastAsia" w:ascii="宋体" w:hAnsi="宋体" w:eastAsia="宋体" w:cs="宋体"/>
          <w:color w:val="auto"/>
          <w:sz w:val="28"/>
          <w:highlight w:val="none"/>
        </w:rPr>
        <w:sectPr>
          <w:headerReference r:id="rId4" w:type="first"/>
          <w:footerReference r:id="rId7" w:type="first"/>
          <w:headerReference r:id="rId3" w:type="default"/>
          <w:footerReference r:id="rId5" w:type="default"/>
          <w:footerReference r:id="rId6" w:type="even"/>
          <w:pgSz w:w="11907" w:h="16840"/>
          <w:pgMar w:top="1134" w:right="1134" w:bottom="1134" w:left="1134" w:header="720" w:footer="720" w:gutter="0"/>
          <w:lnNumType w:countBy="0" w:distance="360"/>
          <w:cols w:space="720" w:num="1"/>
          <w:titlePg/>
        </w:sectPr>
      </w:pPr>
    </w:p>
    <w:p w14:paraId="59194136">
      <w:pPr>
        <w:keepNext w:val="0"/>
        <w:keepLines w:val="0"/>
        <w:widowControl w:val="0"/>
        <w:tabs>
          <w:tab w:val="left" w:pos="1262"/>
        </w:tabs>
        <w:kinsoku w:val="0"/>
        <w:overflowPunct w:val="0"/>
        <w:autoSpaceDE w:val="0"/>
        <w:autoSpaceDN w:val="0"/>
        <w:bidi w:val="0"/>
        <w:adjustRightInd w:val="0"/>
        <w:spacing w:line="460" w:lineRule="exact"/>
        <w:ind w:right="117"/>
        <w:jc w:val="center"/>
        <w:rPr>
          <w:rFonts w:hint="eastAsia" w:ascii="宋体" w:hAnsi="宋体" w:eastAsia="宋体" w:cs="宋体"/>
          <w:b/>
          <w:color w:val="auto"/>
          <w:sz w:val="48"/>
          <w:highlight w:val="none"/>
        </w:rPr>
      </w:pPr>
      <w:r>
        <w:rPr>
          <w:rFonts w:hint="eastAsia" w:ascii="宋体" w:hAnsi="宋体" w:eastAsia="宋体" w:cs="宋体"/>
          <w:b/>
          <w:color w:val="auto"/>
          <w:sz w:val="28"/>
          <w:szCs w:val="15"/>
          <w:highlight w:val="none"/>
        </w:rPr>
        <w:br w:type="page"/>
      </w:r>
      <w:r>
        <w:rPr>
          <w:rFonts w:hint="eastAsia" w:ascii="宋体" w:hAnsi="宋体" w:eastAsia="宋体" w:cs="宋体"/>
          <w:b/>
          <w:color w:val="auto"/>
          <w:sz w:val="28"/>
          <w:szCs w:val="15"/>
          <w:highlight w:val="none"/>
        </w:rPr>
        <w:t>目录</w:t>
      </w:r>
    </w:p>
    <w:p w14:paraId="28A7B7E7">
      <w:pPr>
        <w:keepNext w:val="0"/>
        <w:keepLines w:val="0"/>
        <w:widowControl w:val="0"/>
        <w:kinsoku w:val="0"/>
        <w:overflowPunct w:val="0"/>
        <w:autoSpaceDE w:val="0"/>
        <w:autoSpaceDN w:val="0"/>
        <w:bidi w:val="0"/>
        <w:adjustRightInd w:val="0"/>
        <w:spacing w:before="4" w:line="120" w:lineRule="exact"/>
        <w:jc w:val="left"/>
        <w:rPr>
          <w:rFonts w:hint="eastAsia" w:ascii="宋体" w:hAnsi="宋体" w:eastAsia="宋体" w:cs="宋体"/>
          <w:color w:val="auto"/>
          <w:sz w:val="12"/>
          <w:highlight w:val="none"/>
        </w:rPr>
      </w:pPr>
    </w:p>
    <w:p w14:paraId="47E4ADD0">
      <w:pPr>
        <w:pStyle w:val="17"/>
        <w:tabs>
          <w:tab w:val="right" w:leader="dot" w:pos="9639"/>
          <w:tab w:val="clear" w:pos="2800"/>
          <w:tab w:val="clear" w:pos="9087"/>
        </w:tabs>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TOC\o"1-3"\h\z\u</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HYPERLINK\l_Toc6985</w:instrText>
      </w:r>
      <w:r>
        <w:rPr>
          <w:rFonts w:hint="eastAsia" w:ascii="宋体" w:hAnsi="宋体" w:eastAsia="宋体" w:cs="宋体"/>
          <w:color w:val="auto"/>
          <w:highlight w:val="none"/>
        </w:rPr>
        <w:fldChar w:fldCharType="separate"/>
      </w:r>
      <w:r>
        <w:rPr>
          <w:rFonts w:hint="eastAsia" w:ascii="宋体" w:hAnsi="宋体" w:eastAsia="宋体" w:cs="宋体"/>
          <w:color w:val="auto"/>
          <w:szCs w:val="10"/>
          <w:highlight w:val="none"/>
        </w:rPr>
        <w:t>第一章招标公告</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PAGEREF_Toc6985\h</w:instrText>
      </w:r>
      <w:r>
        <w:rPr>
          <w:rFonts w:hint="eastAsia" w:ascii="宋体" w:hAnsi="宋体" w:eastAsia="宋体" w:cs="宋体"/>
          <w:color w:val="auto"/>
        </w:rPr>
        <w:fldChar w:fldCharType="separate"/>
      </w:r>
      <w:r>
        <w:rPr>
          <w:rFonts w:hint="eastAsia" w:ascii="宋体" w:hAnsi="宋体" w:eastAsia="宋体" w:cs="宋体"/>
          <w:color w:val="auto"/>
        </w:rPr>
        <w:t>2</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17E9FE4D">
      <w:pPr>
        <w:pStyle w:val="17"/>
        <w:tabs>
          <w:tab w:val="right" w:leader="dot" w:pos="9639"/>
          <w:tab w:val="clear" w:pos="2800"/>
          <w:tab w:val="clear" w:pos="9087"/>
        </w:tabs>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HYPERLINK\l_Toc2274</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highlight w:val="none"/>
        </w:rPr>
        <w:t>第</w:t>
      </w:r>
      <w:r>
        <w:rPr>
          <w:rFonts w:hint="eastAsia" w:ascii="宋体" w:hAnsi="宋体" w:eastAsia="宋体" w:cs="宋体"/>
          <w:color w:val="auto"/>
          <w:highlight w:val="none"/>
        </w:rPr>
        <w:t>二章</w:t>
      </w:r>
      <w:r>
        <w:rPr>
          <w:rFonts w:hint="eastAsia" w:ascii="宋体" w:hAnsi="宋体" w:eastAsia="宋体" w:cs="宋体"/>
          <w:color w:val="auto"/>
          <w:spacing w:val="1"/>
          <w:highlight w:val="none"/>
        </w:rPr>
        <w:t>投</w:t>
      </w:r>
      <w:r>
        <w:rPr>
          <w:rFonts w:hint="eastAsia" w:ascii="宋体" w:hAnsi="宋体" w:eastAsia="宋体" w:cs="宋体"/>
          <w:color w:val="auto"/>
          <w:highlight w:val="none"/>
        </w:rPr>
        <w:t>标人须知</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PAGEREF_Toc2274\h</w:instrText>
      </w:r>
      <w:r>
        <w:rPr>
          <w:rFonts w:hint="eastAsia" w:ascii="宋体" w:hAnsi="宋体" w:eastAsia="宋体" w:cs="宋体"/>
          <w:color w:val="auto"/>
        </w:rPr>
        <w:fldChar w:fldCharType="separate"/>
      </w:r>
      <w:r>
        <w:rPr>
          <w:rFonts w:hint="eastAsia" w:ascii="宋体" w:hAnsi="宋体" w:eastAsia="宋体" w:cs="宋体"/>
          <w:color w:val="auto"/>
        </w:rPr>
        <w:t>8</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5F801615">
      <w:pPr>
        <w:pStyle w:val="17"/>
        <w:tabs>
          <w:tab w:val="right" w:leader="dot" w:pos="9639"/>
          <w:tab w:val="clear" w:pos="2800"/>
          <w:tab w:val="clear" w:pos="9087"/>
        </w:tabs>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HYPERLINK\l_Toc10844</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第三章评标办法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PAGEREF_Toc10844\h</w:instrText>
      </w:r>
      <w:r>
        <w:rPr>
          <w:rFonts w:hint="eastAsia" w:ascii="宋体" w:hAnsi="宋体" w:eastAsia="宋体" w:cs="宋体"/>
          <w:color w:val="auto"/>
        </w:rPr>
        <w:fldChar w:fldCharType="separate"/>
      </w:r>
      <w:r>
        <w:rPr>
          <w:rFonts w:hint="eastAsia" w:ascii="宋体" w:hAnsi="宋体" w:eastAsia="宋体" w:cs="宋体"/>
          <w:color w:val="auto"/>
        </w:rPr>
        <w:t>54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2F1D2381">
      <w:pPr>
        <w:pStyle w:val="17"/>
        <w:tabs>
          <w:tab w:val="right" w:leader="dot" w:pos="9639"/>
          <w:tab w:val="clear" w:pos="2800"/>
          <w:tab w:val="clear" w:pos="9087"/>
        </w:tabs>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HYPERLINK\l_Toc22669</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highlight w:val="none"/>
        </w:rPr>
        <w:t>第</w:t>
      </w:r>
      <w:r>
        <w:rPr>
          <w:rFonts w:hint="eastAsia" w:ascii="宋体" w:hAnsi="宋体" w:eastAsia="宋体" w:cs="宋体"/>
          <w:color w:val="auto"/>
          <w:highlight w:val="none"/>
        </w:rPr>
        <w:t>四章</w:t>
      </w:r>
      <w:r>
        <w:rPr>
          <w:rFonts w:hint="eastAsia" w:ascii="宋体" w:hAnsi="宋体" w:eastAsia="宋体" w:cs="宋体"/>
          <w:color w:val="auto"/>
          <w:spacing w:val="1"/>
          <w:highlight w:val="none"/>
        </w:rPr>
        <w:t>合</w:t>
      </w:r>
      <w:r>
        <w:rPr>
          <w:rFonts w:hint="eastAsia" w:ascii="宋体" w:hAnsi="宋体" w:eastAsia="宋体" w:cs="宋体"/>
          <w:color w:val="auto"/>
          <w:highlight w:val="none"/>
        </w:rPr>
        <w:t>同条款</w:t>
      </w:r>
      <w:r>
        <w:rPr>
          <w:rFonts w:hint="eastAsia" w:ascii="宋体" w:hAnsi="宋体" w:eastAsia="宋体" w:cs="宋体"/>
          <w:color w:val="auto"/>
          <w:spacing w:val="1"/>
          <w:highlight w:val="none"/>
        </w:rPr>
        <w:t>及</w:t>
      </w:r>
      <w:r>
        <w:rPr>
          <w:rFonts w:hint="eastAsia" w:ascii="宋体" w:hAnsi="宋体" w:eastAsia="宋体" w:cs="宋体"/>
          <w:color w:val="auto"/>
          <w:highlight w:val="none"/>
        </w:rPr>
        <w:t>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PAGEREF_Toc22669\h</w:instrText>
      </w:r>
      <w:r>
        <w:rPr>
          <w:rFonts w:hint="eastAsia" w:ascii="宋体" w:hAnsi="宋体" w:eastAsia="宋体" w:cs="宋体"/>
          <w:color w:val="auto"/>
        </w:rPr>
        <w:fldChar w:fldCharType="separate"/>
      </w:r>
      <w:r>
        <w:rPr>
          <w:rFonts w:hint="eastAsia" w:ascii="宋体" w:hAnsi="宋体" w:eastAsia="宋体" w:cs="宋体"/>
          <w:color w:val="auto"/>
        </w:rPr>
        <w:t>67</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52B918F">
      <w:pPr>
        <w:pStyle w:val="17"/>
        <w:tabs>
          <w:tab w:val="right" w:leader="dot" w:pos="9639"/>
          <w:tab w:val="clear" w:pos="2800"/>
          <w:tab w:val="clear" w:pos="9087"/>
        </w:tabs>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HYPERLINK\l_Toc25035</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第五章委托人要求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PAGEREF_Toc25035\h</w:instrText>
      </w:r>
      <w:r>
        <w:rPr>
          <w:rFonts w:hint="eastAsia" w:ascii="宋体" w:hAnsi="宋体" w:eastAsia="宋体" w:cs="宋体"/>
          <w:color w:val="auto"/>
        </w:rPr>
        <w:fldChar w:fldCharType="separate"/>
      </w:r>
      <w:r>
        <w:rPr>
          <w:rFonts w:hint="eastAsia" w:ascii="宋体" w:hAnsi="宋体" w:eastAsia="宋体" w:cs="宋体"/>
          <w:color w:val="auto"/>
        </w:rPr>
        <w:t>136</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28EA8F57">
      <w:pPr>
        <w:pStyle w:val="17"/>
        <w:tabs>
          <w:tab w:val="right" w:leader="dot" w:pos="9639"/>
          <w:tab w:val="clear" w:pos="2800"/>
          <w:tab w:val="clear" w:pos="9087"/>
        </w:tabs>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HYPERLINK\l_Toc26506</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第六章图纸和资料</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PAGEREF_Toc26506\h</w:instrText>
      </w:r>
      <w:r>
        <w:rPr>
          <w:rFonts w:hint="eastAsia" w:ascii="宋体" w:hAnsi="宋体" w:eastAsia="宋体" w:cs="宋体"/>
          <w:color w:val="auto"/>
        </w:rPr>
        <w:fldChar w:fldCharType="separate"/>
      </w:r>
      <w:r>
        <w:rPr>
          <w:rFonts w:hint="eastAsia" w:ascii="宋体" w:hAnsi="宋体" w:eastAsia="宋体" w:cs="宋体"/>
          <w:color w:val="auto"/>
        </w:rPr>
        <w:t>141</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D1D6F57">
      <w:pPr>
        <w:pStyle w:val="17"/>
        <w:tabs>
          <w:tab w:val="right" w:leader="dot" w:pos="9639"/>
          <w:tab w:val="clear" w:pos="2800"/>
          <w:tab w:val="clear" w:pos="9087"/>
        </w:tabs>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HYPERLINK\l_Toc6933</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第七章投标文件格式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PAGEREF_Toc6933\h</w:instrText>
      </w:r>
      <w:r>
        <w:rPr>
          <w:rFonts w:hint="eastAsia" w:ascii="宋体" w:hAnsi="宋体" w:eastAsia="宋体" w:cs="宋体"/>
          <w:color w:val="auto"/>
        </w:rPr>
        <w:fldChar w:fldCharType="separate"/>
      </w:r>
      <w:r>
        <w:rPr>
          <w:rFonts w:hint="eastAsia" w:ascii="宋体" w:hAnsi="宋体" w:eastAsia="宋体" w:cs="宋体"/>
          <w:color w:val="auto"/>
        </w:rPr>
        <w:t>142</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75CA0A81">
      <w:pPr>
        <w:pStyle w:val="17"/>
        <w:keepNext w:val="0"/>
        <w:keepLines w:val="0"/>
        <w:tabs>
          <w:tab w:val="right" w:leader="dot" w:pos="9077"/>
          <w:tab w:val="clear" w:pos="2800"/>
          <w:tab w:val="clear" w:pos="9087"/>
        </w:tabs>
        <w:bidi w:val="0"/>
        <w:spacing w:line="480" w:lineRule="auto"/>
        <w:rPr>
          <w:rFonts w:hint="eastAsia" w:ascii="宋体" w:hAnsi="宋体" w:eastAsia="宋体" w:cs="宋体"/>
          <w:b/>
          <w:color w:val="auto"/>
          <w:highlight w:val="none"/>
        </w:rPr>
      </w:pPr>
      <w:r>
        <w:rPr>
          <w:rFonts w:hint="eastAsia" w:ascii="宋体" w:hAnsi="宋体" w:eastAsia="宋体" w:cs="宋体"/>
          <w:color w:val="auto"/>
          <w:highlight w:val="none"/>
        </w:rPr>
        <w:fldChar w:fldCharType="end"/>
      </w:r>
    </w:p>
    <w:p w14:paraId="05418F7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sectPr>
          <w:headerReference r:id="rId8" w:type="default"/>
          <w:footerReference r:id="rId9" w:type="default"/>
          <w:pgSz w:w="11907" w:h="16838"/>
          <w:pgMar w:top="1134" w:right="1134" w:bottom="1134" w:left="1134" w:header="882" w:footer="1078" w:gutter="0"/>
          <w:lnNumType w:countBy="0" w:distance="360"/>
          <w:cols w:space="720" w:num="1"/>
        </w:sectPr>
      </w:pPr>
    </w:p>
    <w:p w14:paraId="2ABD6A25">
      <w:pPr>
        <w:pStyle w:val="27"/>
        <w:keepNext w:val="0"/>
        <w:keepLines w:val="0"/>
        <w:bidi w:val="0"/>
        <w:rPr>
          <w:rFonts w:hint="eastAsia" w:ascii="宋体" w:hAnsi="宋体" w:eastAsia="宋体" w:cs="宋体"/>
          <w:color w:val="auto"/>
          <w:highlight w:val="none"/>
        </w:rPr>
      </w:pPr>
    </w:p>
    <w:p w14:paraId="62B699E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8EBF79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0137D7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E0AB6D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9699F9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CFB3F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0D7309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E814BF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16FDC4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6CC223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9947E9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0B71D5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4160FC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2D581B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70FC14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5BA1C3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3330E2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90F88E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979C30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AAAEFF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B83306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04908C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C32E2A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1A0DA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C9248E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AEC254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8D58CFE">
      <w:pPr>
        <w:keepNext w:val="0"/>
        <w:keepLines w:val="0"/>
        <w:bidi w:val="0"/>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6"/>
          <w:szCs w:val="56"/>
          <w:highlight w:val="none"/>
        </w:rPr>
        <w:t>第一章招标公告</w:t>
      </w:r>
    </w:p>
    <w:p w14:paraId="3B5DF9F4">
      <w:pPr>
        <w:pStyle w:val="5"/>
        <w:keepNext w:val="0"/>
        <w:keepLines w:val="0"/>
        <w:kinsoku w:val="0"/>
        <w:overflowPunct w:val="0"/>
        <w:bidi w:val="0"/>
        <w:spacing w:line="659" w:lineRule="exact"/>
        <w:ind w:left="609" w:right="607"/>
        <w:rPr>
          <w:rFonts w:hint="eastAsia" w:ascii="宋体" w:hAnsi="宋体" w:eastAsia="宋体" w:cs="宋体"/>
          <w:bCs/>
          <w:color w:val="auto"/>
          <w:sz w:val="52"/>
          <w:szCs w:val="52"/>
          <w:highlight w:val="none"/>
        </w:rPr>
        <w:sectPr>
          <w:footerReference r:id="rId10" w:type="default"/>
          <w:pgSz w:w="11907" w:h="16838"/>
          <w:pgMar w:top="1134" w:right="1134" w:bottom="1134" w:left="1134" w:header="882" w:footer="624" w:gutter="0"/>
          <w:lnNumType w:countBy="0" w:distance="360"/>
          <w:pgNumType w:start="1"/>
          <w:cols w:space="720" w:num="1"/>
        </w:sectPr>
      </w:pPr>
    </w:p>
    <w:p w14:paraId="32492D0E">
      <w:pPr>
        <w:pStyle w:val="5"/>
        <w:keepNext w:val="0"/>
        <w:keepLines w:val="0"/>
        <w:bidi w:val="0"/>
        <w:rPr>
          <w:rFonts w:hint="eastAsia" w:ascii="宋体" w:hAnsi="宋体" w:eastAsia="宋体" w:cs="宋体"/>
          <w:color w:val="auto"/>
          <w:sz w:val="72"/>
          <w:szCs w:val="21"/>
          <w:highlight w:val="none"/>
        </w:rPr>
      </w:pPr>
      <w:bookmarkStart w:id="0" w:name="_Toc6985"/>
      <w:bookmarkStart w:id="1" w:name="_Toc10427_WPSOffice_Level1"/>
      <w:r>
        <w:rPr>
          <w:rFonts w:hint="eastAsia" w:ascii="宋体" w:hAnsi="宋体" w:eastAsia="宋体" w:cs="宋体"/>
          <w:color w:val="auto"/>
          <w:sz w:val="32"/>
          <w:szCs w:val="10"/>
          <w:highlight w:val="none"/>
        </w:rPr>
        <w:t>第一章招标公告</w:t>
      </w:r>
      <w:bookmarkEnd w:id="0"/>
      <w:bookmarkEnd w:id="1"/>
    </w:p>
    <w:p w14:paraId="0F3788D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bookmarkStart w:id="2" w:name="bookmark0"/>
      <w:bookmarkEnd w:id="2"/>
    </w:p>
    <w:p w14:paraId="26F040C8">
      <w:pPr>
        <w:keepNext w:val="0"/>
        <w:keepLines w:val="0"/>
        <w:widowControl w:val="0"/>
        <w:kinsoku w:val="0"/>
        <w:overflowPunct w:val="0"/>
        <w:autoSpaceDE w:val="0"/>
        <w:autoSpaceDN w:val="0"/>
        <w:bidi w:val="0"/>
        <w:adjustRightInd w:val="0"/>
        <w:spacing w:before="10" w:line="260" w:lineRule="exact"/>
        <w:jc w:val="left"/>
        <w:rPr>
          <w:rFonts w:hint="eastAsia" w:ascii="宋体" w:hAnsi="宋体" w:eastAsia="宋体" w:cs="宋体"/>
          <w:color w:val="auto"/>
          <w:sz w:val="26"/>
          <w:highlight w:val="none"/>
        </w:rPr>
      </w:pPr>
    </w:p>
    <w:p w14:paraId="57879018">
      <w:pPr>
        <w:keepNext w:val="0"/>
        <w:keepLines w:val="0"/>
        <w:widowControl w:val="0"/>
        <w:tabs>
          <w:tab w:val="left" w:pos="2722"/>
          <w:tab w:val="left" w:pos="5103"/>
        </w:tabs>
        <w:kinsoku w:val="0"/>
        <w:overflowPunct w:val="0"/>
        <w:autoSpaceDE w:val="0"/>
        <w:autoSpaceDN w:val="0"/>
        <w:bidi w:val="0"/>
        <w:adjustRightInd w:val="0"/>
        <w:spacing w:line="440" w:lineRule="exact"/>
        <w:jc w:val="center"/>
        <w:rPr>
          <w:rFonts w:hint="eastAsia" w:ascii="宋体" w:hAnsi="宋体" w:eastAsia="宋体" w:cs="宋体"/>
          <w:b/>
          <w:color w:val="auto"/>
          <w:sz w:val="31"/>
          <w:szCs w:val="31"/>
          <w:highlight w:val="none"/>
          <w:u w:val="none"/>
        </w:rPr>
      </w:pPr>
      <w:bookmarkStart w:id="3" w:name="_Toc31667_WPSOffice_Level2"/>
      <w:r>
        <w:rPr>
          <w:rFonts w:hint="eastAsia" w:ascii="宋体" w:hAnsi="宋体" w:eastAsia="宋体" w:cs="宋体"/>
          <w:b/>
          <w:color w:val="auto"/>
          <w:kern w:val="21"/>
          <w:sz w:val="31"/>
          <w:szCs w:val="31"/>
          <w:highlight w:val="none"/>
          <w:u w:val="single"/>
          <w:lang w:eastAsia="zh-CN"/>
        </w:rPr>
        <w:t>武江区江湾镇多田至湖洋村灾毁路段及地方公路路域提升改造工程项目监理（第二次）</w:t>
      </w:r>
      <w:r>
        <w:rPr>
          <w:rFonts w:hint="eastAsia" w:ascii="宋体" w:hAnsi="宋体" w:eastAsia="宋体" w:cs="宋体"/>
          <w:b/>
          <w:color w:val="auto"/>
          <w:kern w:val="21"/>
          <w:sz w:val="31"/>
          <w:szCs w:val="31"/>
          <w:highlight w:val="none"/>
          <w:u w:val="none"/>
          <w:lang w:val="en-US" w:eastAsia="zh-CN"/>
        </w:rPr>
        <w:t>招标</w:t>
      </w:r>
      <w:r>
        <w:rPr>
          <w:rFonts w:hint="eastAsia" w:ascii="宋体" w:hAnsi="宋体" w:eastAsia="宋体" w:cs="宋体"/>
          <w:b/>
          <w:color w:val="auto"/>
          <w:spacing w:val="-3"/>
          <w:sz w:val="31"/>
          <w:szCs w:val="31"/>
          <w:highlight w:val="none"/>
          <w:u w:val="none"/>
        </w:rPr>
        <w:t>公</w:t>
      </w:r>
      <w:r>
        <w:rPr>
          <w:rFonts w:hint="eastAsia" w:ascii="宋体" w:hAnsi="宋体" w:eastAsia="宋体" w:cs="宋体"/>
          <w:b/>
          <w:color w:val="auto"/>
          <w:spacing w:val="-2"/>
          <w:sz w:val="31"/>
          <w:szCs w:val="31"/>
          <w:highlight w:val="none"/>
          <w:u w:val="none"/>
        </w:rPr>
        <w:t>告</w:t>
      </w:r>
      <w:bookmarkEnd w:id="3"/>
    </w:p>
    <w:p w14:paraId="4E01A5DD">
      <w:pPr>
        <w:keepNext w:val="0"/>
        <w:keepLines w:val="0"/>
        <w:widowControl w:val="0"/>
        <w:kinsoku w:val="0"/>
        <w:overflowPunct w:val="0"/>
        <w:autoSpaceDE w:val="0"/>
        <w:autoSpaceDN w:val="0"/>
        <w:bidi w:val="0"/>
        <w:adjustRightInd w:val="0"/>
        <w:spacing w:before="16" w:line="220" w:lineRule="exact"/>
        <w:jc w:val="left"/>
        <w:rPr>
          <w:rFonts w:hint="eastAsia" w:ascii="宋体" w:hAnsi="宋体" w:eastAsia="宋体" w:cs="宋体"/>
          <w:color w:val="auto"/>
          <w:sz w:val="22"/>
          <w:highlight w:val="none"/>
          <w:u w:val="none"/>
        </w:rPr>
      </w:pPr>
    </w:p>
    <w:p w14:paraId="5F55D83D">
      <w:pPr>
        <w:keepNext w:val="0"/>
        <w:keepLines w:val="0"/>
        <w:bidi w:val="0"/>
        <w:spacing w:line="440" w:lineRule="exact"/>
        <w:rPr>
          <w:rFonts w:hint="eastAsia" w:ascii="宋体" w:hAnsi="宋体" w:eastAsia="宋体" w:cs="宋体"/>
          <w:b/>
          <w:bCs/>
          <w:color w:val="auto"/>
          <w:sz w:val="28"/>
          <w:szCs w:val="28"/>
          <w:highlight w:val="none"/>
        </w:rPr>
      </w:pPr>
      <w:bookmarkStart w:id="4" w:name="bookmark1"/>
      <w:bookmarkEnd w:id="4"/>
      <w:bookmarkStart w:id="5" w:name="_Toc11296_WPSOffice_Level2"/>
      <w:bookmarkStart w:id="6" w:name="_Toc18572"/>
      <w:bookmarkStart w:id="7" w:name="_Toc20476"/>
      <w:bookmarkStart w:id="8" w:name="_Toc9444"/>
      <w:r>
        <w:rPr>
          <w:rFonts w:hint="eastAsia" w:ascii="宋体" w:hAnsi="宋体" w:eastAsia="宋体" w:cs="宋体"/>
          <w:b/>
          <w:bCs/>
          <w:color w:val="auto"/>
          <w:sz w:val="28"/>
          <w:szCs w:val="28"/>
          <w:highlight w:val="none"/>
        </w:rPr>
        <w:t>1.招标条件</w:t>
      </w:r>
      <w:bookmarkEnd w:id="5"/>
      <w:bookmarkEnd w:id="6"/>
      <w:bookmarkEnd w:id="7"/>
      <w:bookmarkEnd w:id="8"/>
    </w:p>
    <w:p w14:paraId="494B7ACC">
      <w:pPr>
        <w:spacing w:line="360" w:lineRule="auto"/>
        <w:ind w:firstLine="480" w:firstLineChars="200"/>
        <w:rPr>
          <w:rFonts w:hint="eastAsia" w:ascii="宋体" w:hAnsi="宋体" w:eastAsia="宋体" w:cs="宋体"/>
          <w:color w:val="auto"/>
          <w:sz w:val="24"/>
          <w:szCs w:val="24"/>
          <w:highlight w:val="none"/>
          <w:lang w:eastAsia="zh-CN"/>
        </w:rPr>
      </w:pPr>
      <w:bookmarkStart w:id="9" w:name="_Toc544"/>
      <w:bookmarkStart w:id="10" w:name="_Toc424739345"/>
      <w:r>
        <w:rPr>
          <w:rFonts w:hint="eastAsia" w:ascii="宋体" w:hAnsi="宋体" w:eastAsia="宋体" w:cs="宋体"/>
          <w:color w:val="auto"/>
          <w:sz w:val="24"/>
        </w:rPr>
        <w:t>本招标项目</w:t>
      </w:r>
      <w:r>
        <w:rPr>
          <w:rFonts w:hint="eastAsia" w:ascii="宋体" w:hAnsi="宋体" w:eastAsia="宋体" w:cs="宋体"/>
          <w:color w:val="auto"/>
          <w:sz w:val="24"/>
          <w:u w:val="single"/>
          <w:lang w:eastAsia="zh-CN"/>
        </w:rPr>
        <w:t>武江区江湾镇多田至湖洋村灾毁路段及地方公路路域提升改造工程项目</w:t>
      </w:r>
      <w:r>
        <w:rPr>
          <w:rFonts w:hint="eastAsia" w:ascii="宋体" w:hAnsi="宋体" w:eastAsia="宋体" w:cs="宋体"/>
          <w:color w:val="auto"/>
          <w:sz w:val="24"/>
        </w:rPr>
        <w:t>已由</w:t>
      </w:r>
      <w:r>
        <w:rPr>
          <w:rFonts w:hint="eastAsia" w:ascii="宋体" w:hAnsi="宋体" w:eastAsia="宋体" w:cs="宋体"/>
          <w:color w:val="auto"/>
          <w:sz w:val="24"/>
          <w:u w:val="single"/>
        </w:rPr>
        <w:t>韶关市武江区发展和改革局</w:t>
      </w:r>
      <w:r>
        <w:rPr>
          <w:rFonts w:hint="eastAsia" w:ascii="宋体" w:hAnsi="宋体" w:eastAsia="宋体" w:cs="宋体"/>
          <w:color w:val="auto"/>
          <w:spacing w:val="9"/>
          <w:sz w:val="24"/>
        </w:rPr>
        <w:t>以</w:t>
      </w:r>
      <w:r>
        <w:rPr>
          <w:rFonts w:hint="eastAsia" w:ascii="宋体" w:hAnsi="宋体" w:eastAsia="宋体" w:cs="宋体"/>
          <w:color w:val="auto"/>
          <w:sz w:val="24"/>
          <w:u w:val="single"/>
        </w:rPr>
        <w:t>《韶关市武江区发展和改革局关于武江区江湾镇多田至湖洋村灾毁路段及地方公路路域提升改造工程项目初步设计概算的批复》（韶武发改投审</w:t>
      </w:r>
      <w:r>
        <w:rPr>
          <w:rFonts w:hint="eastAsia" w:ascii="宋体" w:hAnsi="宋体" w:eastAsia="宋体" w:cs="宋体"/>
          <w:color w:val="auto"/>
          <w:sz w:val="24"/>
          <w:u w:val="single"/>
          <w:lang w:val="en-US" w:eastAsia="zh-CN"/>
        </w:rPr>
        <w:t>[</w:t>
      </w:r>
      <w:r>
        <w:rPr>
          <w:rFonts w:hint="eastAsia" w:ascii="宋体" w:hAnsi="宋体" w:eastAsia="宋体" w:cs="宋体"/>
          <w:color w:val="auto"/>
          <w:sz w:val="24"/>
          <w:u w:val="single"/>
        </w:rPr>
        <w:t>2025</w:t>
      </w:r>
      <w:r>
        <w:rPr>
          <w:rFonts w:hint="eastAsia" w:ascii="宋体" w:hAnsi="宋体" w:eastAsia="宋体" w:cs="宋体"/>
          <w:color w:val="auto"/>
          <w:sz w:val="24"/>
          <w:u w:val="single"/>
          <w:lang w:val="en-US" w:eastAsia="zh-CN"/>
        </w:rPr>
        <w:t>]</w:t>
      </w:r>
      <w:r>
        <w:rPr>
          <w:rFonts w:hint="eastAsia" w:ascii="宋体" w:hAnsi="宋体" w:eastAsia="宋体" w:cs="宋体"/>
          <w:color w:val="auto"/>
          <w:sz w:val="24"/>
          <w:u w:val="single"/>
        </w:rPr>
        <w:t>48号</w:t>
      </w:r>
      <w:r>
        <w:rPr>
          <w:rFonts w:hint="eastAsia" w:ascii="宋体" w:hAnsi="宋体" w:eastAsia="宋体" w:cs="宋体"/>
          <w:color w:val="auto"/>
          <w:sz w:val="24"/>
          <w:u w:val="single"/>
          <w:lang w:eastAsia="zh-CN"/>
        </w:rPr>
        <w:t>）</w:t>
      </w:r>
      <w:r>
        <w:rPr>
          <w:rFonts w:hint="eastAsia" w:ascii="宋体" w:hAnsi="宋体" w:eastAsia="宋体" w:cs="宋体"/>
          <w:color w:val="auto"/>
          <w:sz w:val="24"/>
        </w:rPr>
        <w:t>批准建设，投资项目统一代码为</w:t>
      </w:r>
      <w:r>
        <w:rPr>
          <w:rFonts w:hint="eastAsia" w:ascii="宋体" w:hAnsi="宋体" w:eastAsia="宋体" w:cs="宋体"/>
          <w:color w:val="auto"/>
          <w:sz w:val="24"/>
          <w:u w:val="single"/>
        </w:rPr>
        <w:t>2408-440203-18-01-545038</w:t>
      </w:r>
      <w:r>
        <w:rPr>
          <w:rFonts w:hint="eastAsia" w:ascii="宋体" w:hAnsi="宋体" w:eastAsia="宋体" w:cs="宋体"/>
          <w:color w:val="auto"/>
          <w:sz w:val="24"/>
        </w:rPr>
        <w:t>，项目业主为</w:t>
      </w:r>
      <w:r>
        <w:rPr>
          <w:rFonts w:hint="eastAsia" w:ascii="宋体" w:hAnsi="宋体" w:eastAsia="宋体" w:cs="宋体"/>
          <w:color w:val="auto"/>
          <w:sz w:val="24"/>
          <w:u w:val="single"/>
          <w:lang w:eastAsia="zh-CN"/>
        </w:rPr>
        <w:t>韶关市武江区江湾镇人民政府</w:t>
      </w:r>
      <w:r>
        <w:rPr>
          <w:rFonts w:hint="eastAsia" w:ascii="宋体" w:hAnsi="宋体" w:eastAsia="宋体" w:cs="宋体"/>
          <w:color w:val="auto"/>
          <w:sz w:val="24"/>
        </w:rPr>
        <w:t>，建设资金</w:t>
      </w:r>
      <w:r>
        <w:rPr>
          <w:rFonts w:hint="eastAsia" w:ascii="宋体" w:hAnsi="宋体" w:eastAsia="宋体" w:cs="宋体"/>
          <w:color w:val="auto"/>
          <w:sz w:val="24"/>
          <w:u w:val="single"/>
        </w:rPr>
        <w:t>由</w:t>
      </w:r>
      <w:r>
        <w:rPr>
          <w:rFonts w:hint="eastAsia" w:ascii="宋体" w:hAnsi="宋体" w:eastAsia="宋体" w:cs="宋体"/>
          <w:color w:val="auto"/>
          <w:sz w:val="24"/>
          <w:u w:val="single"/>
          <w:lang w:eastAsia="zh-CN"/>
        </w:rPr>
        <w:t>区级财政解决</w:t>
      </w:r>
      <w:r>
        <w:rPr>
          <w:rFonts w:hint="eastAsia" w:ascii="宋体" w:hAnsi="宋体" w:eastAsia="宋体" w:cs="宋体"/>
          <w:color w:val="auto"/>
          <w:sz w:val="24"/>
        </w:rPr>
        <w:t>。项目出资比例为</w:t>
      </w:r>
      <w:r>
        <w:rPr>
          <w:rFonts w:hint="eastAsia" w:ascii="宋体" w:hAnsi="宋体" w:eastAsia="宋体" w:cs="宋体"/>
          <w:color w:val="auto"/>
          <w:sz w:val="24"/>
          <w:u w:val="single"/>
        </w:rPr>
        <w:t>100%</w:t>
      </w:r>
      <w:r>
        <w:rPr>
          <w:rFonts w:hint="eastAsia" w:ascii="宋体" w:hAnsi="宋体" w:eastAsia="宋体" w:cs="宋体"/>
          <w:color w:val="auto"/>
          <w:sz w:val="24"/>
        </w:rPr>
        <w:t>。招标人为</w:t>
      </w:r>
      <w:r>
        <w:rPr>
          <w:rFonts w:hint="eastAsia" w:ascii="宋体" w:hAnsi="宋体" w:eastAsia="宋体" w:cs="宋体"/>
          <w:color w:val="auto"/>
          <w:sz w:val="24"/>
          <w:u w:val="single"/>
          <w:lang w:eastAsia="zh-CN"/>
        </w:rPr>
        <w:t>韶关市武江区江湾镇人民政府</w:t>
      </w:r>
      <w:r>
        <w:rPr>
          <w:rFonts w:hint="eastAsia" w:ascii="宋体" w:hAnsi="宋体" w:eastAsia="宋体" w:cs="宋体"/>
          <w:color w:val="auto"/>
          <w:sz w:val="24"/>
        </w:rPr>
        <w:t>，现对该项目的</w:t>
      </w:r>
      <w:r>
        <w:rPr>
          <w:rFonts w:hint="eastAsia" w:ascii="宋体" w:hAnsi="宋体" w:eastAsia="宋体" w:cs="宋体"/>
          <w:color w:val="auto"/>
          <w:sz w:val="24"/>
          <w:u w:val="single"/>
          <w:lang w:eastAsia="zh-CN"/>
        </w:rPr>
        <w:t>监理</w:t>
      </w:r>
      <w:r>
        <w:rPr>
          <w:rFonts w:hint="eastAsia" w:ascii="宋体" w:hAnsi="宋体" w:eastAsia="宋体" w:cs="宋体"/>
          <w:color w:val="auto"/>
          <w:sz w:val="24"/>
        </w:rPr>
        <w:t>采用资格后审方式进行公开招标。</w:t>
      </w:r>
      <w:bookmarkEnd w:id="9"/>
      <w:bookmarkEnd w:id="10"/>
    </w:p>
    <w:p w14:paraId="257F13C4">
      <w:pPr>
        <w:keepNext w:val="0"/>
        <w:keepLines w:val="0"/>
        <w:bidi w:val="0"/>
        <w:spacing w:line="440" w:lineRule="exact"/>
        <w:rPr>
          <w:rFonts w:hint="eastAsia" w:ascii="宋体" w:hAnsi="宋体" w:eastAsia="宋体" w:cs="宋体"/>
          <w:b/>
          <w:bCs/>
          <w:color w:val="auto"/>
          <w:sz w:val="28"/>
          <w:szCs w:val="28"/>
          <w:highlight w:val="none"/>
        </w:rPr>
      </w:pPr>
      <w:bookmarkStart w:id="11" w:name="bookmark2"/>
      <w:bookmarkEnd w:id="11"/>
      <w:bookmarkStart w:id="12" w:name="_Toc19047"/>
      <w:bookmarkStart w:id="13" w:name="_Toc25479"/>
      <w:bookmarkStart w:id="14" w:name="_Toc3401"/>
      <w:bookmarkStart w:id="15" w:name="_Toc30763_WPSOffice_Level2"/>
      <w:r>
        <w:rPr>
          <w:rFonts w:hint="eastAsia" w:ascii="宋体" w:hAnsi="宋体" w:eastAsia="宋体" w:cs="宋体"/>
          <w:b/>
          <w:bCs/>
          <w:color w:val="auto"/>
          <w:sz w:val="28"/>
          <w:szCs w:val="28"/>
          <w:highlight w:val="none"/>
        </w:rPr>
        <w:t>2.项目概况与招标范围</w:t>
      </w:r>
      <w:bookmarkEnd w:id="12"/>
      <w:bookmarkEnd w:id="13"/>
      <w:bookmarkEnd w:id="14"/>
      <w:bookmarkEnd w:id="15"/>
    </w:p>
    <w:p w14:paraId="1B3A658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bidi="ar"/>
        </w:rPr>
        <w:t>2.1项目概况与招标范围</w:t>
      </w:r>
    </w:p>
    <w:p w14:paraId="00084354">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bidi="ar"/>
        </w:rPr>
        <w:t>2.1.1建设地点：</w:t>
      </w:r>
      <w:r>
        <w:rPr>
          <w:rFonts w:hint="eastAsia" w:ascii="宋体" w:hAnsi="宋体" w:eastAsia="宋体" w:cs="宋体"/>
          <w:color w:val="auto"/>
          <w:sz w:val="24"/>
          <w:u w:val="single"/>
          <w:lang w:bidi="ar"/>
        </w:rPr>
        <w:t>龙归镇多田村至江湾镇湖洋村</w:t>
      </w:r>
      <w:r>
        <w:rPr>
          <w:rFonts w:hint="eastAsia" w:ascii="宋体" w:hAnsi="宋体" w:eastAsia="宋体" w:cs="宋体"/>
          <w:color w:val="auto"/>
          <w:sz w:val="24"/>
          <w:lang w:bidi="ar"/>
        </w:rPr>
        <w:t>。</w:t>
      </w:r>
    </w:p>
    <w:p w14:paraId="41BD8094">
      <w:pPr>
        <w:keepNext w:val="0"/>
        <w:keepLines w:val="0"/>
        <w:widowControl w:val="0"/>
        <w:bidi w:val="0"/>
        <w:adjustRightInd w:val="0"/>
        <w:snapToGrid w:val="0"/>
        <w:spacing w:line="440" w:lineRule="exact"/>
        <w:ind w:firstLine="480" w:firstLineChars="200"/>
        <w:rPr>
          <w:rFonts w:hint="eastAsia" w:ascii="宋体" w:hAnsi="宋体" w:eastAsia="宋体" w:cs="宋体"/>
          <w:color w:val="auto"/>
          <w:sz w:val="24"/>
          <w:u w:val="single"/>
          <w:lang w:bidi="ar"/>
        </w:rPr>
      </w:pPr>
      <w:r>
        <w:rPr>
          <w:rFonts w:hint="eastAsia" w:ascii="宋体" w:hAnsi="宋体" w:eastAsia="宋体" w:cs="宋体"/>
          <w:color w:val="auto"/>
          <w:sz w:val="24"/>
          <w:lang w:bidi="ar"/>
        </w:rPr>
        <w:t>2.1.2建设内容及规模：</w:t>
      </w:r>
      <w:r>
        <w:rPr>
          <w:rFonts w:hint="eastAsia" w:ascii="宋体" w:hAnsi="宋体" w:eastAsia="宋体" w:cs="宋体"/>
          <w:color w:val="auto"/>
          <w:sz w:val="24"/>
          <w:u w:val="single"/>
          <w:lang w:eastAsia="zh-CN" w:bidi="ar"/>
        </w:rPr>
        <w:t>改造乡道Y267线路基路面约4500m²,新建路肩墙约70m、排水沟约540m；改造省道S520线灾毁路段路基路面约1860m²,新建路肩墙约130m、排水沟约120m、停车区约580㎡；改造乡道Y200线终点与省道S520线平交口，涉及路基路面工程约1500㎡，新建路肩墙约200m；完善附属交通防护设施、涵洞工程等。包括路面改造工程，排水设施工程，边坡防护工程，交通安防工程，平交口改造工程及附属其他设施工程等。</w:t>
      </w:r>
      <w:r>
        <w:rPr>
          <w:rFonts w:hint="eastAsia" w:ascii="宋体" w:hAnsi="宋体" w:eastAsia="宋体" w:cs="宋体"/>
          <w:color w:val="auto"/>
          <w:sz w:val="24"/>
          <w:u w:val="single"/>
          <w:lang w:bidi="ar"/>
        </w:rPr>
        <w:t>项目概算总投资</w:t>
      </w:r>
      <w:r>
        <w:rPr>
          <w:rFonts w:hint="eastAsia" w:ascii="宋体" w:hAnsi="宋体" w:eastAsia="宋体" w:cs="宋体"/>
          <w:color w:val="auto"/>
          <w:sz w:val="24"/>
          <w:u w:val="single"/>
          <w:lang w:eastAsia="zh-CN" w:bidi="ar"/>
        </w:rPr>
        <w:t>685.67万元</w:t>
      </w:r>
      <w:r>
        <w:rPr>
          <w:rFonts w:hint="eastAsia" w:ascii="宋体" w:hAnsi="宋体" w:eastAsia="宋体" w:cs="宋体"/>
          <w:color w:val="auto"/>
          <w:sz w:val="24"/>
          <w:u w:val="single"/>
          <w:lang w:bidi="ar"/>
        </w:rPr>
        <w:t>，其中建筑安装工程费</w:t>
      </w:r>
      <w:r>
        <w:rPr>
          <w:rFonts w:hint="eastAsia" w:ascii="宋体" w:hAnsi="宋体" w:eastAsia="宋体" w:cs="宋体"/>
          <w:color w:val="auto"/>
          <w:sz w:val="24"/>
          <w:u w:val="single"/>
          <w:lang w:val="en-US" w:eastAsia="zh-CN" w:bidi="ar"/>
        </w:rPr>
        <w:t>598.20</w:t>
      </w:r>
      <w:r>
        <w:rPr>
          <w:rFonts w:hint="eastAsia" w:ascii="宋体" w:hAnsi="宋体" w:eastAsia="宋体" w:cs="宋体"/>
          <w:color w:val="auto"/>
          <w:sz w:val="24"/>
          <w:u w:val="single"/>
          <w:lang w:eastAsia="zh-CN" w:bidi="ar"/>
        </w:rPr>
        <w:t>万元</w:t>
      </w:r>
      <w:r>
        <w:rPr>
          <w:rFonts w:hint="eastAsia" w:ascii="宋体" w:hAnsi="宋体" w:eastAsia="宋体" w:cs="宋体"/>
          <w:color w:val="auto"/>
          <w:sz w:val="24"/>
          <w:u w:val="single"/>
          <w:lang w:bidi="ar"/>
        </w:rPr>
        <w:t>。项目建设所需资金由</w:t>
      </w:r>
      <w:r>
        <w:rPr>
          <w:rFonts w:hint="eastAsia" w:ascii="宋体" w:hAnsi="宋体" w:eastAsia="宋体" w:cs="宋体"/>
          <w:color w:val="auto"/>
          <w:sz w:val="24"/>
          <w:u w:val="single"/>
          <w:lang w:eastAsia="zh-CN" w:bidi="ar"/>
        </w:rPr>
        <w:t>区级财政解决</w:t>
      </w:r>
      <w:r>
        <w:rPr>
          <w:rFonts w:hint="eastAsia" w:ascii="宋体" w:hAnsi="宋体" w:eastAsia="宋体" w:cs="宋体"/>
          <w:color w:val="auto"/>
          <w:sz w:val="24"/>
          <w:u w:val="single"/>
          <w:lang w:bidi="ar"/>
        </w:rPr>
        <w:t>。</w:t>
      </w:r>
    </w:p>
    <w:p w14:paraId="4BF0E8F2">
      <w:pPr>
        <w:keepNext w:val="0"/>
        <w:keepLines w:val="0"/>
        <w:widowControl w:val="0"/>
        <w:bidi w:val="0"/>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2.2监理标段划分、招标范围及监理服务期</w:t>
      </w:r>
    </w:p>
    <w:p w14:paraId="35D3C4A8">
      <w:pPr>
        <w:keepNext w:val="0"/>
        <w:keepLines w:val="0"/>
        <w:widowControl w:val="0"/>
        <w:bidi w:val="0"/>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本项目施工监理共划分为</w:t>
      </w:r>
      <w:r>
        <w:rPr>
          <w:rFonts w:hint="eastAsia" w:ascii="宋体" w:hAnsi="宋体" w:eastAsia="宋体" w:cs="宋体"/>
          <w:color w:val="auto"/>
          <w:sz w:val="24"/>
          <w:szCs w:val="24"/>
          <w:highlight w:val="none"/>
          <w:u w:val="single"/>
          <w:lang w:val="en-US" w:eastAsia="zh-CN"/>
        </w:rPr>
        <w:t>G</w:t>
      </w:r>
      <w:r>
        <w:rPr>
          <w:rFonts w:hint="eastAsia" w:ascii="宋体" w:hAnsi="宋体" w:eastAsia="宋体" w:cs="宋体"/>
          <w:color w:val="auto"/>
          <w:sz w:val="24"/>
          <w:szCs w:val="24"/>
          <w:highlight w:val="none"/>
        </w:rPr>
        <w:t>类</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个监理标段，具体划分如下：</w:t>
      </w:r>
    </w:p>
    <w:p w14:paraId="294116B0">
      <w:pPr>
        <w:keepNext w:val="0"/>
        <w:keepLines w:val="0"/>
        <w:widowControl w:val="0"/>
        <w:bidi w:val="0"/>
        <w:adjustRightInd w:val="0"/>
        <w:snapToGrid w:val="0"/>
        <w:spacing w:line="440" w:lineRule="exact"/>
        <w:ind w:firstLine="480" w:firstLineChars="200"/>
        <w:rPr>
          <w:rFonts w:hint="eastAsia" w:ascii="宋体" w:hAnsi="宋体" w:eastAsia="宋体" w:cs="宋体"/>
          <w:color w:val="auto"/>
          <w:sz w:val="24"/>
          <w:szCs w:val="24"/>
          <w:highlight w:val="none"/>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771"/>
        <w:gridCol w:w="915"/>
        <w:gridCol w:w="887"/>
        <w:gridCol w:w="3105"/>
        <w:gridCol w:w="2211"/>
        <w:gridCol w:w="1270"/>
      </w:tblGrid>
      <w:tr w14:paraId="20B1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noWrap w:val="0"/>
            <w:vAlign w:val="center"/>
          </w:tcPr>
          <w:p w14:paraId="751475BE">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标类</w:t>
            </w:r>
          </w:p>
        </w:tc>
        <w:tc>
          <w:tcPr>
            <w:tcW w:w="772" w:type="dxa"/>
            <w:noWrap w:val="0"/>
            <w:vAlign w:val="center"/>
          </w:tcPr>
          <w:p w14:paraId="1EC3F5E8">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标段号</w:t>
            </w:r>
          </w:p>
        </w:tc>
        <w:tc>
          <w:tcPr>
            <w:tcW w:w="917" w:type="dxa"/>
            <w:noWrap w:val="0"/>
            <w:vAlign w:val="center"/>
          </w:tcPr>
          <w:p w14:paraId="515EC018">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合同起讫桩号</w:t>
            </w:r>
          </w:p>
        </w:tc>
        <w:tc>
          <w:tcPr>
            <w:tcW w:w="889" w:type="dxa"/>
            <w:noWrap w:val="0"/>
            <w:vAlign w:val="center"/>
          </w:tcPr>
          <w:p w14:paraId="23BC3D83">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里程长度</w:t>
            </w:r>
          </w:p>
        </w:tc>
        <w:tc>
          <w:tcPr>
            <w:tcW w:w="3116" w:type="dxa"/>
            <w:noWrap w:val="0"/>
            <w:vAlign w:val="center"/>
          </w:tcPr>
          <w:p w14:paraId="1DACEEC3">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招标范围</w:t>
            </w:r>
          </w:p>
        </w:tc>
        <w:tc>
          <w:tcPr>
            <w:tcW w:w="2218" w:type="dxa"/>
            <w:noWrap w:val="0"/>
            <w:vAlign w:val="center"/>
          </w:tcPr>
          <w:p w14:paraId="733E2529">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监理服务期</w:t>
            </w:r>
          </w:p>
        </w:tc>
        <w:tc>
          <w:tcPr>
            <w:tcW w:w="1272" w:type="dxa"/>
            <w:noWrap w:val="0"/>
            <w:vAlign w:val="center"/>
          </w:tcPr>
          <w:p w14:paraId="569C58BA">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资质等级</w:t>
            </w:r>
          </w:p>
        </w:tc>
      </w:tr>
      <w:tr w14:paraId="4AED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noWrap w:val="0"/>
            <w:vAlign w:val="center"/>
          </w:tcPr>
          <w:p w14:paraId="46CA5908">
            <w:pPr>
              <w:keepNext w:val="0"/>
              <w:keepLines w:val="0"/>
              <w:widowControl w:val="0"/>
              <w:bidi w:val="0"/>
              <w:adjustRightInd w:val="0"/>
              <w:snapToGrid w:val="0"/>
              <w:spacing w:line="440" w:lineRule="exact"/>
              <w:jc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土建</w:t>
            </w:r>
          </w:p>
          <w:p w14:paraId="18A3F6AD">
            <w:pPr>
              <w:keepNext w:val="0"/>
              <w:keepLines w:val="0"/>
              <w:widowControl w:val="0"/>
              <w:bidi w:val="0"/>
              <w:adjustRightInd w:val="0"/>
              <w:snapToGrid w:val="0"/>
              <w:spacing w:line="440" w:lineRule="exact"/>
              <w:jc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监理</w:t>
            </w:r>
          </w:p>
          <w:p w14:paraId="1F02774C">
            <w:pPr>
              <w:keepNext w:val="0"/>
              <w:keepLines w:val="0"/>
              <w:widowControl w:val="0"/>
              <w:bidi w:val="0"/>
              <w:adjustRightInd w:val="0"/>
              <w:snapToGrid w:val="0"/>
              <w:spacing w:line="440" w:lineRule="exact"/>
              <w:jc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含中</w:t>
            </w:r>
          </w:p>
          <w:p w14:paraId="4A6CD13C">
            <w:pPr>
              <w:keepNext w:val="0"/>
              <w:keepLines w:val="0"/>
              <w:widowControl w:val="0"/>
              <w:bidi w:val="0"/>
              <w:adjustRightInd w:val="0"/>
              <w:snapToGrid w:val="0"/>
              <w:spacing w:line="440" w:lineRule="exact"/>
              <w:jc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心试</w:t>
            </w:r>
          </w:p>
          <w:p w14:paraId="6B72F149">
            <w:pPr>
              <w:keepNext w:val="0"/>
              <w:keepLines w:val="0"/>
              <w:widowControl w:val="0"/>
              <w:bidi w:val="0"/>
              <w:adjustRightInd w:val="0"/>
              <w:snapToGrid w:val="0"/>
              <w:spacing w:line="440" w:lineRule="exact"/>
              <w:jc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验室</w:t>
            </w:r>
          </w:p>
          <w:p w14:paraId="05EC2D4B">
            <w:pPr>
              <w:keepNext w:val="0"/>
              <w:keepLines w:val="0"/>
              <w:widowControl w:val="0"/>
              <w:bidi w:val="0"/>
              <w:adjustRightInd w:val="0"/>
              <w:snapToGrid w:val="0"/>
              <w:spacing w:line="440" w:lineRule="exact"/>
              <w:jc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（D</w:t>
            </w:r>
          </w:p>
          <w:p w14:paraId="679603D0">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lang w:bidi="ar"/>
              </w:rPr>
              <w:t>类）</w:t>
            </w:r>
          </w:p>
        </w:tc>
        <w:tc>
          <w:tcPr>
            <w:tcW w:w="2578" w:type="dxa"/>
            <w:gridSpan w:val="3"/>
            <w:noWrap w:val="0"/>
            <w:vAlign w:val="center"/>
          </w:tcPr>
          <w:p w14:paraId="5894A718">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lang w:bidi="ar"/>
              </w:rPr>
              <w:t>标段的划分及主要工程项目情况详见本招标公告2.1及2.2条</w:t>
            </w:r>
          </w:p>
        </w:tc>
        <w:tc>
          <w:tcPr>
            <w:tcW w:w="3116" w:type="dxa"/>
            <w:noWrap w:val="0"/>
            <w:vAlign w:val="center"/>
          </w:tcPr>
          <w:p w14:paraId="4A9D9728">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rPr>
            </w:pPr>
            <w:r>
              <w:rPr>
                <w:rFonts w:hint="eastAsia" w:ascii="宋体" w:hAnsi="宋体" w:eastAsia="宋体" w:cs="宋体"/>
                <w:bCs/>
                <w:color w:val="auto"/>
                <w:kern w:val="21"/>
                <w:sz w:val="24"/>
                <w:szCs w:val="24"/>
                <w:highlight w:val="none"/>
                <w:u w:val="none"/>
              </w:rPr>
              <w:t>里程范围内的</w:t>
            </w:r>
            <w:r>
              <w:rPr>
                <w:rFonts w:hint="eastAsia" w:ascii="宋体" w:hAnsi="宋体" w:eastAsia="宋体" w:cs="宋体"/>
                <w:bCs/>
                <w:color w:val="auto"/>
                <w:kern w:val="21"/>
                <w:sz w:val="24"/>
                <w:szCs w:val="24"/>
                <w:highlight w:val="none"/>
                <w:u w:val="none"/>
                <w:lang w:val="en-US" w:eastAsia="zh-CN"/>
              </w:rPr>
              <w:t>路基、路面工程及排水</w:t>
            </w:r>
            <w:r>
              <w:rPr>
                <w:rFonts w:hint="eastAsia" w:ascii="宋体" w:hAnsi="宋体" w:eastAsia="宋体" w:cs="宋体"/>
                <w:bCs/>
                <w:color w:val="auto"/>
                <w:kern w:val="21"/>
                <w:sz w:val="24"/>
                <w:szCs w:val="24"/>
                <w:highlight w:val="none"/>
                <w:u w:val="none"/>
              </w:rPr>
              <w:t>、桥梁工程、涵洞工程、</w:t>
            </w:r>
            <w:r>
              <w:rPr>
                <w:rFonts w:hint="eastAsia" w:ascii="宋体" w:hAnsi="宋体" w:eastAsia="宋体" w:cs="宋体"/>
                <w:bCs/>
                <w:color w:val="auto"/>
                <w:kern w:val="21"/>
                <w:sz w:val="24"/>
                <w:szCs w:val="24"/>
                <w:highlight w:val="none"/>
                <w:u w:val="none"/>
                <w:lang w:val="en-US" w:eastAsia="zh-CN"/>
              </w:rPr>
              <w:t>路线</w:t>
            </w:r>
            <w:r>
              <w:rPr>
                <w:rFonts w:hint="eastAsia" w:ascii="宋体" w:hAnsi="宋体" w:eastAsia="宋体" w:cs="宋体"/>
                <w:bCs/>
                <w:color w:val="auto"/>
                <w:kern w:val="21"/>
                <w:sz w:val="24"/>
                <w:szCs w:val="24"/>
                <w:highlight w:val="none"/>
                <w:u w:val="none"/>
              </w:rPr>
              <w:t>交叉工程、交通工程及沿线设施</w:t>
            </w:r>
            <w:r>
              <w:rPr>
                <w:rFonts w:hint="eastAsia" w:ascii="宋体" w:hAnsi="宋体" w:eastAsia="宋体" w:cs="宋体"/>
                <w:bCs/>
                <w:color w:val="auto"/>
                <w:kern w:val="21"/>
                <w:sz w:val="24"/>
                <w:szCs w:val="24"/>
                <w:highlight w:val="none"/>
                <w:u w:val="none"/>
                <w:lang w:eastAsia="zh-CN"/>
              </w:rPr>
              <w:t>、</w:t>
            </w:r>
            <w:r>
              <w:rPr>
                <w:rFonts w:hint="eastAsia" w:ascii="宋体" w:hAnsi="宋体" w:eastAsia="宋体" w:cs="宋体"/>
                <w:bCs/>
                <w:color w:val="auto"/>
                <w:kern w:val="21"/>
                <w:sz w:val="24"/>
                <w:szCs w:val="24"/>
                <w:highlight w:val="none"/>
                <w:u w:val="none"/>
                <w:lang w:val="en-US" w:eastAsia="zh-CN"/>
              </w:rPr>
              <w:t>环境保护与景观设计等的施工准备阶段、施工阶段、缺陷责任期阶段的施工监理、施工安全的监理，项目的环境保护、水土保持的监理，参建各方竣工档案编制工作的监理，以及配合业主交、竣工验收和配合业主竣工验收前的结算与决算的有关工作。</w:t>
            </w:r>
          </w:p>
        </w:tc>
        <w:tc>
          <w:tcPr>
            <w:tcW w:w="2218" w:type="dxa"/>
            <w:noWrap w:val="0"/>
            <w:vAlign w:val="center"/>
          </w:tcPr>
          <w:p w14:paraId="4F60AC99">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施工监</w:t>
            </w:r>
            <w:r>
              <w:rPr>
                <w:rFonts w:hint="eastAsia" w:ascii="宋体" w:hAnsi="宋体" w:eastAsia="宋体" w:cs="宋体"/>
                <w:color w:val="auto"/>
                <w:sz w:val="24"/>
                <w:szCs w:val="24"/>
                <w:highlight w:val="none"/>
                <w:vertAlign w:val="baseline"/>
                <w:lang w:eastAsia="zh-CN"/>
              </w:rPr>
              <w:t>理</w:t>
            </w:r>
            <w:r>
              <w:rPr>
                <w:rFonts w:hint="eastAsia" w:ascii="宋体" w:hAnsi="宋体" w:eastAsia="宋体" w:cs="宋体"/>
                <w:color w:val="auto"/>
                <w:sz w:val="24"/>
                <w:szCs w:val="24"/>
                <w:highlight w:val="none"/>
                <w:vertAlign w:val="baseline"/>
              </w:rPr>
              <w:t>服务期限为</w:t>
            </w:r>
            <w:r>
              <w:rPr>
                <w:rFonts w:hint="eastAsia" w:ascii="宋体" w:hAnsi="宋体" w:eastAsia="宋体" w:cs="宋体"/>
                <w:color w:val="auto"/>
                <w:sz w:val="24"/>
                <w:szCs w:val="24"/>
                <w:highlight w:val="none"/>
                <w:u w:val="none"/>
                <w:vertAlign w:val="baseline"/>
              </w:rPr>
              <w:t>：</w:t>
            </w:r>
            <w:r>
              <w:rPr>
                <w:rFonts w:hint="eastAsia" w:ascii="宋体" w:hAnsi="宋体" w:eastAsia="宋体" w:cs="宋体"/>
                <w:color w:val="auto"/>
                <w:sz w:val="24"/>
                <w:szCs w:val="24"/>
                <w:highlight w:val="none"/>
                <w:u w:val="single"/>
                <w:vertAlign w:val="baseline"/>
                <w:lang w:val="en-US" w:eastAsia="zh-CN"/>
              </w:rPr>
              <w:t>4</w:t>
            </w:r>
            <w:r>
              <w:rPr>
                <w:rFonts w:hint="eastAsia" w:ascii="宋体" w:hAnsi="宋体" w:eastAsia="宋体" w:cs="宋体"/>
                <w:color w:val="auto"/>
                <w:sz w:val="24"/>
                <w:szCs w:val="24"/>
                <w:highlight w:val="none"/>
                <w:u w:val="single"/>
                <w:vertAlign w:val="baseline"/>
              </w:rPr>
              <w:t>个月</w:t>
            </w:r>
            <w:r>
              <w:rPr>
                <w:rFonts w:hint="eastAsia" w:ascii="宋体" w:hAnsi="宋体" w:eastAsia="宋体" w:cs="宋体"/>
                <w:color w:val="auto"/>
                <w:sz w:val="24"/>
                <w:szCs w:val="24"/>
                <w:highlight w:val="none"/>
                <w:vertAlign w:val="baseline"/>
              </w:rPr>
              <w:t>，包括施工准备阶段监理</w:t>
            </w:r>
            <w:r>
              <w:rPr>
                <w:rFonts w:hint="eastAsia" w:ascii="宋体" w:hAnsi="宋体" w:eastAsia="宋体" w:cs="宋体"/>
                <w:color w:val="auto"/>
                <w:sz w:val="24"/>
                <w:szCs w:val="24"/>
                <w:highlight w:val="none"/>
                <w:u w:val="single"/>
                <w:vertAlign w:val="baseline"/>
                <w:lang w:val="en-US" w:eastAsia="zh-CN"/>
              </w:rPr>
              <w:t>1</w:t>
            </w:r>
            <w:r>
              <w:rPr>
                <w:rFonts w:hint="eastAsia" w:ascii="宋体" w:hAnsi="宋体" w:eastAsia="宋体" w:cs="宋体"/>
                <w:color w:val="auto"/>
                <w:sz w:val="24"/>
                <w:szCs w:val="24"/>
                <w:highlight w:val="none"/>
                <w:vertAlign w:val="baseline"/>
              </w:rPr>
              <w:t>个月</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rPr>
              <w:t>施工阶段监理</w:t>
            </w:r>
            <w:r>
              <w:rPr>
                <w:rFonts w:hint="eastAsia" w:ascii="宋体" w:hAnsi="宋体" w:eastAsia="宋体" w:cs="宋体"/>
                <w:color w:val="auto"/>
                <w:sz w:val="24"/>
                <w:szCs w:val="24"/>
                <w:highlight w:val="none"/>
                <w:u w:val="single"/>
                <w:vertAlign w:val="baseline"/>
                <w:lang w:val="en-US" w:eastAsia="zh-CN"/>
              </w:rPr>
              <w:t>3</w:t>
            </w:r>
            <w:r>
              <w:rPr>
                <w:rFonts w:hint="eastAsia" w:ascii="宋体" w:hAnsi="宋体" w:eastAsia="宋体" w:cs="宋体"/>
                <w:color w:val="auto"/>
                <w:sz w:val="24"/>
                <w:szCs w:val="24"/>
                <w:highlight w:val="none"/>
                <w:vertAlign w:val="baseline"/>
              </w:rPr>
              <w:t>个月</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rPr>
              <w:t>交(竣)工验收及及缺陷责任期监理</w:t>
            </w:r>
            <w:r>
              <w:rPr>
                <w:rFonts w:hint="eastAsia" w:ascii="宋体" w:hAnsi="宋体" w:eastAsia="宋体" w:cs="宋体"/>
                <w:color w:val="auto"/>
                <w:sz w:val="24"/>
                <w:szCs w:val="24"/>
                <w:highlight w:val="none"/>
                <w:u w:val="single"/>
                <w:vertAlign w:val="baseline"/>
                <w:lang w:val="en-US" w:eastAsia="zh-CN"/>
              </w:rPr>
              <w:t>12</w:t>
            </w:r>
            <w:r>
              <w:rPr>
                <w:rFonts w:hint="eastAsia" w:ascii="宋体" w:hAnsi="宋体" w:eastAsia="宋体" w:cs="宋体"/>
                <w:color w:val="auto"/>
                <w:sz w:val="24"/>
                <w:szCs w:val="24"/>
                <w:highlight w:val="none"/>
                <w:u w:val="single"/>
                <w:vertAlign w:val="baseline"/>
              </w:rPr>
              <w:t>个月</w:t>
            </w:r>
            <w:r>
              <w:rPr>
                <w:rFonts w:hint="eastAsia" w:ascii="宋体" w:hAnsi="宋体" w:eastAsia="宋体" w:cs="宋体"/>
                <w:color w:val="auto"/>
                <w:sz w:val="24"/>
                <w:szCs w:val="24"/>
                <w:highlight w:val="none"/>
                <w:vertAlign w:val="baseline"/>
              </w:rPr>
              <w:t>，如施工工期进行调整，监理</w:t>
            </w:r>
          </w:p>
          <w:p w14:paraId="35B0B11B">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服务期也相应进</w:t>
            </w:r>
          </w:p>
          <w:p w14:paraId="387163DE">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行调整。</w:t>
            </w:r>
          </w:p>
        </w:tc>
        <w:tc>
          <w:tcPr>
            <w:tcW w:w="1272" w:type="dxa"/>
            <w:noWrap w:val="0"/>
            <w:vAlign w:val="center"/>
          </w:tcPr>
          <w:p w14:paraId="6FAB178B">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具有国家交通运输主管部门核发的在有效期内的公路工程乙级以上（含乙级）监理资质。</w:t>
            </w:r>
          </w:p>
        </w:tc>
      </w:tr>
    </w:tbl>
    <w:p w14:paraId="017395E2">
      <w:pPr>
        <w:keepNext w:val="0"/>
        <w:keepLines w:val="0"/>
        <w:widowControl w:val="0"/>
        <w:bidi w:val="0"/>
        <w:adjustRightInd w:val="0"/>
        <w:snapToGrid w:val="0"/>
        <w:spacing w:line="440" w:lineRule="exact"/>
        <w:ind w:firstLine="480" w:firstLineChars="200"/>
        <w:rPr>
          <w:rFonts w:hint="eastAsia" w:ascii="宋体" w:hAnsi="宋体" w:eastAsia="宋体" w:cs="宋体"/>
          <w:color w:val="auto"/>
          <w:sz w:val="24"/>
          <w:szCs w:val="24"/>
          <w:highlight w:val="none"/>
        </w:rPr>
      </w:pPr>
    </w:p>
    <w:p w14:paraId="0194B766">
      <w:pPr>
        <w:keepNext w:val="0"/>
        <w:keepLines w:val="0"/>
        <w:bidi w:val="0"/>
        <w:spacing w:line="440" w:lineRule="exact"/>
        <w:rPr>
          <w:rFonts w:hint="eastAsia" w:ascii="宋体" w:hAnsi="宋体" w:eastAsia="宋体" w:cs="宋体"/>
          <w:b/>
          <w:bCs/>
          <w:color w:val="auto"/>
          <w:sz w:val="30"/>
          <w:szCs w:val="30"/>
          <w:highlight w:val="none"/>
        </w:rPr>
      </w:pPr>
      <w:bookmarkStart w:id="16" w:name="bookmark3"/>
      <w:bookmarkEnd w:id="16"/>
      <w:bookmarkStart w:id="17" w:name="_Toc25833"/>
      <w:bookmarkStart w:id="18" w:name="_Toc28176"/>
      <w:bookmarkStart w:id="19" w:name="_Toc25217"/>
      <w:bookmarkStart w:id="20" w:name="_Toc14728_WPSOffice_Level2"/>
      <w:r>
        <w:rPr>
          <w:rFonts w:hint="eastAsia" w:ascii="宋体" w:hAnsi="宋体" w:eastAsia="宋体" w:cs="宋体"/>
          <w:b/>
          <w:bCs/>
          <w:color w:val="auto"/>
          <w:sz w:val="28"/>
          <w:szCs w:val="28"/>
          <w:highlight w:val="none"/>
        </w:rPr>
        <w:t>3.投标人资格要求</w:t>
      </w:r>
      <w:bookmarkEnd w:id="17"/>
      <w:bookmarkEnd w:id="18"/>
      <w:bookmarkEnd w:id="19"/>
      <w:bookmarkEnd w:id="20"/>
    </w:p>
    <w:p w14:paraId="60713666">
      <w:pPr>
        <w:keepNext w:val="0"/>
        <w:keepLines w:val="0"/>
        <w:bidi w:val="0"/>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3.1投标人应具有上述第2.2款表中所列相应资质，具有类似工程施工监理经验，并在人员等方面具有相应的施工监理能力。</w:t>
      </w:r>
    </w:p>
    <w:p w14:paraId="460620FF">
      <w:pPr>
        <w:keepNext w:val="0"/>
        <w:keepLines w:val="0"/>
        <w:bidi w:val="0"/>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投标人应进入交通运输部“全国公路建设市场监督管理系统”（https://hwdms.mot.gov.cn/）中的公路工程施工监理资质企业名录，且投标人名称和资质与该名录中的相应企业名称和资质完全一致。</w:t>
      </w:r>
    </w:p>
    <w:p w14:paraId="4493600C">
      <w:pPr>
        <w:pStyle w:val="3"/>
        <w:keepNext w:val="0"/>
        <w:keepLines w:val="0"/>
        <w:tabs>
          <w:tab w:val="left" w:pos="2878"/>
          <w:tab w:val="left" w:pos="3629"/>
        </w:tabs>
        <w:kinsoku w:val="0"/>
        <w:overflowPunct w:val="0"/>
        <w:bidi w:val="0"/>
        <w:spacing w:line="440" w:lineRule="exact"/>
        <w:ind w:right="147" w:firstLine="240" w:firstLineChars="1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3.2本工程</w:t>
      </w:r>
      <w:r>
        <w:rPr>
          <w:rFonts w:hint="eastAsia" w:ascii="宋体" w:hAnsi="宋体" w:eastAsia="宋体" w:cs="宋体"/>
          <w:b/>
          <w:bCs/>
          <w:color w:val="auto"/>
          <w:szCs w:val="24"/>
          <w:highlight w:val="none"/>
          <w:u w:val="single"/>
        </w:rPr>
        <w:t>不接受</w:t>
      </w:r>
      <w:r>
        <w:rPr>
          <w:rFonts w:hint="eastAsia" w:ascii="宋体" w:hAnsi="宋体" w:eastAsia="宋体" w:cs="宋体"/>
          <w:color w:val="auto"/>
          <w:szCs w:val="24"/>
          <w:highlight w:val="none"/>
        </w:rPr>
        <w:t>联合体投标</w:t>
      </w:r>
      <w:r>
        <w:rPr>
          <w:rFonts w:hint="eastAsia" w:ascii="宋体" w:hAnsi="宋体" w:eastAsia="宋体" w:cs="宋体"/>
          <w:color w:val="auto"/>
          <w:spacing w:val="2"/>
          <w:szCs w:val="24"/>
          <w:highlight w:val="none"/>
        </w:rPr>
        <w:t>。</w:t>
      </w:r>
      <w:r>
        <w:rPr>
          <w:rFonts w:hint="eastAsia" w:ascii="宋体" w:hAnsi="宋体" w:eastAsia="宋体" w:cs="宋体"/>
          <w:color w:val="auto"/>
          <w:szCs w:val="24"/>
          <w:highlight w:val="none"/>
        </w:rPr>
        <w:t>联合体投标的，应满足下列要求：</w:t>
      </w:r>
      <w:r>
        <w:rPr>
          <w:rFonts w:hint="eastAsia" w:ascii="宋体" w:hAnsi="宋体" w:eastAsia="宋体" w:cs="宋体"/>
          <w:color w:val="auto"/>
          <w:szCs w:val="24"/>
          <w:highlight w:val="none"/>
          <w:u w:val="single"/>
        </w:rPr>
        <w:t>/</w:t>
      </w:r>
      <w:r>
        <w:rPr>
          <w:rFonts w:hint="eastAsia" w:ascii="宋体" w:hAnsi="宋体" w:eastAsia="宋体" w:cs="宋体"/>
          <w:color w:val="auto"/>
          <w:szCs w:val="24"/>
          <w:highlight w:val="none"/>
        </w:rPr>
        <w:t>。</w:t>
      </w:r>
    </w:p>
    <w:p w14:paraId="72845560">
      <w:pPr>
        <w:pStyle w:val="3"/>
        <w:keepNext w:val="0"/>
        <w:keepLines w:val="0"/>
        <w:tabs>
          <w:tab w:val="left" w:pos="3689"/>
          <w:tab w:val="left" w:pos="7261"/>
        </w:tabs>
        <w:kinsoku w:val="0"/>
        <w:overflowPunct w:val="0"/>
        <w:bidi w:val="0"/>
        <w:spacing w:line="440" w:lineRule="exact"/>
        <w:ind w:firstLine="240" w:firstLineChars="1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3.3每个投标人最多可对</w:t>
      </w:r>
      <w:r>
        <w:rPr>
          <w:rFonts w:hint="eastAsia" w:ascii="宋体" w:hAnsi="宋体" w:eastAsia="宋体" w:cs="宋体"/>
          <w:color w:val="auto"/>
          <w:szCs w:val="24"/>
          <w:highlight w:val="none"/>
          <w:u w:val="single"/>
        </w:rPr>
        <w:t>1</w:t>
      </w:r>
      <w:r>
        <w:rPr>
          <w:rFonts w:hint="eastAsia" w:ascii="宋体" w:hAnsi="宋体" w:eastAsia="宋体" w:cs="宋体"/>
          <w:color w:val="auto"/>
          <w:szCs w:val="24"/>
          <w:highlight w:val="none"/>
        </w:rPr>
        <w:t>个标段投标；被广东省交通运输厅评为</w:t>
      </w:r>
      <w:r>
        <w:rPr>
          <w:rFonts w:hint="eastAsia" w:ascii="宋体" w:hAnsi="宋体" w:eastAsia="宋体" w:cs="宋体"/>
          <w:color w:val="auto"/>
          <w:szCs w:val="24"/>
          <w:highlight w:val="none"/>
          <w:u w:val="single"/>
        </w:rPr>
        <w:t>/</w:t>
      </w:r>
      <w:r>
        <w:rPr>
          <w:rFonts w:hint="eastAsia" w:ascii="宋体" w:hAnsi="宋体" w:eastAsia="宋体" w:cs="宋体"/>
          <w:color w:val="auto"/>
          <w:szCs w:val="24"/>
          <w:highlight w:val="none"/>
        </w:rPr>
        <w:t>信用等级的投标人，最多可对</w:t>
      </w:r>
      <w:r>
        <w:rPr>
          <w:rFonts w:hint="eastAsia" w:ascii="宋体" w:hAnsi="宋体" w:eastAsia="宋体" w:cs="宋体"/>
          <w:color w:val="auto"/>
          <w:szCs w:val="24"/>
          <w:highlight w:val="none"/>
          <w:u w:val="single"/>
        </w:rPr>
        <w:t>/</w:t>
      </w:r>
      <w:r>
        <w:rPr>
          <w:rFonts w:hint="eastAsia" w:ascii="宋体" w:hAnsi="宋体" w:eastAsia="宋体" w:cs="宋体"/>
          <w:color w:val="auto"/>
          <w:szCs w:val="24"/>
          <w:highlight w:val="none"/>
        </w:rPr>
        <w:t>（具体数量）个标段投标。每个投标人允许中1个标。对投标人信用等级的认定条件为：</w:t>
      </w:r>
      <w:r>
        <w:rPr>
          <w:rFonts w:hint="eastAsia" w:ascii="宋体" w:hAnsi="宋体" w:eastAsia="宋体" w:cs="宋体"/>
          <w:color w:val="auto"/>
          <w:szCs w:val="24"/>
          <w:highlight w:val="none"/>
          <w:u w:val="single"/>
        </w:rPr>
        <w:t>/</w:t>
      </w:r>
      <w:r>
        <w:rPr>
          <w:rFonts w:hint="eastAsia" w:ascii="宋体" w:hAnsi="宋体" w:eastAsia="宋体" w:cs="宋体"/>
          <w:color w:val="auto"/>
          <w:szCs w:val="24"/>
          <w:highlight w:val="none"/>
        </w:rPr>
        <w:t>。</w:t>
      </w:r>
    </w:p>
    <w:p w14:paraId="31B4059F">
      <w:pPr>
        <w:pStyle w:val="3"/>
        <w:keepNext w:val="0"/>
        <w:keepLines w:val="0"/>
        <w:kinsoku w:val="0"/>
        <w:overflowPunct w:val="0"/>
        <w:bidi w:val="0"/>
        <w:spacing w:line="440" w:lineRule="exact"/>
        <w:ind w:right="329" w:firstLine="240" w:firstLineChars="1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3.4与招标人存在利害关系可能影响招标公正性的法人、其他组织或者个人，不得参加投标。若单位负责人为同一人、或者存在控股、管理关系的不同单位，不得参加同一标段投标或者未划分标段的同一招标项目投标，否则按否决其投标处理</w:t>
      </w:r>
    </w:p>
    <w:p w14:paraId="1C300FBC">
      <w:pPr>
        <w:pStyle w:val="3"/>
        <w:keepNext w:val="0"/>
        <w:keepLines w:val="0"/>
        <w:kinsoku w:val="0"/>
        <w:overflowPunct w:val="0"/>
        <w:bidi w:val="0"/>
        <w:spacing w:line="440" w:lineRule="exact"/>
        <w:ind w:right="329" w:firstLine="240" w:firstLineChars="100"/>
        <w:jc w:val="both"/>
        <w:rPr>
          <w:rFonts w:hint="eastAsia" w:ascii="宋体" w:hAnsi="宋体" w:eastAsia="宋体" w:cs="宋体"/>
          <w:color w:val="auto"/>
        </w:rPr>
      </w:pPr>
      <w:r>
        <w:rPr>
          <w:rFonts w:hint="eastAsia" w:ascii="宋体" w:hAnsi="宋体" w:eastAsia="宋体" w:cs="宋体"/>
          <w:color w:val="auto"/>
          <w:szCs w:val="24"/>
          <w:highlight w:val="none"/>
        </w:rPr>
        <w:t>3.5在“信用中国”网站（https://www.creditchina.gov.cn/）中被列入失信被执行人名单的投标人，在国家企业信用信息公示系统（https://www.gsxt.gov.cn/index.html）中被列入严重违法失信企业名单的投标人，均按否决投标处理。</w:t>
      </w:r>
      <w:bookmarkStart w:id="21" w:name="_Toc32586"/>
      <w:bookmarkStart w:id="22" w:name="_Toc3238_WPSOffice_Level2"/>
      <w:bookmarkStart w:id="23" w:name="_Toc14035"/>
      <w:bookmarkStart w:id="24" w:name="_Toc25149"/>
    </w:p>
    <w:p w14:paraId="18EBB2D8">
      <w:pPr>
        <w:keepNext w:val="0"/>
        <w:keepLines w:val="0"/>
        <w:bidi w:val="0"/>
        <w:spacing w:line="440" w:lineRule="exact"/>
        <w:rPr>
          <w:rFonts w:hint="eastAsia" w:ascii="宋体" w:hAnsi="宋体" w:eastAsia="宋体" w:cs="宋体"/>
          <w:color w:val="auto"/>
          <w:sz w:val="28"/>
          <w:szCs w:val="28"/>
          <w:highlight w:val="none"/>
        </w:rPr>
      </w:pPr>
    </w:p>
    <w:p w14:paraId="38DED987">
      <w:pPr>
        <w:keepNext w:val="0"/>
        <w:keepLines w:val="0"/>
        <w:bidi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4.招标文件的获取</w:t>
      </w:r>
      <w:bookmarkEnd w:id="21"/>
      <w:bookmarkEnd w:id="22"/>
      <w:bookmarkEnd w:id="23"/>
      <w:bookmarkEnd w:id="24"/>
    </w:p>
    <w:p w14:paraId="37696D87">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bookmarkStart w:id="25" w:name="bookmark5"/>
      <w:bookmarkEnd w:id="25"/>
      <w:bookmarkStart w:id="26" w:name="_Toc26575"/>
      <w:bookmarkStart w:id="27" w:name="_Toc30362_WPSOffice_Level2"/>
      <w:r>
        <w:rPr>
          <w:rFonts w:hint="eastAsia" w:ascii="宋体" w:hAnsi="宋体" w:eastAsia="宋体" w:cs="宋体"/>
          <w:b w:val="0"/>
          <w:bCs w:val="0"/>
          <w:snapToGrid w:val="0"/>
          <w:color w:val="auto"/>
          <w:kern w:val="0"/>
          <w:sz w:val="24"/>
          <w:szCs w:val="24"/>
          <w:highlight w:val="none"/>
        </w:rPr>
        <w:t>4.1</w:t>
      </w:r>
      <w:r>
        <w:rPr>
          <w:rFonts w:hint="eastAsia" w:ascii="宋体" w:hAnsi="宋体" w:eastAsia="宋体" w:cs="宋体"/>
          <w:snapToGrid w:val="0"/>
          <w:color w:val="auto"/>
          <w:kern w:val="0"/>
          <w:sz w:val="24"/>
          <w:szCs w:val="24"/>
          <w:highlight w:val="none"/>
        </w:rPr>
        <w:t>本次招标实行全流程电子化招标投标。</w:t>
      </w:r>
    </w:p>
    <w:p w14:paraId="22DEE4BA">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项目招标文件随招标公告一并在全国公共资源交易平台（广东省·韶关市）（https://ygp.gdzwfw.gov.cn/ggzy-portal/#/440200/index）网站发布。招标文件一经在全国公共资源交易平台（广东省·韶关市）（https://ygp.gdzwfw.gov.cn/ggzy-portal/#/440200/index）发布，视为发售投标人，招标文件及相关附件由投标人自行在全国公共资源交易平台（广东省·韶关市）（https://ygp.gdzwfw.gov.cn/ggzy-portal/#/440200/index）网站下载。请于招标文件获取期间（详见“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详见“重要事项时间地点一览表”）前完成电子投标。投标人可登录全国公共资源交易平台（广东省·韶关市）（https://ygp.gdzwfw.gov.cn/ggzy-portal/#/440200/index），操作指南在全国公共资源交易平台（广东省·韶关市）（https://ygp.gdzwfw.gov.cn/ggzy-portal/#/440200/index），在【服务指南】栏目中下载《韶关市公共资源建设工程交易系统-投标人操作指南》，了解网上获取招标文件操作流程。技术咨询电话：1881979708</w:t>
      </w:r>
      <w:r>
        <w:rPr>
          <w:rFonts w:hint="eastAsia" w:ascii="宋体" w:hAnsi="宋体" w:eastAsia="宋体" w:cs="宋体"/>
          <w:b w:val="0"/>
          <w:bCs w:val="0"/>
          <w:snapToGrid w:val="0"/>
          <w:color w:val="auto"/>
          <w:kern w:val="0"/>
          <w:sz w:val="24"/>
          <w:szCs w:val="24"/>
          <w:highlight w:val="none"/>
        </w:rPr>
        <w:t>0/0751-8379671伍先生，业务咨询电话：0751-8633211。</w:t>
      </w:r>
    </w:p>
    <w:p w14:paraId="751CD692">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4.2只有申领了数字证书（CA）、“粤企签”或GDCA/SZCA/NETCA等符合法律法规规定的电子印章</w:t>
      </w:r>
      <w:r>
        <w:rPr>
          <w:rFonts w:hint="eastAsia" w:ascii="宋体" w:hAnsi="宋体" w:eastAsia="宋体" w:cs="宋体"/>
          <w:snapToGrid w:val="0"/>
          <w:color w:val="auto"/>
          <w:kern w:val="0"/>
          <w:sz w:val="24"/>
          <w:szCs w:val="24"/>
          <w:highlight w:val="none"/>
        </w:rPr>
        <w:t>，并在交易系统中完成企业信息数据入库的投标人，方可使用交易系统进行获取招标文件和电子投标。</w:t>
      </w:r>
    </w:p>
    <w:p w14:paraId="161283DB">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首次在韶关市参与建设工程招标投标活动的投标人，必须在平台系统上传企业相关资料办理企业入库事宜。投标人可登录全国公共资源交易平台（广东省·韶关市）（https://ygp.gdzwfw.gov.cn/ggzy-portal/#/440200/index）办理办理企业入库、数字证书及电子印章事宜，具体请在平台查阅相应的交易指引。</w:t>
      </w:r>
    </w:p>
    <w:p w14:paraId="57DCFA3E">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533A8014">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0AC0BD04">
      <w:pPr>
        <w:keepNext w:val="0"/>
        <w:keepLines w:val="0"/>
        <w:widowControl w:val="0"/>
        <w:wordWrap w:val="0"/>
        <w:bidi w:val="0"/>
        <w:adjustRightInd w:val="0"/>
        <w:snapToGrid w:val="0"/>
        <w:ind w:firstLine="48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4.3投标保证</w:t>
      </w:r>
    </w:p>
    <w:p w14:paraId="15000620">
      <w:pPr>
        <w:keepNext w:val="0"/>
        <w:keepLines w:val="0"/>
        <w:widowControl w:val="0"/>
        <w:wordWrap w:val="0"/>
        <w:bidi w:val="0"/>
        <w:adjustRightInd w:val="0"/>
        <w:snapToGrid w:val="0"/>
        <w:spacing w:line="44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4.3.1</w:t>
      </w:r>
      <w:r>
        <w:rPr>
          <w:rFonts w:hint="eastAsia" w:ascii="宋体" w:hAnsi="宋体" w:eastAsia="宋体" w:cs="宋体"/>
          <w:snapToGrid w:val="0"/>
          <w:color w:val="auto"/>
          <w:kern w:val="0"/>
          <w:sz w:val="24"/>
          <w:szCs w:val="24"/>
          <w:highlight w:val="none"/>
        </w:rPr>
        <w:t>投标人须缴纳金额为人民币</w:t>
      </w:r>
      <w:r>
        <w:rPr>
          <w:rFonts w:hint="eastAsia" w:ascii="宋体" w:hAnsi="宋体" w:eastAsia="宋体" w:cs="宋体"/>
          <w:b/>
          <w:bCs/>
          <w:snapToGrid w:val="0"/>
          <w:color w:val="auto"/>
          <w:kern w:val="0"/>
          <w:sz w:val="24"/>
          <w:szCs w:val="24"/>
          <w:highlight w:val="none"/>
          <w:u w:val="single"/>
          <w:lang w:val="en-US" w:eastAsia="zh-CN"/>
        </w:rPr>
        <w:t>2000</w:t>
      </w:r>
      <w:r>
        <w:rPr>
          <w:rFonts w:hint="eastAsia" w:ascii="宋体" w:hAnsi="宋体" w:eastAsia="宋体" w:cs="宋体"/>
          <w:b/>
          <w:bCs/>
          <w:color w:val="auto"/>
          <w:sz w:val="24"/>
          <w:szCs w:val="24"/>
          <w:highlight w:val="none"/>
          <w:u w:val="single"/>
        </w:rPr>
        <w:t>.00</w:t>
      </w:r>
      <w:r>
        <w:rPr>
          <w:rFonts w:hint="eastAsia" w:ascii="宋体" w:hAnsi="宋体" w:eastAsia="宋体" w:cs="宋体"/>
          <w:b/>
          <w:bCs/>
          <w:color w:val="auto"/>
          <w:kern w:val="21"/>
          <w:sz w:val="24"/>
          <w:szCs w:val="24"/>
          <w:highlight w:val="none"/>
          <w:u w:val="single"/>
        </w:rPr>
        <w:t>元</w:t>
      </w:r>
      <w:r>
        <w:rPr>
          <w:rFonts w:hint="eastAsia" w:ascii="宋体" w:hAnsi="宋体" w:eastAsia="宋体" w:cs="宋体"/>
          <w:snapToGrid w:val="0"/>
          <w:color w:val="auto"/>
          <w:kern w:val="0"/>
          <w:sz w:val="24"/>
          <w:szCs w:val="24"/>
          <w:highlight w:val="none"/>
        </w:rPr>
        <w:t>的投标保证。</w:t>
      </w:r>
    </w:p>
    <w:p w14:paraId="0232FC17">
      <w:pPr>
        <w:keepNext w:val="0"/>
        <w:keepLines w:val="0"/>
        <w:tabs>
          <w:tab w:val="left" w:pos="7020"/>
        </w:tabs>
        <w:wordWrap w:val="0"/>
        <w:bidi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4.3.2</w:t>
      </w:r>
      <w:r>
        <w:rPr>
          <w:rFonts w:hint="eastAsia" w:ascii="宋体" w:hAnsi="宋体" w:eastAsia="宋体" w:cs="宋体"/>
          <w:snapToGrid w:val="0"/>
          <w:color w:val="auto"/>
          <w:kern w:val="0"/>
          <w:sz w:val="24"/>
          <w:szCs w:val="24"/>
          <w:highlight w:val="none"/>
        </w:rPr>
        <w:t>投标保证的形式包括投标保证金、投标保证担保、投标保证保险三种，由投标人自主选择。</w:t>
      </w:r>
    </w:p>
    <w:p w14:paraId="055E0367">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投标保证金的，投标人在建设工程交易系统获取招标文件后，即可在系统申请缴纳投标保证金，获取本次招标投标保证金缴纳账号。投标人须于投标保证金到账截止时间(详见“重要事项时间地点一览表”)前，从其基本账户将投标保证金转账到指定的缴纳账号。逾期到账的、从非投标人基本账户转出的，其投标无效。</w:t>
      </w:r>
    </w:p>
    <w:p w14:paraId="6E21F7DE">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投标保证担保的，投标人应提交有效的银行保函，银行保函的有效期不得短于投标有效期。投标人必须在投标保证担保截止时间（详见“重要事项时间地点一览表”）前，使用工程建设交易系统完成网上办理电子保函。</w:t>
      </w:r>
    </w:p>
    <w:p w14:paraId="1A12BEE4">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4BF8DC9D">
      <w:pPr>
        <w:keepNext w:val="0"/>
        <w:keepLines w:val="0"/>
        <w:widowControl w:val="0"/>
        <w:bidi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snapToGrid w:val="0"/>
          <w:color w:val="auto"/>
          <w:kern w:val="0"/>
          <w:sz w:val="24"/>
          <w:szCs w:val="24"/>
          <w:highlight w:val="none"/>
        </w:rPr>
        <w:t>温馨提醒：投标人采用投标保证担保的，为避免在评标过程中因有效期发生争议，建议投标人将银行保函有效期设置为较招标文件规定的投标有效期延长不少于20个日历天。</w:t>
      </w:r>
    </w:p>
    <w:p w14:paraId="63F6C974">
      <w:pPr>
        <w:pStyle w:val="26"/>
        <w:keepNext w:val="0"/>
        <w:keepLines w:val="0"/>
        <w:bidi w:val="0"/>
        <w:rPr>
          <w:rFonts w:hint="eastAsia" w:ascii="宋体" w:hAnsi="宋体" w:eastAsia="宋体" w:cs="宋体"/>
          <w:color w:val="auto"/>
          <w:highlight w:val="none"/>
        </w:rPr>
      </w:pPr>
    </w:p>
    <w:bookmarkEnd w:id="26"/>
    <w:bookmarkEnd w:id="27"/>
    <w:p w14:paraId="58169131">
      <w:pPr>
        <w:keepNext w:val="0"/>
        <w:keepLines w:val="0"/>
        <w:bidi w:val="0"/>
        <w:spacing w:line="360" w:lineRule="auto"/>
        <w:rPr>
          <w:rFonts w:hint="eastAsia" w:ascii="宋体" w:hAnsi="宋体" w:eastAsia="宋体" w:cs="宋体"/>
          <w:b/>
          <w:bCs/>
          <w:color w:val="auto"/>
          <w:sz w:val="28"/>
          <w:szCs w:val="28"/>
          <w:highlight w:val="none"/>
        </w:rPr>
      </w:pPr>
      <w:bookmarkStart w:id="28" w:name="_Toc5622"/>
      <w:bookmarkStart w:id="29" w:name="_Toc21781"/>
      <w:bookmarkStart w:id="30" w:name="_Toc30761"/>
      <w:bookmarkStart w:id="31" w:name="_Toc5243"/>
      <w:r>
        <w:rPr>
          <w:rFonts w:hint="eastAsia" w:ascii="宋体" w:hAnsi="宋体" w:eastAsia="宋体" w:cs="宋体"/>
          <w:b/>
          <w:bCs/>
          <w:color w:val="auto"/>
          <w:sz w:val="28"/>
          <w:szCs w:val="28"/>
          <w:highlight w:val="none"/>
        </w:rPr>
        <w:t>5．招标文件的提问和答疑</w:t>
      </w:r>
      <w:bookmarkEnd w:id="28"/>
      <w:bookmarkEnd w:id="29"/>
      <w:bookmarkEnd w:id="30"/>
    </w:p>
    <w:p w14:paraId="4D0C1DE0">
      <w:pPr>
        <w:keepNext w:val="0"/>
        <w:keepLines w:val="0"/>
        <w:widowControl w:val="0"/>
        <w:wordWrap w:val="0"/>
        <w:bidi w:val="0"/>
        <w:adjustRightInd w:val="0"/>
        <w:snapToGrid w:val="0"/>
        <w:spacing w:line="440" w:lineRule="exact"/>
        <w:ind w:firstLine="48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5.1投标人若对招标文件等资料有疑问，应在提问截止时间（详见本公告“重要事项时间地点一览表”）前使用建设工程交易系统提出问题。未在指定时间前、未采用指定方式提出的，招标人不予受理。</w:t>
      </w:r>
    </w:p>
    <w:p w14:paraId="1757D783">
      <w:pPr>
        <w:keepNext w:val="0"/>
        <w:keepLines w:val="0"/>
        <w:widowControl w:val="0"/>
        <w:wordWrap w:val="0"/>
        <w:bidi w:val="0"/>
        <w:adjustRightInd w:val="0"/>
        <w:snapToGrid w:val="0"/>
        <w:spacing w:line="440" w:lineRule="exact"/>
        <w:ind w:firstLine="48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5.2招标人在提问截止时间（详见本公告“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D330853">
      <w:pPr>
        <w:keepNext w:val="0"/>
        <w:keepLines w:val="0"/>
        <w:widowControl w:val="0"/>
        <w:wordWrap w:val="0"/>
        <w:bidi w:val="0"/>
        <w:adjustRightInd w:val="0"/>
        <w:snapToGrid w:val="0"/>
        <w:spacing w:line="440" w:lineRule="exact"/>
        <w:ind w:firstLine="48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5.3招标人对招标文件所作的答疑（或修改）公告，构成招标文件的组成部分。</w:t>
      </w:r>
    </w:p>
    <w:p w14:paraId="58C1BFDA">
      <w:pPr>
        <w:keepNext w:val="0"/>
        <w:keepLines w:val="0"/>
        <w:bidi w:val="0"/>
        <w:spacing w:line="360" w:lineRule="auto"/>
        <w:rPr>
          <w:rFonts w:hint="eastAsia" w:ascii="宋体" w:hAnsi="宋体" w:eastAsia="宋体" w:cs="宋体"/>
          <w:color w:val="auto"/>
          <w:sz w:val="30"/>
          <w:szCs w:val="30"/>
          <w:highlight w:val="none"/>
        </w:rPr>
      </w:pPr>
      <w:bookmarkStart w:id="32" w:name="_Toc30123"/>
      <w:bookmarkStart w:id="33" w:name="_Toc25686"/>
      <w:bookmarkStart w:id="34" w:name="_Toc15295"/>
    </w:p>
    <w:p w14:paraId="09A17683">
      <w:pPr>
        <w:keepNext w:val="0"/>
        <w:keepLines w:val="0"/>
        <w:bidi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6．电子投标</w:t>
      </w:r>
      <w:bookmarkEnd w:id="32"/>
      <w:bookmarkEnd w:id="33"/>
      <w:bookmarkEnd w:id="34"/>
    </w:p>
    <w:p w14:paraId="23F761C0">
      <w:pPr>
        <w:keepNext w:val="0"/>
        <w:keepLines w:val="0"/>
        <w:widowControl w:val="0"/>
        <w:wordWrap w:val="0"/>
        <w:bidi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6.1投标人必须在规定的截止时间前使用交易系统完成网上获取招标文件、缴纳投标保证和全流程电子投标。只有满足以上所有条件，方为有效投标。</w:t>
      </w:r>
    </w:p>
    <w:p w14:paraId="086647AC">
      <w:pPr>
        <w:keepNext w:val="0"/>
        <w:keepLines w:val="0"/>
        <w:widowControl w:val="0"/>
        <w:wordWrap w:val="0"/>
        <w:bidi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6.2投标人可通过交易平台在线办理电子保函、保证保险和投标、下载中标通知书等业务。全流程电子化招标投标项目不再接收纸质投标文件，也不接收纸质保函等单证资料。</w:t>
      </w:r>
    </w:p>
    <w:p w14:paraId="6C089A39">
      <w:pPr>
        <w:keepNext w:val="0"/>
        <w:keepLines w:val="0"/>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bookmarkEnd w:id="31"/>
    <w:p w14:paraId="279B5AED">
      <w:pPr>
        <w:keepNext w:val="0"/>
        <w:keepLines w:val="0"/>
        <w:bidi w:val="0"/>
        <w:rPr>
          <w:rFonts w:hint="eastAsia" w:ascii="宋体" w:hAnsi="宋体" w:eastAsia="宋体" w:cs="宋体"/>
          <w:color w:val="auto"/>
          <w:highlight w:val="none"/>
        </w:rPr>
      </w:pPr>
    </w:p>
    <w:p w14:paraId="68C7AA84">
      <w:pPr>
        <w:keepNext w:val="0"/>
        <w:keepLines w:val="0"/>
        <w:bidi w:val="0"/>
        <w:spacing w:line="360" w:lineRule="auto"/>
        <w:rPr>
          <w:rFonts w:hint="eastAsia" w:ascii="宋体" w:hAnsi="宋体" w:eastAsia="宋体" w:cs="宋体"/>
          <w:b/>
          <w:bCs/>
          <w:color w:val="auto"/>
          <w:sz w:val="28"/>
          <w:szCs w:val="28"/>
          <w:highlight w:val="none"/>
        </w:rPr>
      </w:pPr>
      <w:bookmarkStart w:id="35" w:name="bookmark6"/>
      <w:bookmarkEnd w:id="35"/>
      <w:bookmarkStart w:id="36" w:name="_Toc4158"/>
      <w:bookmarkStart w:id="37" w:name="_Toc2854"/>
      <w:bookmarkStart w:id="38" w:name="_Toc17952"/>
      <w:bookmarkStart w:id="39" w:name="_Toc32413"/>
      <w:bookmarkStart w:id="40" w:name="_Toc37868912"/>
      <w:bookmarkStart w:id="41" w:name="_Toc1990"/>
      <w:bookmarkStart w:id="42" w:name="_Toc23162_WPSOffice_Level2"/>
      <w:r>
        <w:rPr>
          <w:rFonts w:hint="eastAsia" w:ascii="宋体" w:hAnsi="宋体" w:eastAsia="宋体" w:cs="宋体"/>
          <w:b/>
          <w:bCs/>
          <w:color w:val="auto"/>
          <w:sz w:val="28"/>
          <w:szCs w:val="28"/>
          <w:highlight w:val="none"/>
        </w:rPr>
        <w:t>7．开标</w:t>
      </w:r>
      <w:bookmarkEnd w:id="36"/>
      <w:bookmarkEnd w:id="37"/>
      <w:bookmarkEnd w:id="38"/>
    </w:p>
    <w:p w14:paraId="6CCE4E69">
      <w:pPr>
        <w:keepNext w:val="0"/>
        <w:keepLines w:val="0"/>
        <w:widowControl w:val="0"/>
        <w:wordWrap w:val="0"/>
        <w:bidi w:val="0"/>
        <w:adjustRightInd w:val="0"/>
        <w:snapToGrid w:val="0"/>
        <w:spacing w:line="44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7.1开标时间和地点：详见“重要事项时间地点一览表”。投标人无须进行现场签到（需要提交评审原件时，投标人可在规定的地点、时间内递交至开标现场，无原件的不作要求），可登录交易平台及时观看开标实况、提出异议或进行澄清、确认等操作，对开标事项的异议未在开标期间提出的，招标人不予受理。具体详见招标文件和系统操作手册为准。</w:t>
      </w:r>
    </w:p>
    <w:p w14:paraId="5AEDAA9F">
      <w:pPr>
        <w:keepNext w:val="0"/>
        <w:keepLines w:val="0"/>
        <w:widowControl w:val="0"/>
        <w:bidi w:val="0"/>
        <w:spacing w:line="360" w:lineRule="auto"/>
        <w:ind w:firstLine="561"/>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7.2开标前24小时，若建设工程交易系统显示缴纳投标保证（包括投标保证金、投标保证担保、投标保证保险）的投标人数量不足3个时，招标人将取消原定于次日召开的开标活动。投标人可在投标保证缴纳截止时间（详见“重要事项时间地点一览表”）至电子投标截止时间（详见“重要事项时间地点一览表”）期间登录全国公共资源交易平台（广东省·韶关市）（https://ygp.gdzwfw.gov.cn/ggzy-portal/#/440200/index）查询是否发布了取消开标活动的相关信息。</w:t>
      </w:r>
    </w:p>
    <w:p w14:paraId="5B54DB31">
      <w:pPr>
        <w:keepNext w:val="0"/>
        <w:keepLines w:val="0"/>
        <w:bidi w:val="0"/>
        <w:spacing w:line="360" w:lineRule="auto"/>
        <w:rPr>
          <w:rFonts w:hint="eastAsia" w:ascii="宋体" w:hAnsi="宋体" w:eastAsia="宋体" w:cs="宋体"/>
          <w:b/>
          <w:bCs/>
          <w:color w:val="auto"/>
          <w:sz w:val="28"/>
          <w:szCs w:val="28"/>
          <w:highlight w:val="none"/>
        </w:rPr>
      </w:pPr>
      <w:bookmarkStart w:id="43" w:name="_Toc28100"/>
      <w:bookmarkStart w:id="44" w:name="_Toc31665"/>
      <w:bookmarkStart w:id="45" w:name="_Toc6688"/>
      <w:r>
        <w:rPr>
          <w:rFonts w:hint="eastAsia" w:ascii="宋体" w:hAnsi="宋体" w:eastAsia="宋体" w:cs="宋体"/>
          <w:b/>
          <w:bCs/>
          <w:color w:val="auto"/>
          <w:sz w:val="28"/>
          <w:szCs w:val="28"/>
          <w:highlight w:val="none"/>
        </w:rPr>
        <w:t>8．发布公告的媒介</w:t>
      </w:r>
      <w:bookmarkEnd w:id="43"/>
      <w:bookmarkEnd w:id="44"/>
      <w:bookmarkEnd w:id="45"/>
    </w:p>
    <w:p w14:paraId="678376BA">
      <w:pPr>
        <w:keepNext w:val="0"/>
        <w:keepLines w:val="0"/>
        <w:widowControl w:val="0"/>
        <w:wordWrap w:val="0"/>
        <w:bidi w:val="0"/>
        <w:adjustRightInd w:val="0"/>
        <w:snapToGrid w:val="0"/>
        <w:spacing w:line="44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本次招标公告同时在</w:t>
      </w:r>
      <w:r>
        <w:rPr>
          <w:rFonts w:hint="eastAsia" w:ascii="宋体" w:hAnsi="宋体" w:eastAsia="宋体" w:cs="宋体"/>
          <w:snapToGrid w:val="0"/>
          <w:color w:val="auto"/>
          <w:kern w:val="0"/>
          <w:sz w:val="24"/>
          <w:szCs w:val="24"/>
          <w:highlight w:val="none"/>
          <w:u w:val="single"/>
        </w:rPr>
        <w:t>（1）广东省招标投标监管网</w:t>
      </w:r>
      <w:r>
        <w:rPr>
          <w:rFonts w:hint="eastAsia" w:ascii="宋体" w:hAnsi="宋体" w:eastAsia="宋体" w:cs="宋体"/>
          <w:snapToGrid w:val="0"/>
          <w:color w:val="auto"/>
          <w:kern w:val="0"/>
          <w:sz w:val="24"/>
          <w:szCs w:val="24"/>
          <w:highlight w:val="none"/>
          <w:u w:val="single"/>
          <w:lang w:eastAsia="zh-CN"/>
        </w:rPr>
        <w:t>（</w:t>
      </w:r>
      <w:r>
        <w:rPr>
          <w:rFonts w:hint="eastAsia" w:ascii="宋体" w:hAnsi="宋体" w:eastAsia="宋体" w:cs="宋体"/>
          <w:snapToGrid w:val="0"/>
          <w:color w:val="auto"/>
          <w:kern w:val="0"/>
          <w:sz w:val="24"/>
          <w:szCs w:val="24"/>
          <w:highlight w:val="none"/>
          <w:u w:val="single"/>
        </w:rPr>
        <w:t>https://www.gdzwfw.gov.cn/ztbjg-portal/#/index</w:t>
      </w:r>
      <w:r>
        <w:rPr>
          <w:rFonts w:hint="eastAsia" w:ascii="宋体" w:hAnsi="宋体" w:eastAsia="宋体" w:cs="宋体"/>
          <w:snapToGrid w:val="0"/>
          <w:color w:val="auto"/>
          <w:kern w:val="0"/>
          <w:sz w:val="24"/>
          <w:szCs w:val="24"/>
          <w:highlight w:val="none"/>
          <w:u w:val="single"/>
          <w:lang w:eastAsia="zh-CN"/>
        </w:rPr>
        <w:t>）</w:t>
      </w:r>
      <w:r>
        <w:rPr>
          <w:rFonts w:hint="eastAsia" w:ascii="宋体" w:hAnsi="宋体" w:eastAsia="宋体" w:cs="宋体"/>
          <w:snapToGrid w:val="0"/>
          <w:color w:val="auto"/>
          <w:kern w:val="0"/>
          <w:sz w:val="24"/>
          <w:szCs w:val="24"/>
          <w:highlight w:val="none"/>
          <w:u w:val="single"/>
        </w:rPr>
        <w:t>、（2）全国公共资源交易平台（广东省·韶关市）（https://ygp.gdzwfw.gov.cn/ggzy-portal/#/440200/index）</w:t>
      </w:r>
      <w:r>
        <w:rPr>
          <w:rFonts w:hint="eastAsia" w:ascii="宋体" w:hAnsi="宋体" w:eastAsia="宋体" w:cs="宋体"/>
          <w:snapToGrid w:val="0"/>
          <w:color w:val="auto"/>
          <w:kern w:val="0"/>
          <w:sz w:val="24"/>
          <w:szCs w:val="24"/>
          <w:highlight w:val="none"/>
        </w:rPr>
        <w:t>上发布。如公告详细内容不一致者，以</w:t>
      </w:r>
      <w:r>
        <w:rPr>
          <w:rFonts w:hint="eastAsia" w:ascii="宋体" w:hAnsi="宋体" w:eastAsia="宋体" w:cs="宋体"/>
          <w:snapToGrid w:val="0"/>
          <w:color w:val="auto"/>
          <w:kern w:val="0"/>
          <w:sz w:val="24"/>
          <w:szCs w:val="24"/>
          <w:highlight w:val="none"/>
          <w:u w:val="single"/>
        </w:rPr>
        <w:t>全国公共资源交易平台（广东省·韶关市）</w:t>
      </w:r>
      <w:r>
        <w:rPr>
          <w:rFonts w:hint="eastAsia" w:ascii="宋体" w:hAnsi="宋体" w:eastAsia="宋体" w:cs="宋体"/>
          <w:snapToGrid w:val="0"/>
          <w:color w:val="auto"/>
          <w:kern w:val="0"/>
          <w:sz w:val="24"/>
          <w:szCs w:val="24"/>
          <w:highlight w:val="none"/>
        </w:rPr>
        <w:t>公告为准。</w:t>
      </w:r>
    </w:p>
    <w:p w14:paraId="323CE296">
      <w:pPr>
        <w:keepNext w:val="0"/>
        <w:keepLines w:val="0"/>
        <w:widowControl w:val="0"/>
        <w:wordWrap w:val="0"/>
        <w:bidi w:val="0"/>
        <w:adjustRightInd w:val="0"/>
        <w:snapToGrid w:val="0"/>
        <w:spacing w:line="440" w:lineRule="exact"/>
        <w:ind w:firstLine="480"/>
        <w:jc w:val="left"/>
        <w:rPr>
          <w:rFonts w:hint="eastAsia" w:ascii="宋体" w:hAnsi="宋体" w:eastAsia="宋体" w:cs="宋体"/>
          <w:snapToGrid w:val="0"/>
          <w:color w:val="auto"/>
          <w:kern w:val="0"/>
          <w:sz w:val="24"/>
          <w:szCs w:val="24"/>
          <w:highlight w:val="none"/>
        </w:rPr>
      </w:pPr>
    </w:p>
    <w:p w14:paraId="6CF4FEA3">
      <w:pPr>
        <w:keepNext w:val="0"/>
        <w:keepLines w:val="0"/>
        <w:bidi w:val="0"/>
        <w:spacing w:line="404" w:lineRule="exact"/>
        <w:rPr>
          <w:rFonts w:hint="eastAsia" w:ascii="宋体" w:hAnsi="宋体" w:eastAsia="宋体" w:cs="宋体"/>
          <w:b/>
          <w:bCs/>
          <w:color w:val="auto"/>
          <w:sz w:val="28"/>
          <w:szCs w:val="28"/>
          <w:highlight w:val="none"/>
        </w:rPr>
      </w:pPr>
      <w:bookmarkStart w:id="46" w:name="_Toc22326"/>
      <w:bookmarkStart w:id="47" w:name="_Toc4864"/>
      <w:bookmarkStart w:id="48" w:name="_Toc4096"/>
      <w:r>
        <w:rPr>
          <w:rFonts w:hint="eastAsia" w:ascii="宋体" w:hAnsi="宋体" w:eastAsia="宋体" w:cs="宋体"/>
          <w:b/>
          <w:bCs/>
          <w:color w:val="auto"/>
          <w:sz w:val="28"/>
          <w:szCs w:val="28"/>
          <w:highlight w:val="none"/>
        </w:rPr>
        <w:t>9.联系方式</w:t>
      </w:r>
      <w:bookmarkEnd w:id="39"/>
      <w:bookmarkEnd w:id="40"/>
      <w:bookmarkEnd w:id="41"/>
      <w:bookmarkEnd w:id="46"/>
      <w:bookmarkEnd w:id="47"/>
      <w:bookmarkEnd w:id="48"/>
    </w:p>
    <w:tbl>
      <w:tblPr>
        <w:tblStyle w:val="22"/>
        <w:tblW w:w="98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6"/>
        <w:gridCol w:w="4926"/>
      </w:tblGrid>
      <w:tr w14:paraId="1830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jc w:val="center"/>
        </w:trPr>
        <w:tc>
          <w:tcPr>
            <w:tcW w:w="4926" w:type="dxa"/>
            <w:tcBorders>
              <w:tl2br w:val="nil"/>
              <w:tr2bl w:val="nil"/>
            </w:tcBorders>
            <w:noWrap w:val="0"/>
            <w:vAlign w:val="top"/>
          </w:tcPr>
          <w:p w14:paraId="4AA7753F">
            <w:pPr>
              <w:widowControl w:val="0"/>
              <w:spacing w:line="360" w:lineRule="auto"/>
              <w:rPr>
                <w:rFonts w:hint="eastAsia" w:ascii="宋体" w:hAnsi="宋体" w:eastAsia="宋体" w:cs="宋体"/>
                <w:color w:val="auto"/>
                <w:kern w:val="0"/>
                <w:sz w:val="24"/>
                <w:lang w:eastAsia="zh-CN"/>
              </w:rPr>
            </w:pPr>
            <w:bookmarkStart w:id="49" w:name="_Toc7491"/>
            <w:bookmarkStart w:id="50" w:name="_Toc17071"/>
            <w:bookmarkStart w:id="51" w:name="_Toc25325"/>
            <w:r>
              <w:rPr>
                <w:rFonts w:hint="eastAsia" w:ascii="宋体" w:hAnsi="宋体" w:eastAsia="宋体" w:cs="宋体"/>
                <w:color w:val="auto"/>
                <w:kern w:val="0"/>
                <w:sz w:val="24"/>
              </w:rPr>
              <w:t>招标人：</w:t>
            </w:r>
            <w:r>
              <w:rPr>
                <w:rFonts w:hint="eastAsia" w:ascii="宋体" w:hAnsi="宋体" w:eastAsia="宋体" w:cs="宋体"/>
                <w:color w:val="auto"/>
                <w:sz w:val="24"/>
                <w:lang w:eastAsia="zh-CN"/>
              </w:rPr>
              <w:t>韶关市武江区江湾镇人民政府</w:t>
            </w:r>
          </w:p>
          <w:p w14:paraId="3A202665">
            <w:pPr>
              <w:widowControl w:val="0"/>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地址：</w:t>
            </w:r>
            <w:bookmarkStart w:id="52" w:name="OLE_LINK3"/>
            <w:r>
              <w:rPr>
                <w:rFonts w:hint="eastAsia" w:ascii="宋体" w:hAnsi="宋体" w:eastAsia="宋体" w:cs="宋体"/>
                <w:color w:val="auto"/>
                <w:kern w:val="0"/>
                <w:sz w:val="24"/>
                <w:lang w:eastAsia="zh-CN"/>
              </w:rPr>
              <w:t>韶关市武江区江湾街6号</w:t>
            </w:r>
          </w:p>
          <w:p w14:paraId="5C718571">
            <w:pPr>
              <w:widowControl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邮政编码：</w:t>
            </w:r>
            <w:r>
              <w:rPr>
                <w:rFonts w:hint="eastAsia" w:ascii="宋体" w:hAnsi="宋体" w:eastAsia="宋体" w:cs="宋体"/>
                <w:color w:val="auto"/>
                <w:sz w:val="24"/>
              </w:rPr>
              <w:t>512000</w:t>
            </w:r>
          </w:p>
          <w:p w14:paraId="49807FAA">
            <w:pPr>
              <w:widowControl w:val="0"/>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联系人：</w:t>
            </w:r>
            <w:r>
              <w:rPr>
                <w:rFonts w:hint="eastAsia" w:ascii="宋体" w:hAnsi="宋体" w:eastAsia="宋体" w:cs="宋体"/>
                <w:color w:val="auto"/>
                <w:kern w:val="0"/>
                <w:sz w:val="24"/>
                <w:lang w:eastAsia="zh-CN"/>
              </w:rPr>
              <w:t>董工</w:t>
            </w:r>
          </w:p>
          <w:p w14:paraId="5B0EE6AA">
            <w:pPr>
              <w:widowControl w:val="0"/>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电话：</w:t>
            </w:r>
            <w:r>
              <w:rPr>
                <w:rFonts w:hint="eastAsia" w:ascii="宋体" w:hAnsi="宋体" w:eastAsia="宋体" w:cs="宋体"/>
                <w:color w:val="auto"/>
                <w:kern w:val="0"/>
                <w:sz w:val="24"/>
                <w:lang w:eastAsia="zh-CN"/>
              </w:rPr>
              <w:t>0751-6446388</w:t>
            </w:r>
          </w:p>
          <w:bookmarkEnd w:id="52"/>
        </w:tc>
        <w:tc>
          <w:tcPr>
            <w:tcW w:w="4926" w:type="dxa"/>
            <w:tcBorders>
              <w:tl2br w:val="nil"/>
              <w:tr2bl w:val="nil"/>
            </w:tcBorders>
            <w:noWrap w:val="0"/>
            <w:vAlign w:val="top"/>
          </w:tcPr>
          <w:p w14:paraId="0AD8CC09">
            <w:pPr>
              <w:widowControl w:val="0"/>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招标代理机构：</w:t>
            </w:r>
            <w:r>
              <w:rPr>
                <w:rFonts w:hint="eastAsia" w:ascii="宋体" w:hAnsi="宋体" w:eastAsia="宋体" w:cs="宋体"/>
                <w:color w:val="auto"/>
                <w:kern w:val="0"/>
                <w:sz w:val="24"/>
                <w:lang w:eastAsia="zh-CN"/>
              </w:rPr>
              <w:t>广东明正项目管理有限公司</w:t>
            </w:r>
          </w:p>
          <w:p w14:paraId="2C7F9F09">
            <w:pPr>
              <w:widowControl w:val="0"/>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地址：</w:t>
            </w:r>
            <w:r>
              <w:rPr>
                <w:rFonts w:hint="eastAsia" w:ascii="宋体" w:hAnsi="宋体" w:eastAsia="宋体" w:cs="宋体"/>
                <w:color w:val="auto"/>
                <w:kern w:val="0"/>
                <w:sz w:val="24"/>
                <w:lang w:eastAsia="zh-CN"/>
              </w:rPr>
              <w:t>韶关市武江区惠民北路428号7楼</w:t>
            </w:r>
          </w:p>
          <w:p w14:paraId="0C1244B0">
            <w:pPr>
              <w:widowControl w:val="0"/>
              <w:spacing w:line="360" w:lineRule="auto"/>
              <w:rPr>
                <w:rFonts w:hint="eastAsia" w:ascii="宋体" w:hAnsi="宋体" w:eastAsia="宋体" w:cs="宋体"/>
                <w:color w:val="auto"/>
              </w:rPr>
            </w:pPr>
            <w:r>
              <w:rPr>
                <w:rFonts w:hint="eastAsia" w:ascii="宋体" w:hAnsi="宋体" w:eastAsia="宋体" w:cs="宋体"/>
                <w:color w:val="auto"/>
                <w:kern w:val="0"/>
                <w:sz w:val="24"/>
              </w:rPr>
              <w:t>邮政编码：512000</w:t>
            </w:r>
          </w:p>
          <w:p w14:paraId="1CDC67DA">
            <w:pPr>
              <w:widowControl w:val="0"/>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联系人：</w:t>
            </w:r>
            <w:r>
              <w:rPr>
                <w:rFonts w:hint="eastAsia" w:ascii="宋体" w:hAnsi="宋体" w:eastAsia="宋体" w:cs="宋体"/>
                <w:color w:val="auto"/>
                <w:kern w:val="0"/>
                <w:sz w:val="24"/>
                <w:lang w:eastAsia="zh-CN"/>
              </w:rPr>
              <w:t>杨工、潘工</w:t>
            </w:r>
          </w:p>
          <w:p w14:paraId="72F32027">
            <w:pPr>
              <w:widowControl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联系电话：0751-8606998</w:t>
            </w:r>
          </w:p>
        </w:tc>
      </w:tr>
      <w:tr w14:paraId="7906B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9852" w:type="dxa"/>
            <w:gridSpan w:val="2"/>
            <w:tcBorders>
              <w:tl2br w:val="nil"/>
              <w:tr2bl w:val="nil"/>
            </w:tcBorders>
            <w:noWrap w:val="0"/>
            <w:vAlign w:val="top"/>
          </w:tcPr>
          <w:p w14:paraId="198065AD">
            <w:pPr>
              <w:pStyle w:val="20"/>
              <w:widowControl/>
              <w:spacing w:before="312" w:beforeLines="100"/>
              <w:jc w:val="right"/>
              <w:rPr>
                <w:rFonts w:hint="eastAsia" w:ascii="宋体" w:hAnsi="宋体" w:eastAsia="宋体" w:cs="宋体"/>
                <w:color w:val="auto"/>
                <w:kern w:val="0"/>
              </w:rPr>
            </w:pP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10</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28</w:t>
            </w:r>
            <w:r>
              <w:rPr>
                <w:rFonts w:hint="eastAsia" w:ascii="宋体" w:hAnsi="宋体" w:eastAsia="宋体" w:cs="宋体"/>
                <w:color w:val="auto"/>
                <w:kern w:val="0"/>
                <w:szCs w:val="24"/>
              </w:rPr>
              <w:t>日</w:t>
            </w:r>
          </w:p>
        </w:tc>
      </w:tr>
    </w:tbl>
    <w:p w14:paraId="4866B6B4">
      <w:pPr>
        <w:keepNext w:val="0"/>
        <w:keepLines w:val="0"/>
        <w:bidi w:val="0"/>
        <w:spacing w:line="404" w:lineRule="exac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b/>
          <w:bCs/>
          <w:color w:val="auto"/>
          <w:sz w:val="28"/>
          <w:szCs w:val="28"/>
          <w:highlight w:val="none"/>
        </w:rPr>
        <w:t>10．重要事项时间地点一览表</w:t>
      </w:r>
      <w:bookmarkEnd w:id="49"/>
      <w:bookmarkEnd w:id="50"/>
      <w:bookmarkEnd w:id="51"/>
    </w:p>
    <w:tbl>
      <w:tblPr>
        <w:tblStyle w:val="21"/>
        <w:tblW w:w="910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7"/>
        <w:gridCol w:w="1285"/>
        <w:gridCol w:w="7404"/>
      </w:tblGrid>
      <w:tr w14:paraId="533461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2DD37225">
            <w:pPr>
              <w:pStyle w:val="29"/>
              <w:wordWrap w:val="0"/>
              <w:adjustRightInd w:val="0"/>
              <w:snapToGrid w:val="0"/>
              <w:spacing w:line="360" w:lineRule="exact"/>
              <w:jc w:val="center"/>
              <w:rPr>
                <w:rFonts w:hint="eastAsia" w:ascii="宋体" w:hAnsi="宋体" w:eastAsia="宋体" w:cs="宋体"/>
                <w:color w:val="auto"/>
                <w:kern w:val="0"/>
                <w:szCs w:val="24"/>
              </w:rPr>
            </w:pPr>
            <w:bookmarkStart w:id="53" w:name="OLE_LINK5"/>
            <w:r>
              <w:rPr>
                <w:rFonts w:hint="eastAsia" w:ascii="宋体" w:hAnsi="宋体" w:eastAsia="宋体" w:cs="宋体"/>
                <w:color w:val="auto"/>
                <w:kern w:val="0"/>
                <w:szCs w:val="24"/>
              </w:rPr>
              <w:t>1</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1566426A">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招标公告发布时间</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17CA02A3">
            <w:pPr>
              <w:pStyle w:val="29"/>
              <w:wordWrap w:val="0"/>
              <w:adjustRightInd w:val="0"/>
              <w:snapToGrid w:val="0"/>
              <w:spacing w:line="400" w:lineRule="exact"/>
              <w:jc w:val="left"/>
              <w:rPr>
                <w:rFonts w:hint="eastAsia" w:ascii="宋体" w:hAnsi="宋体" w:eastAsia="宋体" w:cs="宋体"/>
                <w:color w:val="auto"/>
                <w:kern w:val="0"/>
                <w:szCs w:val="24"/>
              </w:rPr>
            </w:pP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10</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28</w:t>
            </w:r>
            <w:r>
              <w:rPr>
                <w:rFonts w:hint="eastAsia" w:ascii="宋体" w:hAnsi="宋体" w:eastAsia="宋体" w:cs="宋体"/>
                <w:color w:val="auto"/>
                <w:kern w:val="0"/>
                <w:szCs w:val="24"/>
              </w:rPr>
              <w:t>日</w:t>
            </w:r>
            <w:r>
              <w:rPr>
                <w:rFonts w:hint="eastAsia" w:ascii="宋体" w:hAnsi="宋体" w:eastAsia="宋体" w:cs="宋体"/>
                <w:color w:val="auto"/>
                <w:kern w:val="0"/>
                <w:szCs w:val="24"/>
                <w:lang w:val="en-US" w:eastAsia="zh-CN"/>
              </w:rPr>
              <w:t>16</w:t>
            </w:r>
            <w:r>
              <w:rPr>
                <w:rFonts w:hint="eastAsia" w:ascii="宋体" w:hAnsi="宋体" w:eastAsia="宋体" w:cs="宋体"/>
                <w:color w:val="auto"/>
                <w:kern w:val="0"/>
                <w:szCs w:val="24"/>
              </w:rPr>
              <w:t>时</w:t>
            </w:r>
            <w:r>
              <w:rPr>
                <w:rFonts w:hint="eastAsia" w:ascii="宋体" w:hAnsi="宋体" w:eastAsia="宋体" w:cs="宋体"/>
                <w:color w:val="auto"/>
                <w:kern w:val="0"/>
                <w:szCs w:val="24"/>
                <w:lang w:val="en-US" w:eastAsia="zh-CN"/>
              </w:rPr>
              <w:t>00</w:t>
            </w:r>
            <w:r>
              <w:rPr>
                <w:rFonts w:hint="eastAsia" w:ascii="宋体" w:hAnsi="宋体" w:eastAsia="宋体" w:cs="宋体"/>
                <w:color w:val="auto"/>
                <w:kern w:val="0"/>
                <w:szCs w:val="24"/>
              </w:rPr>
              <w:t>分至</w:t>
            </w: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11</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18</w:t>
            </w:r>
            <w:r>
              <w:rPr>
                <w:rFonts w:hint="eastAsia" w:ascii="宋体" w:hAnsi="宋体" w:eastAsia="宋体" w:cs="宋体"/>
                <w:color w:val="auto"/>
                <w:kern w:val="0"/>
                <w:szCs w:val="24"/>
              </w:rPr>
              <w:t>日</w:t>
            </w:r>
            <w:r>
              <w:rPr>
                <w:rFonts w:hint="eastAsia" w:ascii="宋体" w:hAnsi="宋体" w:eastAsia="宋体" w:cs="宋体"/>
                <w:color w:val="auto"/>
                <w:kern w:val="0"/>
                <w:szCs w:val="24"/>
                <w:lang w:val="en-US" w:eastAsia="zh-CN"/>
              </w:rPr>
              <w:t>09</w:t>
            </w:r>
            <w:r>
              <w:rPr>
                <w:rFonts w:hint="eastAsia" w:ascii="宋体" w:hAnsi="宋体" w:eastAsia="宋体" w:cs="宋体"/>
                <w:color w:val="auto"/>
                <w:kern w:val="0"/>
                <w:szCs w:val="24"/>
              </w:rPr>
              <w:t>时</w:t>
            </w:r>
            <w:r>
              <w:rPr>
                <w:rFonts w:hint="eastAsia" w:ascii="宋体" w:hAnsi="宋体" w:eastAsia="宋体" w:cs="宋体"/>
                <w:color w:val="auto"/>
                <w:kern w:val="0"/>
                <w:szCs w:val="24"/>
                <w:lang w:val="en-US" w:eastAsia="zh-CN"/>
              </w:rPr>
              <w:t>30</w:t>
            </w:r>
            <w:r>
              <w:rPr>
                <w:rFonts w:hint="eastAsia" w:ascii="宋体" w:hAnsi="宋体" w:eastAsia="宋体" w:cs="宋体"/>
                <w:color w:val="auto"/>
                <w:kern w:val="0"/>
                <w:szCs w:val="24"/>
              </w:rPr>
              <w:t>分</w:t>
            </w:r>
          </w:p>
        </w:tc>
      </w:tr>
      <w:tr w14:paraId="3DD341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57F371A8">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2</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40D38351">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获取招标文件截止时间</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168A2444">
            <w:pPr>
              <w:pStyle w:val="29"/>
              <w:wordWrap w:val="0"/>
              <w:adjustRightInd w:val="0"/>
              <w:snapToGrid w:val="0"/>
              <w:spacing w:line="400" w:lineRule="exact"/>
              <w:jc w:val="left"/>
              <w:rPr>
                <w:rFonts w:hint="eastAsia" w:ascii="宋体" w:hAnsi="宋体" w:eastAsia="宋体" w:cs="宋体"/>
                <w:color w:val="auto"/>
                <w:kern w:val="0"/>
                <w:szCs w:val="24"/>
              </w:rPr>
            </w:pP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11</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18</w:t>
            </w:r>
            <w:r>
              <w:rPr>
                <w:rFonts w:hint="eastAsia" w:ascii="宋体" w:hAnsi="宋体" w:eastAsia="宋体" w:cs="宋体"/>
                <w:color w:val="auto"/>
                <w:kern w:val="0"/>
                <w:szCs w:val="24"/>
              </w:rPr>
              <w:t>日</w:t>
            </w:r>
            <w:r>
              <w:rPr>
                <w:rFonts w:hint="eastAsia" w:ascii="宋体" w:hAnsi="宋体" w:eastAsia="宋体" w:cs="宋体"/>
                <w:color w:val="auto"/>
                <w:kern w:val="0"/>
                <w:szCs w:val="24"/>
                <w:lang w:val="en-US" w:eastAsia="zh-CN"/>
              </w:rPr>
              <w:t>09</w:t>
            </w:r>
            <w:r>
              <w:rPr>
                <w:rFonts w:hint="eastAsia" w:ascii="宋体" w:hAnsi="宋体" w:eastAsia="宋体" w:cs="宋体"/>
                <w:color w:val="auto"/>
                <w:kern w:val="0"/>
                <w:szCs w:val="24"/>
              </w:rPr>
              <w:t>时</w:t>
            </w:r>
            <w:r>
              <w:rPr>
                <w:rFonts w:hint="eastAsia" w:ascii="宋体" w:hAnsi="宋体" w:eastAsia="宋体" w:cs="宋体"/>
                <w:color w:val="auto"/>
                <w:kern w:val="0"/>
                <w:szCs w:val="24"/>
                <w:lang w:val="en-US" w:eastAsia="zh-CN"/>
              </w:rPr>
              <w:t>30</w:t>
            </w:r>
            <w:r>
              <w:rPr>
                <w:rFonts w:hint="eastAsia" w:ascii="宋体" w:hAnsi="宋体" w:eastAsia="宋体" w:cs="宋体"/>
                <w:color w:val="auto"/>
                <w:kern w:val="0"/>
                <w:szCs w:val="24"/>
              </w:rPr>
              <w:t>分</w:t>
            </w:r>
          </w:p>
        </w:tc>
      </w:tr>
      <w:tr w14:paraId="3DBA40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65E7FCE8">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3</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203EB16A">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网上提问截止时间</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12BF24F8">
            <w:pPr>
              <w:pStyle w:val="29"/>
              <w:wordWrap w:val="0"/>
              <w:adjustRightInd w:val="0"/>
              <w:snapToGrid w:val="0"/>
              <w:spacing w:line="400" w:lineRule="exact"/>
              <w:jc w:val="left"/>
              <w:rPr>
                <w:rFonts w:hint="eastAsia" w:ascii="宋体" w:hAnsi="宋体" w:eastAsia="宋体" w:cs="宋体"/>
                <w:color w:val="auto"/>
                <w:kern w:val="0"/>
                <w:szCs w:val="24"/>
              </w:rPr>
            </w:pP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11</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08</w:t>
            </w:r>
            <w:r>
              <w:rPr>
                <w:rFonts w:hint="eastAsia" w:ascii="宋体" w:hAnsi="宋体" w:eastAsia="宋体" w:cs="宋体"/>
                <w:color w:val="auto"/>
                <w:kern w:val="0"/>
                <w:szCs w:val="24"/>
              </w:rPr>
              <w:t>日16时00分</w:t>
            </w:r>
          </w:p>
        </w:tc>
      </w:tr>
      <w:tr w14:paraId="4BBBF3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50D574DB">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4</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6E368AA7">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网上答疑时间</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18143543">
            <w:pPr>
              <w:pStyle w:val="29"/>
              <w:wordWrap w:val="0"/>
              <w:adjustRightInd w:val="0"/>
              <w:snapToGrid w:val="0"/>
              <w:spacing w:line="400" w:lineRule="exact"/>
              <w:jc w:val="left"/>
              <w:rPr>
                <w:rFonts w:hint="eastAsia" w:ascii="宋体" w:hAnsi="宋体" w:eastAsia="宋体" w:cs="宋体"/>
                <w:color w:val="auto"/>
                <w:kern w:val="0"/>
                <w:szCs w:val="24"/>
              </w:rPr>
            </w:pP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11</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08</w:t>
            </w:r>
            <w:r>
              <w:rPr>
                <w:rFonts w:hint="eastAsia" w:ascii="宋体" w:hAnsi="宋体" w:eastAsia="宋体" w:cs="宋体"/>
                <w:color w:val="auto"/>
                <w:kern w:val="0"/>
                <w:szCs w:val="24"/>
              </w:rPr>
              <w:t>日16时30分至</w:t>
            </w: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11</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11</w:t>
            </w:r>
            <w:r>
              <w:rPr>
                <w:rFonts w:hint="eastAsia" w:ascii="宋体" w:hAnsi="宋体" w:eastAsia="宋体" w:cs="宋体"/>
                <w:color w:val="auto"/>
                <w:kern w:val="0"/>
                <w:szCs w:val="24"/>
              </w:rPr>
              <w:t>日16时00分</w:t>
            </w:r>
          </w:p>
        </w:tc>
      </w:tr>
      <w:tr w14:paraId="2C118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86"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1DFF3E7F">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5</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574C9E6B">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投标保证缴</w:t>
            </w:r>
          </w:p>
          <w:p w14:paraId="0F25804A">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纳截止时间</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62244ADC">
            <w:pPr>
              <w:pStyle w:val="29"/>
              <w:wordWrap w:val="0"/>
              <w:adjustRightInd w:val="0"/>
              <w:snapToGrid w:val="0"/>
              <w:spacing w:line="400" w:lineRule="exact"/>
              <w:rPr>
                <w:rFonts w:hint="eastAsia" w:ascii="宋体" w:hAnsi="宋体" w:eastAsia="宋体" w:cs="宋体"/>
                <w:color w:val="auto"/>
                <w:kern w:val="0"/>
                <w:szCs w:val="24"/>
              </w:rPr>
            </w:pPr>
            <w:r>
              <w:rPr>
                <w:rFonts w:hint="eastAsia" w:ascii="宋体" w:hAnsi="宋体" w:eastAsia="宋体" w:cs="宋体"/>
                <w:color w:val="auto"/>
                <w:kern w:val="0"/>
                <w:szCs w:val="24"/>
              </w:rPr>
              <w:t>投标保证金到账截止时间：</w:t>
            </w: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11</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17</w:t>
            </w:r>
            <w:r>
              <w:rPr>
                <w:rFonts w:hint="eastAsia" w:ascii="宋体" w:hAnsi="宋体" w:eastAsia="宋体" w:cs="宋体"/>
                <w:color w:val="auto"/>
                <w:kern w:val="0"/>
                <w:szCs w:val="24"/>
              </w:rPr>
              <w:t>日</w:t>
            </w:r>
            <w:r>
              <w:rPr>
                <w:rFonts w:hint="eastAsia" w:ascii="宋体" w:hAnsi="宋体" w:eastAsia="宋体" w:cs="宋体"/>
                <w:color w:val="auto"/>
                <w:kern w:val="0"/>
                <w:szCs w:val="24"/>
                <w:lang w:val="en-US" w:eastAsia="zh-CN"/>
              </w:rPr>
              <w:t>0</w:t>
            </w:r>
            <w:r>
              <w:rPr>
                <w:rFonts w:hint="eastAsia" w:ascii="宋体" w:hAnsi="宋体" w:eastAsia="宋体" w:cs="宋体"/>
                <w:color w:val="auto"/>
                <w:kern w:val="0"/>
                <w:lang w:val="en-US" w:eastAsia="zh-CN"/>
              </w:rPr>
              <w:t>9</w:t>
            </w:r>
            <w:r>
              <w:rPr>
                <w:rFonts w:hint="eastAsia" w:ascii="宋体" w:hAnsi="宋体" w:eastAsia="宋体" w:cs="宋体"/>
                <w:color w:val="auto"/>
                <w:kern w:val="0"/>
              </w:rPr>
              <w:t>时</w:t>
            </w:r>
            <w:r>
              <w:rPr>
                <w:rFonts w:hint="eastAsia" w:ascii="宋体" w:hAnsi="宋体" w:eastAsia="宋体" w:cs="宋体"/>
                <w:color w:val="auto"/>
                <w:kern w:val="0"/>
                <w:lang w:val="en-US" w:eastAsia="zh-CN"/>
              </w:rPr>
              <w:t>30</w:t>
            </w:r>
            <w:r>
              <w:rPr>
                <w:rFonts w:hint="eastAsia" w:ascii="宋体" w:hAnsi="宋体" w:eastAsia="宋体" w:cs="宋体"/>
                <w:color w:val="auto"/>
                <w:kern w:val="0"/>
              </w:rPr>
              <w:t>分</w:t>
            </w:r>
            <w:r>
              <w:rPr>
                <w:rFonts w:hint="eastAsia" w:ascii="宋体" w:hAnsi="宋体" w:eastAsia="宋体" w:cs="宋体"/>
                <w:color w:val="auto"/>
                <w:kern w:val="0"/>
                <w:szCs w:val="24"/>
              </w:rPr>
              <w:t>；</w:t>
            </w:r>
          </w:p>
          <w:p w14:paraId="2738C969">
            <w:pPr>
              <w:pStyle w:val="29"/>
              <w:wordWrap w:val="0"/>
              <w:adjustRightInd w:val="0"/>
              <w:snapToGrid w:val="0"/>
              <w:spacing w:line="400" w:lineRule="exact"/>
              <w:rPr>
                <w:rFonts w:hint="eastAsia" w:ascii="宋体" w:hAnsi="宋体" w:eastAsia="宋体" w:cs="宋体"/>
                <w:color w:val="auto"/>
                <w:kern w:val="0"/>
                <w:szCs w:val="24"/>
              </w:rPr>
            </w:pPr>
            <w:r>
              <w:rPr>
                <w:rFonts w:hint="eastAsia" w:ascii="宋体" w:hAnsi="宋体" w:eastAsia="宋体" w:cs="宋体"/>
                <w:color w:val="auto"/>
                <w:kern w:val="0"/>
                <w:szCs w:val="24"/>
              </w:rPr>
              <w:t>投标保证担保提交截止时间：</w:t>
            </w: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11</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17</w:t>
            </w:r>
            <w:r>
              <w:rPr>
                <w:rFonts w:hint="eastAsia" w:ascii="宋体" w:hAnsi="宋体" w:eastAsia="宋体" w:cs="宋体"/>
                <w:color w:val="auto"/>
                <w:kern w:val="0"/>
                <w:szCs w:val="24"/>
              </w:rPr>
              <w:t>日</w:t>
            </w:r>
            <w:r>
              <w:rPr>
                <w:rFonts w:hint="eastAsia" w:ascii="宋体" w:hAnsi="宋体" w:eastAsia="宋体" w:cs="宋体"/>
                <w:color w:val="auto"/>
                <w:kern w:val="0"/>
                <w:szCs w:val="24"/>
                <w:lang w:val="en-US" w:eastAsia="zh-CN"/>
              </w:rPr>
              <w:t>0</w:t>
            </w:r>
            <w:r>
              <w:rPr>
                <w:rFonts w:hint="eastAsia" w:ascii="宋体" w:hAnsi="宋体" w:eastAsia="宋体" w:cs="宋体"/>
                <w:color w:val="auto"/>
                <w:kern w:val="0"/>
                <w:lang w:val="en-US" w:eastAsia="zh-CN"/>
              </w:rPr>
              <w:t>9</w:t>
            </w:r>
            <w:r>
              <w:rPr>
                <w:rFonts w:hint="eastAsia" w:ascii="宋体" w:hAnsi="宋体" w:eastAsia="宋体" w:cs="宋体"/>
                <w:color w:val="auto"/>
                <w:kern w:val="0"/>
              </w:rPr>
              <w:t>时</w:t>
            </w:r>
            <w:r>
              <w:rPr>
                <w:rFonts w:hint="eastAsia" w:ascii="宋体" w:hAnsi="宋体" w:eastAsia="宋体" w:cs="宋体"/>
                <w:color w:val="auto"/>
                <w:kern w:val="0"/>
                <w:lang w:val="en-US" w:eastAsia="zh-CN"/>
              </w:rPr>
              <w:t>30</w:t>
            </w:r>
            <w:r>
              <w:rPr>
                <w:rFonts w:hint="eastAsia" w:ascii="宋体" w:hAnsi="宋体" w:eastAsia="宋体" w:cs="宋体"/>
                <w:color w:val="auto"/>
                <w:kern w:val="0"/>
              </w:rPr>
              <w:t>分</w:t>
            </w:r>
            <w:r>
              <w:rPr>
                <w:rFonts w:hint="eastAsia" w:ascii="宋体" w:hAnsi="宋体" w:eastAsia="宋体" w:cs="宋体"/>
                <w:color w:val="auto"/>
                <w:kern w:val="0"/>
                <w:szCs w:val="24"/>
              </w:rPr>
              <w:t>；</w:t>
            </w:r>
          </w:p>
          <w:p w14:paraId="427AC769">
            <w:pPr>
              <w:pStyle w:val="29"/>
              <w:wordWrap w:val="0"/>
              <w:adjustRightInd w:val="0"/>
              <w:snapToGrid w:val="0"/>
              <w:spacing w:line="400" w:lineRule="exact"/>
              <w:rPr>
                <w:rFonts w:hint="eastAsia" w:ascii="宋体" w:hAnsi="宋体" w:eastAsia="宋体" w:cs="宋体"/>
                <w:color w:val="auto"/>
                <w:kern w:val="0"/>
                <w:szCs w:val="24"/>
              </w:rPr>
            </w:pPr>
            <w:r>
              <w:rPr>
                <w:rFonts w:hint="eastAsia" w:ascii="宋体" w:hAnsi="宋体" w:eastAsia="宋体" w:cs="宋体"/>
                <w:color w:val="auto"/>
                <w:kern w:val="0"/>
                <w:szCs w:val="24"/>
              </w:rPr>
              <w:t>投标保证保险投保截止时间：</w:t>
            </w: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11</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17</w:t>
            </w:r>
            <w:r>
              <w:rPr>
                <w:rFonts w:hint="eastAsia" w:ascii="宋体" w:hAnsi="宋体" w:eastAsia="宋体" w:cs="宋体"/>
                <w:color w:val="auto"/>
                <w:kern w:val="0"/>
                <w:szCs w:val="24"/>
              </w:rPr>
              <w:t>日</w:t>
            </w:r>
            <w:r>
              <w:rPr>
                <w:rFonts w:hint="eastAsia" w:ascii="宋体" w:hAnsi="宋体" w:eastAsia="宋体" w:cs="宋体"/>
                <w:color w:val="auto"/>
                <w:kern w:val="0"/>
                <w:szCs w:val="24"/>
                <w:lang w:val="en-US" w:eastAsia="zh-CN"/>
              </w:rPr>
              <w:t>0</w:t>
            </w:r>
            <w:r>
              <w:rPr>
                <w:rFonts w:hint="eastAsia" w:ascii="宋体" w:hAnsi="宋体" w:eastAsia="宋体" w:cs="宋体"/>
                <w:color w:val="auto"/>
                <w:kern w:val="0"/>
                <w:lang w:val="en-US" w:eastAsia="zh-CN"/>
              </w:rPr>
              <w:t>9</w:t>
            </w:r>
            <w:r>
              <w:rPr>
                <w:rFonts w:hint="eastAsia" w:ascii="宋体" w:hAnsi="宋体" w:eastAsia="宋体" w:cs="宋体"/>
                <w:color w:val="auto"/>
                <w:kern w:val="0"/>
              </w:rPr>
              <w:t>时</w:t>
            </w:r>
            <w:r>
              <w:rPr>
                <w:rFonts w:hint="eastAsia" w:ascii="宋体" w:hAnsi="宋体" w:eastAsia="宋体" w:cs="宋体"/>
                <w:color w:val="auto"/>
                <w:kern w:val="0"/>
                <w:lang w:val="en-US" w:eastAsia="zh-CN"/>
              </w:rPr>
              <w:t>30</w:t>
            </w:r>
            <w:r>
              <w:rPr>
                <w:rFonts w:hint="eastAsia" w:ascii="宋体" w:hAnsi="宋体" w:eastAsia="宋体" w:cs="宋体"/>
                <w:color w:val="auto"/>
                <w:kern w:val="0"/>
              </w:rPr>
              <w:t>分</w:t>
            </w:r>
            <w:r>
              <w:rPr>
                <w:rFonts w:hint="eastAsia" w:ascii="宋体" w:hAnsi="宋体" w:eastAsia="宋体" w:cs="宋体"/>
                <w:color w:val="auto"/>
                <w:kern w:val="0"/>
                <w:szCs w:val="24"/>
              </w:rPr>
              <w:t>。</w:t>
            </w:r>
          </w:p>
        </w:tc>
      </w:tr>
      <w:tr w14:paraId="17C9FF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50" w:hRule="atLeas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34340940">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6</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793E888D">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电子投标截止时间</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4571A748">
            <w:pPr>
              <w:pStyle w:val="19"/>
              <w:wordWrap w:val="0"/>
              <w:adjustRightInd w:val="0"/>
              <w:snapToGrid w:val="0"/>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11</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18</w:t>
            </w:r>
            <w:r>
              <w:rPr>
                <w:rFonts w:hint="eastAsia" w:ascii="宋体" w:hAnsi="宋体" w:eastAsia="宋体" w:cs="宋体"/>
                <w:color w:val="auto"/>
                <w:kern w:val="0"/>
                <w:szCs w:val="24"/>
              </w:rPr>
              <w:t>日</w:t>
            </w:r>
            <w:r>
              <w:rPr>
                <w:rFonts w:hint="eastAsia" w:ascii="宋体" w:hAnsi="宋体" w:eastAsia="宋体" w:cs="宋体"/>
                <w:color w:val="auto"/>
                <w:kern w:val="0"/>
                <w:sz w:val="24"/>
                <w:szCs w:val="24"/>
                <w:lang w:val="en-US" w:eastAsia="zh-CN"/>
              </w:rPr>
              <w:t>09</w:t>
            </w:r>
            <w:r>
              <w:rPr>
                <w:rFonts w:hint="eastAsia" w:ascii="宋体" w:hAnsi="宋体" w:eastAsia="宋体" w:cs="宋体"/>
                <w:color w:val="auto"/>
                <w:kern w:val="0"/>
                <w:sz w:val="24"/>
                <w:szCs w:val="24"/>
              </w:rPr>
              <w:t>时</w:t>
            </w:r>
            <w:r>
              <w:rPr>
                <w:rFonts w:hint="eastAsia" w:ascii="宋体" w:hAnsi="宋体" w:eastAsia="宋体" w:cs="宋体"/>
                <w:color w:val="auto"/>
                <w:kern w:val="0"/>
                <w:sz w:val="24"/>
                <w:szCs w:val="24"/>
                <w:lang w:val="en-US" w:eastAsia="zh-CN"/>
              </w:rPr>
              <w:t>30</w:t>
            </w:r>
            <w:r>
              <w:rPr>
                <w:rFonts w:hint="eastAsia" w:ascii="宋体" w:hAnsi="宋体" w:eastAsia="宋体" w:cs="宋体"/>
                <w:color w:val="auto"/>
                <w:kern w:val="0"/>
                <w:sz w:val="24"/>
                <w:szCs w:val="24"/>
              </w:rPr>
              <w:t>分</w:t>
            </w:r>
          </w:p>
        </w:tc>
      </w:tr>
      <w:tr w14:paraId="6B11DA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50" w:hRule="atLeas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3BC07A42">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7</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4A9F19DB">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开标时间</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236CE53C">
            <w:pPr>
              <w:pStyle w:val="19"/>
              <w:wordWrap w:val="0"/>
              <w:adjustRightInd w:val="0"/>
              <w:snapToGrid w:val="0"/>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11</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18</w:t>
            </w:r>
            <w:r>
              <w:rPr>
                <w:rFonts w:hint="eastAsia" w:ascii="宋体" w:hAnsi="宋体" w:eastAsia="宋体" w:cs="宋体"/>
                <w:color w:val="auto"/>
                <w:kern w:val="0"/>
                <w:szCs w:val="24"/>
              </w:rPr>
              <w:t>日</w:t>
            </w:r>
            <w:r>
              <w:rPr>
                <w:rFonts w:hint="eastAsia" w:ascii="宋体" w:hAnsi="宋体" w:eastAsia="宋体" w:cs="宋体"/>
                <w:color w:val="auto"/>
                <w:kern w:val="0"/>
                <w:sz w:val="24"/>
                <w:szCs w:val="24"/>
                <w:lang w:val="en-US" w:eastAsia="zh-CN"/>
              </w:rPr>
              <w:t>09</w:t>
            </w:r>
            <w:r>
              <w:rPr>
                <w:rFonts w:hint="eastAsia" w:ascii="宋体" w:hAnsi="宋体" w:eastAsia="宋体" w:cs="宋体"/>
                <w:color w:val="auto"/>
                <w:kern w:val="0"/>
                <w:sz w:val="24"/>
                <w:szCs w:val="24"/>
              </w:rPr>
              <w:t>时</w:t>
            </w:r>
            <w:r>
              <w:rPr>
                <w:rFonts w:hint="eastAsia" w:ascii="宋体" w:hAnsi="宋体" w:eastAsia="宋体" w:cs="宋体"/>
                <w:color w:val="auto"/>
                <w:kern w:val="0"/>
                <w:sz w:val="24"/>
                <w:szCs w:val="24"/>
                <w:lang w:val="en-US" w:eastAsia="zh-CN"/>
              </w:rPr>
              <w:t>30</w:t>
            </w:r>
            <w:r>
              <w:rPr>
                <w:rFonts w:hint="eastAsia" w:ascii="宋体" w:hAnsi="宋体" w:eastAsia="宋体" w:cs="宋体"/>
                <w:color w:val="auto"/>
                <w:kern w:val="0"/>
                <w:sz w:val="24"/>
                <w:szCs w:val="24"/>
              </w:rPr>
              <w:t>分</w:t>
            </w:r>
          </w:p>
        </w:tc>
      </w:tr>
      <w:tr w14:paraId="6CCFBD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53"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06634D37">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8</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7BAADF0F">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开标地点</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72B9898D">
            <w:pPr>
              <w:adjustRightInd w:val="0"/>
              <w:snapToGrid w:val="0"/>
              <w:spacing w:line="400" w:lineRule="exact"/>
              <w:rPr>
                <w:rFonts w:hint="eastAsia" w:ascii="宋体" w:hAnsi="宋体" w:eastAsia="宋体" w:cs="宋体"/>
                <w:color w:val="auto"/>
                <w:sz w:val="24"/>
              </w:rPr>
            </w:pPr>
            <w:r>
              <w:rPr>
                <w:rFonts w:hint="eastAsia" w:ascii="宋体" w:hAnsi="宋体" w:eastAsia="宋体" w:cs="宋体"/>
                <w:color w:val="auto"/>
                <w:sz w:val="24"/>
              </w:rPr>
              <w:t>开标场所：韶关市公共资源交易中心</w:t>
            </w:r>
          </w:p>
          <w:p w14:paraId="5F839362">
            <w:pPr>
              <w:pStyle w:val="19"/>
              <w:wordWrap w:val="0"/>
              <w:adjustRightInd w:val="0"/>
              <w:snapToGrid w:val="0"/>
              <w:spacing w:line="400" w:lineRule="exact"/>
              <w:jc w:val="left"/>
              <w:rPr>
                <w:rFonts w:hint="eastAsia" w:ascii="宋体" w:hAnsi="宋体" w:eastAsia="宋体" w:cs="宋体"/>
                <w:color w:val="auto"/>
                <w:kern w:val="0"/>
                <w:sz w:val="24"/>
              </w:rPr>
            </w:pPr>
            <w:r>
              <w:rPr>
                <w:rFonts w:hint="eastAsia" w:ascii="宋体" w:hAnsi="宋体" w:eastAsia="宋体" w:cs="宋体"/>
                <w:color w:val="auto"/>
                <w:sz w:val="24"/>
              </w:rPr>
              <w:t>地址：广东省韶关市武江区西联镇，具体开标室以当日现场通知为准。</w:t>
            </w:r>
          </w:p>
        </w:tc>
      </w:tr>
      <w:tr w14:paraId="77F39E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45"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4A500F5B">
            <w:pPr>
              <w:pStyle w:val="29"/>
              <w:widowControl/>
              <w:snapToGrid w:val="0"/>
              <w:spacing w:line="400" w:lineRule="exact"/>
              <w:jc w:val="center"/>
              <w:rPr>
                <w:rFonts w:hint="eastAsia" w:ascii="宋体" w:hAnsi="宋体" w:eastAsia="宋体" w:cs="宋体"/>
                <w:color w:val="auto"/>
                <w:kern w:val="0"/>
                <w:szCs w:val="24"/>
              </w:rPr>
            </w:pPr>
            <w:r>
              <w:rPr>
                <w:rFonts w:hint="eastAsia" w:ascii="宋体" w:hAnsi="宋体" w:eastAsia="宋体" w:cs="宋体"/>
                <w:color w:val="auto"/>
                <w:szCs w:val="24"/>
              </w:rPr>
              <w:t>9</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19041C8F">
            <w:pPr>
              <w:pStyle w:val="29"/>
              <w:widowControl/>
              <w:snapToGrid w:val="0"/>
              <w:spacing w:line="360" w:lineRule="exact"/>
              <w:jc w:val="center"/>
              <w:rPr>
                <w:rFonts w:hint="eastAsia" w:ascii="宋体" w:hAnsi="宋体" w:eastAsia="宋体" w:cs="宋体"/>
                <w:color w:val="auto"/>
                <w:szCs w:val="24"/>
              </w:rPr>
            </w:pPr>
            <w:r>
              <w:rPr>
                <w:rFonts w:hint="eastAsia" w:ascii="宋体" w:hAnsi="宋体" w:eastAsia="宋体" w:cs="宋体"/>
                <w:color w:val="auto"/>
                <w:szCs w:val="24"/>
              </w:rPr>
              <w:t>交易场所</w:t>
            </w:r>
          </w:p>
          <w:p w14:paraId="60AA1E5A">
            <w:pPr>
              <w:pStyle w:val="29"/>
              <w:widowControl/>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szCs w:val="24"/>
              </w:rPr>
              <w:t>联系方式</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41047483">
            <w:pPr>
              <w:pStyle w:val="29"/>
              <w:widowControl/>
              <w:snapToGrid w:val="0"/>
              <w:spacing w:line="360" w:lineRule="exact"/>
              <w:rPr>
                <w:rFonts w:hint="eastAsia" w:ascii="宋体" w:hAnsi="宋体" w:eastAsia="宋体" w:cs="宋体"/>
                <w:color w:val="auto"/>
                <w:szCs w:val="24"/>
              </w:rPr>
            </w:pPr>
            <w:r>
              <w:rPr>
                <w:rFonts w:hint="eastAsia" w:ascii="宋体" w:hAnsi="宋体" w:eastAsia="宋体" w:cs="宋体"/>
                <w:color w:val="auto"/>
                <w:szCs w:val="24"/>
              </w:rPr>
              <w:t>单位名称：韶关市公共资源交易中心</w:t>
            </w:r>
          </w:p>
          <w:p w14:paraId="1E8B08B0">
            <w:pPr>
              <w:pStyle w:val="29"/>
              <w:widowControl/>
              <w:snapToGrid w:val="0"/>
              <w:spacing w:line="360" w:lineRule="exact"/>
              <w:rPr>
                <w:rFonts w:hint="eastAsia" w:ascii="宋体" w:hAnsi="宋体" w:eastAsia="宋体" w:cs="宋体"/>
                <w:color w:val="auto"/>
                <w:szCs w:val="24"/>
              </w:rPr>
            </w:pPr>
            <w:r>
              <w:rPr>
                <w:rFonts w:hint="eastAsia" w:ascii="宋体" w:hAnsi="宋体" w:eastAsia="宋体" w:cs="宋体"/>
                <w:color w:val="auto"/>
                <w:szCs w:val="24"/>
              </w:rPr>
              <w:t>办公地址：广东省韶关市武江区西联镇</w:t>
            </w:r>
          </w:p>
          <w:p w14:paraId="14D7BBE2">
            <w:pPr>
              <w:pStyle w:val="29"/>
              <w:widowControl/>
              <w:snapToGrid w:val="0"/>
              <w:spacing w:line="360" w:lineRule="exact"/>
              <w:rPr>
                <w:rFonts w:hint="eastAsia" w:ascii="宋体" w:hAnsi="宋体" w:eastAsia="宋体" w:cs="宋体"/>
                <w:color w:val="auto"/>
                <w:szCs w:val="24"/>
              </w:rPr>
            </w:pPr>
            <w:r>
              <w:rPr>
                <w:rFonts w:hint="eastAsia" w:ascii="宋体" w:hAnsi="宋体" w:eastAsia="宋体" w:cs="宋体"/>
                <w:color w:val="auto"/>
                <w:szCs w:val="24"/>
              </w:rPr>
              <w:t>联系人（部门）：工程交易部</w:t>
            </w:r>
          </w:p>
          <w:p w14:paraId="7E29B253">
            <w:pPr>
              <w:pStyle w:val="29"/>
              <w:widowControl/>
              <w:snapToGrid w:val="0"/>
              <w:spacing w:line="360" w:lineRule="exact"/>
              <w:rPr>
                <w:rFonts w:hint="eastAsia" w:ascii="宋体" w:hAnsi="宋体" w:eastAsia="宋体" w:cs="宋体"/>
                <w:color w:val="auto"/>
                <w:szCs w:val="24"/>
              </w:rPr>
            </w:pPr>
            <w:r>
              <w:rPr>
                <w:rFonts w:hint="eastAsia" w:ascii="宋体" w:hAnsi="宋体" w:eastAsia="宋体" w:cs="宋体"/>
                <w:color w:val="auto"/>
                <w:szCs w:val="24"/>
              </w:rPr>
              <w:t>联系电话：0751—8633071、0751—8633211</w:t>
            </w:r>
          </w:p>
        </w:tc>
      </w:tr>
      <w:tr w14:paraId="457ABE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9" w:hRule="exact"/>
          <w:jc w:val="center"/>
        </w:trPr>
        <w:tc>
          <w:tcPr>
            <w:tcW w:w="9106" w:type="dxa"/>
            <w:gridSpan w:val="3"/>
            <w:tcBorders>
              <w:top w:val="single" w:color="080000" w:sz="4" w:space="0"/>
              <w:left w:val="single" w:color="080000" w:sz="4" w:space="0"/>
              <w:bottom w:val="single" w:color="080000" w:sz="4" w:space="0"/>
              <w:right w:val="single" w:color="080000" w:sz="4" w:space="0"/>
            </w:tcBorders>
            <w:noWrap w:val="0"/>
            <w:vAlign w:val="center"/>
          </w:tcPr>
          <w:p w14:paraId="3125C8AC">
            <w:pPr>
              <w:pStyle w:val="19"/>
              <w:wordWrap w:val="0"/>
              <w:adjustRightInd w:val="0"/>
              <w:snapToGrid w:val="0"/>
              <w:spacing w:line="400" w:lineRule="exact"/>
              <w:jc w:val="left"/>
              <w:rPr>
                <w:rFonts w:hint="eastAsia" w:ascii="宋体" w:hAnsi="宋体" w:eastAsia="宋体" w:cs="宋体"/>
                <w:color w:val="auto"/>
                <w:kern w:val="0"/>
                <w:sz w:val="24"/>
              </w:rPr>
            </w:pPr>
            <w:r>
              <w:rPr>
                <w:rFonts w:hint="eastAsia" w:ascii="宋体" w:hAnsi="宋体" w:eastAsia="宋体" w:cs="宋体"/>
                <w:color w:val="auto"/>
                <w:kern w:val="0"/>
                <w:sz w:val="24"/>
              </w:rPr>
              <w:t>备注：</w:t>
            </w:r>
            <w:r>
              <w:rPr>
                <w:rFonts w:hint="eastAsia" w:ascii="宋体" w:hAnsi="宋体" w:eastAsia="宋体" w:cs="宋体"/>
                <w:color w:val="auto"/>
                <w:sz w:val="24"/>
                <w:shd w:val="clear" w:color="auto" w:fill="FFFFFF"/>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bookmarkEnd w:id="53"/>
    </w:tbl>
    <w:p w14:paraId="74447BDA">
      <w:pPr>
        <w:pStyle w:val="12"/>
        <w:keepNext w:val="0"/>
        <w:keepLines w:val="0"/>
        <w:bidi w:val="0"/>
        <w:rPr>
          <w:rFonts w:hint="eastAsia" w:ascii="宋体" w:hAnsi="宋体" w:eastAsia="宋体" w:cs="宋体"/>
          <w:color w:val="auto"/>
          <w:sz w:val="24"/>
          <w:highlight w:val="none"/>
        </w:rPr>
      </w:pPr>
    </w:p>
    <w:bookmarkEnd w:id="42"/>
    <w:p w14:paraId="73EB79D4">
      <w:pPr>
        <w:keepNext w:val="0"/>
        <w:keepLines w:val="0"/>
        <w:widowControl w:val="0"/>
        <w:kinsoku w:val="0"/>
        <w:overflowPunct w:val="0"/>
        <w:autoSpaceDE w:val="0"/>
        <w:autoSpaceDN w:val="0"/>
        <w:bidi w:val="0"/>
        <w:adjustRightInd w:val="0"/>
        <w:spacing w:before="4" w:line="130" w:lineRule="exact"/>
        <w:jc w:val="left"/>
        <w:rPr>
          <w:rFonts w:hint="eastAsia" w:ascii="宋体" w:hAnsi="宋体" w:eastAsia="宋体" w:cs="宋体"/>
          <w:color w:val="auto"/>
          <w:sz w:val="13"/>
          <w:highlight w:val="none"/>
        </w:rPr>
      </w:pPr>
      <w:bookmarkStart w:id="54" w:name="bookmark15"/>
      <w:bookmarkEnd w:id="54"/>
      <w:bookmarkStart w:id="55" w:name="bookmark17"/>
      <w:bookmarkEnd w:id="55"/>
      <w:bookmarkStart w:id="56" w:name="bookmark9"/>
      <w:bookmarkEnd w:id="56"/>
      <w:bookmarkStart w:id="57" w:name="bookmark12"/>
      <w:bookmarkEnd w:id="57"/>
      <w:bookmarkStart w:id="58" w:name="bookmark18"/>
      <w:bookmarkEnd w:id="58"/>
      <w:bookmarkStart w:id="59" w:name="bookmark8"/>
      <w:bookmarkEnd w:id="59"/>
      <w:bookmarkStart w:id="60" w:name="bookmark10"/>
      <w:bookmarkEnd w:id="60"/>
      <w:bookmarkStart w:id="61" w:name="bookmark14"/>
      <w:bookmarkEnd w:id="61"/>
      <w:bookmarkStart w:id="62" w:name="bookmark16"/>
      <w:bookmarkEnd w:id="62"/>
      <w:bookmarkStart w:id="63" w:name="bookmark11"/>
      <w:bookmarkEnd w:id="63"/>
      <w:bookmarkStart w:id="64" w:name="bookmark13"/>
      <w:bookmarkEnd w:id="64"/>
    </w:p>
    <w:p w14:paraId="4B7998E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F94C7B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F55657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D911E3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AFC43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E18C1F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A1C14C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81B5B6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E4790E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EEDBE6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35C0C7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1F4960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FC5B24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737D03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A6A2EE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7F0AA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0A8C42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B80C61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370DAE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82E217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D1DFB5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9E9573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EA87F6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E17713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856B5F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7160BE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69340D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D5491C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AABCC21">
      <w:pPr>
        <w:pStyle w:val="5"/>
        <w:keepNext w:val="0"/>
        <w:keepLines w:val="0"/>
        <w:tabs>
          <w:tab w:val="left" w:pos="4248"/>
        </w:tabs>
        <w:kinsoku w:val="0"/>
        <w:overflowPunct w:val="0"/>
        <w:bidi w:val="0"/>
        <w:spacing w:line="659" w:lineRule="exact"/>
        <w:ind w:left="2009"/>
        <w:jc w:val="both"/>
        <w:rPr>
          <w:rFonts w:hint="eastAsia" w:ascii="宋体" w:hAnsi="宋体" w:eastAsia="宋体" w:cs="宋体"/>
          <w:color w:val="auto"/>
          <w:highlight w:val="none"/>
        </w:rPr>
      </w:pPr>
      <w:bookmarkStart w:id="65" w:name="_Toc2274"/>
      <w:bookmarkStart w:id="66" w:name="_Toc22969_WPSOffice_Level1"/>
      <w:r>
        <w:rPr>
          <w:rFonts w:hint="eastAsia" w:ascii="宋体" w:hAnsi="宋体" w:eastAsia="宋体" w:cs="宋体"/>
          <w:color w:val="auto"/>
          <w:spacing w:val="1"/>
          <w:highlight w:val="none"/>
        </w:rPr>
        <w:t>第</w:t>
      </w:r>
      <w:r>
        <w:rPr>
          <w:rFonts w:hint="eastAsia" w:ascii="宋体" w:hAnsi="宋体" w:eastAsia="宋体" w:cs="宋体"/>
          <w:color w:val="auto"/>
          <w:highlight w:val="none"/>
        </w:rPr>
        <w:t>二章</w:t>
      </w:r>
      <w:r>
        <w:rPr>
          <w:rFonts w:hint="eastAsia" w:ascii="宋体" w:hAnsi="宋体" w:eastAsia="宋体" w:cs="宋体"/>
          <w:color w:val="auto"/>
          <w:spacing w:val="1"/>
          <w:highlight w:val="none"/>
        </w:rPr>
        <w:t>投</w:t>
      </w:r>
      <w:r>
        <w:rPr>
          <w:rFonts w:hint="eastAsia" w:ascii="宋体" w:hAnsi="宋体" w:eastAsia="宋体" w:cs="宋体"/>
          <w:color w:val="auto"/>
          <w:highlight w:val="none"/>
        </w:rPr>
        <w:t>标人须知</w:t>
      </w:r>
      <w:bookmarkEnd w:id="65"/>
      <w:bookmarkEnd w:id="66"/>
    </w:p>
    <w:p w14:paraId="7B67EA9F">
      <w:pPr>
        <w:pStyle w:val="5"/>
        <w:keepNext w:val="0"/>
        <w:keepLines w:val="0"/>
        <w:tabs>
          <w:tab w:val="left" w:pos="4248"/>
        </w:tabs>
        <w:kinsoku w:val="0"/>
        <w:overflowPunct w:val="0"/>
        <w:bidi w:val="0"/>
        <w:spacing w:line="659" w:lineRule="exact"/>
        <w:ind w:left="2009"/>
        <w:jc w:val="both"/>
        <w:rPr>
          <w:rFonts w:hint="eastAsia" w:ascii="宋体" w:hAnsi="宋体" w:eastAsia="宋体" w:cs="宋体"/>
          <w:color w:val="auto"/>
          <w:highlight w:val="none"/>
        </w:rPr>
        <w:sectPr>
          <w:footerReference r:id="rId11" w:type="default"/>
          <w:pgSz w:w="11907" w:h="16838"/>
          <w:pgMar w:top="1134" w:right="1134" w:bottom="1134" w:left="1134" w:header="882" w:footer="1078" w:gutter="0"/>
          <w:lnNumType w:countBy="0" w:distance="360"/>
          <w:cols w:space="720" w:num="1"/>
        </w:sectPr>
      </w:pPr>
    </w:p>
    <w:p w14:paraId="3F4677E6">
      <w:pPr>
        <w:keepNext w:val="0"/>
        <w:keepLines w:val="0"/>
        <w:tabs>
          <w:tab w:val="left" w:pos="4392"/>
        </w:tabs>
        <w:kinsoku w:val="0"/>
        <w:overflowPunct w:val="0"/>
        <w:bidi w:val="0"/>
        <w:spacing w:line="520" w:lineRule="exact"/>
        <w:jc w:val="center"/>
        <w:rPr>
          <w:rFonts w:hint="eastAsia" w:ascii="宋体" w:hAnsi="宋体" w:eastAsia="宋体" w:cs="宋体"/>
          <w:color w:val="auto"/>
          <w:highlight w:val="none"/>
        </w:rPr>
      </w:pPr>
      <w:bookmarkStart w:id="67" w:name="_Toc6120_WPSOffice_Level1"/>
      <w:r>
        <w:rPr>
          <w:rFonts w:hint="eastAsia" w:ascii="宋体" w:hAnsi="宋体" w:eastAsia="宋体" w:cs="宋体"/>
          <w:b/>
          <w:bCs/>
          <w:color w:val="auto"/>
          <w:sz w:val="28"/>
          <w:szCs w:val="24"/>
          <w:highlight w:val="none"/>
        </w:rPr>
        <w:t>投</w:t>
      </w:r>
      <w:r>
        <w:rPr>
          <w:rFonts w:hint="eastAsia" w:ascii="宋体" w:hAnsi="宋体" w:eastAsia="宋体" w:cs="宋体"/>
          <w:b/>
          <w:bCs/>
          <w:color w:val="auto"/>
          <w:spacing w:val="2"/>
          <w:sz w:val="28"/>
          <w:szCs w:val="24"/>
          <w:highlight w:val="none"/>
        </w:rPr>
        <w:t>标人须</w:t>
      </w:r>
      <w:r>
        <w:rPr>
          <w:rFonts w:hint="eastAsia" w:ascii="宋体" w:hAnsi="宋体" w:eastAsia="宋体" w:cs="宋体"/>
          <w:b/>
          <w:bCs/>
          <w:color w:val="auto"/>
          <w:sz w:val="28"/>
          <w:szCs w:val="24"/>
          <w:highlight w:val="none"/>
        </w:rPr>
        <w:t>知</w:t>
      </w:r>
      <w:bookmarkEnd w:id="67"/>
    </w:p>
    <w:p w14:paraId="0B89B85A">
      <w:pPr>
        <w:keepNext w:val="0"/>
        <w:keepLines w:val="0"/>
        <w:widowControl w:val="0"/>
        <w:kinsoku w:val="0"/>
        <w:overflowPunct w:val="0"/>
        <w:autoSpaceDE w:val="0"/>
        <w:autoSpaceDN w:val="0"/>
        <w:bidi w:val="0"/>
        <w:adjustRightInd w:val="0"/>
        <w:spacing w:before="18" w:line="220" w:lineRule="exact"/>
        <w:jc w:val="left"/>
        <w:rPr>
          <w:rFonts w:hint="eastAsia" w:ascii="宋体" w:hAnsi="宋体" w:eastAsia="宋体" w:cs="宋体"/>
          <w:color w:val="auto"/>
          <w:sz w:val="22"/>
          <w:highlight w:val="none"/>
        </w:rPr>
      </w:pPr>
    </w:p>
    <w:p w14:paraId="7F47292F">
      <w:pPr>
        <w:keepNext w:val="0"/>
        <w:keepLines w:val="0"/>
        <w:widowControl w:val="0"/>
        <w:kinsoku w:val="0"/>
        <w:overflowPunct w:val="0"/>
        <w:autoSpaceDE w:val="0"/>
        <w:autoSpaceDN w:val="0"/>
        <w:bidi w:val="0"/>
        <w:adjustRightInd w:val="0"/>
        <w:spacing w:line="389" w:lineRule="exact"/>
        <w:ind w:left="209"/>
        <w:jc w:val="left"/>
        <w:rPr>
          <w:rFonts w:hint="eastAsia" w:ascii="宋体" w:hAnsi="宋体" w:eastAsia="宋体" w:cs="宋体"/>
          <w:b/>
          <w:bCs/>
          <w:color w:val="auto"/>
          <w:sz w:val="24"/>
          <w:szCs w:val="24"/>
          <w:highlight w:val="none"/>
        </w:rPr>
      </w:pPr>
      <w:bookmarkStart w:id="68" w:name="bookmark20"/>
      <w:bookmarkEnd w:id="68"/>
      <w:bookmarkStart w:id="69" w:name="_Toc3527_WPSOffice_Level2"/>
      <w:r>
        <w:rPr>
          <w:rFonts w:hint="eastAsia" w:ascii="宋体" w:hAnsi="宋体" w:eastAsia="宋体" w:cs="宋体"/>
          <w:b/>
          <w:bCs/>
          <w:color w:val="auto"/>
          <w:sz w:val="24"/>
          <w:szCs w:val="24"/>
          <w:highlight w:val="none"/>
        </w:rPr>
        <w:t>投标</w:t>
      </w:r>
      <w:r>
        <w:rPr>
          <w:rFonts w:hint="eastAsia" w:ascii="宋体" w:hAnsi="宋体" w:eastAsia="宋体" w:cs="宋体"/>
          <w:b/>
          <w:bCs/>
          <w:color w:val="auto"/>
          <w:spacing w:val="2"/>
          <w:sz w:val="24"/>
          <w:szCs w:val="24"/>
          <w:highlight w:val="none"/>
        </w:rPr>
        <w:t>人</w:t>
      </w:r>
      <w:r>
        <w:rPr>
          <w:rFonts w:hint="eastAsia" w:ascii="宋体" w:hAnsi="宋体" w:eastAsia="宋体" w:cs="宋体"/>
          <w:b/>
          <w:bCs/>
          <w:color w:val="auto"/>
          <w:sz w:val="24"/>
          <w:szCs w:val="24"/>
          <w:highlight w:val="none"/>
        </w:rPr>
        <w:t>须知前附表</w:t>
      </w:r>
      <w:bookmarkEnd w:id="69"/>
    </w:p>
    <w:tbl>
      <w:tblPr>
        <w:tblStyle w:val="21"/>
        <w:tblW w:w="0" w:type="auto"/>
        <w:tblInd w:w="0" w:type="dxa"/>
        <w:tblLayout w:type="fixed"/>
        <w:tblCellMar>
          <w:top w:w="0" w:type="dxa"/>
          <w:left w:w="108" w:type="dxa"/>
          <w:bottom w:w="0" w:type="dxa"/>
          <w:right w:w="108" w:type="dxa"/>
        </w:tblCellMar>
      </w:tblPr>
      <w:tblGrid>
        <w:gridCol w:w="983"/>
        <w:gridCol w:w="2371"/>
        <w:gridCol w:w="2221"/>
        <w:gridCol w:w="3788"/>
      </w:tblGrid>
      <w:tr w14:paraId="74CF1F15">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B2E5F34">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条款号</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2291A450">
            <w:pPr>
              <w:pStyle w:val="30"/>
              <w:keepNext w:val="0"/>
              <w:keepLines w:val="0"/>
              <w:pageBreakBefore w:val="0"/>
              <w:tabs>
                <w:tab w:val="left" w:pos="1117"/>
                <w:tab w:val="left" w:pos="1537"/>
                <w:tab w:val="left" w:pos="1960"/>
              </w:tabs>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条款名称</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5279BD01">
            <w:pPr>
              <w:pStyle w:val="30"/>
              <w:keepNext w:val="0"/>
              <w:keepLines w:val="0"/>
              <w:pageBreakBefore w:val="0"/>
              <w:tabs>
                <w:tab w:val="left" w:pos="422"/>
                <w:tab w:val="left" w:pos="842"/>
                <w:tab w:val="left" w:pos="1264"/>
              </w:tabs>
              <w:kinsoku w:val="0"/>
              <w:overflowPunct w:val="0"/>
              <w:topLinePunct w:val="0"/>
              <w:bidi w:val="0"/>
              <w:spacing w:before="19"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列</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内</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容</w:t>
            </w:r>
          </w:p>
        </w:tc>
      </w:tr>
      <w:tr w14:paraId="2246EB9B">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89CDF2C">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658B25C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rPr>
              <w:t>招标人</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216097F">
            <w:pPr>
              <w:ind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名称：</w:t>
            </w:r>
            <w:r>
              <w:rPr>
                <w:rFonts w:hint="eastAsia" w:ascii="宋体" w:hAnsi="宋体" w:eastAsia="宋体" w:cs="宋体"/>
                <w:color w:val="auto"/>
                <w:sz w:val="24"/>
                <w:szCs w:val="24"/>
                <w:lang w:eastAsia="zh-CN"/>
              </w:rPr>
              <w:t>韶关市武江区江湾镇人民政府</w:t>
            </w:r>
          </w:p>
          <w:p w14:paraId="78222993">
            <w:pPr>
              <w:ind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地址：</w:t>
            </w:r>
            <w:r>
              <w:rPr>
                <w:rFonts w:hint="eastAsia" w:ascii="宋体" w:hAnsi="宋体" w:eastAsia="宋体" w:cs="宋体"/>
                <w:color w:val="auto"/>
                <w:sz w:val="24"/>
                <w:szCs w:val="24"/>
                <w:lang w:eastAsia="zh-CN"/>
              </w:rPr>
              <w:t>韶关市武江区江湾街6号</w:t>
            </w:r>
          </w:p>
          <w:p w14:paraId="054A3EC9">
            <w:pPr>
              <w:ind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lang w:eastAsia="zh-CN"/>
              </w:rPr>
              <w:t>董工</w:t>
            </w:r>
          </w:p>
          <w:p w14:paraId="4D8F4EEA">
            <w:pPr>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rPr>
              <w:t>电话：</w:t>
            </w:r>
            <w:r>
              <w:rPr>
                <w:rFonts w:hint="eastAsia" w:ascii="宋体" w:hAnsi="宋体" w:eastAsia="宋体" w:cs="宋体"/>
                <w:color w:val="auto"/>
                <w:sz w:val="24"/>
                <w:szCs w:val="24"/>
                <w:lang w:eastAsia="zh-CN"/>
              </w:rPr>
              <w:t>0751-6446388</w:t>
            </w:r>
          </w:p>
        </w:tc>
      </w:tr>
      <w:tr w14:paraId="22B0B476">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E9D4E56">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30ACF9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rPr>
              <w:t>招标代理机构</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56FC490">
            <w:pPr>
              <w:ind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名称：</w:t>
            </w:r>
            <w:r>
              <w:rPr>
                <w:rFonts w:hint="eastAsia" w:ascii="宋体" w:hAnsi="宋体" w:eastAsia="宋体" w:cs="宋体"/>
                <w:color w:val="auto"/>
                <w:sz w:val="24"/>
                <w:szCs w:val="24"/>
                <w:lang w:eastAsia="zh-CN"/>
              </w:rPr>
              <w:t>广东明正项目管理有限公司</w:t>
            </w:r>
          </w:p>
          <w:p w14:paraId="4A21642E">
            <w:pPr>
              <w:ind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地址：</w:t>
            </w:r>
            <w:r>
              <w:rPr>
                <w:rFonts w:hint="eastAsia" w:ascii="宋体" w:hAnsi="宋体" w:eastAsia="宋体" w:cs="宋体"/>
                <w:color w:val="auto"/>
                <w:sz w:val="24"/>
                <w:szCs w:val="24"/>
                <w:lang w:eastAsia="zh-CN"/>
              </w:rPr>
              <w:t>韶关市武江区惠民北路428号7楼</w:t>
            </w:r>
          </w:p>
          <w:p w14:paraId="278A3011">
            <w:pPr>
              <w:ind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lang w:eastAsia="zh-CN"/>
              </w:rPr>
              <w:t>杨工、潘工</w:t>
            </w:r>
          </w:p>
          <w:p w14:paraId="7E8C3DF7">
            <w:pPr>
              <w:ind w:firstLine="240" w:firstLineChars="1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0751-8606998</w:t>
            </w:r>
          </w:p>
        </w:tc>
      </w:tr>
      <w:tr w14:paraId="439E8252">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0EF451D">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2900502">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w:t>
            </w:r>
            <w:r>
              <w:rPr>
                <w:rFonts w:hint="eastAsia" w:ascii="宋体" w:hAnsi="宋体" w:eastAsia="宋体" w:cs="宋体"/>
                <w:color w:val="auto"/>
                <w:spacing w:val="-3"/>
                <w:sz w:val="24"/>
                <w:szCs w:val="24"/>
                <w:highlight w:val="none"/>
              </w:rPr>
              <w:t>项</w:t>
            </w:r>
            <w:r>
              <w:rPr>
                <w:rFonts w:hint="eastAsia" w:ascii="宋体" w:hAnsi="宋体" w:eastAsia="宋体" w:cs="宋体"/>
                <w:color w:val="auto"/>
                <w:sz w:val="24"/>
                <w:szCs w:val="24"/>
                <w:highlight w:val="none"/>
              </w:rPr>
              <w:t>目</w:t>
            </w:r>
            <w:r>
              <w:rPr>
                <w:rFonts w:hint="eastAsia" w:ascii="宋体" w:hAnsi="宋体" w:eastAsia="宋体" w:cs="宋体"/>
                <w:color w:val="auto"/>
                <w:spacing w:val="-3"/>
                <w:sz w:val="24"/>
                <w:szCs w:val="24"/>
                <w:highlight w:val="none"/>
              </w:rPr>
              <w:t>名</w:t>
            </w:r>
            <w:r>
              <w:rPr>
                <w:rFonts w:hint="eastAsia" w:ascii="宋体" w:hAnsi="宋体" w:eastAsia="宋体" w:cs="宋体"/>
                <w:color w:val="auto"/>
                <w:sz w:val="24"/>
                <w:szCs w:val="24"/>
                <w:highlight w:val="none"/>
              </w:rPr>
              <w:t>称</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181A1F8">
            <w:pPr>
              <w:keepNext w:val="0"/>
              <w:keepLines w:val="0"/>
              <w:pageBreakBefore w:val="0"/>
              <w:widowControl w:val="0"/>
              <w:topLinePunct w:val="0"/>
              <w:autoSpaceDE w:val="0"/>
              <w:autoSpaceDN w:val="0"/>
              <w:bidi w:val="0"/>
              <w:adjustRightInd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武江区江湾镇多田至湖洋村灾毁路段及地方公路路域提升改造工程项目监理（第二次）</w:t>
            </w:r>
          </w:p>
        </w:tc>
      </w:tr>
      <w:tr w14:paraId="56F0C91A">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9C7D083">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9D44D7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rPr>
              <w:t>标段建设地点</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30E07202">
            <w:pPr>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lang w:eastAsia="zh-CN"/>
              </w:rPr>
              <w:t>龙归镇多田村至江湾镇湖洋村</w:t>
            </w:r>
          </w:p>
        </w:tc>
      </w:tr>
      <w:tr w14:paraId="0139B28B">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CC7581D">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B1AC5CC">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标段</w:t>
            </w:r>
            <w:r>
              <w:rPr>
                <w:rFonts w:hint="eastAsia" w:ascii="宋体" w:hAnsi="宋体" w:eastAsia="宋体" w:cs="宋体"/>
                <w:color w:val="auto"/>
                <w:spacing w:val="-3"/>
                <w:sz w:val="24"/>
                <w:szCs w:val="24"/>
                <w:highlight w:val="none"/>
              </w:rPr>
              <w:t>建</w:t>
            </w:r>
            <w:r>
              <w:rPr>
                <w:rFonts w:hint="eastAsia" w:ascii="宋体" w:hAnsi="宋体" w:eastAsia="宋体" w:cs="宋体"/>
                <w:color w:val="auto"/>
                <w:sz w:val="24"/>
                <w:szCs w:val="24"/>
                <w:highlight w:val="none"/>
              </w:rPr>
              <w:t>设</w:t>
            </w:r>
            <w:r>
              <w:rPr>
                <w:rFonts w:hint="eastAsia" w:ascii="宋体" w:hAnsi="宋体" w:eastAsia="宋体" w:cs="宋体"/>
                <w:color w:val="auto"/>
                <w:spacing w:val="-3"/>
                <w:sz w:val="24"/>
                <w:szCs w:val="24"/>
                <w:highlight w:val="none"/>
              </w:rPr>
              <w:t>规</w:t>
            </w:r>
            <w:r>
              <w:rPr>
                <w:rFonts w:hint="eastAsia" w:ascii="宋体" w:hAnsi="宋体" w:eastAsia="宋体" w:cs="宋体"/>
                <w:color w:val="auto"/>
                <w:sz w:val="24"/>
                <w:szCs w:val="24"/>
                <w:highlight w:val="none"/>
              </w:rPr>
              <w:t>模</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D9C1A64">
            <w:pPr>
              <w:keepNext w:val="0"/>
              <w:keepLines w:val="0"/>
              <w:pageBreakBefore w:val="0"/>
              <w:widowControl w:val="0"/>
              <w:topLinePunct w:val="0"/>
              <w:autoSpaceDE w:val="0"/>
              <w:autoSpaceDN w:val="0"/>
              <w:bidi w:val="0"/>
              <w:adjustRightInd w:val="0"/>
              <w:spacing w:line="360" w:lineRule="auto"/>
              <w:ind w:firstLine="240" w:firstLineChars="1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single"/>
              </w:rPr>
              <w:t>改造乡道Y267线路基路面约4500m²,新建路肩墙约70m、排水沟约540m；改造省道S520线灾毁路段路基路面约1860m²,新建路肩墙约130m、排水沟约120m、停车区约580㎡；改造乡道Y200线终点与省道S520线平交口，涉及路基路面工程约1500㎡，新建路肩墙约200m；完善附属交通防护设施、涵洞工程等。包括路面改造工程，排水设施工程，边坡防护工程，交通安防工程，平交口改造工程及附属其他设施工程等</w:t>
            </w:r>
            <w:r>
              <w:rPr>
                <w:rFonts w:hint="eastAsia" w:ascii="宋体" w:hAnsi="宋体" w:eastAsia="宋体" w:cs="宋体"/>
                <w:color w:val="auto"/>
                <w:sz w:val="24"/>
                <w:szCs w:val="24"/>
                <w:highlight w:val="none"/>
                <w:u w:val="single"/>
                <w:lang w:eastAsia="zh-CN"/>
              </w:rPr>
              <w:t>。</w:t>
            </w:r>
          </w:p>
        </w:tc>
      </w:tr>
      <w:tr w14:paraId="77F4D54D">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0E86916">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3A3F360">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招标项目施工预计开工日期和建设周期</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420FB8A">
            <w:pPr>
              <w:keepNext w:val="0"/>
              <w:keepLines w:val="0"/>
              <w:pageBreakBefore w:val="0"/>
              <w:widowControl w:val="0"/>
              <w:topLinePunct w:val="0"/>
              <w:bidi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14:paraId="17A20ED4">
            <w:pPr>
              <w:keepNext w:val="0"/>
              <w:keepLines w:val="0"/>
              <w:pageBreakBefore w:val="0"/>
              <w:widowControl w:val="0"/>
              <w:topLinePunct w:val="0"/>
              <w:autoSpaceDE w:val="0"/>
              <w:autoSpaceDN w:val="0"/>
              <w:bidi w:val="0"/>
              <w:adjustRightInd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14:paraId="73E91BB0">
            <w:pPr>
              <w:keepNext w:val="0"/>
              <w:keepLines w:val="0"/>
              <w:pageBreakBefore w:val="0"/>
              <w:widowControl w:val="0"/>
              <w:topLinePunct w:val="0"/>
              <w:autoSpaceDE w:val="0"/>
              <w:autoSpaceDN w:val="0"/>
              <w:bidi w:val="0"/>
              <w:adjustRightInd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建设周期：建设周期</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个月</w:t>
            </w:r>
          </w:p>
        </w:tc>
      </w:tr>
      <w:tr w14:paraId="3597B1D4">
        <w:tblPrEx>
          <w:tblCellMar>
            <w:top w:w="0" w:type="dxa"/>
            <w:left w:w="108" w:type="dxa"/>
            <w:bottom w:w="0" w:type="dxa"/>
            <w:right w:w="108" w:type="dxa"/>
          </w:tblCellMar>
        </w:tblPrEx>
        <w:trPr>
          <w:trHeight w:val="9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6E6CECA">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1.1.8</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7A455A77">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建筑安装工程费/工程概算投资额</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8C2FA18">
            <w:pPr>
              <w:keepNext w:val="0"/>
              <w:keepLines w:val="0"/>
              <w:widowControl/>
              <w:suppressLineNumbers w:val="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u w:val="none"/>
                <w:lang w:bidi="ar"/>
              </w:rPr>
              <w:t>项目概算总投资</w:t>
            </w:r>
            <w:r>
              <w:rPr>
                <w:rFonts w:hint="eastAsia" w:ascii="宋体" w:hAnsi="宋体" w:eastAsia="宋体" w:cs="宋体"/>
                <w:color w:val="auto"/>
                <w:sz w:val="24"/>
                <w:u w:val="none"/>
                <w:lang w:eastAsia="zh-CN" w:bidi="ar"/>
              </w:rPr>
              <w:t>685.67万元</w:t>
            </w:r>
            <w:r>
              <w:rPr>
                <w:rFonts w:hint="eastAsia" w:ascii="宋体" w:hAnsi="宋体" w:eastAsia="宋体" w:cs="宋体"/>
                <w:color w:val="auto"/>
                <w:sz w:val="24"/>
                <w:u w:val="none"/>
                <w:lang w:bidi="ar"/>
              </w:rPr>
              <w:t>，其中建筑安装工程费</w:t>
            </w:r>
            <w:r>
              <w:rPr>
                <w:rFonts w:hint="eastAsia" w:ascii="宋体" w:hAnsi="宋体" w:eastAsia="宋体" w:cs="宋体"/>
                <w:color w:val="auto"/>
                <w:sz w:val="24"/>
                <w:u w:val="none"/>
                <w:lang w:val="en-US" w:eastAsia="zh-CN" w:bidi="ar"/>
              </w:rPr>
              <w:t>598.20</w:t>
            </w:r>
            <w:r>
              <w:rPr>
                <w:rFonts w:hint="eastAsia" w:ascii="宋体" w:hAnsi="宋体" w:eastAsia="宋体" w:cs="宋体"/>
                <w:color w:val="auto"/>
                <w:sz w:val="24"/>
                <w:u w:val="none"/>
                <w:lang w:eastAsia="zh-CN" w:bidi="ar"/>
              </w:rPr>
              <w:t>万元</w:t>
            </w:r>
            <w:r>
              <w:rPr>
                <w:rFonts w:hint="eastAsia" w:ascii="宋体" w:hAnsi="宋体" w:eastAsia="宋体" w:cs="宋体"/>
                <w:color w:val="auto"/>
                <w:sz w:val="24"/>
                <w:u w:val="none"/>
                <w:lang w:bidi="ar"/>
              </w:rPr>
              <w:t>。</w:t>
            </w:r>
          </w:p>
        </w:tc>
      </w:tr>
      <w:tr w14:paraId="6D02F002">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7949BB5">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FF6D7DF">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w:t>
            </w:r>
            <w:r>
              <w:rPr>
                <w:rFonts w:hint="eastAsia" w:ascii="宋体" w:hAnsi="宋体" w:eastAsia="宋体" w:cs="宋体"/>
                <w:color w:val="auto"/>
                <w:spacing w:val="-3"/>
                <w:sz w:val="24"/>
                <w:szCs w:val="24"/>
                <w:highlight w:val="none"/>
              </w:rPr>
              <w:t>来</w:t>
            </w:r>
            <w:r>
              <w:rPr>
                <w:rFonts w:hint="eastAsia" w:ascii="宋体" w:hAnsi="宋体" w:eastAsia="宋体" w:cs="宋体"/>
                <w:color w:val="auto"/>
                <w:sz w:val="24"/>
                <w:szCs w:val="24"/>
                <w:highlight w:val="none"/>
              </w:rPr>
              <w:t>源</w:t>
            </w:r>
            <w:r>
              <w:rPr>
                <w:rFonts w:hint="eastAsia" w:ascii="宋体" w:hAnsi="宋体" w:eastAsia="宋体" w:cs="宋体"/>
                <w:color w:val="auto"/>
                <w:spacing w:val="-3"/>
                <w:sz w:val="24"/>
                <w:szCs w:val="24"/>
                <w:highlight w:val="none"/>
              </w:rPr>
              <w:t>及</w:t>
            </w:r>
            <w:r>
              <w:rPr>
                <w:rFonts w:hint="eastAsia" w:ascii="宋体" w:hAnsi="宋体" w:eastAsia="宋体" w:cs="宋体"/>
                <w:color w:val="auto"/>
                <w:sz w:val="24"/>
                <w:szCs w:val="24"/>
                <w:highlight w:val="none"/>
              </w:rPr>
              <w:t>比例</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1B06E937">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本项目建设资金由区级财政解决，100%</w:t>
            </w:r>
          </w:p>
        </w:tc>
      </w:tr>
      <w:tr w14:paraId="2EE4CEF8">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FBB9A5E">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7914F798">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w:t>
            </w:r>
            <w:r>
              <w:rPr>
                <w:rFonts w:hint="eastAsia" w:ascii="宋体" w:hAnsi="宋体" w:eastAsia="宋体" w:cs="宋体"/>
                <w:color w:val="auto"/>
                <w:spacing w:val="-3"/>
                <w:sz w:val="24"/>
                <w:szCs w:val="24"/>
                <w:highlight w:val="none"/>
              </w:rPr>
              <w:t>落</w:t>
            </w:r>
            <w:r>
              <w:rPr>
                <w:rFonts w:hint="eastAsia" w:ascii="宋体" w:hAnsi="宋体" w:eastAsia="宋体" w:cs="宋体"/>
                <w:color w:val="auto"/>
                <w:sz w:val="24"/>
                <w:szCs w:val="24"/>
                <w:highlight w:val="none"/>
              </w:rPr>
              <w:t>实</w:t>
            </w:r>
            <w:r>
              <w:rPr>
                <w:rFonts w:hint="eastAsia" w:ascii="宋体" w:hAnsi="宋体" w:eastAsia="宋体" w:cs="宋体"/>
                <w:color w:val="auto"/>
                <w:spacing w:val="-3"/>
                <w:sz w:val="24"/>
                <w:szCs w:val="24"/>
                <w:highlight w:val="none"/>
              </w:rPr>
              <w:t>情</w:t>
            </w:r>
            <w:r>
              <w:rPr>
                <w:rFonts w:hint="eastAsia" w:ascii="宋体" w:hAnsi="宋体" w:eastAsia="宋体" w:cs="宋体"/>
                <w:color w:val="auto"/>
                <w:sz w:val="24"/>
                <w:szCs w:val="24"/>
                <w:highlight w:val="none"/>
              </w:rPr>
              <w:t>况</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EEC2F9C">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资金已落实</w:t>
            </w:r>
          </w:p>
        </w:tc>
      </w:tr>
      <w:tr w14:paraId="2F4469EA">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8FE7464">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16D4C916">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w:t>
            </w:r>
            <w:r>
              <w:rPr>
                <w:rFonts w:hint="eastAsia" w:ascii="宋体" w:hAnsi="宋体" w:eastAsia="宋体" w:cs="宋体"/>
                <w:color w:val="auto"/>
                <w:spacing w:val="-3"/>
                <w:sz w:val="24"/>
                <w:szCs w:val="24"/>
                <w:highlight w:val="none"/>
              </w:rPr>
              <w:t>范</w:t>
            </w:r>
            <w:r>
              <w:rPr>
                <w:rFonts w:hint="eastAsia" w:ascii="宋体" w:hAnsi="宋体" w:eastAsia="宋体" w:cs="宋体"/>
                <w:color w:val="auto"/>
                <w:sz w:val="24"/>
                <w:szCs w:val="24"/>
                <w:highlight w:val="none"/>
              </w:rPr>
              <w:t>围</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4F4ACEB5">
            <w:pPr>
              <w:pStyle w:val="31"/>
              <w:spacing w:line="360" w:lineRule="auto"/>
              <w:ind w:left="134"/>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☑总监理工程师办公室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含中心试验室</w:t>
            </w:r>
            <w:r>
              <w:rPr>
                <w:rFonts w:hint="eastAsia" w:ascii="宋体" w:hAnsi="宋体" w:eastAsia="宋体" w:cs="宋体"/>
                <w:color w:val="auto"/>
                <w:sz w:val="24"/>
                <w:szCs w:val="24"/>
                <w:highlight w:val="none"/>
                <w:lang w:eastAsia="zh-CN"/>
              </w:rPr>
              <w:t>）</w:t>
            </w:r>
          </w:p>
          <w:p w14:paraId="720BCD39">
            <w:pPr>
              <w:pStyle w:val="31"/>
              <w:spacing w:line="360" w:lineRule="auto"/>
              <w:ind w:left="134"/>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□驻地监理工程师办公室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含监理试验室</w:t>
            </w:r>
            <w:r>
              <w:rPr>
                <w:rFonts w:hint="eastAsia" w:ascii="宋体" w:hAnsi="宋体" w:eastAsia="宋体" w:cs="宋体"/>
                <w:color w:val="auto"/>
                <w:sz w:val="24"/>
                <w:szCs w:val="24"/>
                <w:highlight w:val="none"/>
                <w:lang w:eastAsia="zh-CN"/>
              </w:rPr>
              <w:t>）</w:t>
            </w:r>
          </w:p>
          <w:p w14:paraId="49A24C56">
            <w:pPr>
              <w:pStyle w:val="31"/>
              <w:spacing w:line="360" w:lineRule="auto"/>
              <w:ind w:left="134"/>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p w14:paraId="2E7F4C8E">
            <w:pPr>
              <w:keepNext w:val="0"/>
              <w:keepLines w:val="0"/>
              <w:pageBreakBefore w:val="0"/>
              <w:topLinePunct w:val="0"/>
              <w:bidi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里程范围内的路基、路面工程及排水、桥梁工程、涵洞工程、路线交叉工程、交通工程及沿线设施、环境保护与景观设计等的施工准备阶段、施工阶段、缺陷责任期阶段的施工监理、施工安全的监理，项目的环境保护、水土保持的监理，参建各方竣工档案编制工作的监理，以及配合业主交、竣工验收和配合业主竣工验收前的结算与决算的有关工作。</w:t>
            </w:r>
          </w:p>
        </w:tc>
      </w:tr>
      <w:tr w14:paraId="47FD9815">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42F1673">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6D227701">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w:t>
            </w:r>
            <w:r>
              <w:rPr>
                <w:rFonts w:hint="eastAsia" w:ascii="宋体" w:hAnsi="宋体" w:eastAsia="宋体" w:cs="宋体"/>
                <w:color w:val="auto"/>
                <w:spacing w:val="-3"/>
                <w:sz w:val="24"/>
                <w:szCs w:val="24"/>
                <w:highlight w:val="none"/>
              </w:rPr>
              <w:t>服</w:t>
            </w:r>
            <w:r>
              <w:rPr>
                <w:rFonts w:hint="eastAsia" w:ascii="宋体" w:hAnsi="宋体" w:eastAsia="宋体" w:cs="宋体"/>
                <w:color w:val="auto"/>
                <w:sz w:val="24"/>
                <w:szCs w:val="24"/>
                <w:highlight w:val="none"/>
              </w:rPr>
              <w:t>务</w:t>
            </w:r>
            <w:r>
              <w:rPr>
                <w:rFonts w:hint="eastAsia" w:ascii="宋体" w:hAnsi="宋体" w:eastAsia="宋体" w:cs="宋体"/>
                <w:color w:val="auto"/>
                <w:spacing w:val="-3"/>
                <w:sz w:val="24"/>
                <w:szCs w:val="24"/>
                <w:highlight w:val="none"/>
              </w:rPr>
              <w:t>期</w:t>
            </w:r>
            <w:r>
              <w:rPr>
                <w:rFonts w:hint="eastAsia" w:ascii="宋体" w:hAnsi="宋体" w:eastAsia="宋体" w:cs="宋体"/>
                <w:color w:val="auto"/>
                <w:sz w:val="24"/>
                <w:szCs w:val="24"/>
                <w:highlight w:val="none"/>
              </w:rPr>
              <w:t>限</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6F9BEC23">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u w:val="single"/>
              </w:rPr>
            </w:pPr>
            <w:r>
              <w:rPr>
                <w:rFonts w:hint="eastAsia" w:ascii="宋体" w:hAnsi="宋体" w:eastAsia="宋体" w:cs="宋体"/>
                <w:color w:val="auto"/>
                <w:kern w:val="21"/>
                <w:sz w:val="24"/>
                <w:szCs w:val="24"/>
                <w:highlight w:val="none"/>
              </w:rPr>
              <w:t>监理服务期：</w:t>
            </w:r>
            <w:r>
              <w:rPr>
                <w:rFonts w:hint="eastAsia" w:ascii="宋体" w:hAnsi="宋体" w:eastAsia="宋体" w:cs="宋体"/>
                <w:color w:val="auto"/>
                <w:kern w:val="21"/>
                <w:sz w:val="24"/>
                <w:szCs w:val="24"/>
                <w:highlight w:val="none"/>
                <w:u w:val="single"/>
                <w:lang w:val="en-US" w:eastAsia="zh-CN"/>
              </w:rPr>
              <w:t>4</w:t>
            </w:r>
            <w:r>
              <w:rPr>
                <w:rFonts w:hint="eastAsia" w:ascii="宋体" w:hAnsi="宋体" w:eastAsia="宋体" w:cs="宋体"/>
                <w:color w:val="auto"/>
                <w:kern w:val="21"/>
                <w:sz w:val="24"/>
                <w:szCs w:val="24"/>
                <w:highlight w:val="none"/>
                <w:u w:val="single"/>
              </w:rPr>
              <w:t>个月</w:t>
            </w:r>
          </w:p>
          <w:p w14:paraId="1E53F591">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其中：</w:t>
            </w:r>
          </w:p>
          <w:p w14:paraId="524CE110">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施工准备阶段：</w:t>
            </w:r>
            <w:r>
              <w:rPr>
                <w:rFonts w:hint="eastAsia" w:ascii="宋体" w:hAnsi="宋体" w:eastAsia="宋体" w:cs="宋体"/>
                <w:color w:val="auto"/>
                <w:kern w:val="21"/>
                <w:sz w:val="24"/>
                <w:szCs w:val="24"/>
                <w:highlight w:val="none"/>
                <w:u w:val="single"/>
              </w:rPr>
              <w:t>1个月</w:t>
            </w:r>
          </w:p>
          <w:p w14:paraId="55110C22">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施工阶段：</w:t>
            </w:r>
            <w:r>
              <w:rPr>
                <w:rFonts w:hint="eastAsia" w:ascii="宋体" w:hAnsi="宋体" w:eastAsia="宋体" w:cs="宋体"/>
                <w:color w:val="auto"/>
                <w:kern w:val="21"/>
                <w:sz w:val="24"/>
                <w:szCs w:val="24"/>
                <w:highlight w:val="none"/>
                <w:u w:val="single"/>
                <w:lang w:val="en-US" w:eastAsia="zh-CN"/>
              </w:rPr>
              <w:t>3</w:t>
            </w:r>
            <w:r>
              <w:rPr>
                <w:rFonts w:hint="eastAsia" w:ascii="宋体" w:hAnsi="宋体" w:eastAsia="宋体" w:cs="宋体"/>
                <w:color w:val="auto"/>
                <w:kern w:val="21"/>
                <w:sz w:val="24"/>
                <w:szCs w:val="24"/>
                <w:highlight w:val="none"/>
                <w:u w:val="single"/>
              </w:rPr>
              <w:t>个月</w:t>
            </w:r>
          </w:p>
          <w:p w14:paraId="73BFA1DD">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交（竣）工验收与缺陷责任期：</w:t>
            </w:r>
            <w:r>
              <w:rPr>
                <w:rFonts w:hint="eastAsia" w:ascii="宋体" w:hAnsi="宋体" w:eastAsia="宋体" w:cs="宋体"/>
                <w:color w:val="auto"/>
                <w:kern w:val="21"/>
                <w:sz w:val="24"/>
                <w:szCs w:val="24"/>
                <w:highlight w:val="none"/>
                <w:u w:val="single"/>
                <w:lang w:val="en-US" w:eastAsia="zh-CN"/>
              </w:rPr>
              <w:t>12</w:t>
            </w:r>
            <w:r>
              <w:rPr>
                <w:rFonts w:hint="eastAsia" w:ascii="宋体" w:hAnsi="宋体" w:eastAsia="宋体" w:cs="宋体"/>
                <w:color w:val="auto"/>
                <w:kern w:val="21"/>
                <w:sz w:val="24"/>
                <w:szCs w:val="24"/>
                <w:highlight w:val="none"/>
                <w:u w:val="single"/>
              </w:rPr>
              <w:t>个月</w:t>
            </w:r>
          </w:p>
        </w:tc>
      </w:tr>
      <w:tr w14:paraId="655E8D14">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B0EC3DA">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EBD5FE7">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w:t>
            </w:r>
            <w:r>
              <w:rPr>
                <w:rFonts w:hint="eastAsia" w:ascii="宋体" w:hAnsi="宋体" w:eastAsia="宋体" w:cs="宋体"/>
                <w:color w:val="auto"/>
                <w:spacing w:val="-3"/>
                <w:sz w:val="24"/>
                <w:szCs w:val="24"/>
                <w:highlight w:val="none"/>
              </w:rPr>
              <w:t>要</w:t>
            </w:r>
            <w:r>
              <w:rPr>
                <w:rFonts w:hint="eastAsia" w:ascii="宋体" w:hAnsi="宋体" w:eastAsia="宋体" w:cs="宋体"/>
                <w:color w:val="auto"/>
                <w:spacing w:val="-2"/>
                <w:sz w:val="24"/>
                <w:szCs w:val="24"/>
                <w:highlight w:val="none"/>
              </w:rPr>
              <w:t>求</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4DE13024">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严格按照施工监理规范开展工作。</w:t>
            </w:r>
          </w:p>
        </w:tc>
      </w:tr>
      <w:tr w14:paraId="2B38A263">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E03C86C">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7FB9A98">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安全目标</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3ACEA66D">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严格执行有关安全生产的法律法规和规章制度</w:t>
            </w:r>
            <w:r>
              <w:rPr>
                <w:rFonts w:hint="eastAsia" w:ascii="宋体" w:hAnsi="宋体" w:eastAsia="宋体" w:cs="宋体"/>
                <w:color w:val="auto"/>
                <w:sz w:val="24"/>
                <w:szCs w:val="24"/>
                <w:highlight w:val="none"/>
                <w:u w:val="single"/>
                <w:lang w:eastAsia="zh-CN"/>
              </w:rPr>
              <w:t>。</w:t>
            </w:r>
          </w:p>
        </w:tc>
      </w:tr>
      <w:tr w14:paraId="799DBA83">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F1FE1AE">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r>
              <w:rPr>
                <w:rFonts w:hint="eastAsia" w:ascii="宋体" w:hAnsi="宋体" w:eastAsia="宋体" w:cs="宋体"/>
                <w:color w:val="auto"/>
                <w:spacing w:val="-3"/>
                <w:sz w:val="24"/>
                <w:szCs w:val="24"/>
                <w:highlight w:val="none"/>
              </w:rPr>
              <w:t>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68EDD41F">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资</w:t>
            </w:r>
            <w:r>
              <w:rPr>
                <w:rFonts w:hint="eastAsia" w:ascii="宋体" w:hAnsi="宋体" w:eastAsia="宋体" w:cs="宋体"/>
                <w:color w:val="auto"/>
                <w:spacing w:val="-3"/>
                <w:sz w:val="24"/>
                <w:szCs w:val="24"/>
                <w:highlight w:val="none"/>
              </w:rPr>
              <w:t>质</w:t>
            </w:r>
            <w:r>
              <w:rPr>
                <w:rFonts w:hint="eastAsia" w:ascii="宋体" w:hAnsi="宋体" w:eastAsia="宋体" w:cs="宋体"/>
                <w:color w:val="auto"/>
                <w:sz w:val="24"/>
                <w:szCs w:val="24"/>
                <w:highlight w:val="none"/>
              </w:rPr>
              <w:t>条</w:t>
            </w:r>
            <w:r>
              <w:rPr>
                <w:rFonts w:hint="eastAsia" w:ascii="宋体" w:hAnsi="宋体" w:eastAsia="宋体" w:cs="宋体"/>
                <w:color w:val="auto"/>
                <w:spacing w:val="-3"/>
                <w:sz w:val="24"/>
                <w:szCs w:val="24"/>
                <w:highlight w:val="none"/>
              </w:rPr>
              <w:t>件</w:t>
            </w:r>
            <w:r>
              <w:rPr>
                <w:rFonts w:hint="eastAsia" w:ascii="宋体" w:hAnsi="宋体" w:eastAsia="宋体" w:cs="宋体"/>
                <w:color w:val="auto"/>
                <w:spacing w:val="-68"/>
                <w:sz w:val="24"/>
                <w:szCs w:val="24"/>
                <w:highlight w:val="none"/>
              </w:rPr>
              <w:t>、</w:t>
            </w:r>
            <w:r>
              <w:rPr>
                <w:rFonts w:hint="eastAsia" w:ascii="宋体" w:hAnsi="宋体" w:eastAsia="宋体" w:cs="宋体"/>
                <w:color w:val="auto"/>
                <w:spacing w:val="-3"/>
                <w:sz w:val="24"/>
                <w:szCs w:val="24"/>
                <w:highlight w:val="none"/>
              </w:rPr>
              <w:t>能</w:t>
            </w:r>
            <w:r>
              <w:rPr>
                <w:rFonts w:hint="eastAsia" w:ascii="宋体" w:hAnsi="宋体" w:eastAsia="宋体" w:cs="宋体"/>
                <w:color w:val="auto"/>
                <w:sz w:val="24"/>
                <w:szCs w:val="24"/>
                <w:highlight w:val="none"/>
              </w:rPr>
              <w:t>力</w:t>
            </w:r>
            <w:r>
              <w:rPr>
                <w:rFonts w:hint="eastAsia" w:ascii="宋体" w:hAnsi="宋体" w:eastAsia="宋体" w:cs="宋体"/>
                <w:color w:val="auto"/>
                <w:spacing w:val="-3"/>
                <w:sz w:val="24"/>
                <w:szCs w:val="24"/>
                <w:highlight w:val="none"/>
              </w:rPr>
              <w:t>和信誉</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9BBCC1C">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w:t>
            </w:r>
            <w:r>
              <w:rPr>
                <w:rFonts w:hint="eastAsia" w:ascii="宋体" w:hAnsi="宋体" w:eastAsia="宋体" w:cs="宋体"/>
                <w:color w:val="auto"/>
                <w:spacing w:val="-3"/>
                <w:sz w:val="24"/>
                <w:szCs w:val="24"/>
                <w:highlight w:val="none"/>
              </w:rPr>
              <w:t>要</w:t>
            </w:r>
            <w:r>
              <w:rPr>
                <w:rFonts w:hint="eastAsia" w:ascii="宋体" w:hAnsi="宋体" w:eastAsia="宋体" w:cs="宋体"/>
                <w:color w:val="auto"/>
                <w:sz w:val="24"/>
                <w:szCs w:val="24"/>
                <w:highlight w:val="none"/>
              </w:rPr>
              <w:t>求</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见</w:t>
            </w:r>
            <w:r>
              <w:rPr>
                <w:rFonts w:hint="eastAsia" w:ascii="宋体" w:hAnsi="宋体" w:eastAsia="宋体" w:cs="宋体"/>
                <w:color w:val="auto"/>
                <w:spacing w:val="-3"/>
                <w:sz w:val="24"/>
                <w:szCs w:val="24"/>
                <w:highlight w:val="none"/>
              </w:rPr>
              <w:t>附</w:t>
            </w:r>
            <w:r>
              <w:rPr>
                <w:rFonts w:hint="eastAsia" w:ascii="宋体" w:hAnsi="宋体" w:eastAsia="宋体" w:cs="宋体"/>
                <w:color w:val="auto"/>
                <w:sz w:val="24"/>
                <w:szCs w:val="24"/>
                <w:highlight w:val="none"/>
              </w:rPr>
              <w:t>录1</w:t>
            </w:r>
          </w:p>
          <w:p w14:paraId="087476C4">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r>
              <w:rPr>
                <w:rFonts w:hint="eastAsia" w:ascii="宋体" w:hAnsi="宋体" w:eastAsia="宋体" w:cs="宋体"/>
                <w:color w:val="auto"/>
                <w:spacing w:val="-3"/>
                <w:sz w:val="24"/>
                <w:szCs w:val="24"/>
                <w:highlight w:val="none"/>
              </w:rPr>
              <w:t>要</w:t>
            </w:r>
            <w:r>
              <w:rPr>
                <w:rFonts w:hint="eastAsia" w:ascii="宋体" w:hAnsi="宋体" w:eastAsia="宋体" w:cs="宋体"/>
                <w:color w:val="auto"/>
                <w:sz w:val="24"/>
                <w:szCs w:val="24"/>
                <w:highlight w:val="none"/>
              </w:rPr>
              <w:t>求</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见</w:t>
            </w:r>
            <w:r>
              <w:rPr>
                <w:rFonts w:hint="eastAsia" w:ascii="宋体" w:hAnsi="宋体" w:eastAsia="宋体" w:cs="宋体"/>
                <w:color w:val="auto"/>
                <w:spacing w:val="-3"/>
                <w:sz w:val="24"/>
                <w:szCs w:val="24"/>
                <w:highlight w:val="none"/>
              </w:rPr>
              <w:t>附</w:t>
            </w:r>
            <w:r>
              <w:rPr>
                <w:rFonts w:hint="eastAsia" w:ascii="宋体" w:hAnsi="宋体" w:eastAsia="宋体" w:cs="宋体"/>
                <w:color w:val="auto"/>
                <w:sz w:val="24"/>
                <w:szCs w:val="24"/>
                <w:highlight w:val="none"/>
              </w:rPr>
              <w:t>录2</w:t>
            </w:r>
          </w:p>
          <w:p w14:paraId="6F24D34A">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信誉</w:t>
            </w:r>
            <w:r>
              <w:rPr>
                <w:rFonts w:hint="eastAsia" w:ascii="宋体" w:hAnsi="宋体" w:eastAsia="宋体" w:cs="宋体"/>
                <w:color w:val="auto"/>
                <w:spacing w:val="-3"/>
                <w:sz w:val="24"/>
                <w:szCs w:val="24"/>
                <w:highlight w:val="none"/>
              </w:rPr>
              <w:t>要</w:t>
            </w:r>
            <w:r>
              <w:rPr>
                <w:rFonts w:hint="eastAsia" w:ascii="宋体" w:hAnsi="宋体" w:eastAsia="宋体" w:cs="宋体"/>
                <w:color w:val="auto"/>
                <w:sz w:val="24"/>
                <w:szCs w:val="24"/>
                <w:highlight w:val="none"/>
              </w:rPr>
              <w:t>求</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见</w:t>
            </w:r>
            <w:r>
              <w:rPr>
                <w:rFonts w:hint="eastAsia" w:ascii="宋体" w:hAnsi="宋体" w:eastAsia="宋体" w:cs="宋体"/>
                <w:color w:val="auto"/>
                <w:spacing w:val="-3"/>
                <w:sz w:val="24"/>
                <w:szCs w:val="24"/>
                <w:highlight w:val="none"/>
              </w:rPr>
              <w:t>附</w:t>
            </w:r>
            <w:r>
              <w:rPr>
                <w:rFonts w:hint="eastAsia" w:ascii="宋体" w:hAnsi="宋体" w:eastAsia="宋体" w:cs="宋体"/>
                <w:color w:val="auto"/>
                <w:sz w:val="24"/>
                <w:szCs w:val="24"/>
                <w:highlight w:val="none"/>
              </w:rPr>
              <w:t>录3</w:t>
            </w:r>
          </w:p>
          <w:p w14:paraId="665E62C6">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总监理工程师或驻地监理工程师资格：</w:t>
            </w:r>
            <w:r>
              <w:rPr>
                <w:rFonts w:hint="eastAsia" w:ascii="宋体" w:hAnsi="宋体" w:eastAsia="宋体" w:cs="宋体"/>
                <w:color w:val="auto"/>
                <w:spacing w:val="-2"/>
                <w:sz w:val="24"/>
                <w:szCs w:val="24"/>
                <w:highlight w:val="none"/>
              </w:rPr>
              <w:t>见</w:t>
            </w:r>
            <w:r>
              <w:rPr>
                <w:rFonts w:hint="eastAsia" w:ascii="宋体" w:hAnsi="宋体" w:eastAsia="宋体" w:cs="宋体"/>
                <w:color w:val="auto"/>
                <w:spacing w:val="-3"/>
                <w:sz w:val="24"/>
                <w:szCs w:val="24"/>
                <w:highlight w:val="none"/>
              </w:rPr>
              <w:t>附</w:t>
            </w:r>
            <w:r>
              <w:rPr>
                <w:rFonts w:hint="eastAsia" w:ascii="宋体" w:hAnsi="宋体" w:eastAsia="宋体" w:cs="宋体"/>
                <w:color w:val="auto"/>
                <w:sz w:val="24"/>
                <w:szCs w:val="24"/>
                <w:highlight w:val="none"/>
              </w:rPr>
              <w:t>录4</w:t>
            </w:r>
          </w:p>
          <w:p w14:paraId="5874ACE3">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r>
              <w:rPr>
                <w:rFonts w:hint="eastAsia" w:ascii="宋体" w:hAnsi="宋体" w:eastAsia="宋体" w:cs="宋体"/>
                <w:color w:val="auto"/>
                <w:spacing w:val="-3"/>
                <w:sz w:val="24"/>
                <w:szCs w:val="24"/>
                <w:highlight w:val="none"/>
              </w:rPr>
              <w:t>要</w:t>
            </w:r>
            <w:r>
              <w:rPr>
                <w:rFonts w:hint="eastAsia" w:ascii="宋体" w:hAnsi="宋体" w:eastAsia="宋体" w:cs="宋体"/>
                <w:color w:val="auto"/>
                <w:sz w:val="24"/>
                <w:szCs w:val="24"/>
                <w:highlight w:val="none"/>
              </w:rPr>
              <w:t>求</w:t>
            </w:r>
            <w:r>
              <w:rPr>
                <w:rFonts w:hint="eastAsia" w:ascii="宋体" w:hAnsi="宋体" w:eastAsia="宋体" w:cs="宋体"/>
                <w:color w:val="auto"/>
                <w:spacing w:val="-3"/>
                <w:sz w:val="24"/>
                <w:szCs w:val="24"/>
                <w:highlight w:val="none"/>
              </w:rPr>
              <w:t>：见投标人须知前附表。</w:t>
            </w:r>
          </w:p>
        </w:tc>
      </w:tr>
      <w:tr w14:paraId="794AF488">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8F22B90">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r>
              <w:rPr>
                <w:rFonts w:hint="eastAsia" w:ascii="宋体" w:hAnsi="宋体" w:eastAsia="宋体" w:cs="宋体"/>
                <w:color w:val="auto"/>
                <w:spacing w:val="-3"/>
                <w:sz w:val="24"/>
                <w:szCs w:val="24"/>
                <w:highlight w:val="none"/>
              </w:rPr>
              <w:t>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D11BEB0">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w:t>
            </w:r>
            <w:r>
              <w:rPr>
                <w:rFonts w:hint="eastAsia" w:ascii="宋体" w:hAnsi="宋体" w:eastAsia="宋体" w:cs="宋体"/>
                <w:color w:val="auto"/>
                <w:spacing w:val="-3"/>
                <w:sz w:val="24"/>
                <w:szCs w:val="24"/>
                <w:highlight w:val="none"/>
              </w:rPr>
              <w:t>接</w:t>
            </w:r>
            <w:r>
              <w:rPr>
                <w:rFonts w:hint="eastAsia" w:ascii="宋体" w:hAnsi="宋体" w:eastAsia="宋体" w:cs="宋体"/>
                <w:color w:val="auto"/>
                <w:sz w:val="24"/>
                <w:szCs w:val="24"/>
                <w:highlight w:val="none"/>
              </w:rPr>
              <w:t>受</w:t>
            </w:r>
            <w:r>
              <w:rPr>
                <w:rFonts w:hint="eastAsia" w:ascii="宋体" w:hAnsi="宋体" w:eastAsia="宋体" w:cs="宋体"/>
                <w:color w:val="auto"/>
                <w:spacing w:val="-3"/>
                <w:sz w:val="24"/>
                <w:szCs w:val="24"/>
                <w:highlight w:val="none"/>
              </w:rPr>
              <w:t>联</w:t>
            </w:r>
            <w:r>
              <w:rPr>
                <w:rFonts w:hint="eastAsia" w:ascii="宋体" w:hAnsi="宋体" w:eastAsia="宋体" w:cs="宋体"/>
                <w:color w:val="auto"/>
                <w:sz w:val="24"/>
                <w:szCs w:val="24"/>
                <w:highlight w:val="none"/>
              </w:rPr>
              <w:t>合</w:t>
            </w:r>
            <w:r>
              <w:rPr>
                <w:rFonts w:hint="eastAsia" w:ascii="宋体" w:hAnsi="宋体" w:eastAsia="宋体" w:cs="宋体"/>
                <w:color w:val="auto"/>
                <w:spacing w:val="-3"/>
                <w:sz w:val="24"/>
                <w:szCs w:val="24"/>
                <w:highlight w:val="none"/>
              </w:rPr>
              <w:t>体</w:t>
            </w:r>
            <w:r>
              <w:rPr>
                <w:rFonts w:hint="eastAsia" w:ascii="宋体" w:hAnsi="宋体" w:eastAsia="宋体" w:cs="宋体"/>
                <w:color w:val="auto"/>
                <w:sz w:val="24"/>
                <w:szCs w:val="24"/>
                <w:highlight w:val="none"/>
              </w:rPr>
              <w:t>投标</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C0C1930">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不接受</w:t>
            </w:r>
          </w:p>
          <w:p w14:paraId="4ABB6B12">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接受，</w:t>
            </w:r>
            <w:r>
              <w:rPr>
                <w:rFonts w:hint="eastAsia" w:ascii="宋体" w:hAnsi="宋体" w:eastAsia="宋体" w:cs="宋体"/>
                <w:color w:val="auto"/>
                <w:spacing w:val="-3"/>
                <w:sz w:val="24"/>
                <w:szCs w:val="24"/>
                <w:highlight w:val="none"/>
              </w:rPr>
              <w:t>应</w:t>
            </w:r>
            <w:r>
              <w:rPr>
                <w:rFonts w:hint="eastAsia" w:ascii="宋体" w:hAnsi="宋体" w:eastAsia="宋体" w:cs="宋体"/>
                <w:color w:val="auto"/>
                <w:sz w:val="24"/>
                <w:szCs w:val="24"/>
                <w:highlight w:val="none"/>
              </w:rPr>
              <w:t>满</w:t>
            </w:r>
            <w:r>
              <w:rPr>
                <w:rFonts w:hint="eastAsia" w:ascii="宋体" w:hAnsi="宋体" w:eastAsia="宋体" w:cs="宋体"/>
                <w:color w:val="auto"/>
                <w:spacing w:val="-3"/>
                <w:sz w:val="24"/>
                <w:szCs w:val="24"/>
                <w:highlight w:val="none"/>
              </w:rPr>
              <w:t>足</w:t>
            </w:r>
            <w:r>
              <w:rPr>
                <w:rFonts w:hint="eastAsia" w:ascii="宋体" w:hAnsi="宋体" w:eastAsia="宋体" w:cs="宋体"/>
                <w:color w:val="auto"/>
                <w:sz w:val="24"/>
                <w:szCs w:val="24"/>
                <w:highlight w:val="none"/>
              </w:rPr>
              <w:t>下</w:t>
            </w:r>
            <w:r>
              <w:rPr>
                <w:rFonts w:hint="eastAsia" w:ascii="宋体" w:hAnsi="宋体" w:eastAsia="宋体" w:cs="宋体"/>
                <w:color w:val="auto"/>
                <w:spacing w:val="-3"/>
                <w:sz w:val="24"/>
                <w:szCs w:val="24"/>
                <w:highlight w:val="none"/>
              </w:rPr>
              <w:t>列</w:t>
            </w:r>
            <w:r>
              <w:rPr>
                <w:rFonts w:hint="eastAsia" w:ascii="宋体" w:hAnsi="宋体" w:eastAsia="宋体" w:cs="宋体"/>
                <w:color w:val="auto"/>
                <w:sz w:val="24"/>
                <w:szCs w:val="24"/>
                <w:highlight w:val="none"/>
              </w:rPr>
              <w:t>要</w:t>
            </w:r>
            <w:r>
              <w:rPr>
                <w:rFonts w:hint="eastAsia" w:ascii="宋体" w:hAnsi="宋体" w:eastAsia="宋体" w:cs="宋体"/>
                <w:color w:val="auto"/>
                <w:spacing w:val="-3"/>
                <w:sz w:val="24"/>
                <w:szCs w:val="24"/>
                <w:highlight w:val="none"/>
              </w:rPr>
              <w:t>求</w:t>
            </w:r>
            <w:r>
              <w:rPr>
                <w:rFonts w:hint="eastAsia" w:ascii="宋体" w:hAnsi="宋体" w:eastAsia="宋体" w:cs="宋体"/>
                <w:color w:val="auto"/>
                <w:sz w:val="24"/>
                <w:szCs w:val="24"/>
                <w:highlight w:val="none"/>
              </w:rPr>
              <w:t>：</w:t>
            </w:r>
          </w:p>
          <w:p w14:paraId="4F179C8E">
            <w:pPr>
              <w:pStyle w:val="30"/>
              <w:keepNext w:val="0"/>
              <w:keepLines w:val="0"/>
              <w:pageBreakBefore w:val="0"/>
              <w:tabs>
                <w:tab w:val="left" w:pos="4305"/>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联</w:t>
            </w:r>
            <w:r>
              <w:rPr>
                <w:rFonts w:hint="eastAsia" w:ascii="宋体" w:hAnsi="宋体" w:eastAsia="宋体" w:cs="宋体"/>
                <w:color w:val="auto"/>
                <w:spacing w:val="-3"/>
                <w:sz w:val="24"/>
                <w:szCs w:val="24"/>
                <w:highlight w:val="none"/>
              </w:rPr>
              <w:t>合</w:t>
            </w:r>
            <w:r>
              <w:rPr>
                <w:rFonts w:hint="eastAsia" w:ascii="宋体" w:hAnsi="宋体" w:eastAsia="宋体" w:cs="宋体"/>
                <w:color w:val="auto"/>
                <w:sz w:val="24"/>
                <w:szCs w:val="24"/>
                <w:highlight w:val="none"/>
              </w:rPr>
              <w:t>体</w:t>
            </w:r>
            <w:r>
              <w:rPr>
                <w:rFonts w:hint="eastAsia" w:ascii="宋体" w:hAnsi="宋体" w:eastAsia="宋体" w:cs="宋体"/>
                <w:color w:val="auto"/>
                <w:spacing w:val="-3"/>
                <w:sz w:val="24"/>
                <w:szCs w:val="24"/>
                <w:highlight w:val="none"/>
              </w:rPr>
              <w:t>所</w:t>
            </w:r>
            <w:r>
              <w:rPr>
                <w:rFonts w:hint="eastAsia" w:ascii="宋体" w:hAnsi="宋体" w:eastAsia="宋体" w:cs="宋体"/>
                <w:color w:val="auto"/>
                <w:sz w:val="24"/>
                <w:szCs w:val="24"/>
                <w:highlight w:val="none"/>
              </w:rPr>
              <w:t>有</w:t>
            </w:r>
            <w:r>
              <w:rPr>
                <w:rFonts w:hint="eastAsia" w:ascii="宋体" w:hAnsi="宋体" w:eastAsia="宋体" w:cs="宋体"/>
                <w:color w:val="auto"/>
                <w:spacing w:val="-3"/>
                <w:sz w:val="24"/>
                <w:szCs w:val="24"/>
                <w:highlight w:val="none"/>
              </w:rPr>
              <w:t>成</w:t>
            </w:r>
            <w:r>
              <w:rPr>
                <w:rFonts w:hint="eastAsia" w:ascii="宋体" w:hAnsi="宋体" w:eastAsia="宋体" w:cs="宋体"/>
                <w:color w:val="auto"/>
                <w:sz w:val="24"/>
                <w:szCs w:val="24"/>
                <w:highlight w:val="none"/>
              </w:rPr>
              <w:t>员</w:t>
            </w:r>
            <w:r>
              <w:rPr>
                <w:rFonts w:hint="eastAsia" w:ascii="宋体" w:hAnsi="宋体" w:eastAsia="宋体" w:cs="宋体"/>
                <w:color w:val="auto"/>
                <w:spacing w:val="-3"/>
                <w:sz w:val="24"/>
                <w:szCs w:val="24"/>
                <w:highlight w:val="none"/>
              </w:rPr>
              <w:t>数量</w:t>
            </w:r>
            <w:r>
              <w:rPr>
                <w:rFonts w:hint="eastAsia" w:ascii="宋体" w:hAnsi="宋体" w:eastAsia="宋体" w:cs="宋体"/>
                <w:color w:val="auto"/>
                <w:sz w:val="24"/>
                <w:szCs w:val="24"/>
                <w:highlight w:val="none"/>
              </w:rPr>
              <w:t>不得</w:t>
            </w:r>
            <w:r>
              <w:rPr>
                <w:rFonts w:hint="eastAsia" w:ascii="宋体" w:hAnsi="宋体" w:eastAsia="宋体" w:cs="宋体"/>
                <w:color w:val="auto"/>
                <w:spacing w:val="-3"/>
                <w:sz w:val="24"/>
                <w:szCs w:val="24"/>
                <w:highlight w:val="none"/>
              </w:rPr>
              <w:t>超</w:t>
            </w:r>
            <w:r>
              <w:rPr>
                <w:rFonts w:hint="eastAsia" w:ascii="宋体" w:hAnsi="宋体" w:eastAsia="宋体" w:cs="宋体"/>
                <w:color w:val="auto"/>
                <w:sz w:val="24"/>
                <w:szCs w:val="24"/>
                <w:highlight w:val="none"/>
              </w:rPr>
              <w:t>过</w:t>
            </w:r>
            <w:r>
              <w:rPr>
                <w:rFonts w:hint="eastAsia" w:ascii="宋体" w:hAnsi="宋体" w:eastAsia="宋体" w:cs="宋体"/>
                <w:color w:val="auto"/>
                <w:kern w:val="21"/>
                <w:sz w:val="24"/>
                <w:szCs w:val="24"/>
                <w:highlight w:val="none"/>
                <w:u w:val="single"/>
              </w:rPr>
              <w:t>/</w:t>
            </w:r>
            <w:r>
              <w:rPr>
                <w:rFonts w:hint="eastAsia" w:ascii="宋体" w:hAnsi="宋体" w:eastAsia="宋体" w:cs="宋体"/>
                <w:color w:val="auto"/>
                <w:spacing w:val="-3"/>
                <w:sz w:val="24"/>
                <w:szCs w:val="24"/>
                <w:highlight w:val="none"/>
              </w:rPr>
              <w:t>家；</w:t>
            </w:r>
          </w:p>
          <w:p w14:paraId="5941CBD5">
            <w:pPr>
              <w:pStyle w:val="30"/>
              <w:keepNext w:val="0"/>
              <w:keepLines w:val="0"/>
              <w:pageBreakBefore w:val="0"/>
              <w:tabs>
                <w:tab w:val="left" w:pos="3990"/>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联</w:t>
            </w:r>
            <w:r>
              <w:rPr>
                <w:rFonts w:hint="eastAsia" w:ascii="宋体" w:hAnsi="宋体" w:eastAsia="宋体" w:cs="宋体"/>
                <w:color w:val="auto"/>
                <w:spacing w:val="-3"/>
                <w:sz w:val="24"/>
                <w:szCs w:val="24"/>
                <w:highlight w:val="none"/>
              </w:rPr>
              <w:t>合</w:t>
            </w:r>
            <w:r>
              <w:rPr>
                <w:rFonts w:hint="eastAsia" w:ascii="宋体" w:hAnsi="宋体" w:eastAsia="宋体" w:cs="宋体"/>
                <w:color w:val="auto"/>
                <w:sz w:val="24"/>
                <w:szCs w:val="24"/>
                <w:highlight w:val="none"/>
              </w:rPr>
              <w:t>体</w:t>
            </w:r>
            <w:r>
              <w:rPr>
                <w:rFonts w:hint="eastAsia" w:ascii="宋体" w:hAnsi="宋体" w:eastAsia="宋体" w:cs="宋体"/>
                <w:color w:val="auto"/>
                <w:spacing w:val="-3"/>
                <w:sz w:val="24"/>
                <w:szCs w:val="24"/>
                <w:highlight w:val="none"/>
              </w:rPr>
              <w:t>牵</w:t>
            </w:r>
            <w:r>
              <w:rPr>
                <w:rFonts w:hint="eastAsia" w:ascii="宋体" w:hAnsi="宋体" w:eastAsia="宋体" w:cs="宋体"/>
                <w:color w:val="auto"/>
                <w:sz w:val="24"/>
                <w:szCs w:val="24"/>
                <w:highlight w:val="none"/>
              </w:rPr>
              <w:t>头</w:t>
            </w:r>
            <w:r>
              <w:rPr>
                <w:rFonts w:hint="eastAsia" w:ascii="宋体" w:hAnsi="宋体" w:eastAsia="宋体" w:cs="宋体"/>
                <w:color w:val="auto"/>
                <w:spacing w:val="-3"/>
                <w:sz w:val="24"/>
                <w:szCs w:val="24"/>
                <w:highlight w:val="none"/>
              </w:rPr>
              <w:t>人</w:t>
            </w:r>
            <w:r>
              <w:rPr>
                <w:rFonts w:hint="eastAsia" w:ascii="宋体" w:hAnsi="宋体" w:eastAsia="宋体" w:cs="宋体"/>
                <w:color w:val="auto"/>
                <w:spacing w:val="-1"/>
                <w:sz w:val="24"/>
                <w:szCs w:val="24"/>
                <w:highlight w:val="none"/>
              </w:rPr>
              <w:t>应</w:t>
            </w:r>
            <w:r>
              <w:rPr>
                <w:rFonts w:hint="eastAsia" w:ascii="宋体" w:hAnsi="宋体" w:eastAsia="宋体" w:cs="宋体"/>
                <w:color w:val="auto"/>
                <w:spacing w:val="-3"/>
                <w:sz w:val="24"/>
                <w:szCs w:val="24"/>
                <w:highlight w:val="none"/>
              </w:rPr>
              <w:t>具有</w:t>
            </w:r>
            <w:r>
              <w:rPr>
                <w:rFonts w:hint="eastAsia" w:ascii="宋体" w:hAnsi="宋体" w:eastAsia="宋体" w:cs="宋体"/>
                <w:color w:val="auto"/>
                <w:kern w:val="21"/>
                <w:sz w:val="24"/>
                <w:szCs w:val="24"/>
                <w:highlight w:val="none"/>
                <w:u w:val="single"/>
              </w:rPr>
              <w:t>/</w:t>
            </w:r>
            <w:r>
              <w:rPr>
                <w:rFonts w:hint="eastAsia" w:ascii="宋体" w:hAnsi="宋体" w:eastAsia="宋体" w:cs="宋体"/>
                <w:color w:val="auto"/>
                <w:spacing w:val="-3"/>
                <w:sz w:val="24"/>
                <w:szCs w:val="24"/>
                <w:highlight w:val="none"/>
              </w:rPr>
              <w:t>资</w:t>
            </w:r>
            <w:r>
              <w:rPr>
                <w:rFonts w:hint="eastAsia" w:ascii="宋体" w:hAnsi="宋体" w:eastAsia="宋体" w:cs="宋体"/>
                <w:color w:val="auto"/>
                <w:sz w:val="24"/>
                <w:szCs w:val="24"/>
                <w:highlight w:val="none"/>
              </w:rPr>
              <w:t>质；</w:t>
            </w:r>
          </w:p>
        </w:tc>
      </w:tr>
      <w:tr w14:paraId="35EEADE9">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74CA344">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45DEF0A">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不</w:t>
            </w:r>
            <w:r>
              <w:rPr>
                <w:rFonts w:hint="eastAsia" w:ascii="宋体" w:hAnsi="宋体" w:eastAsia="宋体" w:cs="宋体"/>
                <w:color w:val="auto"/>
                <w:spacing w:val="-3"/>
                <w:sz w:val="24"/>
                <w:szCs w:val="24"/>
                <w:highlight w:val="none"/>
              </w:rPr>
              <w:t>得</w:t>
            </w:r>
            <w:r>
              <w:rPr>
                <w:rFonts w:hint="eastAsia" w:ascii="宋体" w:hAnsi="宋体" w:eastAsia="宋体" w:cs="宋体"/>
                <w:color w:val="auto"/>
                <w:sz w:val="24"/>
                <w:szCs w:val="24"/>
                <w:highlight w:val="none"/>
              </w:rPr>
              <w:t>存</w:t>
            </w:r>
            <w:r>
              <w:rPr>
                <w:rFonts w:hint="eastAsia" w:ascii="宋体" w:hAnsi="宋体" w:eastAsia="宋体" w:cs="宋体"/>
                <w:color w:val="auto"/>
                <w:spacing w:val="-3"/>
                <w:sz w:val="24"/>
                <w:szCs w:val="24"/>
                <w:highlight w:val="none"/>
              </w:rPr>
              <w:t>在</w:t>
            </w:r>
            <w:r>
              <w:rPr>
                <w:rFonts w:hint="eastAsia" w:ascii="宋体" w:hAnsi="宋体" w:eastAsia="宋体" w:cs="宋体"/>
                <w:color w:val="auto"/>
                <w:sz w:val="24"/>
                <w:szCs w:val="24"/>
                <w:highlight w:val="none"/>
              </w:rPr>
              <w:t>的</w:t>
            </w:r>
            <w:r>
              <w:rPr>
                <w:rFonts w:hint="eastAsia" w:ascii="宋体" w:hAnsi="宋体" w:eastAsia="宋体" w:cs="宋体"/>
                <w:color w:val="auto"/>
                <w:spacing w:val="-3"/>
                <w:sz w:val="24"/>
                <w:szCs w:val="24"/>
                <w:highlight w:val="none"/>
              </w:rPr>
              <w:t>其</w:t>
            </w:r>
            <w:r>
              <w:rPr>
                <w:rFonts w:hint="eastAsia" w:ascii="宋体" w:hAnsi="宋体" w:eastAsia="宋体" w:cs="宋体"/>
                <w:color w:val="auto"/>
                <w:sz w:val="24"/>
                <w:szCs w:val="24"/>
                <w:highlight w:val="none"/>
              </w:rPr>
              <w:t>他</w:t>
            </w:r>
            <w:r>
              <w:rPr>
                <w:rFonts w:hint="eastAsia" w:ascii="宋体" w:hAnsi="宋体" w:eastAsia="宋体" w:cs="宋体"/>
                <w:color w:val="auto"/>
                <w:spacing w:val="-3"/>
                <w:sz w:val="24"/>
                <w:szCs w:val="24"/>
                <w:highlight w:val="none"/>
              </w:rPr>
              <w:t>关</w:t>
            </w:r>
            <w:r>
              <w:rPr>
                <w:rFonts w:hint="eastAsia" w:ascii="宋体" w:hAnsi="宋体" w:eastAsia="宋体" w:cs="宋体"/>
                <w:color w:val="auto"/>
                <w:sz w:val="24"/>
                <w:szCs w:val="24"/>
                <w:highlight w:val="none"/>
              </w:rPr>
              <w:t>联情形</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66A847E1">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r>
      <w:tr w14:paraId="6D8A4453">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6A06BE0">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4</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4B3420BA">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不</w:t>
            </w:r>
            <w:r>
              <w:rPr>
                <w:rFonts w:hint="eastAsia" w:ascii="宋体" w:hAnsi="宋体" w:eastAsia="宋体" w:cs="宋体"/>
                <w:color w:val="auto"/>
                <w:spacing w:val="-3"/>
                <w:sz w:val="24"/>
                <w:szCs w:val="24"/>
                <w:highlight w:val="none"/>
              </w:rPr>
              <w:t>得</w:t>
            </w:r>
            <w:r>
              <w:rPr>
                <w:rFonts w:hint="eastAsia" w:ascii="宋体" w:hAnsi="宋体" w:eastAsia="宋体" w:cs="宋体"/>
                <w:color w:val="auto"/>
                <w:sz w:val="24"/>
                <w:szCs w:val="24"/>
                <w:highlight w:val="none"/>
              </w:rPr>
              <w:t>存</w:t>
            </w:r>
            <w:r>
              <w:rPr>
                <w:rFonts w:hint="eastAsia" w:ascii="宋体" w:hAnsi="宋体" w:eastAsia="宋体" w:cs="宋体"/>
                <w:color w:val="auto"/>
                <w:spacing w:val="-3"/>
                <w:sz w:val="24"/>
                <w:szCs w:val="24"/>
                <w:highlight w:val="none"/>
              </w:rPr>
              <w:t>在</w:t>
            </w:r>
            <w:r>
              <w:rPr>
                <w:rFonts w:hint="eastAsia" w:ascii="宋体" w:hAnsi="宋体" w:eastAsia="宋体" w:cs="宋体"/>
                <w:color w:val="auto"/>
                <w:sz w:val="24"/>
                <w:szCs w:val="24"/>
                <w:highlight w:val="none"/>
              </w:rPr>
              <w:t>的</w:t>
            </w:r>
            <w:r>
              <w:rPr>
                <w:rFonts w:hint="eastAsia" w:ascii="宋体" w:hAnsi="宋体" w:eastAsia="宋体" w:cs="宋体"/>
                <w:color w:val="auto"/>
                <w:spacing w:val="-3"/>
                <w:sz w:val="24"/>
                <w:szCs w:val="24"/>
                <w:highlight w:val="none"/>
              </w:rPr>
              <w:t>其</w:t>
            </w:r>
            <w:r>
              <w:rPr>
                <w:rFonts w:hint="eastAsia" w:ascii="宋体" w:hAnsi="宋体" w:eastAsia="宋体" w:cs="宋体"/>
                <w:color w:val="auto"/>
                <w:sz w:val="24"/>
                <w:szCs w:val="24"/>
                <w:highlight w:val="none"/>
              </w:rPr>
              <w:t>他</w:t>
            </w:r>
            <w:r>
              <w:rPr>
                <w:rFonts w:hint="eastAsia" w:ascii="宋体" w:hAnsi="宋体" w:eastAsia="宋体" w:cs="宋体"/>
                <w:color w:val="auto"/>
                <w:spacing w:val="-3"/>
                <w:sz w:val="24"/>
                <w:szCs w:val="24"/>
                <w:highlight w:val="none"/>
              </w:rPr>
              <w:t>不良</w:t>
            </w:r>
            <w:r>
              <w:rPr>
                <w:rFonts w:hint="eastAsia" w:ascii="宋体" w:hAnsi="宋体" w:eastAsia="宋体" w:cs="宋体"/>
                <w:color w:val="auto"/>
                <w:sz w:val="24"/>
                <w:szCs w:val="24"/>
                <w:highlight w:val="none"/>
              </w:rPr>
              <w:t>状况</w:t>
            </w:r>
            <w:r>
              <w:rPr>
                <w:rFonts w:hint="eastAsia" w:ascii="宋体" w:hAnsi="宋体" w:eastAsia="宋体" w:cs="宋体"/>
                <w:color w:val="auto"/>
                <w:spacing w:val="-3"/>
                <w:sz w:val="24"/>
                <w:szCs w:val="24"/>
                <w:highlight w:val="none"/>
              </w:rPr>
              <w:t>或</w:t>
            </w:r>
            <w:r>
              <w:rPr>
                <w:rFonts w:hint="eastAsia" w:ascii="宋体" w:hAnsi="宋体" w:eastAsia="宋体" w:cs="宋体"/>
                <w:color w:val="auto"/>
                <w:sz w:val="24"/>
                <w:szCs w:val="24"/>
                <w:highlight w:val="none"/>
              </w:rPr>
              <w:t>不</w:t>
            </w:r>
            <w:r>
              <w:rPr>
                <w:rFonts w:hint="eastAsia" w:ascii="宋体" w:hAnsi="宋体" w:eastAsia="宋体" w:cs="宋体"/>
                <w:color w:val="auto"/>
                <w:spacing w:val="-3"/>
                <w:sz w:val="24"/>
                <w:szCs w:val="24"/>
                <w:highlight w:val="none"/>
              </w:rPr>
              <w:t>良</w:t>
            </w:r>
            <w:r>
              <w:rPr>
                <w:rFonts w:hint="eastAsia" w:ascii="宋体" w:hAnsi="宋体" w:eastAsia="宋体" w:cs="宋体"/>
                <w:color w:val="auto"/>
                <w:sz w:val="24"/>
                <w:szCs w:val="24"/>
                <w:highlight w:val="none"/>
              </w:rPr>
              <w:t>信</w:t>
            </w:r>
            <w:r>
              <w:rPr>
                <w:rFonts w:hint="eastAsia" w:ascii="宋体" w:hAnsi="宋体" w:eastAsia="宋体" w:cs="宋体"/>
                <w:color w:val="auto"/>
                <w:spacing w:val="-2"/>
                <w:sz w:val="24"/>
                <w:szCs w:val="24"/>
                <w:highlight w:val="none"/>
              </w:rPr>
              <w:t>用</w:t>
            </w:r>
            <w:r>
              <w:rPr>
                <w:rFonts w:hint="eastAsia" w:ascii="宋体" w:hAnsi="宋体" w:eastAsia="宋体" w:cs="宋体"/>
                <w:color w:val="auto"/>
                <w:sz w:val="24"/>
                <w:szCs w:val="24"/>
                <w:highlight w:val="none"/>
              </w:rPr>
              <w:t>记录</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F1B3EA8">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r>
      <w:tr w14:paraId="2D509BB9">
        <w:tblPrEx>
          <w:tblCellMar>
            <w:top w:w="0" w:type="dxa"/>
            <w:left w:w="108" w:type="dxa"/>
            <w:bottom w:w="0" w:type="dxa"/>
            <w:right w:w="108" w:type="dxa"/>
          </w:tblCellMar>
        </w:tblPrEx>
        <w:trPr>
          <w:trHeight w:val="0" w:hRule="atLeast"/>
        </w:trPr>
        <w:tc>
          <w:tcPr>
            <w:tcW w:w="983" w:type="dxa"/>
            <w:vMerge w:val="restart"/>
            <w:tcBorders>
              <w:top w:val="single" w:color="000000" w:sz="4" w:space="0"/>
              <w:left w:val="single" w:color="000000" w:sz="4" w:space="0"/>
              <w:bottom w:val="single" w:color="000000" w:sz="4" w:space="0"/>
              <w:right w:val="single" w:color="000000" w:sz="4" w:space="0"/>
            </w:tcBorders>
            <w:noWrap w:val="0"/>
            <w:vAlign w:val="center"/>
          </w:tcPr>
          <w:p w14:paraId="0B084AF8">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1.10.2</w:t>
            </w:r>
          </w:p>
        </w:tc>
        <w:tc>
          <w:tcPr>
            <w:tcW w:w="2371" w:type="dxa"/>
            <w:vMerge w:val="restart"/>
            <w:tcBorders>
              <w:top w:val="single" w:color="000000" w:sz="4" w:space="0"/>
              <w:left w:val="single" w:color="000000" w:sz="4" w:space="0"/>
              <w:bottom w:val="single" w:color="000000" w:sz="4" w:space="0"/>
              <w:right w:val="single" w:color="000000" w:sz="4" w:space="0"/>
            </w:tcBorders>
            <w:noWrap w:val="0"/>
            <w:vAlign w:val="center"/>
          </w:tcPr>
          <w:p w14:paraId="2C857382">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在</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预</w:t>
            </w:r>
            <w:r>
              <w:rPr>
                <w:rFonts w:hint="eastAsia" w:ascii="宋体" w:hAnsi="宋体" w:eastAsia="宋体" w:cs="宋体"/>
                <w:color w:val="auto"/>
                <w:sz w:val="24"/>
                <w:szCs w:val="24"/>
                <w:highlight w:val="none"/>
              </w:rPr>
              <w:t>备</w:t>
            </w:r>
            <w:r>
              <w:rPr>
                <w:rFonts w:hint="eastAsia" w:ascii="宋体" w:hAnsi="宋体" w:eastAsia="宋体" w:cs="宋体"/>
                <w:color w:val="auto"/>
                <w:spacing w:val="-3"/>
                <w:sz w:val="24"/>
                <w:szCs w:val="24"/>
                <w:highlight w:val="none"/>
              </w:rPr>
              <w:t>会</w:t>
            </w:r>
            <w:r>
              <w:rPr>
                <w:rFonts w:hint="eastAsia" w:ascii="宋体" w:hAnsi="宋体" w:eastAsia="宋体" w:cs="宋体"/>
                <w:color w:val="auto"/>
                <w:sz w:val="24"/>
                <w:szCs w:val="24"/>
                <w:highlight w:val="none"/>
              </w:rPr>
              <w:t>前</w:t>
            </w:r>
            <w:r>
              <w:rPr>
                <w:rFonts w:hint="eastAsia" w:ascii="宋体" w:hAnsi="宋体" w:eastAsia="宋体" w:cs="宋体"/>
                <w:color w:val="auto"/>
                <w:spacing w:val="-3"/>
                <w:sz w:val="24"/>
                <w:szCs w:val="24"/>
                <w:highlight w:val="none"/>
              </w:rPr>
              <w:t>提</w:t>
            </w:r>
            <w:r>
              <w:rPr>
                <w:rFonts w:hint="eastAsia" w:ascii="宋体" w:hAnsi="宋体" w:eastAsia="宋体" w:cs="宋体"/>
                <w:color w:val="auto"/>
                <w:sz w:val="24"/>
                <w:szCs w:val="24"/>
                <w:highlight w:val="none"/>
              </w:rPr>
              <w:t>出问题</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A03EEC6">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r>
      <w:tr w14:paraId="40218208">
        <w:tblPrEx>
          <w:tblCellMar>
            <w:top w:w="0" w:type="dxa"/>
            <w:left w:w="108" w:type="dxa"/>
            <w:bottom w:w="0" w:type="dxa"/>
            <w:right w:w="108" w:type="dxa"/>
          </w:tblCellMar>
        </w:tblPrEx>
        <w:trPr>
          <w:trHeight w:val="0" w:hRule="atLeast"/>
        </w:trPr>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31B834">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p>
        </w:tc>
        <w:tc>
          <w:tcPr>
            <w:tcW w:w="23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AB9D04">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50F856D3">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w:t>
            </w:r>
          </w:p>
        </w:tc>
      </w:tr>
      <w:tr w14:paraId="60AF39C3">
        <w:tblPrEx>
          <w:tblCellMar>
            <w:top w:w="0" w:type="dxa"/>
            <w:left w:w="108" w:type="dxa"/>
            <w:bottom w:w="0" w:type="dxa"/>
            <w:right w:w="108" w:type="dxa"/>
          </w:tblCellMar>
        </w:tblPrEx>
        <w:trPr>
          <w:trHeight w:val="94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7DB2A43">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E0C0B95">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构成</w:t>
            </w:r>
            <w:r>
              <w:rPr>
                <w:rFonts w:hint="eastAsia" w:ascii="宋体" w:hAnsi="宋体" w:eastAsia="宋体" w:cs="宋体"/>
                <w:color w:val="auto"/>
                <w:spacing w:val="-3"/>
                <w:sz w:val="24"/>
                <w:szCs w:val="24"/>
                <w:highlight w:val="none"/>
              </w:rPr>
              <w:t>招</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其</w:t>
            </w:r>
            <w:r>
              <w:rPr>
                <w:rFonts w:hint="eastAsia" w:ascii="宋体" w:hAnsi="宋体" w:eastAsia="宋体" w:cs="宋体"/>
                <w:color w:val="auto"/>
                <w:spacing w:val="-3"/>
                <w:sz w:val="24"/>
                <w:szCs w:val="24"/>
                <w:highlight w:val="none"/>
              </w:rPr>
              <w:t>他</w:t>
            </w:r>
            <w:r>
              <w:rPr>
                <w:rFonts w:hint="eastAsia" w:ascii="宋体" w:hAnsi="宋体" w:eastAsia="宋体" w:cs="宋体"/>
                <w:color w:val="auto"/>
                <w:sz w:val="24"/>
                <w:szCs w:val="24"/>
                <w:highlight w:val="none"/>
              </w:rPr>
              <w:t>资料</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B75180B">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招标文件所附的其他资料</w:t>
            </w:r>
          </w:p>
        </w:tc>
      </w:tr>
      <w:tr w14:paraId="0560AE0B">
        <w:tblPrEx>
          <w:tblCellMar>
            <w:top w:w="0" w:type="dxa"/>
            <w:left w:w="108" w:type="dxa"/>
            <w:bottom w:w="0" w:type="dxa"/>
            <w:right w:w="108" w:type="dxa"/>
          </w:tblCellMar>
        </w:tblPrEx>
        <w:trPr>
          <w:trHeight w:val="0" w:hRule="atLeast"/>
        </w:trPr>
        <w:tc>
          <w:tcPr>
            <w:tcW w:w="983" w:type="dxa"/>
            <w:vMerge w:val="restart"/>
            <w:tcBorders>
              <w:top w:val="single" w:color="000000" w:sz="4" w:space="0"/>
              <w:left w:val="single" w:color="000000" w:sz="4" w:space="0"/>
              <w:right w:val="single" w:color="000000" w:sz="4" w:space="0"/>
            </w:tcBorders>
            <w:noWrap w:val="0"/>
            <w:vAlign w:val="center"/>
          </w:tcPr>
          <w:p w14:paraId="30349A58">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2371" w:type="dxa"/>
            <w:vMerge w:val="restart"/>
            <w:tcBorders>
              <w:top w:val="single" w:color="000000" w:sz="4" w:space="0"/>
              <w:left w:val="single" w:color="000000" w:sz="4" w:space="0"/>
              <w:right w:val="single" w:color="000000" w:sz="4" w:space="0"/>
            </w:tcBorders>
            <w:noWrap w:val="0"/>
            <w:vAlign w:val="center"/>
          </w:tcPr>
          <w:p w14:paraId="0DCBC0D9">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要</w:t>
            </w:r>
            <w:r>
              <w:rPr>
                <w:rFonts w:hint="eastAsia" w:ascii="宋体" w:hAnsi="宋体" w:eastAsia="宋体" w:cs="宋体"/>
                <w:color w:val="auto"/>
                <w:spacing w:val="-3"/>
                <w:sz w:val="24"/>
                <w:szCs w:val="24"/>
                <w:highlight w:val="none"/>
              </w:rPr>
              <w:t>求</w:t>
            </w:r>
            <w:r>
              <w:rPr>
                <w:rFonts w:hint="eastAsia" w:ascii="宋体" w:hAnsi="宋体" w:eastAsia="宋体" w:cs="宋体"/>
                <w:color w:val="auto"/>
                <w:sz w:val="24"/>
                <w:szCs w:val="24"/>
                <w:highlight w:val="none"/>
              </w:rPr>
              <w:t>澄</w:t>
            </w:r>
            <w:r>
              <w:rPr>
                <w:rFonts w:hint="eastAsia" w:ascii="宋体" w:hAnsi="宋体" w:eastAsia="宋体" w:cs="宋体"/>
                <w:color w:val="auto"/>
                <w:spacing w:val="-3"/>
                <w:sz w:val="24"/>
                <w:szCs w:val="24"/>
                <w:highlight w:val="none"/>
              </w:rPr>
              <w:t>清</w:t>
            </w:r>
            <w:r>
              <w:rPr>
                <w:rFonts w:hint="eastAsia" w:ascii="宋体" w:hAnsi="宋体" w:eastAsia="宋体" w:cs="宋体"/>
                <w:color w:val="auto"/>
                <w:sz w:val="24"/>
                <w:szCs w:val="24"/>
                <w:highlight w:val="none"/>
              </w:rPr>
              <w:t>招</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文件</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BA36CB6">
            <w:pPr>
              <w:pStyle w:val="30"/>
              <w:keepNext w:val="0"/>
              <w:keepLines w:val="0"/>
              <w:pageBreakBefore w:val="0"/>
              <w:tabs>
                <w:tab w:val="left" w:pos="1153"/>
                <w:tab w:val="left" w:pos="1888"/>
                <w:tab w:val="left" w:pos="2516"/>
                <w:tab w:val="left" w:pos="3148"/>
                <w:tab w:val="left" w:pos="3779"/>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时间</w:t>
            </w:r>
            <w:r>
              <w:rPr>
                <w:rFonts w:hint="eastAsia" w:ascii="宋体" w:hAnsi="宋体" w:eastAsia="宋体" w:cs="宋体"/>
                <w:color w:val="auto"/>
                <w:spacing w:val="-3"/>
                <w:sz w:val="24"/>
                <w:szCs w:val="24"/>
                <w:highlight w:val="none"/>
              </w:rPr>
              <w:t>：</w:t>
            </w:r>
            <w:r>
              <w:rPr>
                <w:rFonts w:hint="eastAsia" w:ascii="宋体" w:hAnsi="宋体" w:eastAsia="宋体" w:cs="宋体"/>
                <w:color w:val="auto"/>
                <w:kern w:val="0"/>
                <w:sz w:val="24"/>
                <w:szCs w:val="24"/>
                <w:highlight w:val="none"/>
              </w:rPr>
              <w:t>见“重要事项时间地点一览表”</w:t>
            </w:r>
            <w:r>
              <w:rPr>
                <w:rFonts w:hint="eastAsia" w:ascii="宋体" w:hAnsi="宋体" w:eastAsia="宋体" w:cs="宋体"/>
                <w:color w:val="auto"/>
                <w:kern w:val="0"/>
                <w:sz w:val="24"/>
                <w:szCs w:val="24"/>
                <w:highlight w:val="none"/>
                <w:lang w:eastAsia="zh-CN"/>
              </w:rPr>
              <w:t>。</w:t>
            </w:r>
          </w:p>
        </w:tc>
      </w:tr>
      <w:tr w14:paraId="1D14A048">
        <w:tblPrEx>
          <w:tblCellMar>
            <w:top w:w="0" w:type="dxa"/>
            <w:left w:w="108" w:type="dxa"/>
            <w:bottom w:w="0" w:type="dxa"/>
            <w:right w:w="108" w:type="dxa"/>
          </w:tblCellMar>
        </w:tblPrEx>
        <w:trPr>
          <w:trHeight w:val="0" w:hRule="atLeast"/>
        </w:trPr>
        <w:tc>
          <w:tcPr>
            <w:tcW w:w="983" w:type="dxa"/>
            <w:vMerge w:val="continue"/>
            <w:tcBorders>
              <w:left w:val="single" w:color="000000" w:sz="4" w:space="0"/>
              <w:bottom w:val="single" w:color="000000" w:sz="4" w:space="0"/>
              <w:right w:val="single" w:color="000000" w:sz="4" w:space="0"/>
            </w:tcBorders>
            <w:noWrap w:val="0"/>
            <w:vAlign w:val="center"/>
          </w:tcPr>
          <w:p w14:paraId="36AA1107">
            <w:pPr>
              <w:pStyle w:val="30"/>
              <w:keepNext w:val="0"/>
              <w:keepLines w:val="0"/>
              <w:pageBreakBefore w:val="0"/>
              <w:tabs>
                <w:tab w:val="left" w:pos="1153"/>
                <w:tab w:val="left" w:pos="1888"/>
                <w:tab w:val="left" w:pos="2516"/>
                <w:tab w:val="left" w:pos="3148"/>
                <w:tab w:val="left" w:pos="3779"/>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p>
        </w:tc>
        <w:tc>
          <w:tcPr>
            <w:tcW w:w="2371" w:type="dxa"/>
            <w:vMerge w:val="continue"/>
            <w:tcBorders>
              <w:left w:val="single" w:color="000000" w:sz="4" w:space="0"/>
              <w:bottom w:val="single" w:color="000000" w:sz="4" w:space="0"/>
              <w:right w:val="single" w:color="000000" w:sz="4" w:space="0"/>
            </w:tcBorders>
            <w:noWrap w:val="0"/>
            <w:vAlign w:val="center"/>
          </w:tcPr>
          <w:p w14:paraId="4DD05A05">
            <w:pPr>
              <w:pStyle w:val="30"/>
              <w:keepNext w:val="0"/>
              <w:keepLines w:val="0"/>
              <w:pageBreakBefore w:val="0"/>
              <w:tabs>
                <w:tab w:val="left" w:pos="1153"/>
                <w:tab w:val="left" w:pos="1888"/>
                <w:tab w:val="left" w:pos="2516"/>
                <w:tab w:val="left" w:pos="3148"/>
                <w:tab w:val="left" w:pos="3779"/>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6D168AC7">
            <w:pPr>
              <w:pStyle w:val="30"/>
              <w:keepNext w:val="0"/>
              <w:keepLines w:val="0"/>
              <w:pageBreakBefore w:val="0"/>
              <w:tabs>
                <w:tab w:val="left" w:pos="1153"/>
                <w:tab w:val="left" w:pos="1888"/>
                <w:tab w:val="left" w:pos="2516"/>
                <w:tab w:val="left" w:pos="3148"/>
                <w:tab w:val="left" w:pos="3779"/>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形式：投标人对招标文件的疑问或要求澄清的内容以不署名的形式在韶关市公共资源建设工程交易系统提出，提出疑问截止时间见“重要事项时间地点一览表”。</w:t>
            </w:r>
          </w:p>
        </w:tc>
      </w:tr>
      <w:tr w14:paraId="6C4D3A2A">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9030AE9">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B0B5829">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澄</w:t>
            </w:r>
            <w:r>
              <w:rPr>
                <w:rFonts w:hint="eastAsia" w:ascii="宋体" w:hAnsi="宋体" w:eastAsia="宋体" w:cs="宋体"/>
                <w:color w:val="auto"/>
                <w:sz w:val="24"/>
                <w:szCs w:val="24"/>
                <w:highlight w:val="none"/>
              </w:rPr>
              <w:t>清</w:t>
            </w:r>
            <w:r>
              <w:rPr>
                <w:rFonts w:hint="eastAsia" w:ascii="宋体" w:hAnsi="宋体" w:eastAsia="宋体" w:cs="宋体"/>
                <w:color w:val="auto"/>
                <w:spacing w:val="-3"/>
                <w:sz w:val="24"/>
                <w:szCs w:val="24"/>
                <w:highlight w:val="none"/>
              </w:rPr>
              <w:t>发</w:t>
            </w:r>
            <w:r>
              <w:rPr>
                <w:rFonts w:hint="eastAsia" w:ascii="宋体" w:hAnsi="宋体" w:eastAsia="宋体" w:cs="宋体"/>
                <w:color w:val="auto"/>
                <w:sz w:val="24"/>
                <w:szCs w:val="24"/>
                <w:highlight w:val="none"/>
              </w:rPr>
              <w:t>出</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形式</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65FB9FE">
            <w:pPr>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在全国公共资源交易平台（广东省·韶关市）（https://ygp.gdzwfw.gov.cn/ggzy-portal/#/440200/index）发布。</w:t>
            </w:r>
          </w:p>
        </w:tc>
      </w:tr>
      <w:tr w14:paraId="14E3CF2D">
        <w:tblPrEx>
          <w:tblCellMar>
            <w:top w:w="0" w:type="dxa"/>
            <w:left w:w="108" w:type="dxa"/>
            <w:bottom w:w="0" w:type="dxa"/>
            <w:right w:w="108" w:type="dxa"/>
          </w:tblCellMar>
        </w:tblPrEx>
        <w:trPr>
          <w:trHeight w:val="0" w:hRule="atLeast"/>
        </w:trPr>
        <w:tc>
          <w:tcPr>
            <w:tcW w:w="983" w:type="dxa"/>
            <w:vMerge w:val="restart"/>
            <w:tcBorders>
              <w:top w:val="single" w:color="000000" w:sz="4" w:space="0"/>
              <w:left w:val="single" w:color="000000" w:sz="4" w:space="0"/>
              <w:bottom w:val="single" w:color="000000" w:sz="4" w:space="0"/>
              <w:right w:val="single" w:color="000000" w:sz="4" w:space="0"/>
            </w:tcBorders>
            <w:noWrap w:val="0"/>
            <w:vAlign w:val="center"/>
          </w:tcPr>
          <w:p w14:paraId="19EB8C65">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2371" w:type="dxa"/>
            <w:vMerge w:val="restart"/>
            <w:tcBorders>
              <w:top w:val="single" w:color="000000" w:sz="4" w:space="0"/>
              <w:left w:val="single" w:color="000000" w:sz="4" w:space="0"/>
              <w:bottom w:val="single" w:color="000000" w:sz="4" w:space="0"/>
              <w:right w:val="single" w:color="000000" w:sz="4" w:space="0"/>
            </w:tcBorders>
            <w:noWrap w:val="0"/>
            <w:vAlign w:val="center"/>
          </w:tcPr>
          <w:p w14:paraId="680DAA80">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确</w:t>
            </w:r>
            <w:r>
              <w:rPr>
                <w:rFonts w:hint="eastAsia" w:ascii="宋体" w:hAnsi="宋体" w:eastAsia="宋体" w:cs="宋体"/>
                <w:color w:val="auto"/>
                <w:spacing w:val="-3"/>
                <w:sz w:val="24"/>
                <w:szCs w:val="24"/>
                <w:highlight w:val="none"/>
              </w:rPr>
              <w:t>认</w:t>
            </w:r>
            <w:r>
              <w:rPr>
                <w:rFonts w:hint="eastAsia" w:ascii="宋体" w:hAnsi="宋体" w:eastAsia="宋体" w:cs="宋体"/>
                <w:color w:val="auto"/>
                <w:sz w:val="24"/>
                <w:szCs w:val="24"/>
                <w:highlight w:val="none"/>
              </w:rPr>
              <w:t>收</w:t>
            </w:r>
            <w:r>
              <w:rPr>
                <w:rFonts w:hint="eastAsia" w:ascii="宋体" w:hAnsi="宋体" w:eastAsia="宋体" w:cs="宋体"/>
                <w:color w:val="auto"/>
                <w:spacing w:val="-3"/>
                <w:sz w:val="24"/>
                <w:szCs w:val="24"/>
                <w:highlight w:val="none"/>
              </w:rPr>
              <w:t>到</w:t>
            </w:r>
            <w:r>
              <w:rPr>
                <w:rFonts w:hint="eastAsia" w:ascii="宋体" w:hAnsi="宋体" w:eastAsia="宋体" w:cs="宋体"/>
                <w:color w:val="auto"/>
                <w:sz w:val="24"/>
                <w:szCs w:val="24"/>
                <w:highlight w:val="none"/>
              </w:rPr>
              <w:t>招</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文</w:t>
            </w:r>
            <w:r>
              <w:rPr>
                <w:rFonts w:hint="eastAsia" w:ascii="宋体" w:hAnsi="宋体" w:eastAsia="宋体" w:cs="宋体"/>
                <w:color w:val="auto"/>
                <w:spacing w:val="-3"/>
                <w:sz w:val="24"/>
                <w:szCs w:val="24"/>
                <w:highlight w:val="none"/>
              </w:rPr>
              <w:t>件</w:t>
            </w:r>
            <w:r>
              <w:rPr>
                <w:rFonts w:hint="eastAsia" w:ascii="宋体" w:hAnsi="宋体" w:eastAsia="宋体" w:cs="宋体"/>
                <w:color w:val="auto"/>
                <w:sz w:val="24"/>
                <w:szCs w:val="24"/>
                <w:highlight w:val="none"/>
              </w:rPr>
              <w:t>澄清</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5881D37D">
            <w:pPr>
              <w:pStyle w:val="30"/>
              <w:keepNext w:val="0"/>
              <w:keepLines w:val="0"/>
              <w:pageBreakBefore w:val="0"/>
              <w:tabs>
                <w:tab w:val="left" w:pos="2204"/>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w:t>
            </w:r>
          </w:p>
        </w:tc>
      </w:tr>
      <w:tr w14:paraId="362AE41A">
        <w:tblPrEx>
          <w:tblCellMar>
            <w:top w:w="0" w:type="dxa"/>
            <w:left w:w="108" w:type="dxa"/>
            <w:bottom w:w="0" w:type="dxa"/>
            <w:right w:w="108" w:type="dxa"/>
          </w:tblCellMar>
        </w:tblPrEx>
        <w:trPr>
          <w:trHeight w:val="0" w:hRule="atLeast"/>
        </w:trPr>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F3901F">
            <w:pPr>
              <w:pStyle w:val="30"/>
              <w:keepNext w:val="0"/>
              <w:keepLines w:val="0"/>
              <w:pageBreakBefore w:val="0"/>
              <w:tabs>
                <w:tab w:val="left" w:pos="2204"/>
              </w:tabs>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p>
        </w:tc>
        <w:tc>
          <w:tcPr>
            <w:tcW w:w="23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806154">
            <w:pPr>
              <w:pStyle w:val="30"/>
              <w:keepNext w:val="0"/>
              <w:keepLines w:val="0"/>
              <w:pageBreakBefore w:val="0"/>
              <w:tabs>
                <w:tab w:val="left" w:pos="2204"/>
              </w:tabs>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4B392BF0">
            <w:pPr>
              <w:keepNext w:val="0"/>
              <w:keepLines w:val="0"/>
              <w:pageBreakBefore w:val="0"/>
              <w:topLinePunct w:val="0"/>
              <w:bidi w:val="0"/>
              <w:spacing w:line="360" w:lineRule="auto"/>
              <w:ind w:right="11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形式：投标人自行查阅全国公共资源交易平台（广东省·韶关市）建设工程栏目的公告公示，因投标人自身原因未及时查阅的，由此引起的任何责任由投标人自行承担。</w:t>
            </w:r>
          </w:p>
        </w:tc>
      </w:tr>
      <w:tr w14:paraId="1FA0D337">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CFA02FD">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5383400">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修</w:t>
            </w:r>
            <w:r>
              <w:rPr>
                <w:rFonts w:hint="eastAsia" w:ascii="宋体" w:hAnsi="宋体" w:eastAsia="宋体" w:cs="宋体"/>
                <w:color w:val="auto"/>
                <w:sz w:val="24"/>
                <w:szCs w:val="24"/>
                <w:highlight w:val="none"/>
              </w:rPr>
              <w:t>改</w:t>
            </w:r>
            <w:r>
              <w:rPr>
                <w:rFonts w:hint="eastAsia" w:ascii="宋体" w:hAnsi="宋体" w:eastAsia="宋体" w:cs="宋体"/>
                <w:color w:val="auto"/>
                <w:spacing w:val="-3"/>
                <w:sz w:val="24"/>
                <w:szCs w:val="24"/>
                <w:highlight w:val="none"/>
              </w:rPr>
              <w:t>发</w:t>
            </w:r>
            <w:r>
              <w:rPr>
                <w:rFonts w:hint="eastAsia" w:ascii="宋体" w:hAnsi="宋体" w:eastAsia="宋体" w:cs="宋体"/>
                <w:color w:val="auto"/>
                <w:sz w:val="24"/>
                <w:szCs w:val="24"/>
                <w:highlight w:val="none"/>
              </w:rPr>
              <w:t>出</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形式</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E0DDC4E">
            <w:pPr>
              <w:keepNext w:val="0"/>
              <w:keepLines w:val="0"/>
              <w:pageBreakBefore w:val="0"/>
              <w:topLinePunct w:val="0"/>
              <w:bidi w:val="0"/>
              <w:spacing w:line="360" w:lineRule="auto"/>
              <w:ind w:right="113"/>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在全国公共资源交易平台（广东省·韶关市）（https://ygp.gdzwfw.gov.cn/ggzy-portal/#/440200/index）发布</w:t>
            </w:r>
          </w:p>
        </w:tc>
      </w:tr>
      <w:tr w14:paraId="7BA634C7">
        <w:tblPrEx>
          <w:tblCellMar>
            <w:top w:w="0" w:type="dxa"/>
            <w:left w:w="108" w:type="dxa"/>
            <w:bottom w:w="0" w:type="dxa"/>
            <w:right w:w="108" w:type="dxa"/>
          </w:tblCellMar>
        </w:tblPrEx>
        <w:trPr>
          <w:trHeight w:val="0" w:hRule="atLeast"/>
        </w:trPr>
        <w:tc>
          <w:tcPr>
            <w:tcW w:w="983" w:type="dxa"/>
            <w:vMerge w:val="restart"/>
            <w:tcBorders>
              <w:top w:val="single" w:color="000000" w:sz="4" w:space="0"/>
              <w:left w:val="single" w:color="000000" w:sz="4" w:space="0"/>
              <w:bottom w:val="single" w:color="000000" w:sz="4" w:space="0"/>
              <w:right w:val="single" w:color="000000" w:sz="4" w:space="0"/>
            </w:tcBorders>
            <w:noWrap w:val="0"/>
            <w:vAlign w:val="center"/>
          </w:tcPr>
          <w:p w14:paraId="113CCC01">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w:t>
            </w:r>
          </w:p>
        </w:tc>
        <w:tc>
          <w:tcPr>
            <w:tcW w:w="2371" w:type="dxa"/>
            <w:vMerge w:val="restart"/>
            <w:tcBorders>
              <w:top w:val="single" w:color="000000" w:sz="4" w:space="0"/>
              <w:left w:val="single" w:color="000000" w:sz="4" w:space="0"/>
              <w:bottom w:val="single" w:color="000000" w:sz="4" w:space="0"/>
              <w:right w:val="single" w:color="000000" w:sz="4" w:space="0"/>
            </w:tcBorders>
            <w:noWrap w:val="0"/>
            <w:vAlign w:val="center"/>
          </w:tcPr>
          <w:p w14:paraId="285E738C">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确</w:t>
            </w:r>
            <w:r>
              <w:rPr>
                <w:rFonts w:hint="eastAsia" w:ascii="宋体" w:hAnsi="宋体" w:eastAsia="宋体" w:cs="宋体"/>
                <w:color w:val="auto"/>
                <w:spacing w:val="-3"/>
                <w:sz w:val="24"/>
                <w:szCs w:val="24"/>
                <w:highlight w:val="none"/>
              </w:rPr>
              <w:t>认</w:t>
            </w:r>
            <w:r>
              <w:rPr>
                <w:rFonts w:hint="eastAsia" w:ascii="宋体" w:hAnsi="宋体" w:eastAsia="宋体" w:cs="宋体"/>
                <w:color w:val="auto"/>
                <w:sz w:val="24"/>
                <w:szCs w:val="24"/>
                <w:highlight w:val="none"/>
              </w:rPr>
              <w:t>收</w:t>
            </w:r>
            <w:r>
              <w:rPr>
                <w:rFonts w:hint="eastAsia" w:ascii="宋体" w:hAnsi="宋体" w:eastAsia="宋体" w:cs="宋体"/>
                <w:color w:val="auto"/>
                <w:spacing w:val="-3"/>
                <w:sz w:val="24"/>
                <w:szCs w:val="24"/>
                <w:highlight w:val="none"/>
              </w:rPr>
              <w:t>到</w:t>
            </w:r>
            <w:r>
              <w:rPr>
                <w:rFonts w:hint="eastAsia" w:ascii="宋体" w:hAnsi="宋体" w:eastAsia="宋体" w:cs="宋体"/>
                <w:color w:val="auto"/>
                <w:sz w:val="24"/>
                <w:szCs w:val="24"/>
                <w:highlight w:val="none"/>
              </w:rPr>
              <w:t>招</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文</w:t>
            </w:r>
            <w:r>
              <w:rPr>
                <w:rFonts w:hint="eastAsia" w:ascii="宋体" w:hAnsi="宋体" w:eastAsia="宋体" w:cs="宋体"/>
                <w:color w:val="auto"/>
                <w:spacing w:val="-3"/>
                <w:sz w:val="24"/>
                <w:szCs w:val="24"/>
                <w:highlight w:val="none"/>
              </w:rPr>
              <w:t>件修</w:t>
            </w:r>
            <w:r>
              <w:rPr>
                <w:rFonts w:hint="eastAsia" w:ascii="宋体" w:hAnsi="宋体" w:eastAsia="宋体" w:cs="宋体"/>
                <w:color w:val="auto"/>
                <w:sz w:val="24"/>
                <w:szCs w:val="24"/>
                <w:highlight w:val="none"/>
              </w:rPr>
              <w:t>改</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4984567">
            <w:pPr>
              <w:pStyle w:val="30"/>
              <w:keepNext w:val="0"/>
              <w:keepLines w:val="0"/>
              <w:pageBreakBefore w:val="0"/>
              <w:tabs>
                <w:tab w:val="left" w:pos="2204"/>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以全国公共资源交易平台（广东省·韶关市）（https://ygp.gdzwfw.gov.cn/ggzy-portal/#/440200/index）</w:t>
            </w:r>
            <w:r>
              <w:rPr>
                <w:rFonts w:hint="eastAsia" w:ascii="宋体" w:hAnsi="宋体" w:eastAsia="宋体" w:cs="宋体"/>
                <w:color w:val="auto"/>
                <w:sz w:val="24"/>
                <w:szCs w:val="24"/>
                <w:highlight w:val="none"/>
              </w:rPr>
              <w:t>发布时间为准。</w:t>
            </w:r>
          </w:p>
        </w:tc>
      </w:tr>
      <w:tr w14:paraId="1037082C">
        <w:tblPrEx>
          <w:tblCellMar>
            <w:top w:w="0" w:type="dxa"/>
            <w:left w:w="108" w:type="dxa"/>
            <w:bottom w:w="0" w:type="dxa"/>
            <w:right w:w="108" w:type="dxa"/>
          </w:tblCellMar>
        </w:tblPrEx>
        <w:trPr>
          <w:trHeight w:val="0" w:hRule="atLeast"/>
        </w:trPr>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BD1729">
            <w:pPr>
              <w:pStyle w:val="30"/>
              <w:keepNext w:val="0"/>
              <w:keepLines w:val="0"/>
              <w:pageBreakBefore w:val="0"/>
              <w:tabs>
                <w:tab w:val="left" w:pos="2204"/>
              </w:tabs>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p>
        </w:tc>
        <w:tc>
          <w:tcPr>
            <w:tcW w:w="23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360383">
            <w:pPr>
              <w:pStyle w:val="30"/>
              <w:keepNext w:val="0"/>
              <w:keepLines w:val="0"/>
              <w:pageBreakBefore w:val="0"/>
              <w:tabs>
                <w:tab w:val="left" w:pos="2204"/>
              </w:tabs>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AA9FCA4">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形式：投标人自行查阅全国公共资源交易平台（广东省·韶关市）建设工程栏目的公告公示，因投标人自身原因未及时查阅的，由此引起的任何责任由投标人自行承担。</w:t>
            </w:r>
          </w:p>
        </w:tc>
      </w:tr>
      <w:tr w14:paraId="5321BEE7">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BF6B28B">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1330AAB7">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构成</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其</w:t>
            </w:r>
            <w:r>
              <w:rPr>
                <w:rFonts w:hint="eastAsia" w:ascii="宋体" w:hAnsi="宋体" w:eastAsia="宋体" w:cs="宋体"/>
                <w:color w:val="auto"/>
                <w:spacing w:val="-3"/>
                <w:sz w:val="24"/>
                <w:szCs w:val="24"/>
                <w:highlight w:val="none"/>
              </w:rPr>
              <w:t>他</w:t>
            </w:r>
            <w:r>
              <w:rPr>
                <w:rFonts w:hint="eastAsia" w:ascii="宋体" w:hAnsi="宋体" w:eastAsia="宋体" w:cs="宋体"/>
                <w:color w:val="auto"/>
                <w:sz w:val="24"/>
                <w:szCs w:val="24"/>
                <w:highlight w:val="none"/>
              </w:rPr>
              <w:t>资料</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14EF419F">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r>
      <w:tr w14:paraId="5681DF0F">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BE07EF7">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4459E63">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增值</w:t>
            </w:r>
            <w:r>
              <w:rPr>
                <w:rFonts w:hint="eastAsia" w:ascii="宋体" w:hAnsi="宋体" w:eastAsia="宋体" w:cs="宋体"/>
                <w:color w:val="auto"/>
                <w:spacing w:val="-3"/>
                <w:sz w:val="24"/>
                <w:szCs w:val="24"/>
                <w:highlight w:val="none"/>
              </w:rPr>
              <w:t>税</w:t>
            </w:r>
            <w:r>
              <w:rPr>
                <w:rFonts w:hint="eastAsia" w:ascii="宋体" w:hAnsi="宋体" w:eastAsia="宋体" w:cs="宋体"/>
                <w:color w:val="auto"/>
                <w:sz w:val="24"/>
                <w:szCs w:val="24"/>
                <w:highlight w:val="none"/>
              </w:rPr>
              <w:t>税</w:t>
            </w:r>
            <w:r>
              <w:rPr>
                <w:rFonts w:hint="eastAsia" w:ascii="宋体" w:hAnsi="宋体" w:eastAsia="宋体" w:cs="宋体"/>
                <w:color w:val="auto"/>
                <w:spacing w:val="-3"/>
                <w:sz w:val="24"/>
                <w:szCs w:val="24"/>
                <w:highlight w:val="none"/>
              </w:rPr>
              <w:t>金</w:t>
            </w:r>
            <w:r>
              <w:rPr>
                <w:rFonts w:hint="eastAsia" w:ascii="宋体" w:hAnsi="宋体" w:eastAsia="宋体" w:cs="宋体"/>
                <w:color w:val="auto"/>
                <w:sz w:val="24"/>
                <w:szCs w:val="24"/>
                <w:highlight w:val="none"/>
              </w:rPr>
              <w:t>的</w:t>
            </w:r>
            <w:r>
              <w:rPr>
                <w:rFonts w:hint="eastAsia" w:ascii="宋体" w:hAnsi="宋体" w:eastAsia="宋体" w:cs="宋体"/>
                <w:color w:val="auto"/>
                <w:spacing w:val="-3"/>
                <w:sz w:val="24"/>
                <w:szCs w:val="24"/>
                <w:highlight w:val="none"/>
              </w:rPr>
              <w:t>计</w:t>
            </w:r>
            <w:r>
              <w:rPr>
                <w:rFonts w:hint="eastAsia" w:ascii="宋体" w:hAnsi="宋体" w:eastAsia="宋体" w:cs="宋体"/>
                <w:color w:val="auto"/>
                <w:sz w:val="24"/>
                <w:szCs w:val="24"/>
                <w:highlight w:val="none"/>
              </w:rPr>
              <w:t>算</w:t>
            </w:r>
            <w:r>
              <w:rPr>
                <w:rFonts w:hint="eastAsia" w:ascii="宋体" w:hAnsi="宋体" w:eastAsia="宋体" w:cs="宋体"/>
                <w:color w:val="auto"/>
                <w:spacing w:val="-3"/>
                <w:sz w:val="24"/>
                <w:szCs w:val="24"/>
                <w:highlight w:val="none"/>
              </w:rPr>
              <w:t>方</w:t>
            </w:r>
            <w:r>
              <w:rPr>
                <w:rFonts w:hint="eastAsia" w:ascii="宋体" w:hAnsi="宋体" w:eastAsia="宋体" w:cs="宋体"/>
                <w:color w:val="auto"/>
                <w:sz w:val="24"/>
                <w:szCs w:val="24"/>
                <w:highlight w:val="none"/>
              </w:rPr>
              <w:t>法</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85F1556">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按国家、省、市规定执行</w:t>
            </w:r>
            <w:r>
              <w:rPr>
                <w:rFonts w:hint="eastAsia" w:ascii="宋体" w:hAnsi="宋体" w:eastAsia="宋体" w:cs="宋体"/>
                <w:color w:val="auto"/>
                <w:sz w:val="24"/>
                <w:szCs w:val="24"/>
                <w:highlight w:val="none"/>
                <w:lang w:eastAsia="zh-CN"/>
              </w:rPr>
              <w:t>。</w:t>
            </w:r>
          </w:p>
        </w:tc>
      </w:tr>
      <w:tr w14:paraId="51A1F007">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050AB5F">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75A1FD7D">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报价方式</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74EA37B">
            <w:pPr>
              <w:pStyle w:val="30"/>
              <w:keepNext w:val="0"/>
              <w:keepLines w:val="0"/>
              <w:pageBreakBefore w:val="0"/>
              <w:tabs>
                <w:tab w:val="left" w:pos="2329"/>
                <w:tab w:val="left" w:pos="4296"/>
              </w:tabs>
              <w:kinsoku w:val="0"/>
              <w:overflowPunct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总价</w:t>
            </w:r>
          </w:p>
          <w:p w14:paraId="798BB9D4">
            <w:pPr>
              <w:pStyle w:val="30"/>
              <w:keepNext w:val="0"/>
              <w:keepLines w:val="0"/>
              <w:pageBreakBefore w:val="0"/>
              <w:tabs>
                <w:tab w:val="left" w:pos="2329"/>
                <w:tab w:val="left" w:pos="4296"/>
              </w:tabs>
              <w:kinsoku w:val="0"/>
              <w:overflowPunct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单价</w:t>
            </w:r>
          </w:p>
        </w:tc>
      </w:tr>
      <w:tr w14:paraId="7D06194B">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268104E">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4</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E660287">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限</w:t>
            </w:r>
            <w:r>
              <w:rPr>
                <w:rFonts w:hint="eastAsia" w:ascii="宋体" w:hAnsi="宋体" w:eastAsia="宋体" w:cs="宋体"/>
                <w:color w:val="auto"/>
                <w:sz w:val="24"/>
                <w:szCs w:val="24"/>
                <w:highlight w:val="none"/>
              </w:rPr>
              <w:t>价</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6C86350F">
            <w:pPr>
              <w:keepNext w:val="0"/>
              <w:keepLines w:val="0"/>
              <w:pageBreakBefore w:val="0"/>
              <w:topLinePunct w:val="0"/>
              <w:bidi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□无</w:t>
            </w:r>
          </w:p>
          <w:p w14:paraId="46BF2607">
            <w:pPr>
              <w:keepNext w:val="0"/>
              <w:keepLines w:val="0"/>
              <w:pageBreakBefore w:val="0"/>
              <w:topLinePunct w:val="0"/>
              <w:bidi w:val="0"/>
              <w:spacing w:line="240" w:lineRule="auto"/>
              <w:textAlignment w:val="auto"/>
              <w:rPr>
                <w:rFonts w:hint="eastAsia" w:ascii="宋体" w:hAnsi="宋体" w:eastAsia="宋体" w:cs="宋体"/>
                <w:b/>
                <w:color w:val="auto"/>
                <w:sz w:val="24"/>
                <w:szCs w:val="24"/>
                <w:highlight w:val="none"/>
                <w:lang w:val="en-US"/>
              </w:rPr>
            </w:pPr>
            <w:r>
              <w:rPr>
                <w:rFonts w:hint="eastAsia" w:ascii="宋体" w:hAnsi="宋体" w:eastAsia="宋体" w:cs="宋体"/>
                <w:color w:val="auto"/>
                <w:kern w:val="0"/>
                <w:sz w:val="24"/>
                <w:szCs w:val="24"/>
                <w:highlight w:val="none"/>
              </w:rPr>
              <w:fldChar w:fldCharType="begin"/>
            </w:r>
            <w:r>
              <w:rPr>
                <w:rFonts w:hint="eastAsia" w:ascii="宋体" w:hAnsi="宋体" w:eastAsia="宋体" w:cs="宋体"/>
                <w:color w:val="auto"/>
                <w:kern w:val="0"/>
                <w:sz w:val="24"/>
                <w:szCs w:val="24"/>
                <w:highlight w:val="none"/>
              </w:rPr>
              <w:instrText xml:space="preserve">eq\o\ac(</w:instrText>
            </w:r>
            <w:r>
              <w:rPr>
                <w:rFonts w:hint="eastAsia" w:ascii="宋体" w:hAnsi="宋体" w:eastAsia="宋体" w:cs="宋体"/>
                <w:color w:val="auto"/>
                <w:kern w:val="0"/>
                <w:position w:val="-4"/>
                <w:sz w:val="36"/>
                <w:szCs w:val="24"/>
                <w:highlight w:val="none"/>
              </w:rPr>
              <w:instrText xml:space="preserve">□</w:instrText>
            </w:r>
            <w:r>
              <w:rPr>
                <w:rFonts w:hint="eastAsia" w:ascii="宋体" w:hAnsi="宋体" w:eastAsia="宋体" w:cs="宋体"/>
                <w:color w:val="auto"/>
                <w:kern w:val="0"/>
                <w:position w:val="-4"/>
                <w:sz w:val="36"/>
                <w:szCs w:val="24"/>
                <w:highlight w:val="none"/>
                <w:lang w:eastAsia="zh-CN"/>
              </w:rPr>
              <w:instrText xml:space="preserve">,</w:instrText>
            </w:r>
            <w:r>
              <w:rPr>
                <w:rFonts w:hint="eastAsia" w:ascii="宋体" w:hAnsi="宋体" w:eastAsia="宋体" w:cs="宋体"/>
                <w:color w:val="auto"/>
                <w:kern w:val="0"/>
                <w:position w:val="0"/>
                <w:sz w:val="25"/>
                <w:szCs w:val="24"/>
                <w:highlight w:val="none"/>
                <w:lang w:eastAsia="zh-CN"/>
              </w:rPr>
              <w:instrText xml:space="preserve">√</w:instrText>
            </w:r>
            <w:r>
              <w:rPr>
                <w:rFonts w:hint="eastAsia" w:ascii="宋体" w:hAnsi="宋体" w:eastAsia="宋体" w:cs="宋体"/>
                <w:color w:val="auto"/>
                <w:kern w:val="0"/>
                <w:position w:val="0"/>
                <w:sz w:val="24"/>
                <w:szCs w:val="24"/>
                <w:highlight w:val="none"/>
              </w:rPr>
              <w:instrText xml:space="preserve">)</w:instrText>
            </w:r>
            <w:r>
              <w:rPr>
                <w:rFonts w:hint="eastAsia" w:ascii="宋体" w:hAnsi="宋体" w:eastAsia="宋体" w:cs="宋体"/>
                <w:color w:val="auto"/>
                <w:kern w:val="0"/>
                <w:sz w:val="24"/>
                <w:szCs w:val="24"/>
                <w:highlight w:val="none"/>
              </w:rPr>
              <w:fldChar w:fldCharType="end"/>
            </w:r>
            <w:r>
              <w:rPr>
                <w:rFonts w:hint="eastAsia" w:ascii="宋体" w:hAnsi="宋体" w:eastAsia="宋体" w:cs="宋体"/>
                <w:color w:val="auto"/>
                <w:kern w:val="0"/>
                <w:sz w:val="24"/>
                <w:szCs w:val="24"/>
                <w:highlight w:val="none"/>
              </w:rPr>
              <w:t>有，</w:t>
            </w:r>
            <w:r>
              <w:rPr>
                <w:rFonts w:hint="eastAsia" w:ascii="宋体" w:hAnsi="宋体" w:eastAsia="宋体" w:cs="宋体"/>
                <w:color w:val="auto"/>
                <w:kern w:val="21"/>
                <w:sz w:val="24"/>
                <w:szCs w:val="24"/>
                <w:lang w:eastAsia="zh-CN"/>
              </w:rPr>
              <w:t>最高投标限价</w:t>
            </w:r>
            <w:r>
              <w:rPr>
                <w:rFonts w:hint="eastAsia" w:ascii="宋体" w:hAnsi="宋体" w:eastAsia="宋体" w:cs="宋体"/>
                <w:color w:val="auto"/>
                <w:kern w:val="21"/>
                <w:sz w:val="24"/>
                <w:szCs w:val="24"/>
                <w:u w:val="single"/>
                <w:lang w:val="en-US" w:eastAsia="zh-CN"/>
              </w:rPr>
              <w:t>16.30万</w:t>
            </w:r>
            <w:r>
              <w:rPr>
                <w:rFonts w:hint="eastAsia" w:ascii="宋体" w:hAnsi="宋体" w:eastAsia="宋体" w:cs="宋体"/>
                <w:color w:val="auto"/>
                <w:kern w:val="21"/>
                <w:sz w:val="24"/>
                <w:szCs w:val="24"/>
                <w:lang w:val="en-US" w:eastAsia="zh-CN"/>
              </w:rPr>
              <w:t>元</w:t>
            </w:r>
          </w:p>
        </w:tc>
      </w:tr>
      <w:tr w14:paraId="03256C5B">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8475A75">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5</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1479F0D3">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报</w:t>
            </w:r>
            <w:r>
              <w:rPr>
                <w:rFonts w:hint="eastAsia" w:ascii="宋体" w:hAnsi="宋体" w:eastAsia="宋体" w:cs="宋体"/>
                <w:color w:val="auto"/>
                <w:sz w:val="24"/>
                <w:szCs w:val="24"/>
                <w:highlight w:val="none"/>
              </w:rPr>
              <w:t>价</w:t>
            </w:r>
            <w:r>
              <w:rPr>
                <w:rFonts w:hint="eastAsia" w:ascii="宋体" w:hAnsi="宋体" w:eastAsia="宋体" w:cs="宋体"/>
                <w:color w:val="auto"/>
                <w:spacing w:val="-3"/>
                <w:sz w:val="24"/>
                <w:szCs w:val="24"/>
                <w:highlight w:val="none"/>
              </w:rPr>
              <w:t>的</w:t>
            </w:r>
          </w:p>
          <w:p w14:paraId="7E3B6068">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w:t>
            </w:r>
            <w:r>
              <w:rPr>
                <w:rFonts w:hint="eastAsia" w:ascii="宋体" w:hAnsi="宋体" w:eastAsia="宋体" w:cs="宋体"/>
                <w:color w:val="auto"/>
                <w:spacing w:val="-3"/>
                <w:sz w:val="24"/>
                <w:szCs w:val="24"/>
                <w:highlight w:val="none"/>
              </w:rPr>
              <w:t>他</w:t>
            </w:r>
            <w:r>
              <w:rPr>
                <w:rFonts w:hint="eastAsia" w:ascii="宋体" w:hAnsi="宋体" w:eastAsia="宋体" w:cs="宋体"/>
                <w:color w:val="auto"/>
                <w:sz w:val="24"/>
                <w:szCs w:val="24"/>
                <w:highlight w:val="none"/>
              </w:rPr>
              <w:t>要求</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65907CC5">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r>
      <w:tr w14:paraId="5FDA6676">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29C81CF">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69E2DC41">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有</w:t>
            </w:r>
            <w:r>
              <w:rPr>
                <w:rFonts w:hint="eastAsia" w:ascii="宋体" w:hAnsi="宋体" w:eastAsia="宋体" w:cs="宋体"/>
                <w:color w:val="auto"/>
                <w:sz w:val="24"/>
                <w:szCs w:val="24"/>
                <w:highlight w:val="none"/>
              </w:rPr>
              <w:t>效期</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D91C8AD">
            <w:pPr>
              <w:pStyle w:val="30"/>
              <w:keepNext w:val="0"/>
              <w:keepLines w:val="0"/>
              <w:pageBreakBefore w:val="0"/>
              <w:tabs>
                <w:tab w:val="left" w:pos="3991"/>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自投</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人</w:t>
            </w:r>
            <w:r>
              <w:rPr>
                <w:rFonts w:hint="eastAsia" w:ascii="宋体" w:hAnsi="宋体" w:eastAsia="宋体" w:cs="宋体"/>
                <w:color w:val="auto"/>
                <w:spacing w:val="-3"/>
                <w:sz w:val="24"/>
                <w:szCs w:val="24"/>
                <w:highlight w:val="none"/>
              </w:rPr>
              <w:t>提</w:t>
            </w:r>
            <w:r>
              <w:rPr>
                <w:rFonts w:hint="eastAsia" w:ascii="宋体" w:hAnsi="宋体" w:eastAsia="宋体" w:cs="宋体"/>
                <w:color w:val="auto"/>
                <w:sz w:val="24"/>
                <w:szCs w:val="24"/>
                <w:highlight w:val="none"/>
              </w:rPr>
              <w:t>交</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截</w:t>
            </w:r>
            <w:r>
              <w:rPr>
                <w:rFonts w:hint="eastAsia" w:ascii="宋体" w:hAnsi="宋体" w:eastAsia="宋体" w:cs="宋体"/>
                <w:color w:val="auto"/>
                <w:sz w:val="24"/>
                <w:szCs w:val="24"/>
                <w:highlight w:val="none"/>
              </w:rPr>
              <w:t>止之</w:t>
            </w:r>
            <w:r>
              <w:rPr>
                <w:rFonts w:hint="eastAsia" w:ascii="宋体" w:hAnsi="宋体" w:eastAsia="宋体" w:cs="宋体"/>
                <w:color w:val="auto"/>
                <w:spacing w:val="-3"/>
                <w:sz w:val="24"/>
                <w:szCs w:val="24"/>
                <w:highlight w:val="none"/>
              </w:rPr>
              <w:t>日</w:t>
            </w:r>
            <w:r>
              <w:rPr>
                <w:rFonts w:hint="eastAsia" w:ascii="宋体" w:hAnsi="宋体" w:eastAsia="宋体" w:cs="宋体"/>
                <w:color w:val="auto"/>
                <w:sz w:val="24"/>
                <w:szCs w:val="24"/>
                <w:highlight w:val="none"/>
              </w:rPr>
              <w:t>起</w:t>
            </w:r>
            <w:r>
              <w:rPr>
                <w:rFonts w:hint="eastAsia" w:ascii="宋体" w:hAnsi="宋体" w:eastAsia="宋体" w:cs="宋体"/>
                <w:color w:val="auto"/>
                <w:spacing w:val="-3"/>
                <w:sz w:val="24"/>
                <w:szCs w:val="24"/>
                <w:highlight w:val="none"/>
              </w:rPr>
              <w:t>计</w:t>
            </w:r>
            <w:r>
              <w:rPr>
                <w:rFonts w:hint="eastAsia" w:ascii="宋体" w:hAnsi="宋体" w:eastAsia="宋体" w:cs="宋体"/>
                <w:color w:val="auto"/>
                <w:sz w:val="24"/>
                <w:szCs w:val="24"/>
                <w:highlight w:val="none"/>
              </w:rPr>
              <w:t>算</w:t>
            </w:r>
            <w:r>
              <w:rPr>
                <w:rFonts w:hint="eastAsia" w:ascii="宋体" w:hAnsi="宋体" w:eastAsia="宋体" w:cs="宋体"/>
                <w:color w:val="auto"/>
                <w:sz w:val="24"/>
                <w:szCs w:val="24"/>
                <w:highlight w:val="none"/>
                <w:u w:val="single"/>
              </w:rPr>
              <w:t>90</w:t>
            </w:r>
            <w:r>
              <w:rPr>
                <w:rFonts w:hint="eastAsia" w:ascii="宋体" w:hAnsi="宋体" w:eastAsia="宋体" w:cs="宋体"/>
                <w:color w:val="auto"/>
                <w:sz w:val="24"/>
                <w:szCs w:val="24"/>
                <w:highlight w:val="none"/>
              </w:rPr>
              <w:t>日</w:t>
            </w:r>
          </w:p>
        </w:tc>
      </w:tr>
      <w:tr w14:paraId="5EAE0FB8">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C59E548">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B342888">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保</w:t>
            </w:r>
            <w:r>
              <w:rPr>
                <w:rFonts w:hint="eastAsia" w:ascii="宋体" w:hAnsi="宋体" w:eastAsia="宋体" w:cs="宋体"/>
                <w:color w:val="auto"/>
                <w:sz w:val="24"/>
                <w:szCs w:val="24"/>
                <w:highlight w:val="none"/>
              </w:rPr>
              <w:t>证金</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top"/>
          </w:tcPr>
          <w:p w14:paraId="63460291">
            <w:pPr>
              <w:keepNext w:val="0"/>
              <w:keepLines w:val="0"/>
              <w:pageBreakBefore w:val="0"/>
              <w:widowControl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是否要求投标人递交投标保证金：</w:t>
            </w:r>
          </w:p>
          <w:p w14:paraId="534C7F49">
            <w:pPr>
              <w:pStyle w:val="32"/>
              <w:keepNext w:val="0"/>
              <w:keepLines w:val="0"/>
              <w:pageBreakBefore w:val="0"/>
              <w:topLinePunct w:val="0"/>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fldChar w:fldCharType="begin"/>
            </w:r>
            <w:r>
              <w:rPr>
                <w:rFonts w:hint="eastAsia" w:ascii="宋体" w:hAnsi="宋体" w:eastAsia="宋体" w:cs="宋体"/>
                <w:color w:val="auto"/>
                <w:kern w:val="21"/>
                <w:sz w:val="24"/>
                <w:szCs w:val="24"/>
                <w:highlight w:val="none"/>
              </w:rPr>
              <w:instrText xml:space="preserve">eq\o\ac(</w:instrText>
            </w:r>
            <w:r>
              <w:rPr>
                <w:rFonts w:hint="eastAsia" w:ascii="宋体" w:hAnsi="宋体" w:eastAsia="宋体" w:cs="宋体"/>
                <w:color w:val="auto"/>
                <w:kern w:val="21"/>
                <w:position w:val="-4"/>
                <w:sz w:val="36"/>
                <w:szCs w:val="24"/>
                <w:highlight w:val="none"/>
              </w:rPr>
              <w:instrText xml:space="preserve">□</w:instrText>
            </w:r>
            <w:r>
              <w:rPr>
                <w:rFonts w:hint="eastAsia" w:ascii="宋体" w:hAnsi="宋体" w:eastAsia="宋体" w:cs="宋体"/>
                <w:color w:val="auto"/>
                <w:kern w:val="21"/>
                <w:position w:val="0"/>
                <w:sz w:val="24"/>
                <w:szCs w:val="24"/>
                <w:highlight w:val="none"/>
              </w:rPr>
              <w:instrText xml:space="preserve">,√)</w:instrText>
            </w:r>
            <w:r>
              <w:rPr>
                <w:rFonts w:hint="eastAsia" w:ascii="宋体" w:hAnsi="宋体" w:eastAsia="宋体" w:cs="宋体"/>
                <w:color w:val="auto"/>
                <w:kern w:val="21"/>
                <w:sz w:val="24"/>
                <w:szCs w:val="24"/>
                <w:highlight w:val="none"/>
              </w:rPr>
              <w:fldChar w:fldCharType="end"/>
            </w:r>
            <w:r>
              <w:rPr>
                <w:rFonts w:hint="eastAsia" w:ascii="宋体" w:hAnsi="宋体" w:eastAsia="宋体" w:cs="宋体"/>
                <w:color w:val="auto"/>
                <w:kern w:val="21"/>
                <w:sz w:val="24"/>
                <w:szCs w:val="24"/>
                <w:highlight w:val="none"/>
              </w:rPr>
              <w:t>要求，投标保证金的金额：人民币</w:t>
            </w:r>
            <w:r>
              <w:rPr>
                <w:rFonts w:hint="eastAsia" w:ascii="宋体" w:hAnsi="宋体" w:eastAsia="宋体" w:cs="宋体"/>
                <w:b/>
                <w:bCs/>
                <w:color w:val="auto"/>
                <w:kern w:val="21"/>
                <w:sz w:val="24"/>
                <w:szCs w:val="24"/>
                <w:highlight w:val="none"/>
                <w:u w:val="single"/>
                <w:lang w:val="en-US" w:eastAsia="zh-CN"/>
              </w:rPr>
              <w:t>2000.00</w:t>
            </w:r>
            <w:r>
              <w:rPr>
                <w:rFonts w:hint="eastAsia" w:ascii="宋体" w:hAnsi="宋体" w:eastAsia="宋体" w:cs="宋体"/>
                <w:b/>
                <w:bCs/>
                <w:color w:val="auto"/>
                <w:kern w:val="21"/>
                <w:sz w:val="24"/>
                <w:szCs w:val="24"/>
                <w:highlight w:val="none"/>
                <w:u w:val="single"/>
              </w:rPr>
              <w:t>元</w:t>
            </w:r>
            <w:r>
              <w:rPr>
                <w:rFonts w:hint="eastAsia" w:ascii="宋体" w:hAnsi="宋体" w:eastAsia="宋体" w:cs="宋体"/>
                <w:color w:val="auto"/>
                <w:kern w:val="21"/>
                <w:sz w:val="24"/>
                <w:szCs w:val="24"/>
                <w:highlight w:val="none"/>
              </w:rPr>
              <w:t>，缴纳项目投标保证金截止时间</w:t>
            </w:r>
            <w:r>
              <w:rPr>
                <w:rFonts w:hint="eastAsia" w:ascii="宋体" w:hAnsi="宋体" w:eastAsia="宋体" w:cs="宋体"/>
                <w:color w:val="auto"/>
                <w:sz w:val="24"/>
                <w:szCs w:val="24"/>
                <w:highlight w:val="none"/>
              </w:rPr>
              <w:t>(以资金到账时间或成功上传保函或成功上传保单时间为准)为投标截止时间前24小时，见“重要事项时间地点一览表”。</w:t>
            </w:r>
          </w:p>
          <w:p w14:paraId="4A540C5F">
            <w:pPr>
              <w:keepNext w:val="0"/>
              <w:keepLines w:val="0"/>
              <w:pageBreakBefore w:val="0"/>
              <w:widowControl w:val="0"/>
              <w:topLinePunct w:val="0"/>
              <w:autoSpaceDE w:val="0"/>
              <w:autoSpaceDN w:val="0"/>
              <w:bidi w:val="0"/>
              <w:adjustRightInd w:val="0"/>
              <w:spacing w:line="360" w:lineRule="auto"/>
              <w:ind w:firstLine="360" w:firstLineChars="15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投标保证的形式包括投标保证金、投标保证担保、投标保证保险三种，由投标人自主选择。</w:t>
            </w:r>
          </w:p>
          <w:p w14:paraId="2EE5BE92">
            <w:pPr>
              <w:keepNext w:val="0"/>
              <w:keepLines w:val="0"/>
              <w:pageBreakBefore w:val="0"/>
              <w:widowControl w:val="0"/>
              <w:topLinePunct w:val="0"/>
              <w:autoSpaceDE w:val="0"/>
              <w:autoSpaceDN w:val="0"/>
              <w:bidi w:val="0"/>
              <w:adjustRightInd w:val="0"/>
              <w:spacing w:line="360" w:lineRule="auto"/>
              <w:ind w:firstLine="120" w:firstLineChars="5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采用投标保证金的，投标人在建设工程交易系统获取招标文件后，即可在系统申请缴纳投标保证金，获取本次招标投标保证金缴纳账号。投标人须于投标保证金到账截止时间(详见“重要事项时间地点一览表”)前，从其基本账户将投标保证金转账到指定的缴纳账号。逾期到账的、从非投标人基本账户转出的，其投标无效。</w:t>
            </w:r>
          </w:p>
          <w:p w14:paraId="5EC20B3D">
            <w:pPr>
              <w:keepNext w:val="0"/>
              <w:keepLines w:val="0"/>
              <w:pageBreakBefore w:val="0"/>
              <w:widowControl w:val="0"/>
              <w:topLinePunct w:val="0"/>
              <w:autoSpaceDE w:val="0"/>
              <w:autoSpaceDN w:val="0"/>
              <w:bidi w:val="0"/>
              <w:adjustRightInd w:val="0"/>
              <w:spacing w:line="360" w:lineRule="auto"/>
              <w:ind w:firstLine="120" w:firstLineChars="5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采用投标保证担保的，投标人应提交有效的银行保函，银行保函的有效期不得短于投标有效期。投标人必须在投标保证担保截止时间（详见“重要事项时间地点一览表”）前，使用工程建设交易系统完成网上办理电子保函。</w:t>
            </w:r>
          </w:p>
          <w:p w14:paraId="3493BBF2">
            <w:pPr>
              <w:keepNext w:val="0"/>
              <w:keepLines w:val="0"/>
              <w:pageBreakBefore w:val="0"/>
              <w:widowControl w:val="0"/>
              <w:topLinePunct w:val="0"/>
              <w:autoSpaceDE w:val="0"/>
              <w:autoSpaceDN w:val="0"/>
              <w:bidi w:val="0"/>
              <w:adjustRightInd w:val="0"/>
              <w:spacing w:line="360" w:lineRule="auto"/>
              <w:ind w:firstLine="120" w:firstLineChars="5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4F4E4D6F">
            <w:pPr>
              <w:keepNext w:val="0"/>
              <w:keepLines w:val="0"/>
              <w:pageBreakBefore w:val="0"/>
              <w:widowControl w:val="0"/>
              <w:topLinePunct w:val="0"/>
              <w:autoSpaceDE w:val="0"/>
              <w:autoSpaceDN w:val="0"/>
              <w:bidi w:val="0"/>
              <w:adjustRightInd w:val="0"/>
              <w:spacing w:line="360" w:lineRule="auto"/>
              <w:ind w:firstLine="120" w:firstLineChars="5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462AD023">
            <w:pPr>
              <w:pStyle w:val="30"/>
              <w:keepNext w:val="0"/>
              <w:keepLines w:val="0"/>
              <w:pageBreakBefore w:val="0"/>
              <w:kinsoku w:val="0"/>
              <w:overflowPunct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□不要求</w:t>
            </w:r>
          </w:p>
        </w:tc>
      </w:tr>
      <w:tr w14:paraId="4A86D8B6">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1ADF271">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24D5E0F">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保</w:t>
            </w:r>
            <w:r>
              <w:rPr>
                <w:rFonts w:hint="eastAsia" w:ascii="宋体" w:hAnsi="宋体" w:eastAsia="宋体" w:cs="宋体"/>
                <w:color w:val="auto"/>
                <w:sz w:val="24"/>
                <w:szCs w:val="24"/>
                <w:highlight w:val="none"/>
              </w:rPr>
              <w:t>证</w:t>
            </w:r>
            <w:r>
              <w:rPr>
                <w:rFonts w:hint="eastAsia" w:ascii="宋体" w:hAnsi="宋体" w:eastAsia="宋体" w:cs="宋体"/>
                <w:color w:val="auto"/>
                <w:spacing w:val="-3"/>
                <w:sz w:val="24"/>
                <w:szCs w:val="24"/>
                <w:highlight w:val="none"/>
              </w:rPr>
              <w:t>金</w:t>
            </w:r>
            <w:r>
              <w:rPr>
                <w:rFonts w:hint="eastAsia" w:ascii="宋体" w:hAnsi="宋体" w:eastAsia="宋体" w:cs="宋体"/>
                <w:color w:val="auto"/>
                <w:sz w:val="24"/>
                <w:szCs w:val="24"/>
                <w:highlight w:val="none"/>
              </w:rPr>
              <w:t>的</w:t>
            </w:r>
            <w:r>
              <w:rPr>
                <w:rFonts w:hint="eastAsia" w:ascii="宋体" w:hAnsi="宋体" w:eastAsia="宋体" w:cs="宋体"/>
                <w:color w:val="auto"/>
                <w:spacing w:val="-3"/>
                <w:sz w:val="24"/>
                <w:szCs w:val="24"/>
                <w:highlight w:val="none"/>
              </w:rPr>
              <w:t>利</w:t>
            </w:r>
            <w:r>
              <w:rPr>
                <w:rFonts w:hint="eastAsia" w:ascii="宋体" w:hAnsi="宋体" w:eastAsia="宋体" w:cs="宋体"/>
                <w:color w:val="auto"/>
                <w:sz w:val="24"/>
                <w:szCs w:val="24"/>
                <w:highlight w:val="none"/>
              </w:rPr>
              <w:t>息</w:t>
            </w:r>
            <w:r>
              <w:rPr>
                <w:rFonts w:hint="eastAsia" w:ascii="宋体" w:hAnsi="宋体" w:eastAsia="宋体" w:cs="宋体"/>
                <w:color w:val="auto"/>
                <w:spacing w:val="-3"/>
                <w:sz w:val="24"/>
                <w:szCs w:val="24"/>
                <w:highlight w:val="none"/>
              </w:rPr>
              <w:t>计</w:t>
            </w:r>
            <w:r>
              <w:rPr>
                <w:rFonts w:hint="eastAsia" w:ascii="宋体" w:hAnsi="宋体" w:eastAsia="宋体" w:cs="宋体"/>
                <w:color w:val="auto"/>
                <w:sz w:val="24"/>
                <w:szCs w:val="24"/>
                <w:highlight w:val="none"/>
              </w:rPr>
              <w:t>算</w:t>
            </w:r>
            <w:r>
              <w:rPr>
                <w:rFonts w:hint="eastAsia" w:ascii="宋体" w:hAnsi="宋体" w:eastAsia="宋体" w:cs="宋体"/>
                <w:color w:val="auto"/>
                <w:spacing w:val="-3"/>
                <w:sz w:val="24"/>
                <w:szCs w:val="24"/>
                <w:highlight w:val="none"/>
              </w:rPr>
              <w:t>原</w:t>
            </w:r>
            <w:r>
              <w:rPr>
                <w:rFonts w:hint="eastAsia" w:ascii="宋体" w:hAnsi="宋体" w:eastAsia="宋体" w:cs="宋体"/>
                <w:color w:val="auto"/>
                <w:sz w:val="24"/>
                <w:szCs w:val="24"/>
                <w:highlight w:val="none"/>
              </w:rPr>
              <w:t>则</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ACE35F0">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按韶关市公共资源交易中心有</w:t>
            </w:r>
            <w:r>
              <w:rPr>
                <w:rFonts w:hint="eastAsia" w:ascii="宋体" w:hAnsi="宋体" w:eastAsia="宋体" w:cs="宋体"/>
                <w:bCs/>
                <w:color w:val="auto"/>
                <w:kern w:val="21"/>
                <w:sz w:val="24"/>
                <w:szCs w:val="24"/>
                <w:highlight w:val="none"/>
              </w:rPr>
              <w:t>关</w:t>
            </w:r>
            <w:r>
              <w:rPr>
                <w:rFonts w:hint="eastAsia" w:ascii="宋体" w:hAnsi="宋体" w:eastAsia="宋体" w:cs="宋体"/>
                <w:color w:val="auto"/>
                <w:sz w:val="24"/>
                <w:szCs w:val="24"/>
                <w:highlight w:val="none"/>
              </w:rPr>
              <w:t>规定处理。</w:t>
            </w:r>
          </w:p>
        </w:tc>
      </w:tr>
      <w:tr w14:paraId="1411BFE8">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E024510">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3.4.4</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842F7AE">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r>
              <w:rPr>
                <w:rFonts w:hint="eastAsia" w:ascii="宋体" w:hAnsi="宋体" w:eastAsia="宋体" w:cs="宋体"/>
                <w:color w:val="auto"/>
                <w:spacing w:val="-3"/>
                <w:sz w:val="24"/>
                <w:szCs w:val="24"/>
                <w:highlight w:val="none"/>
              </w:rPr>
              <w:t>可</w:t>
            </w:r>
            <w:r>
              <w:rPr>
                <w:rFonts w:hint="eastAsia" w:ascii="宋体" w:hAnsi="宋体" w:eastAsia="宋体" w:cs="宋体"/>
                <w:color w:val="auto"/>
                <w:sz w:val="24"/>
                <w:szCs w:val="24"/>
                <w:highlight w:val="none"/>
              </w:rPr>
              <w:t>以</w:t>
            </w:r>
            <w:r>
              <w:rPr>
                <w:rFonts w:hint="eastAsia" w:ascii="宋体" w:hAnsi="宋体" w:eastAsia="宋体" w:cs="宋体"/>
                <w:color w:val="auto"/>
                <w:spacing w:val="-3"/>
                <w:sz w:val="24"/>
                <w:szCs w:val="24"/>
                <w:highlight w:val="none"/>
              </w:rPr>
              <w:t>不</w:t>
            </w:r>
            <w:r>
              <w:rPr>
                <w:rFonts w:hint="eastAsia" w:ascii="宋体" w:hAnsi="宋体" w:eastAsia="宋体" w:cs="宋体"/>
                <w:color w:val="auto"/>
                <w:sz w:val="24"/>
                <w:szCs w:val="24"/>
                <w:highlight w:val="none"/>
              </w:rPr>
              <w:t>予</w:t>
            </w:r>
            <w:r>
              <w:rPr>
                <w:rFonts w:hint="eastAsia" w:ascii="宋体" w:hAnsi="宋体" w:eastAsia="宋体" w:cs="宋体"/>
                <w:color w:val="auto"/>
                <w:spacing w:val="-3"/>
                <w:sz w:val="24"/>
                <w:szCs w:val="24"/>
                <w:highlight w:val="none"/>
              </w:rPr>
              <w:t>退</w:t>
            </w:r>
            <w:r>
              <w:rPr>
                <w:rFonts w:hint="eastAsia" w:ascii="宋体" w:hAnsi="宋体" w:eastAsia="宋体" w:cs="宋体"/>
                <w:color w:val="auto"/>
                <w:sz w:val="24"/>
                <w:szCs w:val="24"/>
                <w:highlight w:val="none"/>
              </w:rPr>
              <w:t>还</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保</w:t>
            </w:r>
            <w:r>
              <w:rPr>
                <w:rFonts w:hint="eastAsia" w:ascii="宋体" w:hAnsi="宋体" w:eastAsia="宋体" w:cs="宋体"/>
                <w:color w:val="auto"/>
                <w:sz w:val="24"/>
                <w:szCs w:val="24"/>
                <w:highlight w:val="none"/>
              </w:rPr>
              <w:t>证金的</w:t>
            </w:r>
            <w:r>
              <w:rPr>
                <w:rFonts w:hint="eastAsia" w:ascii="宋体" w:hAnsi="宋体" w:eastAsia="宋体" w:cs="宋体"/>
                <w:color w:val="auto"/>
                <w:spacing w:val="-3"/>
                <w:sz w:val="24"/>
                <w:szCs w:val="24"/>
                <w:highlight w:val="none"/>
              </w:rPr>
              <w:t>情</w:t>
            </w:r>
            <w:r>
              <w:rPr>
                <w:rFonts w:hint="eastAsia" w:ascii="宋体" w:hAnsi="宋体" w:eastAsia="宋体" w:cs="宋体"/>
                <w:color w:val="auto"/>
                <w:sz w:val="24"/>
                <w:szCs w:val="24"/>
                <w:highlight w:val="none"/>
              </w:rPr>
              <w:t>形</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3AAD405C">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（4）串通投标；或</w:t>
            </w:r>
          </w:p>
          <w:p w14:paraId="6FC6A6EA">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（5）评标、中标候选人公示、签订合同前等环节因作假而被取消中标资格；或</w:t>
            </w:r>
          </w:p>
          <w:p w14:paraId="0EE75DF0">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（6）因投诉属实取消投标资格的；或</w:t>
            </w:r>
          </w:p>
          <w:p w14:paraId="26FBA12F">
            <w:pPr>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（7）其他违反规定、妨碍公平竞争准则的行为。</w:t>
            </w:r>
          </w:p>
        </w:tc>
      </w:tr>
      <w:tr w14:paraId="1F064F74">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D41B8D5">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pacing w:val="-3"/>
                <w:sz w:val="24"/>
                <w:szCs w:val="24"/>
                <w:highlight w:val="none"/>
              </w:rPr>
              <w:t>5</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1283F2F">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w:t>
            </w:r>
            <w:r>
              <w:rPr>
                <w:rFonts w:hint="eastAsia" w:ascii="宋体" w:hAnsi="宋体" w:eastAsia="宋体" w:cs="宋体"/>
                <w:color w:val="auto"/>
                <w:spacing w:val="-3"/>
                <w:sz w:val="24"/>
                <w:szCs w:val="24"/>
                <w:highlight w:val="none"/>
              </w:rPr>
              <w:t>审</w:t>
            </w:r>
            <w:r>
              <w:rPr>
                <w:rFonts w:hint="eastAsia" w:ascii="宋体" w:hAnsi="宋体" w:eastAsia="宋体" w:cs="宋体"/>
                <w:color w:val="auto"/>
                <w:sz w:val="24"/>
                <w:szCs w:val="24"/>
                <w:highlight w:val="none"/>
              </w:rPr>
              <w:t>查</w:t>
            </w:r>
            <w:r>
              <w:rPr>
                <w:rFonts w:hint="eastAsia" w:ascii="宋体" w:hAnsi="宋体" w:eastAsia="宋体" w:cs="宋体"/>
                <w:color w:val="auto"/>
                <w:spacing w:val="-3"/>
                <w:sz w:val="24"/>
                <w:szCs w:val="24"/>
                <w:highlight w:val="none"/>
              </w:rPr>
              <w:t>资</w:t>
            </w:r>
            <w:r>
              <w:rPr>
                <w:rFonts w:hint="eastAsia" w:ascii="宋体" w:hAnsi="宋体" w:eastAsia="宋体" w:cs="宋体"/>
                <w:color w:val="auto"/>
                <w:sz w:val="24"/>
                <w:szCs w:val="24"/>
                <w:highlight w:val="none"/>
              </w:rPr>
              <w:t>料</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特</w:t>
            </w:r>
            <w:r>
              <w:rPr>
                <w:rFonts w:hint="eastAsia" w:ascii="宋体" w:hAnsi="宋体" w:eastAsia="宋体" w:cs="宋体"/>
                <w:color w:val="auto"/>
                <w:spacing w:val="-3"/>
                <w:sz w:val="24"/>
                <w:szCs w:val="24"/>
                <w:highlight w:val="none"/>
              </w:rPr>
              <w:t>殊</w:t>
            </w:r>
            <w:r>
              <w:rPr>
                <w:rFonts w:hint="eastAsia" w:ascii="宋体" w:hAnsi="宋体" w:eastAsia="宋体" w:cs="宋体"/>
                <w:color w:val="auto"/>
                <w:sz w:val="24"/>
                <w:szCs w:val="24"/>
                <w:highlight w:val="none"/>
              </w:rPr>
              <w:t>要求</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4DB90193">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无</w:t>
            </w:r>
          </w:p>
          <w:p w14:paraId="7F9259A1">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有，具</w:t>
            </w:r>
            <w:r>
              <w:rPr>
                <w:rFonts w:hint="eastAsia" w:ascii="宋体" w:hAnsi="宋体" w:eastAsia="宋体" w:cs="宋体"/>
                <w:color w:val="auto"/>
                <w:spacing w:val="-3"/>
                <w:sz w:val="24"/>
                <w:szCs w:val="24"/>
                <w:highlight w:val="none"/>
              </w:rPr>
              <w:t>体</w:t>
            </w:r>
            <w:r>
              <w:rPr>
                <w:rFonts w:hint="eastAsia" w:ascii="宋体" w:hAnsi="宋体" w:eastAsia="宋体" w:cs="宋体"/>
                <w:color w:val="auto"/>
                <w:sz w:val="24"/>
                <w:szCs w:val="24"/>
                <w:highlight w:val="none"/>
              </w:rPr>
              <w:t>要</w:t>
            </w:r>
            <w:r>
              <w:rPr>
                <w:rFonts w:hint="eastAsia" w:ascii="宋体" w:hAnsi="宋体" w:eastAsia="宋体" w:cs="宋体"/>
                <w:color w:val="auto"/>
                <w:spacing w:val="-3"/>
                <w:sz w:val="24"/>
                <w:szCs w:val="24"/>
                <w:highlight w:val="none"/>
              </w:rPr>
              <w:t>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p>
        </w:tc>
      </w:tr>
      <w:tr w14:paraId="4EF553A2">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988D1AF">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r>
              <w:rPr>
                <w:rFonts w:hint="eastAsia" w:ascii="宋体" w:hAnsi="宋体" w:eastAsia="宋体" w:cs="宋体"/>
                <w:color w:val="auto"/>
                <w:spacing w:val="-3"/>
                <w:sz w:val="24"/>
                <w:szCs w:val="24"/>
                <w:highlight w:val="none"/>
              </w:rPr>
              <w:t>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744CCF8">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近年</w:t>
            </w:r>
            <w:r>
              <w:rPr>
                <w:rFonts w:hint="eastAsia" w:ascii="宋体" w:hAnsi="宋体" w:eastAsia="宋体" w:cs="宋体"/>
                <w:color w:val="auto"/>
                <w:spacing w:val="-3"/>
                <w:sz w:val="24"/>
                <w:szCs w:val="24"/>
                <w:highlight w:val="none"/>
              </w:rPr>
              <w:t>完</w:t>
            </w:r>
            <w:r>
              <w:rPr>
                <w:rFonts w:hint="eastAsia" w:ascii="宋体" w:hAnsi="宋体" w:eastAsia="宋体" w:cs="宋体"/>
                <w:color w:val="auto"/>
                <w:sz w:val="24"/>
                <w:szCs w:val="24"/>
                <w:highlight w:val="none"/>
              </w:rPr>
              <w:t>成</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类</w:t>
            </w:r>
            <w:r>
              <w:rPr>
                <w:rFonts w:hint="eastAsia" w:ascii="宋体" w:hAnsi="宋体" w:eastAsia="宋体" w:cs="宋体"/>
                <w:color w:val="auto"/>
                <w:spacing w:val="-3"/>
                <w:sz w:val="24"/>
                <w:szCs w:val="24"/>
                <w:highlight w:val="none"/>
              </w:rPr>
              <w:t>似</w:t>
            </w:r>
            <w:r>
              <w:rPr>
                <w:rFonts w:hint="eastAsia" w:ascii="宋体" w:hAnsi="宋体" w:eastAsia="宋体" w:cs="宋体"/>
                <w:color w:val="auto"/>
                <w:sz w:val="24"/>
                <w:szCs w:val="24"/>
                <w:highlight w:val="none"/>
              </w:rPr>
              <w:t>项</w:t>
            </w:r>
            <w:r>
              <w:rPr>
                <w:rFonts w:hint="eastAsia" w:ascii="宋体" w:hAnsi="宋体" w:eastAsia="宋体" w:cs="宋体"/>
                <w:color w:val="auto"/>
                <w:spacing w:val="-3"/>
                <w:sz w:val="24"/>
                <w:szCs w:val="24"/>
                <w:highlight w:val="none"/>
              </w:rPr>
              <w:t>目</w:t>
            </w:r>
            <w:r>
              <w:rPr>
                <w:rFonts w:hint="eastAsia" w:ascii="宋体" w:hAnsi="宋体" w:eastAsia="宋体" w:cs="宋体"/>
                <w:color w:val="auto"/>
                <w:sz w:val="24"/>
                <w:szCs w:val="24"/>
                <w:highlight w:val="none"/>
              </w:rPr>
              <w:t>情</w:t>
            </w:r>
            <w:r>
              <w:rPr>
                <w:rFonts w:hint="eastAsia" w:ascii="宋体" w:hAnsi="宋体" w:eastAsia="宋体" w:cs="宋体"/>
                <w:color w:val="auto"/>
                <w:spacing w:val="-3"/>
                <w:sz w:val="24"/>
                <w:szCs w:val="24"/>
                <w:highlight w:val="none"/>
              </w:rPr>
              <w:t>况</w:t>
            </w:r>
            <w:r>
              <w:rPr>
                <w:rFonts w:hint="eastAsia" w:ascii="宋体" w:hAnsi="宋体" w:eastAsia="宋体" w:cs="宋体"/>
                <w:color w:val="auto"/>
                <w:sz w:val="24"/>
                <w:szCs w:val="24"/>
                <w:highlight w:val="none"/>
              </w:rPr>
              <w:t>的时间</w:t>
            </w:r>
            <w:r>
              <w:rPr>
                <w:rFonts w:hint="eastAsia" w:ascii="宋体" w:hAnsi="宋体" w:eastAsia="宋体" w:cs="宋体"/>
                <w:color w:val="auto"/>
                <w:spacing w:val="-3"/>
                <w:sz w:val="24"/>
                <w:szCs w:val="24"/>
                <w:highlight w:val="none"/>
              </w:rPr>
              <w:t>要</w:t>
            </w:r>
            <w:r>
              <w:rPr>
                <w:rFonts w:hint="eastAsia" w:ascii="宋体" w:hAnsi="宋体" w:eastAsia="宋体" w:cs="宋体"/>
                <w:color w:val="auto"/>
                <w:sz w:val="24"/>
                <w:szCs w:val="24"/>
                <w:highlight w:val="none"/>
              </w:rPr>
              <w:t>求</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6B320C6">
            <w:pPr>
              <w:pStyle w:val="30"/>
              <w:keepNext w:val="0"/>
              <w:keepLines w:val="0"/>
              <w:pageBreakBefore w:val="0"/>
              <w:tabs>
                <w:tab w:val="left" w:pos="524"/>
                <w:tab w:val="left" w:pos="1153"/>
                <w:tab w:val="left" w:pos="1784"/>
                <w:tab w:val="left" w:pos="2622"/>
                <w:tab w:val="left" w:pos="3253"/>
                <w:tab w:val="left" w:pos="3883"/>
              </w:tabs>
              <w:kinsoku w:val="0"/>
              <w:wordWrap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20</w:t>
            </w:r>
            <w:r>
              <w:rPr>
                <w:rFonts w:hint="eastAsia" w:ascii="宋体" w:hAnsi="宋体" w:eastAsia="宋体" w:cs="宋体"/>
                <w:color w:val="auto"/>
                <w:sz w:val="24"/>
                <w:szCs w:val="24"/>
                <w:highlight w:val="none"/>
                <w:u w:val="single"/>
                <w:lang w:val="en-US" w:eastAsia="zh-CN"/>
              </w:rPr>
              <w:t>20</w:t>
            </w:r>
            <w:r>
              <w:rPr>
                <w:rFonts w:hint="eastAsia" w:ascii="宋体" w:hAnsi="宋体" w:eastAsia="宋体" w:cs="宋体"/>
                <w:color w:val="auto"/>
                <w:spacing w:val="-3"/>
                <w:sz w:val="24"/>
                <w:szCs w:val="24"/>
                <w:highlight w:val="none"/>
              </w:rPr>
              <w:t>年</w:t>
            </w:r>
            <w:r>
              <w:rPr>
                <w:rFonts w:hint="eastAsia" w:ascii="宋体" w:hAnsi="宋体" w:eastAsia="宋体" w:cs="宋体"/>
                <w:color w:val="auto"/>
                <w:spacing w:val="-3"/>
                <w:sz w:val="24"/>
                <w:szCs w:val="24"/>
                <w:highlight w:val="none"/>
                <w:u w:val="singl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1</w:t>
            </w:r>
            <w:r>
              <w:rPr>
                <w:rFonts w:hint="eastAsia" w:ascii="宋体" w:hAnsi="宋体" w:eastAsia="宋体" w:cs="宋体"/>
                <w:color w:val="auto"/>
                <w:spacing w:val="-3"/>
                <w:sz w:val="24"/>
                <w:szCs w:val="24"/>
                <w:highlight w:val="none"/>
              </w:rPr>
              <w:t>日</w:t>
            </w:r>
            <w:r>
              <w:rPr>
                <w:rFonts w:hint="eastAsia" w:ascii="宋体" w:hAnsi="宋体" w:eastAsia="宋体" w:cs="宋体"/>
                <w:color w:val="auto"/>
                <w:sz w:val="24"/>
                <w:szCs w:val="24"/>
                <w:highlight w:val="none"/>
              </w:rPr>
              <w:t>至投标文件递交截止之日（近5年）（以交工验收或无交工验收一次性竣工验收的时间为准）</w:t>
            </w:r>
          </w:p>
        </w:tc>
      </w:tr>
      <w:tr w14:paraId="23323C05">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7FD5C8F">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22AA846C">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w:t>
            </w:r>
            <w:r>
              <w:rPr>
                <w:rFonts w:hint="eastAsia" w:ascii="宋体" w:hAnsi="宋体" w:eastAsia="宋体" w:cs="宋体"/>
                <w:color w:val="auto"/>
                <w:spacing w:val="-3"/>
                <w:sz w:val="24"/>
                <w:szCs w:val="24"/>
                <w:highlight w:val="none"/>
              </w:rPr>
              <w:t>允</w:t>
            </w:r>
            <w:r>
              <w:rPr>
                <w:rFonts w:hint="eastAsia" w:ascii="宋体" w:hAnsi="宋体" w:eastAsia="宋体" w:cs="宋体"/>
                <w:color w:val="auto"/>
                <w:sz w:val="24"/>
                <w:szCs w:val="24"/>
                <w:highlight w:val="none"/>
              </w:rPr>
              <w:t>许</w:t>
            </w:r>
            <w:r>
              <w:rPr>
                <w:rFonts w:hint="eastAsia" w:ascii="宋体" w:hAnsi="宋体" w:eastAsia="宋体" w:cs="宋体"/>
                <w:color w:val="auto"/>
                <w:spacing w:val="-3"/>
                <w:sz w:val="24"/>
                <w:szCs w:val="24"/>
                <w:highlight w:val="none"/>
              </w:rPr>
              <w:t>递</w:t>
            </w:r>
            <w:r>
              <w:rPr>
                <w:rFonts w:hint="eastAsia" w:ascii="宋体" w:hAnsi="宋体" w:eastAsia="宋体" w:cs="宋体"/>
                <w:color w:val="auto"/>
                <w:sz w:val="24"/>
                <w:szCs w:val="24"/>
                <w:highlight w:val="none"/>
              </w:rPr>
              <w:t>交</w:t>
            </w:r>
            <w:r>
              <w:rPr>
                <w:rFonts w:hint="eastAsia" w:ascii="宋体" w:hAnsi="宋体" w:eastAsia="宋体" w:cs="宋体"/>
                <w:color w:val="auto"/>
                <w:spacing w:val="-3"/>
                <w:sz w:val="24"/>
                <w:szCs w:val="24"/>
                <w:highlight w:val="none"/>
              </w:rPr>
              <w:t>备</w:t>
            </w:r>
            <w:r>
              <w:rPr>
                <w:rFonts w:hint="eastAsia" w:ascii="宋体" w:hAnsi="宋体" w:eastAsia="宋体" w:cs="宋体"/>
                <w:color w:val="auto"/>
                <w:sz w:val="24"/>
                <w:szCs w:val="24"/>
                <w:highlight w:val="none"/>
              </w:rPr>
              <w:t>选</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方</w:t>
            </w:r>
            <w:r>
              <w:rPr>
                <w:rFonts w:hint="eastAsia" w:ascii="宋体" w:hAnsi="宋体" w:eastAsia="宋体" w:cs="宋体"/>
                <w:color w:val="auto"/>
                <w:sz w:val="24"/>
                <w:szCs w:val="24"/>
                <w:highlight w:val="none"/>
              </w:rPr>
              <w:t>案</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13652D59">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不允许</w:t>
            </w:r>
          </w:p>
          <w:p w14:paraId="6C90FB18">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允许</w:t>
            </w:r>
          </w:p>
        </w:tc>
      </w:tr>
      <w:tr w14:paraId="3282B97D">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447F2CF">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3.7.4</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B96EA5C">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副</w:t>
            </w:r>
            <w:r>
              <w:rPr>
                <w:rFonts w:hint="eastAsia" w:ascii="宋体" w:hAnsi="宋体" w:eastAsia="宋体" w:cs="宋体"/>
                <w:color w:val="auto"/>
                <w:sz w:val="24"/>
                <w:szCs w:val="24"/>
                <w:highlight w:val="none"/>
              </w:rPr>
              <w:t>本</w:t>
            </w:r>
            <w:r>
              <w:rPr>
                <w:rFonts w:hint="eastAsia" w:ascii="宋体" w:hAnsi="宋体" w:eastAsia="宋体" w:cs="宋体"/>
                <w:color w:val="auto"/>
                <w:spacing w:val="-3"/>
                <w:sz w:val="24"/>
                <w:szCs w:val="24"/>
                <w:highlight w:val="none"/>
              </w:rPr>
              <w:t>份</w:t>
            </w:r>
            <w:r>
              <w:rPr>
                <w:rFonts w:hint="eastAsia" w:ascii="宋体" w:hAnsi="宋体" w:eastAsia="宋体" w:cs="宋体"/>
                <w:color w:val="auto"/>
                <w:sz w:val="24"/>
                <w:szCs w:val="24"/>
                <w:highlight w:val="none"/>
              </w:rPr>
              <w:t>数</w:t>
            </w:r>
            <w:r>
              <w:rPr>
                <w:rFonts w:hint="eastAsia" w:ascii="宋体" w:hAnsi="宋体" w:eastAsia="宋体" w:cs="宋体"/>
                <w:color w:val="auto"/>
                <w:spacing w:val="-3"/>
                <w:sz w:val="24"/>
                <w:szCs w:val="24"/>
                <w:highlight w:val="none"/>
              </w:rPr>
              <w:t>及</w:t>
            </w:r>
            <w:r>
              <w:rPr>
                <w:rFonts w:hint="eastAsia" w:ascii="宋体" w:hAnsi="宋体" w:eastAsia="宋体" w:cs="宋体"/>
                <w:color w:val="auto"/>
                <w:sz w:val="24"/>
                <w:szCs w:val="24"/>
                <w:highlight w:val="none"/>
              </w:rPr>
              <w:t>其</w:t>
            </w:r>
            <w:r>
              <w:rPr>
                <w:rFonts w:hint="eastAsia" w:ascii="宋体" w:hAnsi="宋体" w:eastAsia="宋体" w:cs="宋体"/>
                <w:color w:val="auto"/>
                <w:spacing w:val="-3"/>
                <w:sz w:val="24"/>
                <w:szCs w:val="24"/>
                <w:highlight w:val="none"/>
              </w:rPr>
              <w:t>他</w:t>
            </w:r>
            <w:r>
              <w:rPr>
                <w:rFonts w:hint="eastAsia" w:ascii="宋体" w:hAnsi="宋体" w:eastAsia="宋体" w:cs="宋体"/>
                <w:color w:val="auto"/>
                <w:sz w:val="24"/>
                <w:szCs w:val="24"/>
                <w:highlight w:val="none"/>
              </w:rPr>
              <w:t>要求</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0669570">
            <w:pPr>
              <w:keepNext w:val="0"/>
              <w:keepLines w:val="0"/>
              <w:pageBreakBefore w:val="0"/>
              <w:widowControl w:val="0"/>
              <w:topLinePunct w:val="0"/>
              <w:bidi w:val="0"/>
              <w:spacing w:line="360" w:lineRule="auto"/>
              <w:ind w:right="11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投标文件正副本份数：本项目采用全流程电子投标，不需要提交纸质版的投标文件。</w:t>
            </w:r>
          </w:p>
          <w:p w14:paraId="43D9CF12">
            <w:pPr>
              <w:pStyle w:val="30"/>
              <w:keepNext w:val="0"/>
              <w:keepLines w:val="0"/>
              <w:pageBreakBefore w:val="0"/>
              <w:kinsoku w:val="0"/>
              <w:overflowPunct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其他要求：中标人自中标通知书发出之日起五个工作日内，提供与电子投标电子文档一致的正副本各1份的纸质版投标文件给招标人存档。</w:t>
            </w:r>
          </w:p>
        </w:tc>
      </w:tr>
      <w:tr w14:paraId="30FB5A5C">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8F66C99">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3.7.5</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37369D9">
            <w:pPr>
              <w:pStyle w:val="30"/>
              <w:keepNext w:val="0"/>
              <w:keepLines w:val="0"/>
              <w:pageBreakBefore w:val="0"/>
              <w:kinsoku w:val="0"/>
              <w:overflowPunct w:val="0"/>
              <w:topLinePunct w:val="0"/>
              <w:bidi w:val="0"/>
              <w:spacing w:before="19" w:line="360" w:lineRule="auto"/>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装订的其他要求</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562159E">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本项目采用全流程电子投标，不需要提交纸质版的投标文件。</w:t>
            </w:r>
          </w:p>
        </w:tc>
      </w:tr>
      <w:tr w14:paraId="6E0155DB">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9309986">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904D564">
            <w:pPr>
              <w:pStyle w:val="30"/>
              <w:keepNext w:val="0"/>
              <w:keepLines w:val="0"/>
              <w:pageBreakBefore w:val="0"/>
              <w:kinsoku w:val="0"/>
              <w:overflowPunct w:val="0"/>
              <w:topLinePunct w:val="0"/>
              <w:bidi w:val="0"/>
              <w:spacing w:before="19" w:line="360" w:lineRule="auto"/>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封套上应载明的信息</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5C5730D6">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本项目采用全流程电子投标，不需要提交纸质版的投标文件。</w:t>
            </w:r>
          </w:p>
        </w:tc>
      </w:tr>
      <w:tr w14:paraId="5E7028F5">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3ED3358">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4.2.3</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81FD799">
            <w:pPr>
              <w:pStyle w:val="30"/>
              <w:keepNext w:val="0"/>
              <w:keepLines w:val="0"/>
              <w:pageBreakBefore w:val="0"/>
              <w:kinsoku w:val="0"/>
              <w:overflowPunct w:val="0"/>
              <w:topLinePunct w:val="0"/>
              <w:bidi w:val="0"/>
              <w:spacing w:before="19"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是否退还投标文件</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D326420">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eq\o\ac(</w:instrText>
            </w:r>
            <w:r>
              <w:rPr>
                <w:rFonts w:hint="eastAsia" w:ascii="宋体" w:hAnsi="宋体" w:eastAsia="宋体" w:cs="宋体"/>
                <w:color w:val="auto"/>
                <w:position w:val="-4"/>
                <w:sz w:val="36"/>
                <w:szCs w:val="24"/>
                <w:highlight w:val="none"/>
              </w:rPr>
              <w:instrText xml:space="preserve">□</w:instrText>
            </w:r>
            <w:r>
              <w:rPr>
                <w:rFonts w:hint="eastAsia" w:ascii="宋体" w:hAnsi="宋体" w:eastAsia="宋体" w:cs="宋体"/>
                <w:color w:val="auto"/>
                <w:position w:val="0"/>
                <w:sz w:val="24"/>
                <w:szCs w:val="24"/>
                <w:highlight w:val="none"/>
              </w:rPr>
              <w:instrText xml:space="preserve">,√)</w:instrText>
            </w:r>
            <w:r>
              <w:rPr>
                <w:rFonts w:hint="eastAsia" w:ascii="宋体" w:hAnsi="宋体" w:eastAsia="宋体" w:cs="宋体"/>
                <w:color w:val="auto"/>
                <w:sz w:val="24"/>
                <w:szCs w:val="24"/>
                <w:highlight w:val="none"/>
              </w:rPr>
              <w:fldChar w:fldCharType="end"/>
            </w:r>
            <w:r>
              <w:rPr>
                <w:rFonts w:hint="eastAsia" w:ascii="宋体" w:hAnsi="宋体" w:eastAsia="宋体" w:cs="宋体"/>
                <w:color w:val="auto"/>
                <w:kern w:val="21"/>
                <w:sz w:val="24"/>
                <w:szCs w:val="24"/>
                <w:highlight w:val="none"/>
              </w:rPr>
              <w:t>否</w:t>
            </w:r>
          </w:p>
          <w:p w14:paraId="26B08EC7">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□是，退还时间：/</w:t>
            </w:r>
          </w:p>
        </w:tc>
      </w:tr>
      <w:tr w14:paraId="7B694749">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1EF6651">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B728060">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w:t>
            </w:r>
            <w:r>
              <w:rPr>
                <w:rFonts w:hint="eastAsia" w:ascii="宋体" w:hAnsi="宋体" w:eastAsia="宋体" w:cs="宋体"/>
                <w:color w:val="auto"/>
                <w:spacing w:val="-3"/>
                <w:sz w:val="24"/>
                <w:szCs w:val="24"/>
                <w:highlight w:val="none"/>
              </w:rPr>
              <w:t>时</w:t>
            </w:r>
            <w:r>
              <w:rPr>
                <w:rFonts w:hint="eastAsia" w:ascii="宋体" w:hAnsi="宋体" w:eastAsia="宋体" w:cs="宋体"/>
                <w:color w:val="auto"/>
                <w:sz w:val="24"/>
                <w:szCs w:val="24"/>
                <w:highlight w:val="none"/>
              </w:rPr>
              <w:t>间</w:t>
            </w:r>
            <w:r>
              <w:rPr>
                <w:rFonts w:hint="eastAsia" w:ascii="宋体" w:hAnsi="宋体" w:eastAsia="宋体" w:cs="宋体"/>
                <w:color w:val="auto"/>
                <w:spacing w:val="-3"/>
                <w:sz w:val="24"/>
                <w:szCs w:val="24"/>
                <w:highlight w:val="none"/>
              </w:rPr>
              <w:t>和</w:t>
            </w:r>
            <w:r>
              <w:rPr>
                <w:rFonts w:hint="eastAsia" w:ascii="宋体" w:hAnsi="宋体" w:eastAsia="宋体" w:cs="宋体"/>
                <w:color w:val="auto"/>
                <w:sz w:val="24"/>
                <w:szCs w:val="24"/>
                <w:highlight w:val="none"/>
              </w:rPr>
              <w:t>地点</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05F2FDE">
            <w:pPr>
              <w:pStyle w:val="30"/>
              <w:keepNext w:val="0"/>
              <w:keepLines w:val="0"/>
              <w:pageBreakBefore w:val="0"/>
              <w:tabs>
                <w:tab w:val="left" w:pos="4725"/>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第</w:t>
            </w:r>
            <w:r>
              <w:rPr>
                <w:rFonts w:hint="eastAsia" w:ascii="宋体" w:hAnsi="宋体" w:eastAsia="宋体" w:cs="宋体"/>
                <w:color w:val="auto"/>
                <w:sz w:val="24"/>
                <w:szCs w:val="24"/>
                <w:highlight w:val="none"/>
              </w:rPr>
              <w:t>一</w:t>
            </w:r>
            <w:r>
              <w:rPr>
                <w:rFonts w:hint="eastAsia" w:ascii="宋体" w:hAnsi="宋体" w:eastAsia="宋体" w:cs="宋体"/>
                <w:color w:val="auto"/>
                <w:spacing w:val="-3"/>
                <w:sz w:val="24"/>
                <w:szCs w:val="24"/>
                <w:highlight w:val="none"/>
              </w:rPr>
              <w:t>个</w:t>
            </w:r>
            <w:r>
              <w:rPr>
                <w:rFonts w:hint="eastAsia" w:ascii="宋体" w:hAnsi="宋体" w:eastAsia="宋体" w:cs="宋体"/>
                <w:color w:val="auto"/>
                <w:sz w:val="24"/>
                <w:szCs w:val="24"/>
                <w:highlight w:val="none"/>
              </w:rPr>
              <w:t>信</w:t>
            </w:r>
            <w:r>
              <w:rPr>
                <w:rFonts w:hint="eastAsia" w:ascii="宋体" w:hAnsi="宋体" w:eastAsia="宋体" w:cs="宋体"/>
                <w:color w:val="auto"/>
                <w:spacing w:val="-29"/>
                <w:sz w:val="24"/>
                <w:szCs w:val="24"/>
                <w:highlight w:val="none"/>
              </w:rPr>
              <w:t>封</w:t>
            </w: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商</w:t>
            </w:r>
            <w:r>
              <w:rPr>
                <w:rFonts w:hint="eastAsia" w:ascii="宋体" w:hAnsi="宋体" w:eastAsia="宋体" w:cs="宋体"/>
                <w:color w:val="auto"/>
                <w:sz w:val="24"/>
                <w:szCs w:val="24"/>
                <w:highlight w:val="none"/>
              </w:rPr>
              <w:t>务及</w:t>
            </w:r>
            <w:r>
              <w:rPr>
                <w:rFonts w:hint="eastAsia" w:ascii="宋体" w:hAnsi="宋体" w:eastAsia="宋体" w:cs="宋体"/>
                <w:color w:val="auto"/>
                <w:spacing w:val="-3"/>
                <w:sz w:val="24"/>
                <w:szCs w:val="24"/>
                <w:highlight w:val="none"/>
              </w:rPr>
              <w:t>技</w:t>
            </w:r>
            <w:r>
              <w:rPr>
                <w:rFonts w:hint="eastAsia" w:ascii="宋体" w:hAnsi="宋体" w:eastAsia="宋体" w:cs="宋体"/>
                <w:color w:val="auto"/>
                <w:sz w:val="24"/>
                <w:szCs w:val="24"/>
                <w:highlight w:val="none"/>
              </w:rPr>
              <w:t>术</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29"/>
                <w:sz w:val="24"/>
                <w:szCs w:val="24"/>
                <w:highlight w:val="none"/>
              </w:rPr>
              <w:t>）</w:t>
            </w:r>
            <w:r>
              <w:rPr>
                <w:rFonts w:hint="eastAsia" w:ascii="宋体" w:hAnsi="宋体" w:eastAsia="宋体" w:cs="宋体"/>
                <w:color w:val="auto"/>
                <w:sz w:val="24"/>
                <w:szCs w:val="24"/>
                <w:highlight w:val="none"/>
              </w:rPr>
              <w:t>开</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时</w:t>
            </w:r>
            <w:r>
              <w:rPr>
                <w:rFonts w:hint="eastAsia" w:ascii="宋体" w:hAnsi="宋体" w:eastAsia="宋体" w:cs="宋体"/>
                <w:color w:val="auto"/>
                <w:spacing w:val="-3"/>
                <w:sz w:val="24"/>
                <w:szCs w:val="24"/>
                <w:highlight w:val="none"/>
              </w:rPr>
              <w:t>间</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同投</w:t>
            </w:r>
            <w:r>
              <w:rPr>
                <w:rFonts w:hint="eastAsia" w:ascii="宋体" w:hAnsi="宋体" w:eastAsia="宋体" w:cs="宋体"/>
                <w:color w:val="auto"/>
                <w:spacing w:val="-3"/>
                <w:sz w:val="24"/>
                <w:szCs w:val="24"/>
                <w:highlight w:val="none"/>
                <w:u w:val="single"/>
              </w:rPr>
              <w:t>标</w:t>
            </w:r>
            <w:r>
              <w:rPr>
                <w:rFonts w:hint="eastAsia" w:ascii="宋体" w:hAnsi="宋体" w:eastAsia="宋体" w:cs="宋体"/>
                <w:color w:val="auto"/>
                <w:sz w:val="24"/>
                <w:szCs w:val="24"/>
                <w:highlight w:val="none"/>
                <w:u w:val="single"/>
              </w:rPr>
              <w:t>截</w:t>
            </w:r>
            <w:r>
              <w:rPr>
                <w:rFonts w:hint="eastAsia" w:ascii="宋体" w:hAnsi="宋体" w:eastAsia="宋体" w:cs="宋体"/>
                <w:color w:val="auto"/>
                <w:spacing w:val="-3"/>
                <w:sz w:val="24"/>
                <w:szCs w:val="24"/>
                <w:highlight w:val="none"/>
                <w:u w:val="single"/>
              </w:rPr>
              <w:t>止</w:t>
            </w:r>
            <w:r>
              <w:rPr>
                <w:rFonts w:hint="eastAsia" w:ascii="宋体" w:hAnsi="宋体" w:eastAsia="宋体" w:cs="宋体"/>
                <w:color w:val="auto"/>
                <w:sz w:val="24"/>
                <w:szCs w:val="24"/>
                <w:highlight w:val="none"/>
                <w:u w:val="single"/>
              </w:rPr>
              <w:t>时间</w:t>
            </w:r>
            <w:r>
              <w:rPr>
                <w:rFonts w:hint="eastAsia" w:ascii="宋体" w:hAnsi="宋体" w:eastAsia="宋体" w:cs="宋体"/>
                <w:color w:val="auto"/>
                <w:sz w:val="24"/>
                <w:szCs w:val="24"/>
                <w:highlight w:val="none"/>
              </w:rPr>
              <w:t>。</w:t>
            </w:r>
          </w:p>
          <w:p w14:paraId="53E5399E">
            <w:pPr>
              <w:pStyle w:val="30"/>
              <w:keepNext w:val="0"/>
              <w:keepLines w:val="0"/>
              <w:pageBreakBefore w:val="0"/>
              <w:tabs>
                <w:tab w:val="left" w:pos="4725"/>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第</w:t>
            </w:r>
            <w:r>
              <w:rPr>
                <w:rFonts w:hint="eastAsia" w:ascii="宋体" w:hAnsi="宋体" w:eastAsia="宋体" w:cs="宋体"/>
                <w:color w:val="auto"/>
                <w:sz w:val="24"/>
                <w:szCs w:val="24"/>
                <w:highlight w:val="none"/>
              </w:rPr>
              <w:t>一</w:t>
            </w:r>
            <w:r>
              <w:rPr>
                <w:rFonts w:hint="eastAsia" w:ascii="宋体" w:hAnsi="宋体" w:eastAsia="宋体" w:cs="宋体"/>
                <w:color w:val="auto"/>
                <w:spacing w:val="-3"/>
                <w:sz w:val="24"/>
                <w:szCs w:val="24"/>
                <w:highlight w:val="none"/>
              </w:rPr>
              <w:t>个</w:t>
            </w:r>
            <w:r>
              <w:rPr>
                <w:rFonts w:hint="eastAsia" w:ascii="宋体" w:hAnsi="宋体" w:eastAsia="宋体" w:cs="宋体"/>
                <w:color w:val="auto"/>
                <w:sz w:val="24"/>
                <w:szCs w:val="24"/>
                <w:highlight w:val="none"/>
              </w:rPr>
              <w:t>信</w:t>
            </w:r>
            <w:r>
              <w:rPr>
                <w:rFonts w:hint="eastAsia" w:ascii="宋体" w:hAnsi="宋体" w:eastAsia="宋体" w:cs="宋体"/>
                <w:color w:val="auto"/>
                <w:spacing w:val="-29"/>
                <w:sz w:val="24"/>
                <w:szCs w:val="24"/>
                <w:highlight w:val="none"/>
              </w:rPr>
              <w:t>封</w:t>
            </w: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商</w:t>
            </w:r>
            <w:r>
              <w:rPr>
                <w:rFonts w:hint="eastAsia" w:ascii="宋体" w:hAnsi="宋体" w:eastAsia="宋体" w:cs="宋体"/>
                <w:color w:val="auto"/>
                <w:sz w:val="24"/>
                <w:szCs w:val="24"/>
                <w:highlight w:val="none"/>
              </w:rPr>
              <w:t>务及</w:t>
            </w:r>
            <w:r>
              <w:rPr>
                <w:rFonts w:hint="eastAsia" w:ascii="宋体" w:hAnsi="宋体" w:eastAsia="宋体" w:cs="宋体"/>
                <w:color w:val="auto"/>
                <w:spacing w:val="-3"/>
                <w:sz w:val="24"/>
                <w:szCs w:val="24"/>
                <w:highlight w:val="none"/>
              </w:rPr>
              <w:t>技</w:t>
            </w:r>
            <w:r>
              <w:rPr>
                <w:rFonts w:hint="eastAsia" w:ascii="宋体" w:hAnsi="宋体" w:eastAsia="宋体" w:cs="宋体"/>
                <w:color w:val="auto"/>
                <w:sz w:val="24"/>
                <w:szCs w:val="24"/>
                <w:highlight w:val="none"/>
              </w:rPr>
              <w:t>术</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29"/>
                <w:sz w:val="24"/>
                <w:szCs w:val="24"/>
                <w:highlight w:val="none"/>
              </w:rPr>
              <w:t>）</w:t>
            </w:r>
            <w:r>
              <w:rPr>
                <w:rFonts w:hint="eastAsia" w:ascii="宋体" w:hAnsi="宋体" w:eastAsia="宋体" w:cs="宋体"/>
                <w:color w:val="auto"/>
                <w:sz w:val="24"/>
                <w:szCs w:val="24"/>
                <w:highlight w:val="none"/>
              </w:rPr>
              <w:t>开</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地</w:t>
            </w:r>
            <w:r>
              <w:rPr>
                <w:rFonts w:hint="eastAsia" w:ascii="宋体" w:hAnsi="宋体" w:eastAsia="宋体" w:cs="宋体"/>
                <w:color w:val="auto"/>
                <w:spacing w:val="-3"/>
                <w:sz w:val="24"/>
                <w:szCs w:val="24"/>
                <w:highlight w:val="none"/>
              </w:rPr>
              <w:t>点</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u w:val="single"/>
              </w:rPr>
              <w:t>见“重要事项时间地点一览表”</w:t>
            </w:r>
            <w:r>
              <w:rPr>
                <w:rFonts w:hint="eastAsia" w:ascii="宋体" w:hAnsi="宋体" w:eastAsia="宋体" w:cs="宋体"/>
                <w:color w:val="auto"/>
                <w:sz w:val="24"/>
                <w:szCs w:val="24"/>
                <w:highlight w:val="none"/>
              </w:rPr>
              <w:t>。</w:t>
            </w:r>
          </w:p>
          <w:p w14:paraId="23811DAA">
            <w:pPr>
              <w:pStyle w:val="32"/>
              <w:keepNext w:val="0"/>
              <w:keepLines w:val="0"/>
              <w:pageBreakBefore w:val="0"/>
              <w:topLinePunct w:val="0"/>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第</w:t>
            </w:r>
            <w:r>
              <w:rPr>
                <w:rFonts w:hint="eastAsia" w:ascii="宋体" w:hAnsi="宋体" w:eastAsia="宋体" w:cs="宋体"/>
                <w:color w:val="auto"/>
                <w:sz w:val="24"/>
                <w:szCs w:val="24"/>
                <w:highlight w:val="none"/>
              </w:rPr>
              <w:t>二</w:t>
            </w:r>
            <w:r>
              <w:rPr>
                <w:rFonts w:hint="eastAsia" w:ascii="宋体" w:hAnsi="宋体" w:eastAsia="宋体" w:cs="宋体"/>
                <w:color w:val="auto"/>
                <w:spacing w:val="-3"/>
                <w:sz w:val="24"/>
                <w:szCs w:val="24"/>
                <w:highlight w:val="none"/>
              </w:rPr>
              <w:t>个</w:t>
            </w:r>
            <w:r>
              <w:rPr>
                <w:rFonts w:hint="eastAsia" w:ascii="宋体" w:hAnsi="宋体" w:eastAsia="宋体" w:cs="宋体"/>
                <w:color w:val="auto"/>
                <w:sz w:val="24"/>
                <w:szCs w:val="24"/>
                <w:highlight w:val="none"/>
              </w:rPr>
              <w:t>信</w:t>
            </w:r>
            <w:r>
              <w:rPr>
                <w:rFonts w:hint="eastAsia" w:ascii="宋体" w:hAnsi="宋体" w:eastAsia="宋体" w:cs="宋体"/>
                <w:color w:val="auto"/>
                <w:spacing w:val="-3"/>
                <w:sz w:val="24"/>
                <w:szCs w:val="24"/>
                <w:highlight w:val="none"/>
              </w:rPr>
              <w:t>封</w:t>
            </w: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报</w:t>
            </w:r>
            <w:r>
              <w:rPr>
                <w:rFonts w:hint="eastAsia" w:ascii="宋体" w:hAnsi="宋体" w:eastAsia="宋体" w:cs="宋体"/>
                <w:color w:val="auto"/>
                <w:sz w:val="24"/>
                <w:szCs w:val="24"/>
                <w:highlight w:val="none"/>
              </w:rPr>
              <w:t>价文</w:t>
            </w:r>
            <w:r>
              <w:rPr>
                <w:rFonts w:hint="eastAsia" w:ascii="宋体" w:hAnsi="宋体" w:eastAsia="宋体" w:cs="宋体"/>
                <w:color w:val="auto"/>
                <w:spacing w:val="-3"/>
                <w:sz w:val="24"/>
                <w:szCs w:val="24"/>
                <w:highlight w:val="none"/>
              </w:rPr>
              <w:t>件</w:t>
            </w: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开</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时</w:t>
            </w:r>
            <w:r>
              <w:rPr>
                <w:rFonts w:hint="eastAsia" w:ascii="宋体" w:hAnsi="宋体" w:eastAsia="宋体" w:cs="宋体"/>
                <w:color w:val="auto"/>
                <w:sz w:val="24"/>
                <w:szCs w:val="24"/>
                <w:highlight w:val="none"/>
              </w:rPr>
              <w:t>间</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在</w:t>
            </w:r>
            <w:r>
              <w:rPr>
                <w:rFonts w:hint="eastAsia" w:ascii="宋体" w:hAnsi="宋体" w:eastAsia="宋体" w:cs="宋体"/>
                <w:color w:val="auto"/>
                <w:spacing w:val="-3"/>
                <w:sz w:val="24"/>
                <w:szCs w:val="24"/>
                <w:highlight w:val="none"/>
                <w:u w:val="single"/>
              </w:rPr>
              <w:t>第</w:t>
            </w:r>
            <w:r>
              <w:rPr>
                <w:rFonts w:hint="eastAsia" w:ascii="宋体" w:hAnsi="宋体" w:eastAsia="宋体" w:cs="宋体"/>
                <w:color w:val="auto"/>
                <w:sz w:val="24"/>
                <w:szCs w:val="24"/>
                <w:highlight w:val="none"/>
                <w:u w:val="single"/>
              </w:rPr>
              <w:t>一</w:t>
            </w:r>
            <w:r>
              <w:rPr>
                <w:rFonts w:hint="eastAsia" w:ascii="宋体" w:hAnsi="宋体" w:eastAsia="宋体" w:cs="宋体"/>
                <w:color w:val="auto"/>
                <w:spacing w:val="-3"/>
                <w:sz w:val="24"/>
                <w:szCs w:val="24"/>
                <w:highlight w:val="none"/>
                <w:u w:val="single"/>
              </w:rPr>
              <w:t>个</w:t>
            </w:r>
            <w:r>
              <w:rPr>
                <w:rFonts w:hint="eastAsia" w:ascii="宋体" w:hAnsi="宋体" w:eastAsia="宋体" w:cs="宋体"/>
                <w:color w:val="auto"/>
                <w:sz w:val="24"/>
                <w:szCs w:val="24"/>
                <w:highlight w:val="none"/>
                <w:u w:val="single"/>
              </w:rPr>
              <w:t>信</w:t>
            </w:r>
            <w:r>
              <w:rPr>
                <w:rFonts w:hint="eastAsia" w:ascii="宋体" w:hAnsi="宋体" w:eastAsia="宋体" w:cs="宋体"/>
                <w:color w:val="auto"/>
                <w:spacing w:val="-29"/>
                <w:sz w:val="24"/>
                <w:szCs w:val="24"/>
                <w:highlight w:val="none"/>
                <w:u w:val="single"/>
              </w:rPr>
              <w:t>封</w:t>
            </w:r>
            <w:r>
              <w:rPr>
                <w:rFonts w:hint="eastAsia" w:ascii="宋体" w:hAnsi="宋体" w:eastAsia="宋体" w:cs="宋体"/>
                <w:color w:val="auto"/>
                <w:sz w:val="24"/>
                <w:szCs w:val="24"/>
                <w:highlight w:val="none"/>
                <w:u w:val="single"/>
              </w:rPr>
              <w:t>（</w:t>
            </w:r>
            <w:r>
              <w:rPr>
                <w:rFonts w:hint="eastAsia" w:ascii="宋体" w:hAnsi="宋体" w:eastAsia="宋体" w:cs="宋体"/>
                <w:color w:val="auto"/>
                <w:spacing w:val="-3"/>
                <w:sz w:val="24"/>
                <w:szCs w:val="24"/>
                <w:highlight w:val="none"/>
                <w:u w:val="single"/>
              </w:rPr>
              <w:t>商</w:t>
            </w:r>
            <w:r>
              <w:rPr>
                <w:rFonts w:hint="eastAsia" w:ascii="宋体" w:hAnsi="宋体" w:eastAsia="宋体" w:cs="宋体"/>
                <w:color w:val="auto"/>
                <w:sz w:val="24"/>
                <w:szCs w:val="24"/>
                <w:highlight w:val="none"/>
                <w:u w:val="single"/>
              </w:rPr>
              <w:t>务及</w:t>
            </w:r>
            <w:r>
              <w:rPr>
                <w:rFonts w:hint="eastAsia" w:ascii="宋体" w:hAnsi="宋体" w:eastAsia="宋体" w:cs="宋体"/>
                <w:color w:val="auto"/>
                <w:spacing w:val="-3"/>
                <w:sz w:val="24"/>
                <w:szCs w:val="24"/>
                <w:highlight w:val="none"/>
                <w:u w:val="single"/>
              </w:rPr>
              <w:t>技</w:t>
            </w:r>
            <w:r>
              <w:rPr>
                <w:rFonts w:hint="eastAsia" w:ascii="宋体" w:hAnsi="宋体" w:eastAsia="宋体" w:cs="宋体"/>
                <w:color w:val="auto"/>
                <w:sz w:val="24"/>
                <w:szCs w:val="24"/>
                <w:highlight w:val="none"/>
                <w:u w:val="single"/>
              </w:rPr>
              <w:t>术</w:t>
            </w:r>
            <w:r>
              <w:rPr>
                <w:rFonts w:hint="eastAsia" w:ascii="宋体" w:hAnsi="宋体" w:eastAsia="宋体" w:cs="宋体"/>
                <w:color w:val="auto"/>
                <w:spacing w:val="-3"/>
                <w:sz w:val="24"/>
                <w:szCs w:val="24"/>
                <w:highlight w:val="none"/>
                <w:u w:val="single"/>
              </w:rPr>
              <w:t>文</w:t>
            </w:r>
            <w:r>
              <w:rPr>
                <w:rFonts w:hint="eastAsia" w:ascii="宋体" w:hAnsi="宋体" w:eastAsia="宋体" w:cs="宋体"/>
                <w:color w:val="auto"/>
                <w:sz w:val="24"/>
                <w:szCs w:val="24"/>
                <w:highlight w:val="none"/>
                <w:u w:val="single"/>
              </w:rPr>
              <w:t>件</w:t>
            </w:r>
            <w:r>
              <w:rPr>
                <w:rFonts w:hint="eastAsia" w:ascii="宋体" w:hAnsi="宋体" w:eastAsia="宋体" w:cs="宋体"/>
                <w:color w:val="auto"/>
                <w:spacing w:val="-29"/>
                <w:sz w:val="24"/>
                <w:szCs w:val="24"/>
                <w:highlight w:val="none"/>
                <w:u w:val="single"/>
              </w:rPr>
              <w:t>）</w:t>
            </w:r>
            <w:r>
              <w:rPr>
                <w:rFonts w:hint="eastAsia" w:ascii="宋体" w:hAnsi="宋体" w:eastAsia="宋体" w:cs="宋体"/>
                <w:color w:val="auto"/>
                <w:sz w:val="24"/>
                <w:szCs w:val="24"/>
                <w:highlight w:val="none"/>
                <w:u w:val="single"/>
              </w:rPr>
              <w:t>评审完成后。通过了第一个信封（商务及技术文件）评标办法规定的初步评审和详细评审，未被否决投标的投标人参与投标文件第二个信封（报价文件）的开标。</w:t>
            </w:r>
          </w:p>
          <w:p w14:paraId="1C265563">
            <w:pPr>
              <w:pStyle w:val="32"/>
              <w:keepNext w:val="0"/>
              <w:keepLines w:val="0"/>
              <w:pageBreakBefore w:val="0"/>
              <w:topLinePunct w:val="0"/>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投标文件第二个信封（报价文件）开标地点：</w:t>
            </w:r>
            <w:r>
              <w:rPr>
                <w:rFonts w:hint="eastAsia" w:ascii="宋体" w:hAnsi="宋体" w:eastAsia="宋体" w:cs="宋体"/>
                <w:color w:val="auto"/>
                <w:kern w:val="0"/>
                <w:sz w:val="24"/>
                <w:szCs w:val="24"/>
                <w:highlight w:val="none"/>
              </w:rPr>
              <w:t>见“重要事项时间地点一览表”</w:t>
            </w:r>
            <w:r>
              <w:rPr>
                <w:rFonts w:hint="eastAsia" w:ascii="宋体" w:hAnsi="宋体" w:eastAsia="宋体" w:cs="宋体"/>
                <w:color w:val="auto"/>
                <w:sz w:val="24"/>
                <w:szCs w:val="24"/>
                <w:highlight w:val="none"/>
              </w:rPr>
              <w:t>。</w:t>
            </w:r>
          </w:p>
        </w:tc>
      </w:tr>
      <w:tr w14:paraId="5D5B218B">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CDAB3A8">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43C26E2">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第一个信封（商务及技术文件）开标程序</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43053154">
            <w:pPr>
              <w:pStyle w:val="32"/>
              <w:keepNext w:val="0"/>
              <w:keepLines w:val="0"/>
              <w:pageBreakBefore w:val="0"/>
              <w:topLinePunct w:val="0"/>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依据全国公共资源交易平台（广东省·韶关市）（https://ygp.gdzwfw.gov.cn/ggzy-portal/#/440200/index）操作指南进行电子开标。</w:t>
            </w:r>
          </w:p>
        </w:tc>
      </w:tr>
      <w:tr w14:paraId="76FAF509">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A1A5F64">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5.2.3</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4B94029C">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第二个信封（报价文件）开标程序</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3848901F">
            <w:pPr>
              <w:pStyle w:val="32"/>
              <w:keepNext w:val="0"/>
              <w:keepLines w:val="0"/>
              <w:pageBreakBefore w:val="0"/>
              <w:topLinePunct w:val="0"/>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依据全国公共资源交易平台（广东省·韶关市）（https://ygp.gdzwfw.gov.cn/ggzy-portal/#/440200/index）操作指南进行电子开标。</w:t>
            </w:r>
          </w:p>
        </w:tc>
      </w:tr>
      <w:tr w14:paraId="46DABED7">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560A33D">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7F354D9F">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w:t>
            </w:r>
            <w:r>
              <w:rPr>
                <w:rFonts w:hint="eastAsia" w:ascii="宋体" w:hAnsi="宋体" w:eastAsia="宋体" w:cs="宋体"/>
                <w:color w:val="auto"/>
                <w:spacing w:val="-3"/>
                <w:sz w:val="24"/>
                <w:szCs w:val="24"/>
                <w:highlight w:val="none"/>
              </w:rPr>
              <w:t>委</w:t>
            </w:r>
            <w:r>
              <w:rPr>
                <w:rFonts w:hint="eastAsia" w:ascii="宋体" w:hAnsi="宋体" w:eastAsia="宋体" w:cs="宋体"/>
                <w:color w:val="auto"/>
                <w:sz w:val="24"/>
                <w:szCs w:val="24"/>
                <w:highlight w:val="none"/>
              </w:rPr>
              <w:t>员</w:t>
            </w:r>
            <w:r>
              <w:rPr>
                <w:rFonts w:hint="eastAsia" w:ascii="宋体" w:hAnsi="宋体" w:eastAsia="宋体" w:cs="宋体"/>
                <w:color w:val="auto"/>
                <w:spacing w:val="-3"/>
                <w:sz w:val="24"/>
                <w:szCs w:val="24"/>
                <w:highlight w:val="none"/>
              </w:rPr>
              <w:t>会</w:t>
            </w:r>
            <w:r>
              <w:rPr>
                <w:rFonts w:hint="eastAsia" w:ascii="宋体" w:hAnsi="宋体" w:eastAsia="宋体" w:cs="宋体"/>
                <w:color w:val="auto"/>
                <w:sz w:val="24"/>
                <w:szCs w:val="24"/>
                <w:highlight w:val="none"/>
              </w:rPr>
              <w:t>的</w:t>
            </w:r>
            <w:r>
              <w:rPr>
                <w:rFonts w:hint="eastAsia" w:ascii="宋体" w:hAnsi="宋体" w:eastAsia="宋体" w:cs="宋体"/>
                <w:color w:val="auto"/>
                <w:spacing w:val="-3"/>
                <w:sz w:val="24"/>
                <w:szCs w:val="24"/>
                <w:highlight w:val="none"/>
              </w:rPr>
              <w:t>组建</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D26102D">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评标委员会构成：</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z w:val="24"/>
                <w:szCs w:val="24"/>
              </w:rPr>
              <w:t>人，其中招标人代表</w:t>
            </w:r>
            <w:r>
              <w:rPr>
                <w:rFonts w:hint="eastAsia" w:ascii="宋体" w:hAnsi="宋体" w:eastAsia="宋体" w:cs="宋体"/>
                <w:color w:val="auto"/>
                <w:sz w:val="24"/>
                <w:szCs w:val="24"/>
                <w:u w:val="single"/>
              </w:rPr>
              <w:t>0</w:t>
            </w:r>
            <w:r>
              <w:rPr>
                <w:rFonts w:hint="eastAsia" w:ascii="宋体" w:hAnsi="宋体" w:eastAsia="宋体" w:cs="宋体"/>
                <w:color w:val="auto"/>
                <w:sz w:val="24"/>
                <w:szCs w:val="24"/>
              </w:rPr>
              <w:t>人，专家</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z w:val="24"/>
                <w:szCs w:val="24"/>
              </w:rPr>
              <w:t>人</w:t>
            </w:r>
            <w:r>
              <w:rPr>
                <w:rFonts w:hint="eastAsia" w:ascii="宋体" w:hAnsi="宋体" w:eastAsia="宋体" w:cs="宋体"/>
                <w:color w:val="auto"/>
                <w:sz w:val="24"/>
                <w:szCs w:val="24"/>
                <w:lang w:val="en-US" w:eastAsia="zh-CN"/>
              </w:rPr>
              <w:t>；</w:t>
            </w:r>
          </w:p>
          <w:p w14:paraId="5B71956D">
            <w:pPr>
              <w:pStyle w:val="30"/>
              <w:keepNext w:val="0"/>
              <w:keepLines w:val="0"/>
              <w:pageBreakBefore w:val="0"/>
              <w:tabs>
                <w:tab w:val="left" w:pos="944"/>
                <w:tab w:val="left" w:pos="2178"/>
                <w:tab w:val="left" w:pos="4463"/>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评标</w:t>
            </w:r>
            <w:r>
              <w:rPr>
                <w:rFonts w:hint="eastAsia" w:ascii="宋体" w:hAnsi="宋体" w:eastAsia="宋体" w:cs="宋体"/>
                <w:color w:val="auto"/>
                <w:sz w:val="24"/>
                <w:szCs w:val="24"/>
                <w:highlight w:val="none"/>
              </w:rPr>
              <w:t>专</w:t>
            </w:r>
            <w:r>
              <w:rPr>
                <w:rFonts w:hint="eastAsia" w:ascii="宋体" w:hAnsi="宋体" w:eastAsia="宋体" w:cs="宋体"/>
                <w:color w:val="auto"/>
                <w:spacing w:val="2"/>
                <w:sz w:val="24"/>
                <w:szCs w:val="24"/>
                <w:highlight w:val="none"/>
              </w:rPr>
              <w:t>家</w:t>
            </w:r>
            <w:r>
              <w:rPr>
                <w:rFonts w:hint="eastAsia" w:ascii="宋体" w:hAnsi="宋体" w:eastAsia="宋体" w:cs="宋体"/>
                <w:color w:val="auto"/>
                <w:sz w:val="24"/>
                <w:szCs w:val="24"/>
                <w:highlight w:val="none"/>
              </w:rPr>
              <w:t>确</w:t>
            </w:r>
            <w:r>
              <w:rPr>
                <w:rFonts w:hint="eastAsia" w:ascii="宋体" w:hAnsi="宋体" w:eastAsia="宋体" w:cs="宋体"/>
                <w:color w:val="auto"/>
                <w:spacing w:val="2"/>
                <w:sz w:val="24"/>
                <w:szCs w:val="24"/>
                <w:highlight w:val="none"/>
              </w:rPr>
              <w:t>定</w:t>
            </w:r>
            <w:r>
              <w:rPr>
                <w:rFonts w:hint="eastAsia" w:ascii="宋体" w:hAnsi="宋体" w:eastAsia="宋体" w:cs="宋体"/>
                <w:color w:val="auto"/>
                <w:sz w:val="24"/>
                <w:szCs w:val="24"/>
                <w:highlight w:val="none"/>
              </w:rPr>
              <w:t>方</w:t>
            </w:r>
            <w:r>
              <w:rPr>
                <w:rFonts w:hint="eastAsia" w:ascii="宋体" w:hAnsi="宋体" w:eastAsia="宋体" w:cs="宋体"/>
                <w:color w:val="auto"/>
                <w:spacing w:val="2"/>
                <w:sz w:val="24"/>
                <w:szCs w:val="24"/>
                <w:highlight w:val="none"/>
              </w:rPr>
              <w:t>式：依法从</w:t>
            </w:r>
            <w:r>
              <w:rPr>
                <w:rFonts w:hint="eastAsia" w:ascii="宋体" w:hAnsi="宋体" w:eastAsia="宋体" w:cs="宋体"/>
                <w:color w:val="auto"/>
                <w:sz w:val="24"/>
                <w:szCs w:val="24"/>
                <w:highlight w:val="none"/>
              </w:rPr>
              <w:t>广东省综合评标评审专家库-</w:t>
            </w:r>
            <w:r>
              <w:rPr>
                <w:rFonts w:hint="eastAsia" w:ascii="宋体" w:hAnsi="宋体" w:eastAsia="宋体" w:cs="宋体"/>
                <w:color w:val="auto"/>
                <w:sz w:val="24"/>
                <w:szCs w:val="24"/>
                <w:highlight w:val="none"/>
                <w:lang w:val="en-US" w:eastAsia="zh-CN"/>
              </w:rPr>
              <w:t>韶关</w:t>
            </w:r>
            <w:r>
              <w:rPr>
                <w:rFonts w:hint="eastAsia" w:ascii="宋体" w:hAnsi="宋体" w:eastAsia="宋体" w:cs="宋体"/>
                <w:color w:val="auto"/>
                <w:sz w:val="24"/>
                <w:szCs w:val="24"/>
                <w:highlight w:val="none"/>
              </w:rPr>
              <w:t>区域中</w:t>
            </w:r>
            <w:r>
              <w:rPr>
                <w:rFonts w:hint="eastAsia" w:ascii="宋体" w:hAnsi="宋体" w:eastAsia="宋体" w:cs="宋体"/>
                <w:color w:val="auto"/>
                <w:spacing w:val="2"/>
                <w:sz w:val="24"/>
                <w:szCs w:val="24"/>
                <w:highlight w:val="none"/>
              </w:rPr>
              <w:t>随机抽取。</w:t>
            </w:r>
          </w:p>
        </w:tc>
      </w:tr>
      <w:tr w14:paraId="3E5DC08C">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210A3D5">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150ED505">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w:t>
            </w:r>
            <w:r>
              <w:rPr>
                <w:rFonts w:hint="eastAsia" w:ascii="宋体" w:hAnsi="宋体" w:eastAsia="宋体" w:cs="宋体"/>
                <w:color w:val="auto"/>
                <w:spacing w:val="-3"/>
                <w:sz w:val="24"/>
                <w:szCs w:val="24"/>
                <w:highlight w:val="none"/>
              </w:rPr>
              <w:t>委</w:t>
            </w:r>
            <w:r>
              <w:rPr>
                <w:rFonts w:hint="eastAsia" w:ascii="宋体" w:hAnsi="宋体" w:eastAsia="宋体" w:cs="宋体"/>
                <w:color w:val="auto"/>
                <w:sz w:val="24"/>
                <w:szCs w:val="24"/>
                <w:highlight w:val="none"/>
              </w:rPr>
              <w:t>员</w:t>
            </w:r>
            <w:r>
              <w:rPr>
                <w:rFonts w:hint="eastAsia" w:ascii="宋体" w:hAnsi="宋体" w:eastAsia="宋体" w:cs="宋体"/>
                <w:color w:val="auto"/>
                <w:spacing w:val="-3"/>
                <w:sz w:val="24"/>
                <w:szCs w:val="24"/>
                <w:highlight w:val="none"/>
              </w:rPr>
              <w:t>会</w:t>
            </w:r>
            <w:r>
              <w:rPr>
                <w:rFonts w:hint="eastAsia" w:ascii="宋体" w:hAnsi="宋体" w:eastAsia="宋体" w:cs="宋体"/>
                <w:color w:val="auto"/>
                <w:sz w:val="24"/>
                <w:szCs w:val="24"/>
                <w:highlight w:val="none"/>
              </w:rPr>
              <w:t>推</w:t>
            </w:r>
            <w:r>
              <w:rPr>
                <w:rFonts w:hint="eastAsia" w:ascii="宋体" w:hAnsi="宋体" w:eastAsia="宋体" w:cs="宋体"/>
                <w:color w:val="auto"/>
                <w:spacing w:val="-3"/>
                <w:sz w:val="24"/>
                <w:szCs w:val="24"/>
                <w:highlight w:val="none"/>
              </w:rPr>
              <w:t>荐</w:t>
            </w:r>
            <w:r>
              <w:rPr>
                <w:rFonts w:hint="eastAsia" w:ascii="宋体" w:hAnsi="宋体" w:eastAsia="宋体" w:cs="宋体"/>
                <w:color w:val="auto"/>
                <w:sz w:val="24"/>
                <w:szCs w:val="24"/>
                <w:highlight w:val="none"/>
              </w:rPr>
              <w:t>中</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候</w:t>
            </w:r>
            <w:r>
              <w:rPr>
                <w:rFonts w:hint="eastAsia" w:ascii="宋体" w:hAnsi="宋体" w:eastAsia="宋体" w:cs="宋体"/>
                <w:color w:val="auto"/>
                <w:spacing w:val="-3"/>
                <w:sz w:val="24"/>
                <w:szCs w:val="24"/>
                <w:highlight w:val="none"/>
              </w:rPr>
              <w:t>选</w:t>
            </w:r>
            <w:r>
              <w:rPr>
                <w:rFonts w:hint="eastAsia" w:ascii="宋体" w:hAnsi="宋体" w:eastAsia="宋体" w:cs="宋体"/>
                <w:color w:val="auto"/>
                <w:sz w:val="24"/>
                <w:szCs w:val="24"/>
                <w:highlight w:val="none"/>
              </w:rPr>
              <w:t>人的人数</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34F67434">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原则上</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名（评标办法规定的特殊情况除外）</w:t>
            </w:r>
          </w:p>
        </w:tc>
      </w:tr>
      <w:tr w14:paraId="3D5EF2BE">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4C7C129">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7A2B1CE1">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w:t>
            </w:r>
            <w:r>
              <w:rPr>
                <w:rFonts w:hint="eastAsia" w:ascii="宋体" w:hAnsi="宋体" w:eastAsia="宋体" w:cs="宋体"/>
                <w:color w:val="auto"/>
                <w:spacing w:val="-3"/>
                <w:sz w:val="24"/>
                <w:szCs w:val="24"/>
                <w:highlight w:val="none"/>
              </w:rPr>
              <w:t>候</w:t>
            </w:r>
            <w:r>
              <w:rPr>
                <w:rFonts w:hint="eastAsia" w:ascii="宋体" w:hAnsi="宋体" w:eastAsia="宋体" w:cs="宋体"/>
                <w:color w:val="auto"/>
                <w:sz w:val="24"/>
                <w:szCs w:val="24"/>
                <w:highlight w:val="none"/>
              </w:rPr>
              <w:t>选</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公</w:t>
            </w:r>
            <w:r>
              <w:rPr>
                <w:rFonts w:hint="eastAsia" w:ascii="宋体" w:hAnsi="宋体" w:eastAsia="宋体" w:cs="宋体"/>
                <w:color w:val="auto"/>
                <w:spacing w:val="-3"/>
                <w:sz w:val="24"/>
                <w:szCs w:val="24"/>
                <w:highlight w:val="none"/>
              </w:rPr>
              <w:t>示</w:t>
            </w:r>
            <w:r>
              <w:rPr>
                <w:rFonts w:hint="eastAsia" w:ascii="宋体" w:hAnsi="宋体" w:eastAsia="宋体" w:cs="宋体"/>
                <w:color w:val="auto"/>
                <w:sz w:val="24"/>
                <w:szCs w:val="24"/>
                <w:highlight w:val="none"/>
              </w:rPr>
              <w:t>媒</w:t>
            </w:r>
            <w:r>
              <w:rPr>
                <w:rFonts w:hint="eastAsia" w:ascii="宋体" w:hAnsi="宋体" w:eastAsia="宋体" w:cs="宋体"/>
                <w:color w:val="auto"/>
                <w:spacing w:val="-3"/>
                <w:sz w:val="24"/>
                <w:szCs w:val="24"/>
                <w:highlight w:val="none"/>
              </w:rPr>
              <w:t>介</w:t>
            </w:r>
            <w:r>
              <w:rPr>
                <w:rFonts w:hint="eastAsia" w:ascii="宋体" w:hAnsi="宋体" w:eastAsia="宋体" w:cs="宋体"/>
                <w:color w:val="auto"/>
                <w:sz w:val="24"/>
                <w:szCs w:val="24"/>
                <w:highlight w:val="none"/>
              </w:rPr>
              <w:t>及</w:t>
            </w:r>
            <w:r>
              <w:rPr>
                <w:rFonts w:hint="eastAsia" w:ascii="宋体" w:hAnsi="宋体" w:eastAsia="宋体" w:cs="宋体"/>
                <w:color w:val="auto"/>
                <w:spacing w:val="-3"/>
                <w:sz w:val="24"/>
                <w:szCs w:val="24"/>
                <w:highlight w:val="none"/>
              </w:rPr>
              <w:t>期</w:t>
            </w:r>
            <w:r>
              <w:rPr>
                <w:rFonts w:hint="eastAsia" w:ascii="宋体" w:hAnsi="宋体" w:eastAsia="宋体" w:cs="宋体"/>
                <w:color w:val="auto"/>
                <w:sz w:val="24"/>
                <w:szCs w:val="24"/>
                <w:highlight w:val="none"/>
              </w:rPr>
              <w:t>限</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41D283B9">
            <w:pPr>
              <w:pStyle w:val="30"/>
              <w:keepNext w:val="0"/>
              <w:keepLines w:val="0"/>
              <w:pageBreakBefore w:val="0"/>
              <w:tabs>
                <w:tab w:val="left" w:pos="2099"/>
                <w:tab w:val="left" w:pos="2728"/>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公示媒介：广东省招标投标监管网</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https://www.gdzwfw.gov.cn/ztbjg-portal/#/index</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、全国公共资源交易平台（广东省·韶关市）（https://ygp.gdzwfw.gov.cn/ggzy-portal/#/440200/index）</w:t>
            </w:r>
          </w:p>
          <w:p w14:paraId="618FE88D">
            <w:pPr>
              <w:pStyle w:val="30"/>
              <w:keepNext w:val="0"/>
              <w:keepLines w:val="0"/>
              <w:pageBreakBefore w:val="0"/>
              <w:tabs>
                <w:tab w:val="left" w:pos="2099"/>
                <w:tab w:val="left" w:pos="2728"/>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公示期限：</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w:t>
            </w:r>
          </w:p>
          <w:p w14:paraId="3851F0D0">
            <w:pPr>
              <w:pStyle w:val="30"/>
              <w:keepNext w:val="0"/>
              <w:keepLines w:val="0"/>
              <w:pageBreakBefore w:val="0"/>
              <w:tabs>
                <w:tab w:val="left" w:pos="2099"/>
                <w:tab w:val="left" w:pos="2728"/>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公示</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其</w:t>
            </w:r>
            <w:r>
              <w:rPr>
                <w:rFonts w:hint="eastAsia" w:ascii="宋体" w:hAnsi="宋体" w:eastAsia="宋体" w:cs="宋体"/>
                <w:color w:val="auto"/>
                <w:spacing w:val="-3"/>
                <w:sz w:val="24"/>
                <w:szCs w:val="24"/>
                <w:highlight w:val="none"/>
              </w:rPr>
              <w:t>他</w:t>
            </w:r>
            <w:r>
              <w:rPr>
                <w:rFonts w:hint="eastAsia" w:ascii="宋体" w:hAnsi="宋体" w:eastAsia="宋体" w:cs="宋体"/>
                <w:color w:val="auto"/>
                <w:sz w:val="24"/>
                <w:szCs w:val="24"/>
                <w:highlight w:val="none"/>
              </w:rPr>
              <w:t>内</w:t>
            </w:r>
            <w:r>
              <w:rPr>
                <w:rFonts w:hint="eastAsia" w:ascii="宋体" w:hAnsi="宋体" w:eastAsia="宋体" w:cs="宋体"/>
                <w:color w:val="auto"/>
                <w:spacing w:val="-3"/>
                <w:sz w:val="24"/>
                <w:szCs w:val="24"/>
                <w:highlight w:val="none"/>
              </w:rPr>
              <w:t>容</w:t>
            </w:r>
            <w:r>
              <w:rPr>
                <w:rFonts w:hint="eastAsia" w:ascii="宋体" w:hAnsi="宋体" w:eastAsia="宋体" w:cs="宋体"/>
                <w:color w:val="auto"/>
                <w:sz w:val="24"/>
                <w:szCs w:val="24"/>
                <w:highlight w:val="none"/>
              </w:rPr>
              <w:t>：</w:t>
            </w:r>
            <w:r>
              <w:rPr>
                <w:rFonts w:hint="eastAsia" w:ascii="宋体" w:hAnsi="宋体" w:eastAsia="宋体" w:cs="宋体"/>
                <w:color w:val="auto"/>
                <w:kern w:val="21"/>
                <w:sz w:val="24"/>
                <w:szCs w:val="24"/>
                <w:highlight w:val="none"/>
                <w:u w:val="single"/>
              </w:rPr>
              <w:t>最新一年度AA、A级投标人的信用等级使用情况及所有承诺使用最新一年度AA、A级投标人的年度信用等级使用情况。</w:t>
            </w:r>
          </w:p>
        </w:tc>
      </w:tr>
      <w:tr w14:paraId="6FE8106E">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752A2C2">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4611375B">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w:t>
            </w:r>
            <w:r>
              <w:rPr>
                <w:rFonts w:hint="eastAsia" w:ascii="宋体" w:hAnsi="宋体" w:eastAsia="宋体" w:cs="宋体"/>
                <w:color w:val="auto"/>
                <w:spacing w:val="-3"/>
                <w:sz w:val="24"/>
                <w:szCs w:val="24"/>
                <w:highlight w:val="none"/>
              </w:rPr>
              <w:t>授</w:t>
            </w:r>
            <w:r>
              <w:rPr>
                <w:rFonts w:hint="eastAsia" w:ascii="宋体" w:hAnsi="宋体" w:eastAsia="宋体" w:cs="宋体"/>
                <w:color w:val="auto"/>
                <w:sz w:val="24"/>
                <w:szCs w:val="24"/>
                <w:highlight w:val="none"/>
              </w:rPr>
              <w:t>权</w:t>
            </w:r>
            <w:r>
              <w:rPr>
                <w:rFonts w:hint="eastAsia" w:ascii="宋体" w:hAnsi="宋体" w:eastAsia="宋体" w:cs="宋体"/>
                <w:color w:val="auto"/>
                <w:spacing w:val="-3"/>
                <w:sz w:val="24"/>
                <w:szCs w:val="24"/>
                <w:highlight w:val="none"/>
              </w:rPr>
              <w:t>评</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委</w:t>
            </w:r>
            <w:r>
              <w:rPr>
                <w:rFonts w:hint="eastAsia" w:ascii="宋体" w:hAnsi="宋体" w:eastAsia="宋体" w:cs="宋体"/>
                <w:color w:val="auto"/>
                <w:sz w:val="24"/>
                <w:szCs w:val="24"/>
                <w:highlight w:val="none"/>
              </w:rPr>
              <w:t>员</w:t>
            </w:r>
            <w:r>
              <w:rPr>
                <w:rFonts w:hint="eastAsia" w:ascii="宋体" w:hAnsi="宋体" w:eastAsia="宋体" w:cs="宋体"/>
                <w:color w:val="auto"/>
                <w:spacing w:val="-3"/>
                <w:sz w:val="24"/>
                <w:szCs w:val="24"/>
                <w:highlight w:val="none"/>
              </w:rPr>
              <w:t>会</w:t>
            </w:r>
            <w:r>
              <w:rPr>
                <w:rFonts w:hint="eastAsia" w:ascii="宋体" w:hAnsi="宋体" w:eastAsia="宋体" w:cs="宋体"/>
                <w:color w:val="auto"/>
                <w:sz w:val="24"/>
                <w:szCs w:val="24"/>
                <w:highlight w:val="none"/>
              </w:rPr>
              <w:t>确</w:t>
            </w:r>
            <w:r>
              <w:rPr>
                <w:rFonts w:hint="eastAsia" w:ascii="宋体" w:hAnsi="宋体" w:eastAsia="宋体" w:cs="宋体"/>
                <w:color w:val="auto"/>
                <w:spacing w:val="-3"/>
                <w:sz w:val="24"/>
                <w:szCs w:val="24"/>
                <w:highlight w:val="none"/>
              </w:rPr>
              <w:t>定</w:t>
            </w:r>
            <w:r>
              <w:rPr>
                <w:rFonts w:hint="eastAsia" w:ascii="宋体" w:hAnsi="宋体" w:eastAsia="宋体" w:cs="宋体"/>
                <w:color w:val="auto"/>
                <w:sz w:val="24"/>
                <w:szCs w:val="24"/>
                <w:highlight w:val="none"/>
              </w:rPr>
              <w:t>中标人</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5A320C64">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是</w:t>
            </w:r>
          </w:p>
          <w:p w14:paraId="10A32EAD">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0F27DD44">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DB4098C">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9B27A13">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w:t>
            </w:r>
            <w:r>
              <w:rPr>
                <w:rFonts w:hint="eastAsia" w:ascii="宋体" w:hAnsi="宋体" w:eastAsia="宋体" w:cs="宋体"/>
                <w:color w:val="auto"/>
                <w:spacing w:val="-3"/>
                <w:sz w:val="24"/>
                <w:szCs w:val="24"/>
                <w:highlight w:val="none"/>
              </w:rPr>
              <w:t>通</w:t>
            </w:r>
            <w:r>
              <w:rPr>
                <w:rFonts w:hint="eastAsia" w:ascii="宋体" w:hAnsi="宋体" w:eastAsia="宋体" w:cs="宋体"/>
                <w:color w:val="auto"/>
                <w:sz w:val="24"/>
                <w:szCs w:val="24"/>
                <w:highlight w:val="none"/>
              </w:rPr>
              <w:t>知</w:t>
            </w:r>
            <w:r>
              <w:rPr>
                <w:rFonts w:hint="eastAsia" w:ascii="宋体" w:hAnsi="宋体" w:eastAsia="宋体" w:cs="宋体"/>
                <w:color w:val="auto"/>
                <w:spacing w:val="-3"/>
                <w:sz w:val="24"/>
                <w:szCs w:val="24"/>
                <w:highlight w:val="none"/>
              </w:rPr>
              <w:t>书</w:t>
            </w:r>
            <w:r>
              <w:rPr>
                <w:rFonts w:hint="eastAsia" w:ascii="宋体" w:hAnsi="宋体" w:eastAsia="宋体" w:cs="宋体"/>
                <w:color w:val="auto"/>
                <w:sz w:val="24"/>
                <w:szCs w:val="24"/>
                <w:highlight w:val="none"/>
              </w:rPr>
              <w:t>和</w:t>
            </w:r>
            <w:r>
              <w:rPr>
                <w:rFonts w:hint="eastAsia" w:ascii="宋体" w:hAnsi="宋体" w:eastAsia="宋体" w:cs="宋体"/>
                <w:color w:val="auto"/>
                <w:spacing w:val="-3"/>
                <w:sz w:val="24"/>
                <w:szCs w:val="24"/>
                <w:highlight w:val="none"/>
              </w:rPr>
              <w:t>中</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结</w:t>
            </w:r>
            <w:r>
              <w:rPr>
                <w:rFonts w:hint="eastAsia" w:ascii="宋体" w:hAnsi="宋体" w:eastAsia="宋体" w:cs="宋体"/>
                <w:color w:val="auto"/>
                <w:sz w:val="24"/>
                <w:szCs w:val="24"/>
                <w:highlight w:val="none"/>
              </w:rPr>
              <w:t>果</w:t>
            </w:r>
            <w:r>
              <w:rPr>
                <w:rFonts w:hint="eastAsia" w:ascii="宋体" w:hAnsi="宋体" w:eastAsia="宋体" w:cs="宋体"/>
                <w:color w:val="auto"/>
                <w:spacing w:val="-3"/>
                <w:sz w:val="24"/>
                <w:szCs w:val="24"/>
                <w:highlight w:val="none"/>
              </w:rPr>
              <w:t>通</w:t>
            </w:r>
            <w:r>
              <w:rPr>
                <w:rFonts w:hint="eastAsia" w:ascii="宋体" w:hAnsi="宋体" w:eastAsia="宋体" w:cs="宋体"/>
                <w:color w:val="auto"/>
                <w:sz w:val="24"/>
                <w:szCs w:val="24"/>
                <w:highlight w:val="none"/>
              </w:rPr>
              <w:t>知发出</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形式</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6B86D865">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中标通知书以书面或电子形式发出；中标结果在广东省招标投标监管网及全国公共资源交易平台（广东省·韶关市）网站发布，视为已送达未中标的投标人，不再另行通知。</w:t>
            </w:r>
          </w:p>
        </w:tc>
      </w:tr>
      <w:tr w14:paraId="0C23EF53">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F7ABD7E">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6</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CBD7DB1">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w:t>
            </w:r>
            <w:r>
              <w:rPr>
                <w:rFonts w:hint="eastAsia" w:ascii="宋体" w:hAnsi="宋体" w:eastAsia="宋体" w:cs="宋体"/>
                <w:color w:val="auto"/>
                <w:spacing w:val="-3"/>
                <w:sz w:val="24"/>
                <w:szCs w:val="24"/>
                <w:highlight w:val="none"/>
              </w:rPr>
              <w:t>结</w:t>
            </w:r>
            <w:r>
              <w:rPr>
                <w:rFonts w:hint="eastAsia" w:ascii="宋体" w:hAnsi="宋体" w:eastAsia="宋体" w:cs="宋体"/>
                <w:color w:val="auto"/>
                <w:sz w:val="24"/>
                <w:szCs w:val="24"/>
                <w:highlight w:val="none"/>
              </w:rPr>
              <w:t>果</w:t>
            </w:r>
            <w:r>
              <w:rPr>
                <w:rFonts w:hint="eastAsia" w:ascii="宋体" w:hAnsi="宋体" w:eastAsia="宋体" w:cs="宋体"/>
                <w:color w:val="auto"/>
                <w:spacing w:val="-3"/>
                <w:sz w:val="24"/>
                <w:szCs w:val="24"/>
                <w:highlight w:val="none"/>
              </w:rPr>
              <w:t>公</w:t>
            </w:r>
            <w:r>
              <w:rPr>
                <w:rFonts w:hint="eastAsia" w:ascii="宋体" w:hAnsi="宋体" w:eastAsia="宋体" w:cs="宋体"/>
                <w:color w:val="auto"/>
                <w:sz w:val="24"/>
                <w:szCs w:val="24"/>
                <w:highlight w:val="none"/>
              </w:rPr>
              <w:t>告</w:t>
            </w:r>
            <w:r>
              <w:rPr>
                <w:rFonts w:hint="eastAsia" w:ascii="宋体" w:hAnsi="宋体" w:eastAsia="宋体" w:cs="宋体"/>
                <w:color w:val="auto"/>
                <w:spacing w:val="-3"/>
                <w:sz w:val="24"/>
                <w:szCs w:val="24"/>
                <w:highlight w:val="none"/>
              </w:rPr>
              <w:t>媒</w:t>
            </w:r>
            <w:r>
              <w:rPr>
                <w:rFonts w:hint="eastAsia" w:ascii="宋体" w:hAnsi="宋体" w:eastAsia="宋体" w:cs="宋体"/>
                <w:color w:val="auto"/>
                <w:sz w:val="24"/>
                <w:szCs w:val="24"/>
                <w:highlight w:val="none"/>
              </w:rPr>
              <w:t>介</w:t>
            </w:r>
            <w:r>
              <w:rPr>
                <w:rFonts w:hint="eastAsia" w:ascii="宋体" w:hAnsi="宋体" w:eastAsia="宋体" w:cs="宋体"/>
                <w:color w:val="auto"/>
                <w:spacing w:val="-3"/>
                <w:sz w:val="24"/>
                <w:szCs w:val="24"/>
                <w:highlight w:val="none"/>
              </w:rPr>
              <w:t>及</w:t>
            </w:r>
            <w:r>
              <w:rPr>
                <w:rFonts w:hint="eastAsia" w:ascii="宋体" w:hAnsi="宋体" w:eastAsia="宋体" w:cs="宋体"/>
                <w:color w:val="auto"/>
                <w:sz w:val="24"/>
                <w:szCs w:val="24"/>
                <w:highlight w:val="none"/>
              </w:rPr>
              <w:t>期限</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10A0F5CA">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公告</w:t>
            </w:r>
            <w:r>
              <w:rPr>
                <w:rFonts w:hint="eastAsia" w:ascii="宋体" w:hAnsi="宋体" w:eastAsia="宋体" w:cs="宋体"/>
                <w:color w:val="auto"/>
                <w:spacing w:val="-3"/>
                <w:sz w:val="24"/>
                <w:szCs w:val="24"/>
                <w:highlight w:val="none"/>
              </w:rPr>
              <w:t>媒</w:t>
            </w:r>
            <w:r>
              <w:rPr>
                <w:rFonts w:hint="eastAsia" w:ascii="宋体" w:hAnsi="宋体" w:eastAsia="宋体" w:cs="宋体"/>
                <w:color w:val="auto"/>
                <w:sz w:val="24"/>
                <w:szCs w:val="24"/>
                <w:highlight w:val="none"/>
              </w:rPr>
              <w:t>介：广东省招标投标监管网、全国公共资源交易平台（广东省·韶关市）</w:t>
            </w:r>
          </w:p>
          <w:p w14:paraId="32B6C431">
            <w:pPr>
              <w:pStyle w:val="30"/>
              <w:keepNext w:val="0"/>
              <w:keepLines w:val="0"/>
              <w:pageBreakBefore w:val="0"/>
              <w:tabs>
                <w:tab w:val="left" w:pos="2099"/>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公告</w:t>
            </w:r>
            <w:r>
              <w:rPr>
                <w:rFonts w:hint="eastAsia" w:ascii="宋体" w:hAnsi="宋体" w:eastAsia="宋体" w:cs="宋体"/>
                <w:color w:val="auto"/>
                <w:spacing w:val="-3"/>
                <w:sz w:val="24"/>
                <w:szCs w:val="24"/>
                <w:highlight w:val="none"/>
              </w:rPr>
              <w:t>期</w:t>
            </w:r>
            <w:r>
              <w:rPr>
                <w:rFonts w:hint="eastAsia" w:ascii="宋体" w:hAnsi="宋体" w:eastAsia="宋体" w:cs="宋体"/>
                <w:color w:val="auto"/>
                <w:sz w:val="24"/>
                <w:szCs w:val="24"/>
                <w:highlight w:val="none"/>
              </w:rPr>
              <w:t>限</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u w:val="single"/>
              </w:rPr>
              <w:t>3</w:t>
            </w:r>
            <w:r>
              <w:rPr>
                <w:rFonts w:hint="eastAsia" w:ascii="宋体" w:hAnsi="宋体" w:eastAsia="宋体" w:cs="宋体"/>
                <w:color w:val="auto"/>
                <w:sz w:val="24"/>
                <w:szCs w:val="24"/>
                <w:highlight w:val="none"/>
              </w:rPr>
              <w:t>日</w:t>
            </w:r>
          </w:p>
        </w:tc>
      </w:tr>
      <w:tr w14:paraId="66EE9090">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FAC0D04">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pacing w:val="-1"/>
                <w:sz w:val="24"/>
                <w:szCs w:val="24"/>
                <w:highlight w:val="none"/>
              </w:rPr>
              <w:t>7</w:t>
            </w:r>
            <w:r>
              <w:rPr>
                <w:rFonts w:hint="eastAsia" w:ascii="宋体" w:hAnsi="宋体" w:eastAsia="宋体" w:cs="宋体"/>
                <w:color w:val="auto"/>
                <w:sz w:val="24"/>
                <w:szCs w:val="24"/>
                <w:highlight w:val="none"/>
              </w:rPr>
              <w:t>.1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2D76DF65">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w:t>
            </w:r>
            <w:r>
              <w:rPr>
                <w:rFonts w:hint="eastAsia" w:ascii="宋体" w:hAnsi="宋体" w:eastAsia="宋体" w:cs="宋体"/>
                <w:color w:val="auto"/>
                <w:spacing w:val="-3"/>
                <w:sz w:val="24"/>
                <w:szCs w:val="24"/>
                <w:highlight w:val="none"/>
              </w:rPr>
              <w:t>保</w:t>
            </w:r>
            <w:r>
              <w:rPr>
                <w:rFonts w:hint="eastAsia" w:ascii="宋体" w:hAnsi="宋体" w:eastAsia="宋体" w:cs="宋体"/>
                <w:color w:val="auto"/>
                <w:sz w:val="24"/>
                <w:szCs w:val="24"/>
                <w:highlight w:val="none"/>
              </w:rPr>
              <w:t>证金</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306B518">
            <w:pPr>
              <w:pStyle w:val="30"/>
              <w:keepNext w:val="0"/>
              <w:keepLines w:val="0"/>
              <w:pageBreakBefore w:val="0"/>
              <w:kinsoku w:val="0"/>
              <w:overflowPunct w:val="0"/>
              <w:topLinePunct w:val="0"/>
              <w:bidi w:val="0"/>
              <w:spacing w:before="19" w:line="360" w:lineRule="auto"/>
              <w:ind w:left="102"/>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w:t>
            </w:r>
            <w:r>
              <w:rPr>
                <w:rFonts w:hint="eastAsia" w:ascii="宋体" w:hAnsi="宋体" w:eastAsia="宋体" w:cs="宋体"/>
                <w:color w:val="auto"/>
                <w:spacing w:val="-3"/>
                <w:sz w:val="24"/>
                <w:szCs w:val="24"/>
                <w:highlight w:val="none"/>
              </w:rPr>
              <w:t>要</w:t>
            </w:r>
            <w:r>
              <w:rPr>
                <w:rFonts w:hint="eastAsia" w:ascii="宋体" w:hAnsi="宋体" w:eastAsia="宋体" w:cs="宋体"/>
                <w:color w:val="auto"/>
                <w:sz w:val="24"/>
                <w:szCs w:val="24"/>
                <w:highlight w:val="none"/>
              </w:rPr>
              <w:t>求</w:t>
            </w:r>
            <w:r>
              <w:rPr>
                <w:rFonts w:hint="eastAsia" w:ascii="宋体" w:hAnsi="宋体" w:eastAsia="宋体" w:cs="宋体"/>
                <w:color w:val="auto"/>
                <w:spacing w:val="-3"/>
                <w:sz w:val="24"/>
                <w:szCs w:val="24"/>
                <w:highlight w:val="none"/>
              </w:rPr>
              <w:t>中</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提</w:t>
            </w:r>
            <w:r>
              <w:rPr>
                <w:rFonts w:hint="eastAsia" w:ascii="宋体" w:hAnsi="宋体" w:eastAsia="宋体" w:cs="宋体"/>
                <w:color w:val="auto"/>
                <w:spacing w:val="-3"/>
                <w:sz w:val="24"/>
                <w:szCs w:val="24"/>
                <w:highlight w:val="none"/>
              </w:rPr>
              <w:t>交</w:t>
            </w:r>
            <w:r>
              <w:rPr>
                <w:rFonts w:hint="eastAsia" w:ascii="宋体" w:hAnsi="宋体" w:eastAsia="宋体" w:cs="宋体"/>
                <w:color w:val="auto"/>
                <w:sz w:val="24"/>
                <w:szCs w:val="24"/>
                <w:highlight w:val="none"/>
              </w:rPr>
              <w:t>履</w:t>
            </w:r>
            <w:r>
              <w:rPr>
                <w:rFonts w:hint="eastAsia" w:ascii="宋体" w:hAnsi="宋体" w:eastAsia="宋体" w:cs="宋体"/>
                <w:color w:val="auto"/>
                <w:spacing w:val="-3"/>
                <w:sz w:val="24"/>
                <w:szCs w:val="24"/>
                <w:highlight w:val="none"/>
              </w:rPr>
              <w:t>约</w:t>
            </w:r>
            <w:r>
              <w:rPr>
                <w:rFonts w:hint="eastAsia" w:ascii="宋体" w:hAnsi="宋体" w:eastAsia="宋体" w:cs="宋体"/>
                <w:color w:val="auto"/>
                <w:sz w:val="24"/>
                <w:szCs w:val="24"/>
                <w:highlight w:val="none"/>
              </w:rPr>
              <w:t>保证</w:t>
            </w:r>
            <w:r>
              <w:rPr>
                <w:rFonts w:hint="eastAsia" w:ascii="宋体" w:hAnsi="宋体" w:eastAsia="宋体" w:cs="宋体"/>
                <w:color w:val="auto"/>
                <w:spacing w:val="-3"/>
                <w:sz w:val="24"/>
                <w:szCs w:val="24"/>
                <w:highlight w:val="none"/>
              </w:rPr>
              <w:t>金</w:t>
            </w:r>
            <w:r>
              <w:rPr>
                <w:rFonts w:hint="eastAsia" w:ascii="宋体" w:hAnsi="宋体" w:eastAsia="宋体" w:cs="宋体"/>
                <w:color w:val="auto"/>
                <w:sz w:val="24"/>
                <w:szCs w:val="24"/>
                <w:highlight w:val="none"/>
              </w:rPr>
              <w:t>：</w:t>
            </w:r>
          </w:p>
          <w:p w14:paraId="0BC7B6F4">
            <w:pPr>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要求，履约保证金的形式：</w:t>
            </w:r>
            <w:r>
              <w:rPr>
                <w:rFonts w:hint="eastAsia" w:ascii="宋体" w:hAnsi="宋体" w:eastAsia="宋体" w:cs="宋体"/>
                <w:color w:val="auto"/>
                <w:kern w:val="21"/>
                <w:sz w:val="24"/>
                <w:szCs w:val="24"/>
                <w:highlight w:val="none"/>
                <w:u w:val="single"/>
              </w:rPr>
              <w:t>由投标人自主选择采用现金（或支票）、银行保函、或其他合法形式。</w:t>
            </w:r>
          </w:p>
          <w:p w14:paraId="0404B6C7">
            <w:pPr>
              <w:keepNext w:val="0"/>
              <w:keepLines w:val="0"/>
              <w:pageBreakBefore w:val="0"/>
              <w:topLinePunct w:val="0"/>
              <w:bidi w:val="0"/>
              <w:spacing w:line="360" w:lineRule="auto"/>
              <w:ind w:firstLine="240" w:firstLineChars="10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履约保证金的金额：</w:t>
            </w:r>
            <w:r>
              <w:rPr>
                <w:rFonts w:hint="eastAsia" w:ascii="宋体" w:hAnsi="宋体" w:eastAsia="宋体" w:cs="宋体"/>
                <w:color w:val="auto"/>
                <w:kern w:val="21"/>
                <w:sz w:val="24"/>
                <w:szCs w:val="24"/>
                <w:highlight w:val="none"/>
                <w:u w:val="single"/>
                <w:lang w:val="en-US" w:eastAsia="zh-CN"/>
              </w:rPr>
              <w:t>3</w:t>
            </w:r>
            <w:r>
              <w:rPr>
                <w:rFonts w:hint="eastAsia" w:ascii="宋体" w:hAnsi="宋体" w:eastAsia="宋体" w:cs="宋体"/>
                <w:color w:val="auto"/>
                <w:kern w:val="21"/>
                <w:sz w:val="24"/>
                <w:szCs w:val="24"/>
                <w:highlight w:val="none"/>
                <w:u w:val="single"/>
              </w:rPr>
              <w:t>％</w:t>
            </w:r>
            <w:r>
              <w:rPr>
                <w:rFonts w:hint="eastAsia" w:ascii="宋体" w:hAnsi="宋体" w:eastAsia="宋体" w:cs="宋体"/>
                <w:color w:val="auto"/>
                <w:kern w:val="21"/>
                <w:sz w:val="24"/>
                <w:szCs w:val="24"/>
                <w:highlight w:val="none"/>
              </w:rPr>
              <w:t>签约合同价</w:t>
            </w:r>
          </w:p>
          <w:p w14:paraId="416EEF4F">
            <w:pPr>
              <w:keepNext w:val="0"/>
              <w:keepLines w:val="0"/>
              <w:pageBreakBefore w:val="0"/>
              <w:topLinePunct w:val="0"/>
              <w:bidi w:val="0"/>
              <w:spacing w:line="360" w:lineRule="auto"/>
              <w:ind w:firstLine="240" w:firstLineChars="10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采用银行保函时，出具保函的银行级别：</w:t>
            </w:r>
            <w:r>
              <w:rPr>
                <w:rFonts w:hint="eastAsia" w:ascii="宋体" w:hAnsi="宋体" w:eastAsia="宋体" w:cs="宋体"/>
                <w:color w:val="auto"/>
                <w:kern w:val="21"/>
                <w:sz w:val="24"/>
                <w:szCs w:val="24"/>
                <w:highlight w:val="none"/>
                <w:u w:val="single"/>
              </w:rPr>
              <w:t>投标人公司注册所在地的全国性国有商业银行或股份制商业银行的分支机构。</w:t>
            </w:r>
          </w:p>
          <w:p w14:paraId="04EA5D29">
            <w:pPr>
              <w:pStyle w:val="30"/>
              <w:keepNext w:val="0"/>
              <w:keepLines w:val="0"/>
              <w:pageBreakBefore w:val="0"/>
              <w:kinsoku w:val="0"/>
              <w:overflowPunct w:val="0"/>
              <w:topLinePunct w:val="0"/>
              <w:bidi w:val="0"/>
              <w:spacing w:before="22" w:line="360" w:lineRule="auto"/>
              <w:ind w:left="102"/>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不要求</w:t>
            </w:r>
          </w:p>
        </w:tc>
      </w:tr>
      <w:tr w14:paraId="0D464FB9">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BAD64A6">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pacing w:val="-1"/>
                <w:sz w:val="24"/>
                <w:szCs w:val="24"/>
                <w:highlight w:val="none"/>
              </w:rPr>
              <w:t>5</w:t>
            </w:r>
            <w:r>
              <w:rPr>
                <w:rFonts w:hint="eastAsia" w:ascii="宋体" w:hAnsi="宋体" w:eastAsia="宋体" w:cs="宋体"/>
                <w:color w:val="auto"/>
                <w:sz w:val="24"/>
                <w:szCs w:val="24"/>
                <w:highlight w:val="none"/>
              </w:rPr>
              <w:t>.1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9E1C125">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w:t>
            </w:r>
            <w:r>
              <w:rPr>
                <w:rFonts w:hint="eastAsia" w:ascii="宋体" w:hAnsi="宋体" w:eastAsia="宋体" w:cs="宋体"/>
                <w:color w:val="auto"/>
                <w:spacing w:val="-3"/>
                <w:sz w:val="24"/>
                <w:szCs w:val="24"/>
                <w:highlight w:val="none"/>
              </w:rPr>
              <w:t>部门</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63790D6E">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监督部门：韶关市武江区住房和城乡建设局（韶关市武江区交通运输局）</w:t>
            </w:r>
          </w:p>
          <w:p w14:paraId="69B44306">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电话：0751-8773438</w:t>
            </w:r>
          </w:p>
          <w:p w14:paraId="30781C2B">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传真：0751-8773438</w:t>
            </w:r>
          </w:p>
          <w:p w14:paraId="1BD14DB8">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地址：广东省韶关武江区盆景山路2号</w:t>
            </w:r>
          </w:p>
          <w:p w14:paraId="303493CF">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邮政编码：512000</w:t>
            </w:r>
          </w:p>
          <w:p w14:paraId="2A2D25EA">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p>
          <w:p w14:paraId="6BA13C62">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项目上级管理单位：韶关市武江区住房和城乡建设局（韶关市武江区交通运输局）</w:t>
            </w:r>
          </w:p>
          <w:p w14:paraId="6F8E44A9">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电话：0751-8773438</w:t>
            </w:r>
          </w:p>
          <w:p w14:paraId="039557AA">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传真：0751-8773438</w:t>
            </w:r>
          </w:p>
          <w:p w14:paraId="2D28307C">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地址：广东省韶关武江区盆景山路2号</w:t>
            </w:r>
          </w:p>
          <w:p w14:paraId="506F850D">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lang w:val="en-US" w:eastAsia="zh-CN"/>
              </w:rPr>
            </w:pPr>
            <w:r>
              <w:rPr>
                <w:rFonts w:hint="eastAsia" w:ascii="宋体" w:hAnsi="宋体" w:eastAsia="宋体" w:cs="宋体"/>
                <w:color w:val="auto"/>
                <w:kern w:val="21"/>
                <w:sz w:val="24"/>
                <w:szCs w:val="24"/>
                <w:highlight w:val="none"/>
              </w:rPr>
              <w:t>邮政编码：512000</w:t>
            </w:r>
          </w:p>
        </w:tc>
      </w:tr>
      <w:tr w14:paraId="4D8F51F9">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1433E23">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3F707AB">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w:t>
            </w:r>
            <w:r>
              <w:rPr>
                <w:rFonts w:hint="eastAsia" w:ascii="宋体" w:hAnsi="宋体" w:eastAsia="宋体" w:cs="宋体"/>
                <w:color w:val="auto"/>
                <w:spacing w:val="-3"/>
                <w:sz w:val="24"/>
                <w:szCs w:val="24"/>
                <w:highlight w:val="none"/>
              </w:rPr>
              <w:t>采</w:t>
            </w:r>
            <w:r>
              <w:rPr>
                <w:rFonts w:hint="eastAsia" w:ascii="宋体" w:hAnsi="宋体" w:eastAsia="宋体" w:cs="宋体"/>
                <w:color w:val="auto"/>
                <w:sz w:val="24"/>
                <w:szCs w:val="24"/>
                <w:highlight w:val="none"/>
              </w:rPr>
              <w:t>用</w:t>
            </w:r>
            <w:r>
              <w:rPr>
                <w:rFonts w:hint="eastAsia" w:ascii="宋体" w:hAnsi="宋体" w:eastAsia="宋体" w:cs="宋体"/>
                <w:color w:val="auto"/>
                <w:spacing w:val="-3"/>
                <w:sz w:val="24"/>
                <w:szCs w:val="24"/>
                <w:highlight w:val="none"/>
              </w:rPr>
              <w:t>电</w:t>
            </w:r>
            <w:r>
              <w:rPr>
                <w:rFonts w:hint="eastAsia" w:ascii="宋体" w:hAnsi="宋体" w:eastAsia="宋体" w:cs="宋体"/>
                <w:color w:val="auto"/>
                <w:sz w:val="24"/>
                <w:szCs w:val="24"/>
                <w:highlight w:val="none"/>
              </w:rPr>
              <w:t>子</w:t>
            </w:r>
            <w:r>
              <w:rPr>
                <w:rFonts w:hint="eastAsia" w:ascii="宋体" w:hAnsi="宋体" w:eastAsia="宋体" w:cs="宋体"/>
                <w:color w:val="auto"/>
                <w:spacing w:val="-3"/>
                <w:sz w:val="24"/>
                <w:szCs w:val="24"/>
                <w:highlight w:val="none"/>
              </w:rPr>
              <w:t>招</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B7CB8D5">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否</w:t>
            </w:r>
          </w:p>
          <w:p w14:paraId="0C72E9AB">
            <w:pPr>
              <w:pStyle w:val="30"/>
              <w:keepNext w:val="0"/>
              <w:keepLines w:val="0"/>
              <w:pageBreakBefore w:val="0"/>
              <w:topLinePunct w:val="0"/>
              <w:bidi w:val="0"/>
              <w:adjustRightInd/>
              <w:spacing w:before="142"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是，具</w:t>
            </w:r>
            <w:r>
              <w:rPr>
                <w:rFonts w:hint="eastAsia" w:ascii="宋体" w:hAnsi="宋体" w:eastAsia="宋体" w:cs="宋体"/>
                <w:color w:val="auto"/>
                <w:spacing w:val="-3"/>
                <w:sz w:val="24"/>
                <w:szCs w:val="24"/>
                <w:highlight w:val="none"/>
              </w:rPr>
              <w:t>体</w:t>
            </w:r>
            <w:r>
              <w:rPr>
                <w:rFonts w:hint="eastAsia" w:ascii="宋体" w:hAnsi="宋体" w:eastAsia="宋体" w:cs="宋体"/>
                <w:color w:val="auto"/>
                <w:sz w:val="24"/>
                <w:szCs w:val="24"/>
                <w:highlight w:val="none"/>
              </w:rPr>
              <w:t>要</w:t>
            </w:r>
            <w:r>
              <w:rPr>
                <w:rFonts w:hint="eastAsia" w:ascii="宋体" w:hAnsi="宋体" w:eastAsia="宋体" w:cs="宋体"/>
                <w:color w:val="auto"/>
                <w:spacing w:val="-3"/>
                <w:sz w:val="24"/>
                <w:szCs w:val="24"/>
                <w:highlight w:val="none"/>
              </w:rPr>
              <w:t>求</w:t>
            </w:r>
            <w:r>
              <w:rPr>
                <w:rFonts w:hint="eastAsia" w:ascii="宋体" w:hAnsi="宋体" w:eastAsia="宋体" w:cs="宋体"/>
                <w:color w:val="auto"/>
                <w:sz w:val="24"/>
                <w:szCs w:val="24"/>
                <w:highlight w:val="none"/>
              </w:rPr>
              <w:t>：</w:t>
            </w:r>
          </w:p>
          <w:p w14:paraId="50CBE867">
            <w:pPr>
              <w:pStyle w:val="30"/>
              <w:keepNext w:val="0"/>
              <w:keepLines w:val="0"/>
              <w:pageBreakBefore w:val="0"/>
              <w:kinsoku w:val="0"/>
              <w:overflowPunct w:val="0"/>
              <w:topLinePunct w:val="0"/>
              <w:bidi w:val="0"/>
              <w:spacing w:line="360" w:lineRule="auto"/>
              <w:ind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u w:val="double"/>
              </w:rPr>
              <w:t>投标人必须在规定的截止时间前使用建设工程交易系统完成电子投标(包括缴纳投标保证金)。</w:t>
            </w:r>
          </w:p>
        </w:tc>
      </w:tr>
      <w:tr w14:paraId="648CCDAB">
        <w:tblPrEx>
          <w:tblCellMar>
            <w:top w:w="0" w:type="dxa"/>
            <w:left w:w="108" w:type="dxa"/>
            <w:bottom w:w="0" w:type="dxa"/>
            <w:right w:w="108" w:type="dxa"/>
          </w:tblCellMar>
        </w:tblPrEx>
        <w:trPr>
          <w:trHeight w:val="0" w:hRule="atLeast"/>
        </w:trPr>
        <w:tc>
          <w:tcPr>
            <w:tcW w:w="9363" w:type="dxa"/>
            <w:gridSpan w:val="4"/>
            <w:tcBorders>
              <w:top w:val="single" w:color="000000" w:sz="4" w:space="0"/>
              <w:left w:val="single" w:color="000000" w:sz="4" w:space="0"/>
              <w:bottom w:val="single" w:color="000000" w:sz="4" w:space="0"/>
              <w:right w:val="single" w:color="000000" w:sz="4" w:space="0"/>
            </w:tcBorders>
            <w:noWrap w:val="0"/>
            <w:vAlign w:val="center"/>
          </w:tcPr>
          <w:p w14:paraId="73899C8C">
            <w:pPr>
              <w:pStyle w:val="30"/>
              <w:keepNext w:val="0"/>
              <w:keepLines w:val="0"/>
              <w:pageBreakBefore w:val="0"/>
              <w:kinsoku w:val="0"/>
              <w:overflowPunct w:val="0"/>
              <w:topLinePunct w:val="0"/>
              <w:bidi w:val="0"/>
              <w:spacing w:before="19" w:line="360" w:lineRule="auto"/>
              <w:ind w:left="102"/>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w:t>
            </w:r>
          </w:p>
        </w:tc>
      </w:tr>
      <w:tr w14:paraId="2D020419">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auto" w:sz="4" w:space="0"/>
            </w:tcBorders>
            <w:noWrap w:val="0"/>
            <w:vAlign w:val="center"/>
          </w:tcPr>
          <w:p w14:paraId="58311DD6">
            <w:pPr>
              <w:pStyle w:val="30"/>
              <w:keepNext w:val="0"/>
              <w:keepLines w:val="0"/>
              <w:pageBreakBefore w:val="0"/>
              <w:kinsoku w:val="0"/>
              <w:overflowPunct w:val="0"/>
              <w:topLinePunct w:val="0"/>
              <w:bidi w:val="0"/>
              <w:spacing w:before="19"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条款号</w:t>
            </w:r>
          </w:p>
        </w:tc>
        <w:tc>
          <w:tcPr>
            <w:tcW w:w="4592" w:type="dxa"/>
            <w:gridSpan w:val="2"/>
            <w:tcBorders>
              <w:top w:val="single" w:color="000000" w:sz="4" w:space="0"/>
              <w:left w:val="single" w:color="auto" w:sz="4" w:space="0"/>
              <w:bottom w:val="single" w:color="000000" w:sz="4" w:space="0"/>
              <w:right w:val="single" w:color="auto" w:sz="4" w:space="0"/>
            </w:tcBorders>
            <w:noWrap w:val="0"/>
            <w:vAlign w:val="center"/>
          </w:tcPr>
          <w:p w14:paraId="097F06AE">
            <w:pPr>
              <w:pStyle w:val="30"/>
              <w:keepNext w:val="0"/>
              <w:keepLines w:val="0"/>
              <w:pageBreakBefore w:val="0"/>
              <w:kinsoku w:val="0"/>
              <w:overflowPunct w:val="0"/>
              <w:topLinePunct w:val="0"/>
              <w:bidi w:val="0"/>
              <w:spacing w:before="19" w:line="360" w:lineRule="auto"/>
              <w:ind w:left="102"/>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条款名称</w:t>
            </w:r>
          </w:p>
        </w:tc>
        <w:tc>
          <w:tcPr>
            <w:tcW w:w="3788" w:type="dxa"/>
            <w:tcBorders>
              <w:top w:val="single" w:color="000000" w:sz="4" w:space="0"/>
              <w:left w:val="single" w:color="auto" w:sz="4" w:space="0"/>
              <w:bottom w:val="single" w:color="000000" w:sz="4" w:space="0"/>
              <w:right w:val="single" w:color="000000" w:sz="4" w:space="0"/>
            </w:tcBorders>
            <w:noWrap w:val="0"/>
            <w:vAlign w:val="center"/>
          </w:tcPr>
          <w:p w14:paraId="6E5AD8B7">
            <w:pPr>
              <w:pStyle w:val="30"/>
              <w:keepNext w:val="0"/>
              <w:keepLines w:val="0"/>
              <w:pageBreakBefore w:val="0"/>
              <w:kinsoku w:val="0"/>
              <w:overflowPunct w:val="0"/>
              <w:topLinePunct w:val="0"/>
              <w:bidi w:val="0"/>
              <w:spacing w:before="19" w:line="360" w:lineRule="auto"/>
              <w:ind w:left="102"/>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编列内容</w:t>
            </w:r>
          </w:p>
        </w:tc>
      </w:tr>
      <w:tr w14:paraId="125BD742">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BCBE09E">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1.4.4</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7FC3FC34">
            <w:pPr>
              <w:pStyle w:val="30"/>
              <w:keepNext w:val="0"/>
              <w:keepLines w:val="0"/>
              <w:pageBreakBefore w:val="0"/>
              <w:topLinePunct w:val="0"/>
              <w:bidi w:val="0"/>
              <w:spacing w:before="2" w:line="360" w:lineRule="auto"/>
              <w:ind w:right="77"/>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30"/>
                <w:sz w:val="24"/>
                <w:szCs w:val="24"/>
                <w:highlight w:val="none"/>
              </w:rPr>
              <w:t>第</w:t>
            </w:r>
            <w:r>
              <w:rPr>
                <w:rFonts w:hint="eastAsia" w:ascii="宋体" w:hAnsi="宋体" w:eastAsia="宋体" w:cs="宋体"/>
                <w:color w:val="auto"/>
                <w:sz w:val="24"/>
                <w:szCs w:val="24"/>
                <w:highlight w:val="none"/>
              </w:rPr>
              <w:t>1.4.4</w:t>
            </w:r>
            <w:r>
              <w:rPr>
                <w:rFonts w:hint="eastAsia" w:ascii="宋体" w:hAnsi="宋体" w:eastAsia="宋体" w:cs="宋体"/>
                <w:color w:val="auto"/>
                <w:spacing w:val="-20"/>
                <w:sz w:val="24"/>
                <w:szCs w:val="24"/>
                <w:highlight w:val="none"/>
              </w:rPr>
              <w:t>项中</w:t>
            </w:r>
            <w:r>
              <w:rPr>
                <w:rFonts w:hint="eastAsia" w:ascii="宋体" w:hAnsi="宋体" w:eastAsia="宋体" w:cs="宋体"/>
                <w:color w:val="auto"/>
                <w:sz w:val="24"/>
                <w:szCs w:val="24"/>
                <w:highlight w:val="none"/>
              </w:rPr>
              <w:t>（1）</w:t>
            </w:r>
            <w:r>
              <w:rPr>
                <w:rFonts w:hint="eastAsia" w:ascii="宋体" w:hAnsi="宋体" w:eastAsia="宋体" w:cs="宋体"/>
                <w:color w:val="auto"/>
                <w:spacing w:val="-1"/>
                <w:sz w:val="24"/>
                <w:szCs w:val="24"/>
                <w:highlight w:val="none"/>
              </w:rPr>
              <w:t>目中的“招标项目所在地”指“广东省”。</w:t>
            </w:r>
          </w:p>
          <w:p w14:paraId="7C29B902">
            <w:pPr>
              <w:pStyle w:val="30"/>
              <w:keepNext w:val="0"/>
              <w:keepLines w:val="0"/>
              <w:pageBreakBefore w:val="0"/>
              <w:topLinePunct w:val="0"/>
              <w:bidi w:val="0"/>
              <w:spacing w:before="2" w:line="360" w:lineRule="auto"/>
              <w:ind w:right="7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在投标人须知范本原文1.4.4（6）目内容修改如下：</w:t>
            </w:r>
          </w:p>
          <w:p w14:paraId="3E3390E1">
            <w:pPr>
              <w:pStyle w:val="30"/>
              <w:keepNext w:val="0"/>
              <w:keepLines w:val="0"/>
              <w:pageBreakBefore w:val="0"/>
              <w:topLinePunct w:val="0"/>
              <w:bidi w:val="0"/>
              <w:spacing w:before="2" w:line="360" w:lineRule="auto"/>
              <w:ind w:right="77"/>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（6）投标人及其法定代表人、拟委任的总监理工程师（含备选，如有）或驻地监理工程师（含备选，如有）在近三年内有行贿犯罪行为（以投标函承诺的为准，无需提供证明材料）。</w:t>
            </w:r>
          </w:p>
        </w:tc>
      </w:tr>
      <w:tr w14:paraId="0B235F90">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auto" w:sz="4" w:space="0"/>
              <w:right w:val="single" w:color="000000" w:sz="4" w:space="0"/>
            </w:tcBorders>
            <w:noWrap w:val="0"/>
            <w:vAlign w:val="center"/>
          </w:tcPr>
          <w:p w14:paraId="71017C80">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3.1</w:t>
            </w:r>
          </w:p>
        </w:tc>
        <w:tc>
          <w:tcPr>
            <w:tcW w:w="8380" w:type="dxa"/>
            <w:gridSpan w:val="3"/>
            <w:tcBorders>
              <w:top w:val="single" w:color="000000" w:sz="4" w:space="0"/>
              <w:left w:val="single" w:color="000000" w:sz="4" w:space="0"/>
              <w:bottom w:val="single" w:color="auto" w:sz="4" w:space="0"/>
              <w:right w:val="single" w:color="000000" w:sz="4" w:space="0"/>
            </w:tcBorders>
            <w:noWrap w:val="0"/>
            <w:vAlign w:val="center"/>
          </w:tcPr>
          <w:p w14:paraId="3A3F4974">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将投标人须知原文3.1.1款修改如下：</w:t>
            </w:r>
          </w:p>
          <w:p w14:paraId="1F6B797D">
            <w:pPr>
              <w:keepNext w:val="0"/>
              <w:keepLines w:val="0"/>
              <w:pageBreakBefore w:val="0"/>
              <w:widowControl w:val="0"/>
              <w:topLinePunct w:val="0"/>
              <w:autoSpaceDE w:val="0"/>
              <w:autoSpaceDN w:val="0"/>
              <w:bidi w:val="0"/>
              <w:adjustRightInd w:val="0"/>
              <w:spacing w:line="360" w:lineRule="auto"/>
              <w:ind w:firstLine="480" w:firstLineChars="200"/>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3.1.1投标文件的组成</w:t>
            </w:r>
          </w:p>
          <w:p w14:paraId="1ECBBA23">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3.1.1投标文件应采用双信封形式，包括下列内容：</w:t>
            </w:r>
          </w:p>
          <w:p w14:paraId="66419C43">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第一个信封（商务及技术文件）：</w:t>
            </w:r>
          </w:p>
          <w:p w14:paraId="7535D212">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一、投标函</w:t>
            </w:r>
          </w:p>
          <w:p w14:paraId="7C63594D">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二、授权委托书或法定代表人身份证明</w:t>
            </w:r>
          </w:p>
          <w:p w14:paraId="2FB7BD7F">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三、投标保证金</w:t>
            </w:r>
          </w:p>
          <w:p w14:paraId="667A0AC6">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四、资格审查资料</w:t>
            </w:r>
          </w:p>
          <w:p w14:paraId="65B38ABC">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五、技术建议书</w:t>
            </w:r>
          </w:p>
          <w:p w14:paraId="391FB5EB">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六、其他资料</w:t>
            </w:r>
          </w:p>
          <w:p w14:paraId="663740E2">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第二个信封（报价文件）：</w:t>
            </w:r>
          </w:p>
          <w:p w14:paraId="40E1DF19">
            <w:pPr>
              <w:keepNext w:val="0"/>
              <w:keepLines w:val="0"/>
              <w:pageBreakBefore w:val="0"/>
              <w:widowControl w:val="0"/>
              <w:numPr>
                <w:ilvl w:val="0"/>
                <w:numId w:val="1"/>
              </w:numPr>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投标函；</w:t>
            </w:r>
          </w:p>
          <w:p w14:paraId="20061155">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kern w:val="21"/>
                <w:sz w:val="24"/>
                <w:szCs w:val="24"/>
                <w:highlight w:val="none"/>
              </w:rPr>
              <w:t>监理服务费用清单。</w:t>
            </w:r>
          </w:p>
          <w:p w14:paraId="172DAC88">
            <w:pPr>
              <w:pStyle w:val="27"/>
              <w:keepNext w:val="0"/>
              <w:keepLines w:val="0"/>
              <w:pageBreakBefore w:val="0"/>
              <w:topLinePunct w:val="0"/>
              <w:bidi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投标人在评标过程中作出的符合法律法规和招标文件规定的澄清确认，构成投标文件的组成部分。</w:t>
            </w:r>
          </w:p>
        </w:tc>
      </w:tr>
      <w:tr w14:paraId="4AB768E5">
        <w:tblPrEx>
          <w:tblCellMar>
            <w:top w:w="0" w:type="dxa"/>
            <w:left w:w="108" w:type="dxa"/>
            <w:bottom w:w="0" w:type="dxa"/>
            <w:right w:w="108" w:type="dxa"/>
          </w:tblCellMar>
        </w:tblPrEx>
        <w:trPr>
          <w:trHeight w:val="0" w:hRule="atLeast"/>
        </w:trPr>
        <w:tc>
          <w:tcPr>
            <w:tcW w:w="983" w:type="dxa"/>
            <w:tcBorders>
              <w:top w:val="single" w:color="auto" w:sz="4" w:space="0"/>
              <w:left w:val="single" w:color="000000" w:sz="4" w:space="0"/>
              <w:bottom w:val="single" w:color="000000" w:sz="4" w:space="0"/>
              <w:right w:val="single" w:color="000000" w:sz="4" w:space="0"/>
            </w:tcBorders>
            <w:noWrap w:val="0"/>
            <w:vAlign w:val="center"/>
          </w:tcPr>
          <w:p w14:paraId="33EE8109">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w:t>
            </w:r>
          </w:p>
        </w:tc>
        <w:tc>
          <w:tcPr>
            <w:tcW w:w="8380" w:type="dxa"/>
            <w:gridSpan w:val="3"/>
            <w:tcBorders>
              <w:top w:val="single" w:color="auto" w:sz="4" w:space="0"/>
              <w:left w:val="single" w:color="000000" w:sz="4" w:space="0"/>
              <w:bottom w:val="single" w:color="000000" w:sz="4" w:space="0"/>
              <w:right w:val="single" w:color="000000" w:sz="4" w:space="0"/>
            </w:tcBorders>
            <w:noWrap w:val="0"/>
            <w:vAlign w:val="center"/>
          </w:tcPr>
          <w:p w14:paraId="71961084">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将投标人须知原文3.2款修改如下：</w:t>
            </w:r>
          </w:p>
          <w:p w14:paraId="3295BB6C">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3.2.1投标报价应包括国家规定的增值税税金，除投标人须知前附表另有规定外，增值税税金按一般计税方法计算。</w:t>
            </w:r>
          </w:p>
          <w:p w14:paraId="129182A9">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3.2.2投标人应充分了解本项目的总体情况以及影响投标报价的其他要素，按照招标文件规定的施工监理工作内容和计划工作量，自行测算监理服务费用。投标报价应涵盖投标人完成施工准备阶段、施工阶段、验收与缺陷责任期阶段监理工作所需的全部费用。</w:t>
            </w:r>
          </w:p>
        </w:tc>
      </w:tr>
      <w:tr w14:paraId="3FA07D71">
        <w:tblPrEx>
          <w:tblCellMar>
            <w:top w:w="0" w:type="dxa"/>
            <w:left w:w="108" w:type="dxa"/>
            <w:bottom w:w="0" w:type="dxa"/>
            <w:right w:w="108" w:type="dxa"/>
          </w:tblCellMar>
        </w:tblPrEx>
        <w:trPr>
          <w:trHeight w:val="0" w:hRule="atLeast"/>
        </w:trPr>
        <w:tc>
          <w:tcPr>
            <w:tcW w:w="983" w:type="dxa"/>
            <w:tcBorders>
              <w:top w:val="single" w:color="auto" w:sz="4" w:space="0"/>
              <w:left w:val="single" w:color="000000" w:sz="4" w:space="0"/>
              <w:bottom w:val="single" w:color="000000" w:sz="4" w:space="0"/>
              <w:right w:val="single" w:color="000000" w:sz="4" w:space="0"/>
            </w:tcBorders>
            <w:noWrap w:val="0"/>
            <w:vAlign w:val="center"/>
          </w:tcPr>
          <w:p w14:paraId="44AF337D">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3.5.1</w:t>
            </w:r>
          </w:p>
        </w:tc>
        <w:tc>
          <w:tcPr>
            <w:tcW w:w="8380" w:type="dxa"/>
            <w:gridSpan w:val="3"/>
            <w:tcBorders>
              <w:top w:val="single" w:color="auto" w:sz="4" w:space="0"/>
              <w:left w:val="single" w:color="000000" w:sz="4" w:space="0"/>
              <w:bottom w:val="single" w:color="000000" w:sz="4" w:space="0"/>
              <w:right w:val="single" w:color="000000" w:sz="4" w:space="0"/>
            </w:tcBorders>
            <w:noWrap w:val="0"/>
            <w:vAlign w:val="center"/>
          </w:tcPr>
          <w:p w14:paraId="5683ABCE">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删除原3.5.1条款内容，修改如下：</w:t>
            </w:r>
          </w:p>
          <w:p w14:paraId="28C6CE66">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基本情况表”应附企业法人营业执照副本、监理资质证书副本、基本账户开户许可证（如企业所在地已取消企业银行账户许可而无法提供开户许可证的，则需附上开户银行盖章的“基本存款账户信息”或“人民银行账户管理系统查询的基本账户信息截图”）的</w:t>
            </w:r>
            <w:r>
              <w:rPr>
                <w:rFonts w:hint="eastAsia" w:ascii="宋体" w:hAnsi="宋体" w:eastAsia="宋体" w:cs="宋体"/>
                <w:color w:val="auto"/>
                <w:sz w:val="24"/>
                <w:szCs w:val="24"/>
                <w:highlight w:val="none"/>
                <w:lang w:val="en-US" w:eastAsia="zh-CN"/>
              </w:rPr>
              <w:t>扫描件</w:t>
            </w:r>
            <w:r>
              <w:rPr>
                <w:rFonts w:hint="eastAsia" w:ascii="宋体" w:hAnsi="宋体" w:eastAsia="宋体" w:cs="宋体"/>
                <w:color w:val="auto"/>
                <w:sz w:val="24"/>
                <w:szCs w:val="24"/>
                <w:highlight w:val="none"/>
              </w:rPr>
              <w:t>，投标人在交通运输部“全国公路建设市场监督管理系统”公路工程施工监理资质企业名录中的网页截图，以及投标人在国家企业信用信息公示系统中基础信息（体现股东及出资详细信息）的网页截图。</w:t>
            </w:r>
          </w:p>
          <w:p w14:paraId="71F70D44">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企业法人营业执照副本、监理资质证书副本、基本账户开户许可证（如企业所在地已取消企业银行账户许可而无法提供开户许可证的，则需附上开户银行盖章的“基本存款账户信息”或“人民银行账户管理系统查询的基本账户信息截图”）的</w:t>
            </w:r>
            <w:r>
              <w:rPr>
                <w:rFonts w:hint="eastAsia" w:ascii="宋体" w:hAnsi="宋体" w:eastAsia="宋体" w:cs="宋体"/>
                <w:color w:val="auto"/>
                <w:kern w:val="21"/>
                <w:sz w:val="24"/>
                <w:szCs w:val="24"/>
                <w:highlight w:val="none"/>
                <w:lang w:val="en-US" w:eastAsia="zh-CN"/>
              </w:rPr>
              <w:t>扫描件</w:t>
            </w:r>
            <w:r>
              <w:rPr>
                <w:rFonts w:hint="eastAsia" w:ascii="宋体" w:hAnsi="宋体" w:eastAsia="宋体" w:cs="宋体"/>
                <w:color w:val="auto"/>
                <w:kern w:val="21"/>
                <w:sz w:val="24"/>
                <w:szCs w:val="24"/>
                <w:highlight w:val="none"/>
              </w:rPr>
              <w:t>应提供全本（证书封面、封底、空白页除外），应包括投标人名称、投标人其他相关信息、颁发机构名称、投标人信息变更情况等关键页在内。</w:t>
            </w:r>
          </w:p>
          <w:p w14:paraId="70A00B25">
            <w:pPr>
              <w:keepNext w:val="0"/>
              <w:keepLines w:val="0"/>
              <w:pageBreakBefore w:val="0"/>
              <w:widowControl w:val="0"/>
              <w:topLinePunct w:val="0"/>
              <w:autoSpaceDE w:val="0"/>
              <w:autoSpaceDN w:val="0"/>
              <w:bidi w:val="0"/>
              <w:adjustRightIn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21"/>
                <w:sz w:val="24"/>
                <w:szCs w:val="24"/>
                <w:highlight w:val="none"/>
              </w:rPr>
              <w:t>备注：</w:t>
            </w:r>
            <w:r>
              <w:rPr>
                <w:rFonts w:hint="eastAsia" w:ascii="宋体" w:hAnsi="宋体" w:eastAsia="宋体" w:cs="宋体"/>
                <w:color w:val="auto"/>
                <w:kern w:val="21"/>
                <w:sz w:val="24"/>
                <w:szCs w:val="24"/>
                <w:highlight w:val="none"/>
              </w:rPr>
              <w:t>招标文件中要求投标人提供的各类证照</w:t>
            </w:r>
            <w:r>
              <w:rPr>
                <w:rFonts w:hint="eastAsia" w:ascii="宋体" w:hAnsi="宋体" w:eastAsia="宋体" w:cs="宋体"/>
                <w:color w:val="auto"/>
                <w:kern w:val="21"/>
                <w:sz w:val="24"/>
                <w:szCs w:val="24"/>
                <w:highlight w:val="none"/>
                <w:lang w:val="en-US" w:eastAsia="zh-CN"/>
              </w:rPr>
              <w:t>扫描件</w:t>
            </w:r>
            <w:r>
              <w:rPr>
                <w:rFonts w:hint="eastAsia" w:ascii="宋体" w:hAnsi="宋体" w:eastAsia="宋体" w:cs="宋体"/>
                <w:color w:val="auto"/>
                <w:kern w:val="21"/>
                <w:sz w:val="24"/>
                <w:szCs w:val="24"/>
                <w:highlight w:val="none"/>
              </w:rPr>
              <w:t>均指彩色扫描件</w:t>
            </w:r>
            <w:r>
              <w:rPr>
                <w:rFonts w:hint="eastAsia" w:ascii="宋体" w:hAnsi="宋体" w:eastAsia="宋体" w:cs="宋体"/>
                <w:color w:val="auto"/>
                <w:sz w:val="24"/>
                <w:szCs w:val="24"/>
                <w:highlight w:val="none"/>
              </w:rPr>
              <w:t>，其他资料可为黑白扫描件</w:t>
            </w:r>
            <w:r>
              <w:rPr>
                <w:rFonts w:hint="eastAsia" w:ascii="宋体" w:hAnsi="宋体" w:eastAsia="宋体" w:cs="宋体"/>
                <w:color w:val="auto"/>
                <w:kern w:val="21"/>
                <w:sz w:val="24"/>
                <w:szCs w:val="24"/>
                <w:highlight w:val="none"/>
              </w:rPr>
              <w:t>。</w:t>
            </w:r>
          </w:p>
        </w:tc>
      </w:tr>
      <w:tr w14:paraId="41F231F6">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7A458DC">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3.5.2</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7F616585">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sz w:val="24"/>
                <w:szCs w:val="24"/>
                <w:highlight w:val="none"/>
              </w:rPr>
              <w:t>删除原3.5.2条款内容，修改如下：</w:t>
            </w:r>
          </w:p>
          <w:p w14:paraId="563A582B">
            <w:pPr>
              <w:pStyle w:val="30"/>
              <w:keepNext w:val="0"/>
              <w:keepLines w:val="0"/>
              <w:pageBreakBefore w:val="0"/>
              <w:topLinePunct w:val="0"/>
              <w:bidi w:val="0"/>
              <w:spacing w:before="2" w:line="360" w:lineRule="auto"/>
              <w:ind w:left="117" w:right="77" w:firstLine="2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“近年完成的类似项目”应是已列入交通运输部“全国公路建设市场监督管理系统”（网址：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HYPERLINK"http://glxy.mot.gov.cn，下同)并公开的已建业绩，具体时间要求见投标人须知前附表。"</w:instrText>
            </w:r>
            <w:r>
              <w:rPr>
                <w:rFonts w:hint="eastAsia" w:ascii="宋体" w:hAnsi="宋体" w:eastAsia="宋体" w:cs="宋体"/>
                <w:color w:val="auto"/>
                <w:sz w:val="24"/>
                <w:szCs w:val="24"/>
                <w:highlight w:val="none"/>
              </w:rPr>
              <w:fldChar w:fldCharType="separate"/>
            </w:r>
            <w:r>
              <w:rPr>
                <w:rStyle w:val="25"/>
                <w:rFonts w:hint="eastAsia" w:ascii="宋体" w:hAnsi="宋体" w:eastAsia="宋体" w:cs="宋体"/>
                <w:color w:val="auto"/>
                <w:sz w:val="24"/>
                <w:szCs w:val="24"/>
                <w:highlight w:val="none"/>
              </w:rPr>
              <w:t>https://hwdms.mot.gov.cn/，下同)并公开的已建业绩，具体时间要求见投标人须知前附表。</w:t>
            </w:r>
            <w:r>
              <w:rPr>
                <w:rFonts w:hint="eastAsia" w:ascii="宋体" w:hAnsi="宋体" w:eastAsia="宋体" w:cs="宋体"/>
                <w:color w:val="auto"/>
                <w:sz w:val="24"/>
                <w:szCs w:val="24"/>
                <w:highlight w:val="none"/>
              </w:rPr>
              <w:fldChar w:fldCharType="end"/>
            </w:r>
          </w:p>
          <w:p w14:paraId="2952D4A2">
            <w:pPr>
              <w:pStyle w:val="30"/>
              <w:keepNext w:val="0"/>
              <w:keepLines w:val="0"/>
              <w:pageBreakBefore w:val="0"/>
              <w:topLinePunct w:val="0"/>
              <w:bidi w:val="0"/>
              <w:spacing w:before="2" w:line="360" w:lineRule="auto"/>
              <w:ind w:left="117" w:right="77" w:firstLine="2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近年完成的类似项目情况表”应附在交通运输部“全国公路建设市场监督管理系统”中查询到的企业“业绩信息”相关项目网页截图复，即包括“项目名称”、“标段类型”、“合同价”、“主要工程量”等栏目在内的项目详细信息网页截图。除网页截图外，投标人无需再提供任何业绩证明材料。</w:t>
            </w:r>
          </w:p>
          <w:p w14:paraId="1324187E">
            <w:pPr>
              <w:pStyle w:val="30"/>
              <w:keepNext w:val="0"/>
              <w:keepLines w:val="0"/>
              <w:pageBreakBefore w:val="0"/>
              <w:topLinePunct w:val="0"/>
              <w:bidi w:val="0"/>
              <w:spacing w:before="2" w:line="360" w:lineRule="auto"/>
              <w:ind w:left="117" w:right="77" w:firstLine="2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如投标人未提供相关项目网页截图或相关项目网页截图中的信息无法证实投标人满足招标文件规定的资格审查条件（业绩最低要求）或评标办法评分标准（如有），则该项目业绩不予认定。</w:t>
            </w:r>
          </w:p>
        </w:tc>
      </w:tr>
      <w:tr w14:paraId="6287300B">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E74575B">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3.5.3</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042FC0A6">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投标人须知正文第3.5.3项内容修改如下：</w:t>
            </w:r>
          </w:p>
          <w:p w14:paraId="77062FCA">
            <w:pPr>
              <w:keepNext w:val="0"/>
              <w:keepLines w:val="0"/>
              <w:pageBreakBefore w:val="0"/>
              <w:widowControl w:val="0"/>
              <w:topLinePunct w:val="0"/>
              <w:autoSpaceDE w:val="0"/>
              <w:autoSpaceDN w:val="0"/>
              <w:bidi w:val="0"/>
              <w:adjustRightInd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投标人的信誉情况”应附投标人在国家企业信用信息公示系统中未被列入严重违法失信企业名单、在“信用中国”网站中未被列入失信被执行人名单的网页截图，近三年内投标人及其法定代表人、拟委任的总监理工程师（含备选，如有）或驻地监理工程师（含备选，如有）无行贿犯罪行为以投标函承诺的为准。</w:t>
            </w:r>
          </w:p>
        </w:tc>
      </w:tr>
      <w:tr w14:paraId="25972B3A">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63EBD72">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3.5.4</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127EA7AD">
            <w:pPr>
              <w:pStyle w:val="30"/>
              <w:keepNext w:val="0"/>
              <w:keepLines w:val="0"/>
              <w:pageBreakBefore w:val="0"/>
              <w:topLinePunct w:val="0"/>
              <w:bidi w:val="0"/>
              <w:spacing w:before="10" w:line="360" w:lineRule="auto"/>
              <w:ind w:right="-58"/>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删除原3.5.4条款内容，修改如下：</w:t>
            </w:r>
          </w:p>
          <w:p w14:paraId="09121735">
            <w:pPr>
              <w:pStyle w:val="30"/>
              <w:keepNext w:val="0"/>
              <w:keepLines w:val="0"/>
              <w:pageBreakBefore w:val="0"/>
              <w:topLinePunct w:val="0"/>
              <w:bidi w:val="0"/>
              <w:spacing w:before="10" w:line="360" w:lineRule="auto"/>
              <w:ind w:right="-58"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委任的总监理工程师或驻地监理工程师资历表”应附总监理工程师或驻地监理工程师的身份证、职称资格证书（如职称证书不能体现专业类型的，还应提供最高学历证书）、注册（或从业登记）截图和资格审查条件所要求的其他相关证书（如公路工程监理工程师证书等）的</w:t>
            </w:r>
            <w:r>
              <w:rPr>
                <w:rFonts w:hint="eastAsia" w:ascii="宋体" w:hAnsi="宋体" w:eastAsia="宋体" w:cs="宋体"/>
                <w:color w:val="auto"/>
                <w:sz w:val="24"/>
                <w:szCs w:val="24"/>
                <w:highlight w:val="none"/>
                <w:lang w:val="en-US" w:eastAsia="zh-CN"/>
              </w:rPr>
              <w:t>扫描件</w:t>
            </w:r>
            <w:r>
              <w:rPr>
                <w:rFonts w:hint="eastAsia" w:ascii="宋体" w:hAnsi="宋体" w:eastAsia="宋体" w:cs="宋体"/>
                <w:color w:val="auto"/>
                <w:sz w:val="24"/>
                <w:szCs w:val="24"/>
                <w:highlight w:val="none"/>
              </w:rPr>
              <w:t>，以及投标人在社保系统打印的总监理工程师（含备选，如有）或驻地监理工程师（含备选，如有）参加社保的有效证明材料</w:t>
            </w:r>
            <w:r>
              <w:rPr>
                <w:rFonts w:hint="eastAsia" w:ascii="宋体" w:hAnsi="宋体" w:eastAsia="宋体" w:cs="宋体"/>
                <w:color w:val="auto"/>
                <w:sz w:val="24"/>
                <w:szCs w:val="24"/>
                <w:highlight w:val="none"/>
                <w:lang w:val="en-US" w:eastAsia="zh-CN"/>
              </w:rPr>
              <w:t>扫描件</w:t>
            </w:r>
            <w:r>
              <w:rPr>
                <w:rFonts w:hint="eastAsia" w:ascii="宋体" w:hAnsi="宋体" w:eastAsia="宋体" w:cs="宋体"/>
                <w:color w:val="auto"/>
                <w:sz w:val="24"/>
                <w:szCs w:val="24"/>
                <w:highlight w:val="none"/>
              </w:rPr>
              <w:t>（社保时段为</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递交截止日</w:t>
            </w:r>
            <w:r>
              <w:rPr>
                <w:rFonts w:hint="eastAsia" w:ascii="宋体" w:hAnsi="宋体" w:eastAsia="宋体" w:cs="宋体"/>
                <w:color w:val="auto"/>
                <w:sz w:val="24"/>
                <w:szCs w:val="24"/>
                <w:highlight w:val="none"/>
                <w:lang w:eastAsia="zh-CN"/>
              </w:rPr>
              <w:t>前六个月</w:t>
            </w:r>
            <w:r>
              <w:rPr>
                <w:rFonts w:hint="eastAsia" w:ascii="宋体" w:hAnsi="宋体" w:eastAsia="宋体" w:cs="宋体"/>
                <w:color w:val="auto"/>
                <w:sz w:val="24"/>
                <w:szCs w:val="24"/>
                <w:highlight w:val="none"/>
              </w:rPr>
              <w:t>内</w:t>
            </w:r>
            <w:r>
              <w:rPr>
                <w:rFonts w:hint="eastAsia" w:ascii="宋体" w:hAnsi="宋体" w:eastAsia="宋体" w:cs="宋体"/>
                <w:color w:val="auto"/>
                <w:sz w:val="24"/>
                <w:szCs w:val="24"/>
                <w:highlight w:val="none"/>
                <w:lang w:eastAsia="zh-CN"/>
              </w:rPr>
              <w:t>任意一</w:t>
            </w:r>
            <w:r>
              <w:rPr>
                <w:rFonts w:hint="eastAsia" w:ascii="宋体" w:hAnsi="宋体" w:eastAsia="宋体" w:cs="宋体"/>
                <w:color w:val="auto"/>
                <w:sz w:val="24"/>
                <w:szCs w:val="24"/>
                <w:highlight w:val="none"/>
              </w:rPr>
              <w:t>个月）。拟派人员为</w:t>
            </w:r>
            <w:r>
              <w:rPr>
                <w:rFonts w:hint="eastAsia" w:ascii="宋体" w:hAnsi="宋体" w:eastAsia="宋体" w:cs="宋体"/>
                <w:color w:val="auto"/>
                <w:sz w:val="24"/>
                <w:szCs w:val="24"/>
                <w:highlight w:val="none"/>
                <w:lang w:eastAsia="zh-CN"/>
              </w:rPr>
              <w:t>退休</w:t>
            </w:r>
            <w:r>
              <w:rPr>
                <w:rFonts w:hint="eastAsia" w:ascii="宋体" w:hAnsi="宋体" w:eastAsia="宋体" w:cs="宋体"/>
                <w:color w:val="auto"/>
                <w:sz w:val="24"/>
                <w:szCs w:val="24"/>
                <w:highlight w:val="none"/>
              </w:rPr>
              <w:t>返聘人员无法提供社保证明的，需提供身份证及</w:t>
            </w:r>
            <w:r>
              <w:rPr>
                <w:rFonts w:hint="eastAsia" w:ascii="宋体" w:hAnsi="宋体" w:eastAsia="宋体" w:cs="宋体"/>
                <w:color w:val="auto"/>
                <w:sz w:val="24"/>
                <w:szCs w:val="24"/>
                <w:highlight w:val="none"/>
                <w:lang w:eastAsia="zh-CN"/>
              </w:rPr>
              <w:t>退休</w:t>
            </w:r>
            <w:r>
              <w:rPr>
                <w:rFonts w:hint="eastAsia" w:ascii="宋体" w:hAnsi="宋体" w:eastAsia="宋体" w:cs="宋体"/>
                <w:color w:val="auto"/>
                <w:sz w:val="24"/>
                <w:szCs w:val="24"/>
                <w:highlight w:val="none"/>
              </w:rPr>
              <w:t>证明和投标人聘用合同扫描件。</w:t>
            </w:r>
          </w:p>
          <w:p w14:paraId="71903350">
            <w:pPr>
              <w:pStyle w:val="30"/>
              <w:keepNext w:val="0"/>
              <w:keepLines w:val="0"/>
              <w:pageBreakBefore w:val="0"/>
              <w:topLinePunct w:val="0"/>
              <w:bidi w:val="0"/>
              <w:spacing w:before="10" w:line="360" w:lineRule="auto"/>
              <w:ind w:right="-58"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委任的总监理工程师或驻地监理工程师资历表”还应附交通运输部“全国公路建设市场监督管理系统”中载明的、能够证明总监理工程师或驻地监理工程师具有相关业绩的网页截图。除网页截图外，投标人无须再提供任何业绩证明材料。如投标人未提供相关业绩网页截图或相关业绩网页截图中的信息无法证实投标人满足招标文件规定的资格审查条件（总监理工程师或驻地监理工程师最低要求），则该业绩不予认定。</w:t>
            </w:r>
          </w:p>
          <w:p w14:paraId="69B56532">
            <w:pPr>
              <w:pStyle w:val="30"/>
              <w:keepNext w:val="0"/>
              <w:keepLines w:val="0"/>
              <w:pageBreakBefore w:val="0"/>
              <w:topLinePunct w:val="0"/>
              <w:bidi w:val="0"/>
              <w:spacing w:before="10" w:line="360" w:lineRule="auto"/>
              <w:ind w:right="-58"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如总监理工程师（以及备选人，如有）或驻地监理工程师（以及备选人，如有）目前仍在其他项目上任职，则投标人应按投标函的格式承诺上述人员能够从该项目撤离。</w:t>
            </w:r>
          </w:p>
        </w:tc>
      </w:tr>
      <w:tr w14:paraId="1F17FB9C">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68EB5C1">
            <w:pPr>
              <w:pStyle w:val="30"/>
              <w:keepNext w:val="0"/>
              <w:keepLines w:val="0"/>
              <w:pageBreakBefore w:val="0"/>
              <w:topLinePunct w:val="0"/>
              <w:bidi w:val="0"/>
              <w:spacing w:before="136" w:line="360" w:lineRule="auto"/>
              <w:ind w:right="167"/>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top"/>
          </w:tcPr>
          <w:p w14:paraId="0359390B">
            <w:pPr>
              <w:pStyle w:val="34"/>
              <w:keepNext w:val="0"/>
              <w:keepLines w:val="0"/>
              <w:pageBreakBefore w:val="0"/>
              <w:topLinePunct w:val="0"/>
              <w:bidi w:val="0"/>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投标人须知正文4.2项内容修改如下：</w:t>
            </w:r>
          </w:p>
          <w:p w14:paraId="3004E11F">
            <w:pPr>
              <w:pStyle w:val="34"/>
              <w:keepNext w:val="0"/>
              <w:keepLines w:val="0"/>
              <w:pageBreakBefore w:val="0"/>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本项目采用全流程电子投标，不需要提交纸质版的投标文件。投标人应在规定的截止时间前登录建设工程交易平台完成电子投标（包括缴纳投标保证金），方为有效投标。</w:t>
            </w:r>
          </w:p>
        </w:tc>
      </w:tr>
      <w:tr w14:paraId="59D55BE1">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69EC258">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60959B08">
            <w:pPr>
              <w:pStyle w:val="35"/>
              <w:keepNext w:val="0"/>
              <w:keepLines w:val="0"/>
              <w:pageBreakBefore w:val="0"/>
              <w:topLinePunct w:val="0"/>
              <w:bidi w:val="0"/>
              <w:spacing w:line="360" w:lineRule="auto"/>
              <w:ind w:left="0" w:leftChars="0" w:firstLine="0" w:firstLineChars="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投标人须知正文4.3项内容修改如下：</w:t>
            </w:r>
          </w:p>
          <w:p w14:paraId="2932D733">
            <w:pPr>
              <w:pStyle w:val="35"/>
              <w:keepNext w:val="0"/>
              <w:keepLines w:val="0"/>
              <w:pageBreakBefore w:val="0"/>
              <w:topLinePunct w:val="0"/>
              <w:bidi w:val="0"/>
              <w:spacing w:line="360" w:lineRule="auto"/>
              <w:ind w:left="0" w:leftChars="0" w:firstLine="480" w:firstLineChars="200"/>
              <w:textAlignment w:val="auto"/>
              <w:rPr>
                <w:rFonts w:hint="eastAsia" w:ascii="宋体" w:hAnsi="宋体" w:eastAsia="宋体" w:cs="宋体"/>
                <w:color w:val="auto"/>
                <w:kern w:val="21"/>
                <w:sz w:val="24"/>
                <w:szCs w:val="24"/>
                <w:highlight w:val="none"/>
              </w:rPr>
            </w:pPr>
            <w:r>
              <w:rPr>
                <w:rFonts w:hint="eastAsia" w:ascii="宋体" w:hAnsi="宋体" w:eastAsia="宋体" w:cs="宋体"/>
                <w:b w:val="0"/>
                <w:bCs/>
                <w:color w:val="auto"/>
                <w:sz w:val="24"/>
                <w:szCs w:val="24"/>
                <w:highlight w:val="none"/>
              </w:rPr>
              <w:t>在提交投标文件截止时间前，投标人可以修改或撤回未解密的电子投标文件，并于提交投标文件截止时间前将重新上传修改后的电子投标文件至交易平台，到达投标文件提交截止时间后投标人不得撤回、补充、修改和更换投标文件。</w:t>
            </w:r>
          </w:p>
        </w:tc>
      </w:tr>
      <w:tr w14:paraId="5C2C0208">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2D2ACFD">
            <w:pPr>
              <w:pStyle w:val="30"/>
              <w:keepNext w:val="0"/>
              <w:keepLines w:val="0"/>
              <w:pageBreakBefore w:val="0"/>
              <w:topLinePunct w:val="0"/>
              <w:bidi w:val="0"/>
              <w:spacing w:before="136" w:line="360" w:lineRule="auto"/>
              <w:ind w:right="167"/>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top"/>
          </w:tcPr>
          <w:p w14:paraId="15BCE507">
            <w:pPr>
              <w:pStyle w:val="30"/>
              <w:keepNext w:val="0"/>
              <w:keepLines w:val="0"/>
              <w:pageBreakBefore w:val="0"/>
              <w:topLinePunct w:val="0"/>
              <w:bidi w:val="0"/>
              <w:spacing w:before="12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投标人须知正文增加4.4：</w:t>
            </w:r>
          </w:p>
          <w:p w14:paraId="215DF264">
            <w:pPr>
              <w:keepNext w:val="0"/>
              <w:keepLines w:val="0"/>
              <w:pageBreakBefore w:val="0"/>
              <w:topLinePunct w:val="0"/>
              <w:bidi w:val="0"/>
              <w:spacing w:line="360" w:lineRule="auto"/>
              <w:ind w:firstLine="480"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4.4.1</w:t>
            </w:r>
            <w:r>
              <w:rPr>
                <w:rFonts w:hint="eastAsia" w:ascii="宋体" w:hAnsi="宋体" w:eastAsia="宋体" w:cs="宋体"/>
                <w:snapToGrid w:val="0"/>
                <w:color w:val="auto"/>
                <w:kern w:val="0"/>
                <w:sz w:val="24"/>
                <w:szCs w:val="24"/>
                <w:highlight w:val="none"/>
              </w:rPr>
              <w:t>在</w:t>
            </w:r>
            <w:r>
              <w:rPr>
                <w:rFonts w:hint="eastAsia" w:ascii="宋体" w:hAnsi="宋体" w:eastAsia="宋体" w:cs="宋体"/>
                <w:color w:val="auto"/>
                <w:sz w:val="24"/>
                <w:szCs w:val="24"/>
                <w:highlight w:val="none"/>
                <w:shd w:val="clear" w:color="auto" w:fill="FFFFFF"/>
              </w:rPr>
              <w:t>交易平台</w:t>
            </w:r>
            <w:r>
              <w:rPr>
                <w:rFonts w:hint="eastAsia" w:ascii="宋体" w:hAnsi="宋体" w:eastAsia="宋体" w:cs="宋体"/>
                <w:bCs/>
                <w:snapToGrid w:val="0"/>
                <w:color w:val="auto"/>
                <w:sz w:val="24"/>
                <w:szCs w:val="24"/>
                <w:highlight w:val="none"/>
              </w:rPr>
              <w:t>上传加盖了电子印章的投标文件、录入相关信息及标书页码信息，并提交投标标书（页码起始从封面开始）。提交标书为已加密投标文件。具体操作参照</w:t>
            </w:r>
            <w:r>
              <w:rPr>
                <w:rFonts w:hint="eastAsia" w:ascii="宋体" w:hAnsi="宋体" w:eastAsia="宋体" w:cs="宋体"/>
                <w:color w:val="auto"/>
                <w:sz w:val="24"/>
                <w:szCs w:val="24"/>
                <w:highlight w:val="none"/>
                <w:shd w:val="clear" w:color="auto" w:fill="FFFFFF"/>
              </w:rPr>
              <w:t>《韶关市公共资源建设工程交易系统-投标人操作指南（电子评标）》</w:t>
            </w:r>
            <w:r>
              <w:rPr>
                <w:rFonts w:hint="eastAsia" w:ascii="宋体" w:hAnsi="宋体" w:eastAsia="宋体" w:cs="宋体"/>
                <w:bCs/>
                <w:snapToGrid w:val="0"/>
                <w:color w:val="auto"/>
                <w:sz w:val="24"/>
                <w:szCs w:val="24"/>
                <w:highlight w:val="none"/>
              </w:rPr>
              <w:t>。</w:t>
            </w:r>
          </w:p>
          <w:p w14:paraId="67D7FD2E">
            <w:pPr>
              <w:keepNext w:val="0"/>
              <w:keepLines w:val="0"/>
              <w:pageBreakBefore w:val="0"/>
              <w:topLinePunct w:val="0"/>
              <w:bidi w:val="0"/>
              <w:spacing w:line="360" w:lineRule="auto"/>
              <w:ind w:firstLine="480"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本项目评标采用全流程电子化进行招标投标（投标人应</w:t>
            </w:r>
            <w:r>
              <w:rPr>
                <w:rFonts w:hint="eastAsia" w:ascii="宋体" w:hAnsi="宋体" w:eastAsia="宋体" w:cs="宋体"/>
                <w:snapToGrid w:val="0"/>
                <w:color w:val="auto"/>
                <w:kern w:val="0"/>
                <w:sz w:val="24"/>
                <w:szCs w:val="24"/>
                <w:highlight w:val="none"/>
              </w:rPr>
              <w:t>在</w:t>
            </w:r>
            <w:r>
              <w:rPr>
                <w:rFonts w:hint="eastAsia" w:ascii="宋体" w:hAnsi="宋体" w:eastAsia="宋体" w:cs="宋体"/>
                <w:color w:val="auto"/>
                <w:sz w:val="24"/>
                <w:szCs w:val="24"/>
                <w:highlight w:val="none"/>
                <w:shd w:val="clear" w:color="auto" w:fill="FFFFFF"/>
              </w:rPr>
              <w:t>交易平台</w:t>
            </w:r>
            <w:r>
              <w:rPr>
                <w:rFonts w:hint="eastAsia" w:ascii="宋体" w:hAnsi="宋体" w:eastAsia="宋体" w:cs="宋体"/>
                <w:bCs/>
                <w:snapToGrid w:val="0"/>
                <w:color w:val="auto"/>
                <w:sz w:val="24"/>
                <w:szCs w:val="24"/>
                <w:highlight w:val="none"/>
              </w:rPr>
              <w:t>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599E451D">
            <w:pPr>
              <w:keepNext w:val="0"/>
              <w:keepLines w:val="0"/>
              <w:pageBreakBefore w:val="0"/>
              <w:topLinePunct w:val="0"/>
              <w:bidi w:val="0"/>
              <w:spacing w:line="360" w:lineRule="auto"/>
              <w:ind w:firstLine="480"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投标文件完成上传后，投标人应使用CA数字证书对投标文件进行文件加密，形成加密的投标文件并提交标书。</w:t>
            </w:r>
          </w:p>
          <w:p w14:paraId="7A9D5998">
            <w:pPr>
              <w:keepNext w:val="0"/>
              <w:keepLines w:val="0"/>
              <w:pageBreakBefore w:val="0"/>
              <w:topLinePunct w:val="0"/>
              <w:bidi w:val="0"/>
              <w:spacing w:line="360" w:lineRule="auto"/>
              <w:ind w:firstLine="480"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4.4.2电子投标文件的修改、撤回：在提交投标文件截止时间前，投标人可以修改或撤回未解密的电子投标文件，并于提交投标文件截止时间前将重新上传修改后的电子投标文件至</w:t>
            </w:r>
            <w:r>
              <w:rPr>
                <w:rFonts w:hint="eastAsia" w:ascii="宋体" w:hAnsi="宋体" w:eastAsia="宋体" w:cs="宋体"/>
                <w:color w:val="auto"/>
                <w:sz w:val="24"/>
                <w:szCs w:val="24"/>
                <w:highlight w:val="none"/>
                <w:shd w:val="clear" w:color="auto" w:fill="FFFFFF"/>
              </w:rPr>
              <w:t>交易平台</w:t>
            </w:r>
            <w:r>
              <w:rPr>
                <w:rFonts w:hint="eastAsia" w:ascii="宋体" w:hAnsi="宋体" w:eastAsia="宋体" w:cs="宋体"/>
                <w:bCs/>
                <w:snapToGrid w:val="0"/>
                <w:color w:val="auto"/>
                <w:sz w:val="24"/>
                <w:szCs w:val="24"/>
                <w:highlight w:val="none"/>
              </w:rPr>
              <w:t>，到达投标文件提交截止时间后投标人不得撤回、补充、修改和更换投标文件。</w:t>
            </w:r>
          </w:p>
          <w:p w14:paraId="06BB22C0">
            <w:pPr>
              <w:keepNext w:val="0"/>
              <w:keepLines w:val="0"/>
              <w:pageBreakBefore w:val="0"/>
              <w:wordWrap w:val="0"/>
              <w:topLinePunct w:val="0"/>
              <w:bidi w:val="0"/>
              <w:adjustRightInd w:val="0"/>
              <w:snapToGrid w:val="0"/>
              <w:spacing w:line="360" w:lineRule="auto"/>
              <w:ind w:firstLine="480"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4.4.3电子投标及投标解密失败及突发情况的补救方案</w:t>
            </w:r>
          </w:p>
          <w:p w14:paraId="1F6CDE4D">
            <w:pPr>
              <w:keepNext w:val="0"/>
              <w:keepLines w:val="0"/>
              <w:pageBreakBefore w:val="0"/>
              <w:wordWrap w:val="0"/>
              <w:topLinePunct w:val="0"/>
              <w:bidi w:val="0"/>
              <w:adjustRightInd w:val="0"/>
              <w:snapToGrid w:val="0"/>
              <w:spacing w:line="360" w:lineRule="auto"/>
              <w:ind w:firstLine="480"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4.4.3.1按照交易平台关于全流程电子化项目的相关指南进行操作。详见：</w:t>
            </w:r>
            <w:r>
              <w:rPr>
                <w:rFonts w:hint="eastAsia" w:ascii="宋体" w:hAnsi="宋体" w:eastAsia="宋体" w:cs="宋体"/>
                <w:color w:val="auto"/>
                <w:sz w:val="24"/>
                <w:szCs w:val="24"/>
                <w:highlight w:val="none"/>
                <w:shd w:val="clear" w:color="auto" w:fill="FFFFFF"/>
              </w:rPr>
              <w:t>全国公共资源交易平台（广东省·韶关市）</w:t>
            </w:r>
            <w:r>
              <w:rPr>
                <w:rFonts w:hint="eastAsia" w:ascii="宋体" w:hAnsi="宋体" w:eastAsia="宋体" w:cs="宋体"/>
                <w:bCs/>
                <w:snapToGrid w:val="0"/>
                <w:color w:val="auto"/>
                <w:sz w:val="24"/>
                <w:szCs w:val="24"/>
                <w:highlight w:val="none"/>
              </w:rPr>
              <w:t>发布的最新版操作指南。</w:t>
            </w:r>
          </w:p>
          <w:p w14:paraId="3494284D">
            <w:pPr>
              <w:keepNext w:val="0"/>
              <w:keepLines w:val="0"/>
              <w:pageBreakBefore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snapToGrid w:val="0"/>
                <w:color w:val="auto"/>
                <w:sz w:val="24"/>
                <w:szCs w:val="24"/>
                <w:highlight w:val="none"/>
              </w:rPr>
              <w:t>4.4.3.2</w:t>
            </w:r>
            <w:r>
              <w:rPr>
                <w:rFonts w:hint="eastAsia" w:ascii="宋体" w:hAnsi="宋体" w:eastAsia="宋体" w:cs="宋体"/>
                <w:color w:val="auto"/>
                <w:sz w:val="24"/>
                <w:szCs w:val="24"/>
                <w:highlight w:val="none"/>
              </w:rPr>
              <w:t>补救方案</w:t>
            </w:r>
          </w:p>
          <w:p w14:paraId="39B00F77">
            <w:pPr>
              <w:keepNext w:val="0"/>
              <w:keepLines w:val="0"/>
              <w:pageBreakBefore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（1）投标文件解密失败的补救方案：</w:t>
            </w:r>
          </w:p>
          <w:p w14:paraId="1C1DB21F">
            <w:pPr>
              <w:keepNext w:val="0"/>
              <w:keepLines w:val="0"/>
              <w:pageBreakBefore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r>
              <w:rPr>
                <w:rFonts w:hint="eastAsia" w:ascii="宋体" w:hAnsi="宋体" w:eastAsia="宋体" w:cs="宋体"/>
                <w:b/>
                <w:bCs/>
                <w:color w:val="auto"/>
                <w:sz w:val="24"/>
                <w:szCs w:val="24"/>
                <w:highlight w:val="none"/>
              </w:rPr>
              <w:t>电子投标文件解密失败且未在规定的时限内按要求成功上传未加密的备用投标文件的，视为无效投标。</w:t>
            </w:r>
          </w:p>
          <w:p w14:paraId="76A0857A">
            <w:pPr>
              <w:keepNext w:val="0"/>
              <w:keepLines w:val="0"/>
              <w:pageBreakBefore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（2）评标时突发情况的补救方案</w:t>
            </w:r>
          </w:p>
          <w:p w14:paraId="7F7FD609">
            <w:pPr>
              <w:keepNext w:val="0"/>
              <w:keepLines w:val="0"/>
              <w:pageBreakBefore w:val="0"/>
              <w:wordWrap w:val="0"/>
              <w:topLinePunct w:val="0"/>
              <w:bidi w:val="0"/>
              <w:adjustRightInd w:val="0"/>
              <w:snapToGrid w:val="0"/>
              <w:spacing w:line="360" w:lineRule="auto"/>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2E6DE50">
            <w:pPr>
              <w:keepNext w:val="0"/>
              <w:keepLines w:val="0"/>
              <w:pageBreakBefore w:val="0"/>
              <w:wordWrap w:val="0"/>
              <w:topLinePunct w:val="0"/>
              <w:bidi w:val="0"/>
              <w:adjustRightInd w:val="0"/>
              <w:snapToGrid w:val="0"/>
              <w:spacing w:line="360" w:lineRule="auto"/>
              <w:ind w:firstLine="56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（3）除发生上述情况外，开标评标均以投标人通过交易平台网上递交的电子投标文件为准。</w:t>
            </w:r>
          </w:p>
        </w:tc>
      </w:tr>
      <w:tr w14:paraId="72632E2A">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7F4E0EB">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37D63391">
            <w:pPr>
              <w:keepNext w:val="0"/>
              <w:keepLines w:val="0"/>
              <w:pageBreakBefore w:val="0"/>
              <w:widowControl w:val="0"/>
              <w:topLinePunct w:val="0"/>
              <w:autoSpaceDE w:val="0"/>
              <w:autoSpaceDN w:val="0"/>
              <w:bidi w:val="0"/>
              <w:adjustRightInd w:val="0"/>
              <w:spacing w:before="51" w:line="360" w:lineRule="auto"/>
              <w:ind w:right="17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投标人须知正文5.1项修改如下：</w:t>
            </w:r>
          </w:p>
          <w:p w14:paraId="74F1CF50">
            <w:pPr>
              <w:pStyle w:val="35"/>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投标人无须进行现场签到，可登录交易平台及时观看开标实况、提出异议或进行澄清、确认等操作，对开标事项的异议未在开标期间提出的，招标人不予受理。具体详见招标文件和系统操作手册为准。</w:t>
            </w:r>
          </w:p>
        </w:tc>
      </w:tr>
      <w:tr w14:paraId="04450A7E">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D5A67FC">
            <w:pPr>
              <w:keepNext w:val="0"/>
              <w:keepLines w:val="0"/>
              <w:pageBreakBefore w:val="0"/>
              <w:topLinePunct w:val="0"/>
              <w:bidi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5.2.1</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0E488BAC">
            <w:pPr>
              <w:pStyle w:val="35"/>
              <w:keepNext w:val="0"/>
              <w:keepLines w:val="0"/>
              <w:pageBreakBefore w:val="0"/>
              <w:topLinePunct w:val="0"/>
              <w:bidi w:val="0"/>
              <w:spacing w:line="360" w:lineRule="auto"/>
              <w:ind w:firstLine="0"/>
              <w:textAlignment w:val="auto"/>
              <w:rPr>
                <w:rFonts w:hint="eastAsia" w:ascii="宋体" w:hAnsi="宋体" w:eastAsia="宋体" w:cs="宋体"/>
                <w:bCs/>
                <w:color w:val="auto"/>
                <w:kern w:val="21"/>
                <w:sz w:val="24"/>
                <w:szCs w:val="24"/>
                <w:highlight w:val="none"/>
              </w:rPr>
            </w:pPr>
            <w:r>
              <w:rPr>
                <w:rFonts w:hint="eastAsia" w:ascii="宋体" w:hAnsi="宋体" w:eastAsia="宋体" w:cs="宋体"/>
                <w:bCs/>
                <w:color w:val="auto"/>
                <w:kern w:val="21"/>
                <w:sz w:val="24"/>
                <w:szCs w:val="24"/>
                <w:highlight w:val="none"/>
              </w:rPr>
              <w:t>投标人须知正文第5.2.1项修改为：</w:t>
            </w:r>
          </w:p>
          <w:p w14:paraId="190231C4">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（1）宣布开标纪律；</w:t>
            </w:r>
          </w:p>
          <w:p w14:paraId="0DF86662">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（2）宣布开标人、唱标人、记录人等有关人员姓名；</w:t>
            </w:r>
          </w:p>
          <w:p w14:paraId="082DBB9D">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（3）</w:t>
            </w:r>
            <w:r>
              <w:rPr>
                <w:rFonts w:hint="eastAsia" w:ascii="宋体" w:hAnsi="宋体" w:eastAsia="宋体" w:cs="宋体"/>
                <w:bCs/>
                <w:color w:val="auto"/>
                <w:kern w:val="21"/>
                <w:sz w:val="24"/>
                <w:szCs w:val="24"/>
                <w:highlight w:val="none"/>
              </w:rPr>
              <w:t>在交易场所工作人员的见证下，招标代理机构对投标人的电子投标信息进行解密，解密成功后查看各投标人投标保证金缴纳情况及第一个信封（商务及技术文件）开标一览表。</w:t>
            </w:r>
          </w:p>
          <w:p w14:paraId="64C559C3">
            <w:pPr>
              <w:keepNext w:val="0"/>
              <w:keepLines w:val="0"/>
              <w:pageBreakBefore w:val="0"/>
              <w:topLinePunct w:val="0"/>
              <w:bidi w:val="0"/>
              <w:spacing w:line="360" w:lineRule="auto"/>
              <w:jc w:val="left"/>
              <w:textAlignment w:val="auto"/>
              <w:rPr>
                <w:rFonts w:hint="eastAsia" w:ascii="宋体" w:hAnsi="宋体" w:eastAsia="宋体" w:cs="宋体"/>
                <w:bCs/>
                <w:color w:val="auto"/>
                <w:kern w:val="0"/>
                <w:sz w:val="24"/>
                <w:szCs w:val="24"/>
                <w:highlight w:val="none"/>
                <w:lang w:bidi="ar"/>
              </w:rPr>
            </w:pPr>
            <w:r>
              <w:rPr>
                <w:rFonts w:hint="eastAsia" w:ascii="宋体" w:hAnsi="宋体" w:eastAsia="宋体" w:cs="宋体"/>
                <w:bCs/>
                <w:color w:val="auto"/>
                <w:kern w:val="0"/>
                <w:sz w:val="24"/>
                <w:szCs w:val="24"/>
                <w:highlight w:val="none"/>
                <w:lang w:bidi="ar"/>
              </w:rPr>
              <w:t>（4）公布在投标截止时间前递交投标文件的投标人数量；</w:t>
            </w:r>
          </w:p>
          <w:p w14:paraId="27D6BA96">
            <w:pPr>
              <w:keepNext w:val="0"/>
              <w:keepLines w:val="0"/>
              <w:pageBreakBefore w:val="0"/>
              <w:topLinePunct w:val="0"/>
              <w:bidi w:val="0"/>
              <w:spacing w:line="360" w:lineRule="auto"/>
              <w:jc w:val="left"/>
              <w:textAlignment w:val="auto"/>
              <w:rPr>
                <w:rFonts w:hint="eastAsia" w:ascii="宋体" w:hAnsi="宋体" w:eastAsia="宋体" w:cs="宋体"/>
                <w:bCs/>
                <w:color w:val="auto"/>
                <w:kern w:val="0"/>
                <w:sz w:val="24"/>
                <w:szCs w:val="24"/>
                <w:highlight w:val="none"/>
                <w:lang w:bidi="ar"/>
              </w:rPr>
            </w:pPr>
            <w:r>
              <w:rPr>
                <w:rFonts w:hint="eastAsia" w:ascii="宋体" w:hAnsi="宋体" w:eastAsia="宋体" w:cs="宋体"/>
                <w:bCs/>
                <w:color w:val="auto"/>
                <w:kern w:val="0"/>
                <w:sz w:val="24"/>
                <w:szCs w:val="24"/>
                <w:highlight w:val="none"/>
                <w:lang w:bidi="ar"/>
              </w:rPr>
              <w:t>（5）招标人代表、记录人等有关人员在开标记录上签字确认；</w:t>
            </w:r>
          </w:p>
          <w:p w14:paraId="26A4E228">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（6）异议环节；</w:t>
            </w:r>
          </w:p>
          <w:p w14:paraId="576FA2E9">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（7）开标结束。</w:t>
            </w:r>
          </w:p>
        </w:tc>
      </w:tr>
      <w:tr w14:paraId="28E07A0C">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E97E937">
            <w:pPr>
              <w:keepNext w:val="0"/>
              <w:keepLines w:val="0"/>
              <w:pageBreakBefore w:val="0"/>
              <w:topLinePunct w:val="0"/>
              <w:bidi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5.2.2</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1B17A04B">
            <w:pPr>
              <w:keepNext w:val="0"/>
              <w:keepLines w:val="0"/>
              <w:pageBreakBefore w:val="0"/>
              <w:topLinePunct w:val="0"/>
              <w:bidi w:val="0"/>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删除原5.2.2条款内容</w:t>
            </w:r>
          </w:p>
        </w:tc>
      </w:tr>
      <w:tr w14:paraId="0AABD0E0">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B80FB95">
            <w:pPr>
              <w:keepNext w:val="0"/>
              <w:keepLines w:val="0"/>
              <w:pageBreakBefore w:val="0"/>
              <w:topLinePunct w:val="0"/>
              <w:bidi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5.2.3</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top"/>
          </w:tcPr>
          <w:p w14:paraId="5B051A28">
            <w:pPr>
              <w:keepNext w:val="0"/>
              <w:keepLines w:val="0"/>
              <w:pageBreakBefore w:val="0"/>
              <w:topLinePunct w:val="0"/>
              <w:bidi w:val="0"/>
              <w:spacing w:line="360" w:lineRule="auto"/>
              <w:textAlignment w:val="auto"/>
              <w:rPr>
                <w:rFonts w:hint="eastAsia" w:ascii="宋体" w:hAnsi="宋体" w:eastAsia="宋体" w:cs="宋体"/>
                <w:bCs/>
                <w:color w:val="auto"/>
                <w:kern w:val="21"/>
                <w:sz w:val="24"/>
                <w:szCs w:val="24"/>
                <w:highlight w:val="none"/>
              </w:rPr>
            </w:pPr>
            <w:r>
              <w:rPr>
                <w:rFonts w:hint="eastAsia" w:ascii="宋体" w:hAnsi="宋体" w:eastAsia="宋体" w:cs="宋体"/>
                <w:bCs/>
                <w:color w:val="auto"/>
                <w:kern w:val="21"/>
                <w:sz w:val="24"/>
                <w:szCs w:val="24"/>
                <w:highlight w:val="none"/>
              </w:rPr>
              <w:t>投标人须知正文第5.2.3项修改为：</w:t>
            </w:r>
          </w:p>
          <w:p w14:paraId="036C04B5">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（1）宣布开标纪律；</w:t>
            </w:r>
          </w:p>
          <w:p w14:paraId="1192BFE2">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（2）当众拆开投标文件第一个信封（商务及技术文件）评审结果的密封袋，宣</w:t>
            </w:r>
          </w:p>
          <w:p w14:paraId="455031ED">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布通过投标文件第一个信封（商务及技术文件）评审的投标人名单；</w:t>
            </w:r>
          </w:p>
          <w:p w14:paraId="20F7F984">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（3）宣布开标人、唱标人、记录人等有关人员姓名；</w:t>
            </w:r>
          </w:p>
          <w:p w14:paraId="02274ACC">
            <w:pPr>
              <w:keepNext w:val="0"/>
              <w:keepLines w:val="0"/>
              <w:pageBreakBefore w:val="0"/>
              <w:topLinePunct w:val="0"/>
              <w:bidi w:val="0"/>
              <w:spacing w:line="360" w:lineRule="auto"/>
              <w:jc w:val="left"/>
              <w:textAlignment w:val="auto"/>
              <w:rPr>
                <w:rFonts w:hint="eastAsia" w:ascii="宋体" w:hAnsi="宋体" w:eastAsia="宋体" w:cs="宋体"/>
                <w:bCs/>
                <w:color w:val="auto"/>
                <w:kern w:val="0"/>
                <w:sz w:val="24"/>
                <w:szCs w:val="24"/>
                <w:highlight w:val="none"/>
                <w:lang w:bidi="ar"/>
              </w:rPr>
            </w:pPr>
            <w:r>
              <w:rPr>
                <w:rFonts w:hint="eastAsia" w:ascii="宋体" w:hAnsi="宋体" w:eastAsia="宋体" w:cs="宋体"/>
                <w:bCs/>
                <w:color w:val="auto"/>
                <w:kern w:val="0"/>
                <w:sz w:val="24"/>
                <w:szCs w:val="24"/>
                <w:highlight w:val="none"/>
                <w:lang w:bidi="ar"/>
              </w:rPr>
              <w:t>（4）</w:t>
            </w:r>
            <w:r>
              <w:rPr>
                <w:rFonts w:hint="eastAsia" w:ascii="宋体" w:hAnsi="宋体" w:eastAsia="宋体" w:cs="宋体"/>
                <w:bCs/>
                <w:color w:val="auto"/>
                <w:kern w:val="21"/>
                <w:sz w:val="24"/>
                <w:szCs w:val="24"/>
                <w:highlight w:val="none"/>
              </w:rPr>
              <w:t>在交易场所工作人员的见证下，招标代理机构对投标人的电子投标信息进行解密，解密成功后查看各投标人</w:t>
            </w:r>
            <w:r>
              <w:rPr>
                <w:rFonts w:hint="eastAsia" w:ascii="宋体" w:hAnsi="宋体" w:eastAsia="宋体" w:cs="宋体"/>
                <w:bCs/>
                <w:color w:val="auto"/>
                <w:kern w:val="0"/>
                <w:sz w:val="24"/>
                <w:szCs w:val="24"/>
                <w:highlight w:val="none"/>
                <w:lang w:bidi="ar"/>
              </w:rPr>
              <w:t>的投标文件第二个信封（报价文件），公布标段名称、投标人名称、投标报价及其他内容，并记录在案；</w:t>
            </w:r>
          </w:p>
          <w:p w14:paraId="0604AA69">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（5）摇取下浮率，下浮率在开标现场采取逐标段摇珠方式确定。摇珠操作办法详见评标办法；</w:t>
            </w:r>
          </w:p>
          <w:p w14:paraId="79011A25">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（6）招标人代表、记录人等有关人员在开标记录上签字确认；</w:t>
            </w:r>
          </w:p>
          <w:p w14:paraId="1CA3EECC">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（7）开标结束。</w:t>
            </w:r>
          </w:p>
        </w:tc>
      </w:tr>
      <w:tr w14:paraId="1AF2623C">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4E6F0CA">
            <w:pPr>
              <w:keepNext w:val="0"/>
              <w:keepLines w:val="0"/>
              <w:pageBreakBefore w:val="0"/>
              <w:topLinePunct w:val="0"/>
              <w:bidi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5.3</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top"/>
          </w:tcPr>
          <w:p w14:paraId="3466685D">
            <w:pPr>
              <w:keepNext w:val="0"/>
              <w:keepLines w:val="0"/>
              <w:pageBreakBefore w:val="0"/>
              <w:topLinePunct w:val="0"/>
              <w:bidi w:val="0"/>
              <w:spacing w:line="360" w:lineRule="auto"/>
              <w:textAlignment w:val="auto"/>
              <w:rPr>
                <w:rFonts w:hint="eastAsia" w:ascii="宋体" w:hAnsi="宋体" w:eastAsia="宋体" w:cs="宋体"/>
                <w:bCs/>
                <w:color w:val="auto"/>
                <w:kern w:val="21"/>
                <w:sz w:val="24"/>
                <w:szCs w:val="24"/>
                <w:highlight w:val="none"/>
              </w:rPr>
            </w:pPr>
            <w:r>
              <w:rPr>
                <w:rFonts w:hint="eastAsia" w:ascii="宋体" w:hAnsi="宋体" w:eastAsia="宋体" w:cs="宋体"/>
                <w:bCs/>
                <w:color w:val="auto"/>
                <w:kern w:val="21"/>
                <w:sz w:val="24"/>
                <w:szCs w:val="24"/>
                <w:highlight w:val="none"/>
              </w:rPr>
              <w:t>投标人须知正文第5.3项修改为：</w:t>
            </w:r>
          </w:p>
          <w:p w14:paraId="386DA518">
            <w:pPr>
              <w:keepNext w:val="0"/>
              <w:keepLines w:val="0"/>
              <w:pageBreakBefore w:val="0"/>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tc>
      </w:tr>
      <w:tr w14:paraId="3B84EC5A">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4A013D9">
            <w:pPr>
              <w:keepNext w:val="0"/>
              <w:keepLines w:val="0"/>
              <w:pageBreakBefore w:val="0"/>
              <w:topLinePunct w:val="0"/>
              <w:autoSpaceDE w:val="0"/>
              <w:autoSpaceDN w:val="0"/>
              <w:bidi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6.1.2</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7B2D2804">
            <w:pPr>
              <w:keepNext w:val="0"/>
              <w:keepLines w:val="0"/>
              <w:pageBreakBefore w:val="0"/>
              <w:topLinePunct w:val="0"/>
              <w:bidi w:val="0"/>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投标人须知正文原6.1.2款末增加如下内容：</w:t>
            </w:r>
          </w:p>
          <w:p w14:paraId="39D8A510">
            <w:pPr>
              <w:keepNext w:val="0"/>
              <w:keepLines w:val="0"/>
              <w:pageBreakBefore w:val="0"/>
              <w:topLinePunct w:val="0"/>
              <w:bidi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招标人及其子公司、招标人下属单位、招标人的上级主管部门或者控股公司、招标代理机构的工作人员或者退休人员不得以专家身份参与本单位招标或者招标代理项目的评标。</w:t>
            </w:r>
          </w:p>
        </w:tc>
      </w:tr>
      <w:tr w14:paraId="1CA03E5D">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5BA43BF">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8.5</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57C78105">
            <w:pPr>
              <w:pStyle w:val="30"/>
              <w:keepNext w:val="0"/>
              <w:keepLines w:val="0"/>
              <w:pageBreakBefore w:val="0"/>
              <w:topLinePunct w:val="0"/>
              <w:bidi w:val="0"/>
              <w:spacing w:before="50" w:line="360" w:lineRule="auto"/>
              <w:ind w:right="-4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投标人须知范本原文第8.5.1款细化如下：</w:t>
            </w:r>
          </w:p>
          <w:p w14:paraId="1CBB5748">
            <w:pPr>
              <w:pStyle w:val="30"/>
              <w:keepNext w:val="0"/>
              <w:keepLines w:val="0"/>
              <w:pageBreakBefore w:val="0"/>
              <w:topLinePunct w:val="0"/>
              <w:bidi w:val="0"/>
              <w:spacing w:before="50" w:line="360" w:lineRule="auto"/>
              <w:ind w:right="-44"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8.5.1投标人或其他利害关系人认为招标投标活动不符合法律、行政法规规定的，可以自知道或应当知道之日起10日内向有关行政监督部门投诉。对于按法规规定需要先提出异议的投诉，交通运输主管部门在受理投诉时要求投诉人递交提出异议的证明文件，已向有关行政监督部门投诉的，应当一并说明。未按规定提出异议或者未提交已提出异议的证明文件的投诉，交通运输主管部门不予受理。投诉人缺乏事实根据或者法律依据进行投诉的，或者有证据表明投诉人捏造事实、伪造材料的，或者投诉人以非法手段取得证明材料进行投诉的，交通运输主管部门应当予以驳回，并对恶意投诉按照有关规定追究投诉人责任。行政监督部门接到对招标投标活动有效投诉的，应当制止或者要求整改，整改期间可以暂停其招标投标活动。</w:t>
            </w:r>
          </w:p>
        </w:tc>
      </w:tr>
      <w:tr w14:paraId="004D5A27">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91E9227">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10.2</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top"/>
          </w:tcPr>
          <w:p w14:paraId="74722B03">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增加10.2、10.3、10.4、10.5、10.6、10.7款如下：</w:t>
            </w:r>
          </w:p>
          <w:p w14:paraId="2E5D8E36">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10.2信用等级的确定原则：</w:t>
            </w:r>
          </w:p>
          <w:p w14:paraId="0A706FBC">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10.2.1招标文件中的信用等级指的是广东省交通运输厅最新年度的信用评价结果。如无广东省最新年度信用等级而有上一年度广东省信用等级的，则其原信用等级可延续一年，但在递交投标文件时信用等级的使用次数应按上一年度公布的信用评价结果顺延上一年度的使用次数。具体使用次数有关规定如下：</w:t>
            </w:r>
          </w:p>
          <w:p w14:paraId="600F75A6">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1.对于信用等级为AA级的从业单位:</w:t>
            </w:r>
          </w:p>
          <w:p w14:paraId="311BC53C">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(1)仅最新一年度信用等级为AA级的从业单位在参加广东省公路工程建设项目投标活动（以递交投标文件时间为准）时，可申请使用AA级分值8次，用完8次后信用等级分值将按A级分值取定；</w:t>
            </w:r>
          </w:p>
          <w:p w14:paraId="54977D68">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(2)连续最近两个年度信用等级为AA级的单位在参加广东省公路工程投标活动（以递交投标文件时间为准）时，可申请使用AA级分值12次，用完12次后信用等级分值将按A级取定；</w:t>
            </w:r>
          </w:p>
          <w:p w14:paraId="5DC02CEC">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2.对于信用等级为A级的从业单位:当年度信用等级A级单位在参加广东省公路工程建设项目招投标活动（以递交投标文件时间为准）时，可申请使用A级分值12次，用完12次后信用等级分值将按B级分值取定。</w:t>
            </w:r>
          </w:p>
          <w:p w14:paraId="4E3CC62D">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3.当年度信用等级为AA、A级的从业单位未承诺使用的信用等级分值的，AA级信用等级企业按A级对待、A级信用等级企业按B级对待。</w:t>
            </w:r>
          </w:p>
          <w:p w14:paraId="3DCFF814">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4.若从业企业在信用评价年度信用等级由AA降级为A级时，AA级信用等级已使用次数纳入A级信用等级使用次数合并累计。</w:t>
            </w:r>
          </w:p>
          <w:p w14:paraId="6D0A40D7">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10.2.2信用等级延续1年后仍无信用评价等级的，按照初次进入广东省确定，原则上按B级对待，但下列情况除外：最新年度的全国公路从业单位（监理单位）信用评价结果为C级或D级的，则按最新年度的全国公路从业单位（监理单位）信用评价结果对待；或最新年度的全国公路从业单位（监理单位）信用评价结果未被评为C级或D级的，但在广东省最近年度原评价等级为D级的，则按C级对待。</w:t>
            </w:r>
          </w:p>
          <w:p w14:paraId="5C819071">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10.2.3 AA、A级单位是指使用广东省信用评价等级申请承诺书的单位。提交申请承诺书未使用AA、A时，在评标过程中，AA级信用等级企业按A级对待、A级信用等级企业按B级对待。</w:t>
            </w:r>
          </w:p>
          <w:p w14:paraId="6CFE2523">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10.2.4在招标评标中，信用评价等级采用按次、按标段或标类申请使用的原则，即在同一次招标中的多个标段的投标，可自愿对其中部分或全部标段申请使用AA或A信用等级，无论中标与否，均应根据申请递交投标（或申请）文件情况按标段计算使用次数（非投标人原因导致招标失败的情况除外）。</w:t>
            </w:r>
          </w:p>
          <w:p w14:paraId="359BB236">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如果推荐的第一中标候选人放弃中标、因不可抗力提出不能履行合同、或因被投诉经查证属实取消中标资格的，或者招标文件规定应当提交履约保证金而在规定的期限内未能提交的，招标人可以确定排名第二的中标候选人为中标人,或重新组织招标，以此类推。</w:t>
            </w:r>
          </w:p>
          <w:p w14:paraId="405FBA33">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10.4如果开标后至中标通知书发出前，中标候选人发生投标人须知1.4.4（1）至（7）的情形及中标候选人信用等级被广东省交通运输厅直接降为D级的情形，则取消其中标资格，按否决其投标处理；</w:t>
            </w:r>
          </w:p>
          <w:p w14:paraId="033D166A">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发生以上情况时，招标人按推荐中标候选人排名顺序依次确定中标人，或重新组织招标。</w:t>
            </w:r>
          </w:p>
          <w:p w14:paraId="382D4EEB">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10.5本招标文件中所有“类似工程”均指</w:t>
            </w:r>
            <w:r>
              <w:rPr>
                <w:rFonts w:hint="eastAsia" w:ascii="宋体" w:hAnsi="宋体" w:eastAsia="宋体" w:cs="宋体"/>
                <w:b/>
                <w:bCs/>
                <w:color w:val="auto"/>
                <w:kern w:val="2"/>
                <w:sz w:val="24"/>
                <w:szCs w:val="24"/>
                <w:highlight w:val="none"/>
                <w:u w:val="single"/>
                <w:shd w:val="clear" w:color="auto" w:fill="auto"/>
                <w:lang w:val="en-US" w:eastAsia="zh-CN" w:bidi="ar-SA"/>
              </w:rPr>
              <w:t>新建（或改、扩建）三级以上（含三级）公路工程项目。在采用新建的公路项目完工业绩时，对于同等公路等级改、扩建中的新建桥梁或隧道工程业绩也应认可。</w:t>
            </w:r>
          </w:p>
          <w:p w14:paraId="42CC7270">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10.6有关业绩的说明</w:t>
            </w:r>
          </w:p>
          <w:p w14:paraId="4ECD070D">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10.6.1</w:t>
            </w:r>
          </w:p>
          <w:p w14:paraId="763B66C5">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a、特大桥及大桥按国家最新颁布的标准进行划分；</w:t>
            </w:r>
          </w:p>
          <w:p w14:paraId="67182FF6">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b、完成整座桥梁的半幅或整座桥梁其中的一部分工作内容达到特大桥或大桥对应技术标准的，按相应标标准以1座计算；</w:t>
            </w:r>
          </w:p>
          <w:p w14:paraId="509327FF">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c、同一投标人的单座桥梁仅能计一次，只完成整个工程部分分部工程不参与计算业绩。</w:t>
            </w:r>
          </w:p>
          <w:p w14:paraId="744FC778">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10.6.2</w:t>
            </w:r>
          </w:p>
          <w:p w14:paraId="3870447B">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特长隧道：单座隧道单洞（即左洞加右洞）总长大于6000m的，或完成单座隧道的一部分且该部分的单洞累计长度大于6000m的，均按1座计；完成单座特长隧道的一部分，该部分单洞累计长度大于3000m且不大于6000m的，按0.5座计，完成N座该类隧道按N×0.5座计；</w:t>
            </w:r>
          </w:p>
          <w:p w14:paraId="7DD61D06">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b、长隧道：单座隧道单洞（即左洞加右洞）总长大于2000米且不大于6000米的，或完成单座隧道的一部分且该部分的单洞累计长度大于2000米且不大于6000米的，均按1座计；</w:t>
            </w:r>
          </w:p>
          <w:p w14:paraId="1D38C4E5">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c、同一座隧道同时满足条件的，同一投标人只计算一次业绩；特长隧道可计为长隧道。</w:t>
            </w:r>
          </w:p>
          <w:p w14:paraId="63E18B20">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10.7招标文件中如无特别说明，土建工程路基、路面里程长度均不扣除桥隧等构造物长度。</w:t>
            </w:r>
          </w:p>
        </w:tc>
      </w:tr>
      <w:tr w14:paraId="182A9080">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46A6699">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5F2ACCD6">
            <w:pPr>
              <w:keepNext w:val="0"/>
              <w:keepLines w:val="0"/>
              <w:pageBreakBefore w:val="0"/>
              <w:widowControl w:val="0"/>
              <w:wordWrap w:val="0"/>
              <w:topLinePunct w:val="0"/>
              <w:autoSpaceDE w:val="0"/>
              <w:autoSpaceDN w:val="0"/>
              <w:bidi w:val="0"/>
              <w:adjustRightInd w:val="0"/>
              <w:spacing w:line="360" w:lineRule="auto"/>
              <w:ind w:firstLine="480" w:firstLineChars="200"/>
              <w:jc w:val="left"/>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0"/>
                <w:sz w:val="24"/>
                <w:szCs w:val="24"/>
                <w:highlight w:val="none"/>
              </w:rPr>
              <w:t>本项目的招标代理服务费及评标专家酬劳（包括交通费、专家评审劳务费、餐费等）由中标人支付，招标代理服务费</w:t>
            </w:r>
            <w:r>
              <w:rPr>
                <w:rFonts w:hint="eastAsia" w:ascii="宋体" w:hAnsi="宋体" w:eastAsia="宋体" w:cs="宋体"/>
                <w:color w:val="auto"/>
                <w:kern w:val="0"/>
                <w:sz w:val="24"/>
                <w:szCs w:val="24"/>
                <w:highlight w:val="none"/>
                <w:lang w:val="en-US" w:eastAsia="zh-CN"/>
              </w:rPr>
              <w:t>为￥8000.00</w:t>
            </w:r>
            <w:r>
              <w:rPr>
                <w:rFonts w:hint="eastAsia" w:ascii="宋体" w:hAnsi="宋体" w:eastAsia="宋体" w:cs="宋体"/>
                <w:color w:val="auto"/>
                <w:kern w:val="0"/>
                <w:sz w:val="24"/>
                <w:szCs w:val="24"/>
                <w:highlight w:val="none"/>
              </w:rPr>
              <w:t>，评标专家酬劳按当日评委费用签收表实际费用支付，投标人必须综合考虑此费用，并计入投标成本报价中，不另列；中标人须在中标候选人公示期结束后、领取中标通知书前向招标代理机构支付招标代理服务费及评标专家酬劳，方可领取中标通知书。</w:t>
            </w:r>
          </w:p>
        </w:tc>
      </w:tr>
      <w:tr w14:paraId="295DCEE9">
        <w:tblPrEx>
          <w:tblCellMar>
            <w:top w:w="0" w:type="dxa"/>
            <w:left w:w="108" w:type="dxa"/>
            <w:bottom w:w="0" w:type="dxa"/>
            <w:right w:w="108" w:type="dxa"/>
          </w:tblCellMar>
        </w:tblPrEx>
        <w:trPr>
          <w:trHeight w:val="0" w:hRule="atLeast"/>
        </w:trPr>
        <w:tc>
          <w:tcPr>
            <w:tcW w:w="9363" w:type="dxa"/>
            <w:gridSpan w:val="4"/>
            <w:tcBorders>
              <w:top w:val="single" w:color="000000" w:sz="4" w:space="0"/>
              <w:left w:val="single" w:color="000000" w:sz="4" w:space="0"/>
              <w:bottom w:val="single" w:color="000000" w:sz="4" w:space="0"/>
              <w:right w:val="single" w:color="000000" w:sz="4" w:space="0"/>
            </w:tcBorders>
            <w:noWrap w:val="0"/>
            <w:vAlign w:val="center"/>
          </w:tcPr>
          <w:p w14:paraId="5DC085E5">
            <w:pPr>
              <w:keepNext w:val="0"/>
              <w:keepLines w:val="0"/>
              <w:pageBreakBefore w:val="0"/>
              <w:widowControl w:val="0"/>
              <w:topLinePunct w:val="0"/>
              <w:autoSpaceDE w:val="0"/>
              <w:autoSpaceDN w:val="0"/>
              <w:bidi w:val="0"/>
              <w:adjustRightInd w:val="0"/>
              <w:spacing w:line="360" w:lineRule="auto"/>
              <w:ind w:firstLine="241" w:firstLineChars="1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备注：“投标人须知”前附表是“投标人须知”正文内容的补充、细化和修改，投标人应结合“投标人须知”正文与“投标人须知”前附表两部分内容仔细阅读“投标人须知”。</w:t>
            </w:r>
          </w:p>
        </w:tc>
      </w:tr>
    </w:tbl>
    <w:p w14:paraId="4338F875">
      <w:pPr>
        <w:keepNext w:val="0"/>
        <w:keepLines w:val="0"/>
        <w:widowControl w:val="0"/>
        <w:autoSpaceDE w:val="0"/>
        <w:autoSpaceDN w:val="0"/>
        <w:bidi w:val="0"/>
        <w:adjustRightInd w:val="0"/>
        <w:jc w:val="left"/>
        <w:rPr>
          <w:rFonts w:hint="eastAsia" w:ascii="宋体" w:hAnsi="宋体" w:eastAsia="宋体" w:cs="宋体"/>
          <w:color w:val="auto"/>
          <w:sz w:val="24"/>
          <w:highlight w:val="none"/>
        </w:rPr>
        <w:sectPr>
          <w:pgSz w:w="11907" w:h="16838"/>
          <w:pgMar w:top="1134" w:right="1134" w:bottom="1134" w:left="1134" w:header="882" w:footer="1078" w:gutter="0"/>
          <w:lnNumType w:countBy="0" w:distance="360"/>
          <w:cols w:space="720" w:num="1"/>
        </w:sectPr>
      </w:pPr>
    </w:p>
    <w:p w14:paraId="741AC717">
      <w:pPr>
        <w:keepNext w:val="0"/>
        <w:keepLines w:val="0"/>
        <w:widowControl w:val="0"/>
        <w:tabs>
          <w:tab w:val="left" w:pos="1051"/>
        </w:tabs>
        <w:kinsoku w:val="0"/>
        <w:overflowPunct w:val="0"/>
        <w:autoSpaceDE w:val="0"/>
        <w:autoSpaceDN w:val="0"/>
        <w:bidi w:val="0"/>
        <w:adjustRightInd w:val="0"/>
        <w:spacing w:line="410" w:lineRule="exact"/>
        <w:jc w:val="center"/>
        <w:rPr>
          <w:rFonts w:hint="eastAsia" w:ascii="宋体" w:hAnsi="宋体" w:eastAsia="宋体" w:cs="宋体"/>
          <w:b/>
          <w:bCs/>
          <w:color w:val="auto"/>
          <w:sz w:val="28"/>
          <w:szCs w:val="28"/>
          <w:highlight w:val="none"/>
        </w:rPr>
      </w:pPr>
      <w:bookmarkStart w:id="70" w:name="bookmark21"/>
      <w:bookmarkEnd w:id="70"/>
      <w:bookmarkStart w:id="71" w:name="_Toc11856_WPSOffice_Level2"/>
      <w:r>
        <w:rPr>
          <w:rFonts w:hint="eastAsia" w:ascii="宋体" w:hAnsi="宋体" w:eastAsia="宋体" w:cs="宋体"/>
          <w:b/>
          <w:bCs/>
          <w:color w:val="auto"/>
          <w:spacing w:val="2"/>
          <w:sz w:val="28"/>
          <w:szCs w:val="28"/>
          <w:highlight w:val="none"/>
        </w:rPr>
        <w:t>附</w:t>
      </w:r>
      <w:r>
        <w:rPr>
          <w:rFonts w:hint="eastAsia" w:ascii="宋体" w:hAnsi="宋体" w:eastAsia="宋体" w:cs="宋体"/>
          <w:b/>
          <w:bCs/>
          <w:color w:val="auto"/>
          <w:sz w:val="28"/>
          <w:szCs w:val="28"/>
          <w:highlight w:val="none"/>
        </w:rPr>
        <w:t>录1</w:t>
      </w:r>
      <w:r>
        <w:rPr>
          <w:rFonts w:hint="eastAsia" w:ascii="宋体" w:hAnsi="宋体" w:eastAsia="宋体" w:cs="宋体"/>
          <w:b/>
          <w:bCs/>
          <w:color w:val="auto"/>
          <w:sz w:val="28"/>
          <w:szCs w:val="28"/>
          <w:highlight w:val="none"/>
        </w:rPr>
        <w:tab/>
      </w:r>
      <w:r>
        <w:rPr>
          <w:rFonts w:hint="eastAsia" w:ascii="宋体" w:hAnsi="宋体" w:eastAsia="宋体" w:cs="宋体"/>
          <w:b/>
          <w:bCs/>
          <w:color w:val="auto"/>
          <w:spacing w:val="2"/>
          <w:sz w:val="28"/>
          <w:szCs w:val="28"/>
          <w:highlight w:val="none"/>
        </w:rPr>
        <w:t>资</w:t>
      </w:r>
      <w:r>
        <w:rPr>
          <w:rFonts w:hint="eastAsia" w:ascii="宋体" w:hAnsi="宋体" w:eastAsia="宋体" w:cs="宋体"/>
          <w:b/>
          <w:bCs/>
          <w:color w:val="auto"/>
          <w:sz w:val="28"/>
          <w:szCs w:val="28"/>
          <w:highlight w:val="none"/>
        </w:rPr>
        <w:t>格</w:t>
      </w:r>
      <w:r>
        <w:rPr>
          <w:rFonts w:hint="eastAsia" w:ascii="宋体" w:hAnsi="宋体" w:eastAsia="宋体" w:cs="宋体"/>
          <w:b/>
          <w:bCs/>
          <w:color w:val="auto"/>
          <w:spacing w:val="2"/>
          <w:sz w:val="28"/>
          <w:szCs w:val="28"/>
          <w:highlight w:val="none"/>
        </w:rPr>
        <w:t>审</w:t>
      </w:r>
      <w:r>
        <w:rPr>
          <w:rFonts w:hint="eastAsia" w:ascii="宋体" w:hAnsi="宋体" w:eastAsia="宋体" w:cs="宋体"/>
          <w:b/>
          <w:bCs/>
          <w:color w:val="auto"/>
          <w:sz w:val="28"/>
          <w:szCs w:val="28"/>
          <w:highlight w:val="none"/>
        </w:rPr>
        <w:t>查条件</w:t>
      </w:r>
      <w:r>
        <w:rPr>
          <w:rFonts w:hint="eastAsia" w:ascii="宋体" w:hAnsi="宋体" w:eastAsia="宋体" w:cs="宋体"/>
          <w:b/>
          <w:bCs/>
          <w:color w:val="auto"/>
          <w:spacing w:val="2"/>
          <w:sz w:val="28"/>
          <w:szCs w:val="28"/>
          <w:highlight w:val="none"/>
        </w:rPr>
        <w:t>（</w:t>
      </w:r>
      <w:r>
        <w:rPr>
          <w:rFonts w:hint="eastAsia" w:ascii="宋体" w:hAnsi="宋体" w:eastAsia="宋体" w:cs="宋体"/>
          <w:b/>
          <w:bCs/>
          <w:color w:val="auto"/>
          <w:sz w:val="28"/>
          <w:szCs w:val="28"/>
          <w:highlight w:val="none"/>
        </w:rPr>
        <w:t>资质最低要求）</w:t>
      </w:r>
      <w:bookmarkEnd w:id="71"/>
    </w:p>
    <w:p w14:paraId="0466C8AD">
      <w:pPr>
        <w:keepNext w:val="0"/>
        <w:keepLines w:val="0"/>
        <w:widowControl w:val="0"/>
        <w:tabs>
          <w:tab w:val="left" w:pos="1051"/>
        </w:tabs>
        <w:kinsoku w:val="0"/>
        <w:overflowPunct w:val="0"/>
        <w:autoSpaceDE w:val="0"/>
        <w:autoSpaceDN w:val="0"/>
        <w:bidi w:val="0"/>
        <w:adjustRightInd w:val="0"/>
        <w:spacing w:line="410" w:lineRule="exact"/>
        <w:jc w:val="center"/>
        <w:rPr>
          <w:rFonts w:hint="eastAsia" w:ascii="宋体" w:hAnsi="宋体" w:eastAsia="宋体" w:cs="宋体"/>
          <w:b/>
          <w:bCs/>
          <w:color w:val="auto"/>
          <w:sz w:val="28"/>
          <w:szCs w:val="28"/>
          <w:highlight w:val="none"/>
        </w:rPr>
      </w:pPr>
    </w:p>
    <w:tbl>
      <w:tblPr>
        <w:tblStyle w:val="21"/>
        <w:tblW w:w="941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569"/>
        <w:gridCol w:w="1416"/>
        <w:gridCol w:w="6434"/>
      </w:tblGrid>
      <w:tr w14:paraId="004961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8" w:hRule="atLeast"/>
        </w:trPr>
        <w:tc>
          <w:tcPr>
            <w:tcW w:w="1569" w:type="dxa"/>
            <w:noWrap w:val="0"/>
            <w:vAlign w:val="center"/>
          </w:tcPr>
          <w:p w14:paraId="43ADBCA3">
            <w:pPr>
              <w:keepNext w:val="0"/>
              <w:keepLines w:val="0"/>
              <w:bidi w:val="0"/>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标段标类</w:t>
            </w:r>
          </w:p>
        </w:tc>
        <w:tc>
          <w:tcPr>
            <w:tcW w:w="1416" w:type="dxa"/>
            <w:noWrap w:val="0"/>
            <w:vAlign w:val="center"/>
          </w:tcPr>
          <w:p w14:paraId="36EA1656">
            <w:pPr>
              <w:keepNext w:val="0"/>
              <w:keepLines w:val="0"/>
              <w:bidi w:val="0"/>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标段</w:t>
            </w:r>
          </w:p>
        </w:tc>
        <w:tc>
          <w:tcPr>
            <w:tcW w:w="6434" w:type="dxa"/>
            <w:noWrap w:val="0"/>
            <w:vAlign w:val="center"/>
          </w:tcPr>
          <w:p w14:paraId="70D4CF84">
            <w:pPr>
              <w:keepNext w:val="0"/>
              <w:keepLines w:val="0"/>
              <w:bidi w:val="0"/>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监理企业资质等级要求</w:t>
            </w:r>
          </w:p>
        </w:tc>
      </w:tr>
      <w:tr w14:paraId="104769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16" w:hRule="atLeast"/>
        </w:trPr>
        <w:tc>
          <w:tcPr>
            <w:tcW w:w="1569" w:type="dxa"/>
            <w:noWrap w:val="0"/>
            <w:vAlign w:val="center"/>
          </w:tcPr>
          <w:p w14:paraId="45B09AB3">
            <w:pPr>
              <w:keepNext w:val="0"/>
              <w:keepLines w:val="0"/>
              <w:widowControl w:val="0"/>
              <w:autoSpaceDE w:val="0"/>
              <w:autoSpaceDN w:val="0"/>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土建监理含中心试验室</w:t>
            </w:r>
          </w:p>
          <w:p w14:paraId="24A218DA">
            <w:pPr>
              <w:keepNext w:val="0"/>
              <w:keepLines w:val="0"/>
              <w:widowControl w:val="0"/>
              <w:autoSpaceDE w:val="0"/>
              <w:autoSpaceDN w:val="0"/>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（D类）</w:t>
            </w:r>
          </w:p>
          <w:p w14:paraId="3F8F04EF">
            <w:pPr>
              <w:keepNext w:val="0"/>
              <w:keepLines w:val="0"/>
              <w:bidi w:val="0"/>
              <w:jc w:val="center"/>
              <w:rPr>
                <w:rFonts w:hint="eastAsia" w:ascii="宋体" w:hAnsi="宋体" w:eastAsia="宋体" w:cs="宋体"/>
                <w:color w:val="auto"/>
                <w:kern w:val="0"/>
                <w:sz w:val="24"/>
                <w:szCs w:val="24"/>
                <w:highlight w:val="none"/>
                <w:lang w:bidi="ar"/>
              </w:rPr>
            </w:pPr>
          </w:p>
        </w:tc>
        <w:tc>
          <w:tcPr>
            <w:tcW w:w="1416" w:type="dxa"/>
            <w:noWrap w:val="0"/>
            <w:vAlign w:val="center"/>
          </w:tcPr>
          <w:p w14:paraId="59A3C7A5">
            <w:pPr>
              <w:pStyle w:val="34"/>
              <w:keepNext w:val="0"/>
              <w:keepLines w:val="0"/>
              <w:bidi w:val="0"/>
              <w:ind w:firstLine="0"/>
              <w:jc w:val="center"/>
              <w:rPr>
                <w:rFonts w:hint="eastAsia" w:ascii="宋体" w:hAnsi="宋体" w:eastAsia="宋体" w:cs="宋体"/>
                <w:color w:val="auto"/>
                <w:highlight w:val="none"/>
              </w:rPr>
            </w:pPr>
            <w:r>
              <w:rPr>
                <w:rFonts w:hint="eastAsia" w:ascii="宋体" w:hAnsi="宋体" w:eastAsia="宋体" w:cs="宋体"/>
                <w:color w:val="auto"/>
                <w:sz w:val="24"/>
                <w:szCs w:val="24"/>
                <w:highlight w:val="none"/>
                <w:lang w:bidi="ar"/>
              </w:rPr>
              <w:t>/</w:t>
            </w:r>
          </w:p>
        </w:tc>
        <w:tc>
          <w:tcPr>
            <w:tcW w:w="6434" w:type="dxa"/>
            <w:noWrap w:val="0"/>
            <w:vAlign w:val="center"/>
          </w:tcPr>
          <w:p w14:paraId="008632E3">
            <w:pPr>
              <w:keepNext w:val="0"/>
              <w:keepLines w:val="0"/>
              <w:widowControl w:val="0"/>
              <w:autoSpaceDE w:val="0"/>
              <w:autoSpaceDN w:val="0"/>
              <w:bidi w:val="0"/>
              <w:adjustRightInd w:val="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szCs w:val="24"/>
                <w:highlight w:val="none"/>
              </w:rPr>
              <w:t>具有国家交通运输主管部门核发的在有效期内的公路工程乙级以上（含乙级）监理资质。</w:t>
            </w:r>
          </w:p>
        </w:tc>
      </w:tr>
    </w:tbl>
    <w:p w14:paraId="59DEF34D">
      <w:pPr>
        <w:pStyle w:val="34"/>
        <w:keepNext w:val="0"/>
        <w:keepLines w:val="0"/>
        <w:bidi w:val="0"/>
        <w:rPr>
          <w:rFonts w:hint="eastAsia" w:ascii="宋体" w:hAnsi="宋体" w:eastAsia="宋体" w:cs="宋体"/>
          <w:color w:val="auto"/>
          <w:highlight w:val="none"/>
        </w:rPr>
      </w:pPr>
    </w:p>
    <w:p w14:paraId="2B059627">
      <w:pPr>
        <w:keepNext w:val="0"/>
        <w:keepLines w:val="0"/>
        <w:widowControl w:val="0"/>
        <w:tabs>
          <w:tab w:val="left" w:pos="1051"/>
        </w:tabs>
        <w:kinsoku w:val="0"/>
        <w:overflowPunct w:val="0"/>
        <w:autoSpaceDE w:val="0"/>
        <w:autoSpaceDN w:val="0"/>
        <w:bidi w:val="0"/>
        <w:adjustRightInd w:val="0"/>
        <w:spacing w:line="410" w:lineRule="exact"/>
        <w:jc w:val="center"/>
        <w:rPr>
          <w:rFonts w:hint="eastAsia" w:ascii="宋体" w:hAnsi="宋体" w:eastAsia="宋体" w:cs="宋体"/>
          <w:color w:val="auto"/>
          <w:spacing w:val="2"/>
          <w:sz w:val="24"/>
          <w:szCs w:val="24"/>
          <w:highlight w:val="none"/>
        </w:rPr>
      </w:pPr>
      <w:bookmarkStart w:id="72" w:name="bookmark22"/>
      <w:bookmarkEnd w:id="72"/>
    </w:p>
    <w:p w14:paraId="213FCCAC">
      <w:pPr>
        <w:keepNext w:val="0"/>
        <w:keepLines w:val="0"/>
        <w:widowControl w:val="0"/>
        <w:tabs>
          <w:tab w:val="left" w:pos="1051"/>
        </w:tabs>
        <w:kinsoku w:val="0"/>
        <w:overflowPunct w:val="0"/>
        <w:autoSpaceDE w:val="0"/>
        <w:autoSpaceDN w:val="0"/>
        <w:bidi w:val="0"/>
        <w:adjustRightInd w:val="0"/>
        <w:spacing w:line="41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pacing w:val="2"/>
          <w:sz w:val="28"/>
          <w:szCs w:val="28"/>
          <w:highlight w:val="none"/>
        </w:rPr>
        <w:t>附</w:t>
      </w:r>
      <w:r>
        <w:rPr>
          <w:rFonts w:hint="eastAsia" w:ascii="宋体" w:hAnsi="宋体" w:eastAsia="宋体" w:cs="宋体"/>
          <w:b/>
          <w:bCs/>
          <w:color w:val="auto"/>
          <w:sz w:val="28"/>
          <w:szCs w:val="28"/>
          <w:highlight w:val="none"/>
        </w:rPr>
        <w:t>录2</w:t>
      </w:r>
      <w:r>
        <w:rPr>
          <w:rFonts w:hint="eastAsia" w:ascii="宋体" w:hAnsi="宋体" w:eastAsia="宋体" w:cs="宋体"/>
          <w:b/>
          <w:bCs/>
          <w:color w:val="auto"/>
          <w:sz w:val="28"/>
          <w:szCs w:val="28"/>
          <w:highlight w:val="none"/>
        </w:rPr>
        <w:tab/>
      </w:r>
      <w:r>
        <w:rPr>
          <w:rFonts w:hint="eastAsia" w:ascii="宋体" w:hAnsi="宋体" w:eastAsia="宋体" w:cs="宋体"/>
          <w:b/>
          <w:bCs/>
          <w:color w:val="auto"/>
          <w:spacing w:val="2"/>
          <w:sz w:val="28"/>
          <w:szCs w:val="28"/>
          <w:highlight w:val="none"/>
        </w:rPr>
        <w:t>资</w:t>
      </w:r>
      <w:r>
        <w:rPr>
          <w:rFonts w:hint="eastAsia" w:ascii="宋体" w:hAnsi="宋体" w:eastAsia="宋体" w:cs="宋体"/>
          <w:b/>
          <w:bCs/>
          <w:color w:val="auto"/>
          <w:sz w:val="28"/>
          <w:szCs w:val="28"/>
          <w:highlight w:val="none"/>
        </w:rPr>
        <w:t>格</w:t>
      </w:r>
      <w:r>
        <w:rPr>
          <w:rFonts w:hint="eastAsia" w:ascii="宋体" w:hAnsi="宋体" w:eastAsia="宋体" w:cs="宋体"/>
          <w:b/>
          <w:bCs/>
          <w:color w:val="auto"/>
          <w:spacing w:val="2"/>
          <w:sz w:val="28"/>
          <w:szCs w:val="28"/>
          <w:highlight w:val="none"/>
        </w:rPr>
        <w:t>审</w:t>
      </w:r>
      <w:r>
        <w:rPr>
          <w:rFonts w:hint="eastAsia" w:ascii="宋体" w:hAnsi="宋体" w:eastAsia="宋体" w:cs="宋体"/>
          <w:b/>
          <w:bCs/>
          <w:color w:val="auto"/>
          <w:sz w:val="28"/>
          <w:szCs w:val="28"/>
          <w:highlight w:val="none"/>
        </w:rPr>
        <w:t>查条件</w:t>
      </w:r>
      <w:r>
        <w:rPr>
          <w:rFonts w:hint="eastAsia" w:ascii="宋体" w:hAnsi="宋体" w:eastAsia="宋体" w:cs="宋体"/>
          <w:b/>
          <w:bCs/>
          <w:color w:val="auto"/>
          <w:spacing w:val="2"/>
          <w:sz w:val="28"/>
          <w:szCs w:val="28"/>
          <w:highlight w:val="none"/>
        </w:rPr>
        <w:t>（</w:t>
      </w:r>
      <w:r>
        <w:rPr>
          <w:rFonts w:hint="eastAsia" w:ascii="宋体" w:hAnsi="宋体" w:eastAsia="宋体" w:cs="宋体"/>
          <w:b/>
          <w:bCs/>
          <w:color w:val="auto"/>
          <w:sz w:val="28"/>
          <w:szCs w:val="28"/>
          <w:highlight w:val="none"/>
        </w:rPr>
        <w:t>业绩最低要求）</w:t>
      </w:r>
    </w:p>
    <w:p w14:paraId="5932B8E7">
      <w:pPr>
        <w:keepNext w:val="0"/>
        <w:keepLines w:val="0"/>
        <w:widowControl w:val="0"/>
        <w:tabs>
          <w:tab w:val="left" w:pos="1051"/>
        </w:tabs>
        <w:kinsoku w:val="0"/>
        <w:overflowPunct w:val="0"/>
        <w:autoSpaceDE w:val="0"/>
        <w:autoSpaceDN w:val="0"/>
        <w:bidi w:val="0"/>
        <w:adjustRightInd w:val="0"/>
        <w:spacing w:line="410" w:lineRule="exact"/>
        <w:jc w:val="center"/>
        <w:rPr>
          <w:rFonts w:hint="eastAsia" w:ascii="宋体" w:hAnsi="宋体" w:eastAsia="宋体" w:cs="宋体"/>
          <w:b/>
          <w:bCs/>
          <w:color w:val="auto"/>
          <w:sz w:val="28"/>
          <w:szCs w:val="28"/>
          <w:highlight w:val="none"/>
        </w:rPr>
      </w:pPr>
    </w:p>
    <w:tbl>
      <w:tblPr>
        <w:tblStyle w:val="21"/>
        <w:tblW w:w="948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569"/>
        <w:gridCol w:w="930"/>
        <w:gridCol w:w="6987"/>
      </w:tblGrid>
      <w:tr w14:paraId="05991F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8" w:hRule="atLeast"/>
        </w:trPr>
        <w:tc>
          <w:tcPr>
            <w:tcW w:w="1569" w:type="dxa"/>
            <w:noWrap w:val="0"/>
            <w:vAlign w:val="center"/>
          </w:tcPr>
          <w:p w14:paraId="4A844E65">
            <w:pPr>
              <w:keepNext w:val="0"/>
              <w:keepLines w:val="0"/>
              <w:bidi w:val="0"/>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标段标类</w:t>
            </w:r>
          </w:p>
        </w:tc>
        <w:tc>
          <w:tcPr>
            <w:tcW w:w="930" w:type="dxa"/>
            <w:noWrap w:val="0"/>
            <w:vAlign w:val="center"/>
          </w:tcPr>
          <w:p w14:paraId="656E2917">
            <w:pPr>
              <w:keepNext w:val="0"/>
              <w:keepLines w:val="0"/>
              <w:bidi w:val="0"/>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标段</w:t>
            </w:r>
          </w:p>
        </w:tc>
        <w:tc>
          <w:tcPr>
            <w:tcW w:w="6987" w:type="dxa"/>
            <w:noWrap w:val="0"/>
            <w:vAlign w:val="center"/>
          </w:tcPr>
          <w:p w14:paraId="455EA0BE">
            <w:pPr>
              <w:keepNext w:val="0"/>
              <w:keepLines w:val="0"/>
              <w:bidi w:val="0"/>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要求</w:t>
            </w:r>
          </w:p>
        </w:tc>
      </w:tr>
      <w:tr w14:paraId="523492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16" w:hRule="atLeast"/>
        </w:trPr>
        <w:tc>
          <w:tcPr>
            <w:tcW w:w="1569" w:type="dxa"/>
            <w:noWrap w:val="0"/>
            <w:vAlign w:val="center"/>
          </w:tcPr>
          <w:p w14:paraId="2FD9CD7C">
            <w:pPr>
              <w:keepNext w:val="0"/>
              <w:keepLines w:val="0"/>
              <w:bidi w:val="0"/>
              <w:spacing w:line="360" w:lineRule="auto"/>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土建监理含中心试验室</w:t>
            </w:r>
          </w:p>
          <w:p w14:paraId="5D57D5EC">
            <w:pPr>
              <w:keepNext w:val="0"/>
              <w:keepLines w:val="0"/>
              <w:bidi w:val="0"/>
              <w:spacing w:line="360" w:lineRule="auto"/>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（D类）</w:t>
            </w:r>
          </w:p>
          <w:p w14:paraId="1D06553C">
            <w:pPr>
              <w:keepNext w:val="0"/>
              <w:keepLines w:val="0"/>
              <w:bidi w:val="0"/>
              <w:jc w:val="center"/>
              <w:rPr>
                <w:rFonts w:hint="eastAsia" w:ascii="宋体" w:hAnsi="宋体" w:eastAsia="宋体" w:cs="宋体"/>
                <w:color w:val="auto"/>
                <w:highlight w:val="none"/>
              </w:rPr>
            </w:pPr>
          </w:p>
        </w:tc>
        <w:tc>
          <w:tcPr>
            <w:tcW w:w="930" w:type="dxa"/>
            <w:noWrap w:val="0"/>
            <w:vAlign w:val="center"/>
          </w:tcPr>
          <w:p w14:paraId="48253794">
            <w:pPr>
              <w:pStyle w:val="34"/>
              <w:keepNext w:val="0"/>
              <w:keepLines w:val="0"/>
              <w:bidi w:val="0"/>
              <w:ind w:firstLine="0"/>
              <w:jc w:val="center"/>
              <w:rPr>
                <w:rFonts w:hint="eastAsia" w:ascii="宋体" w:hAnsi="宋体" w:eastAsia="宋体" w:cs="宋体"/>
                <w:color w:val="auto"/>
                <w:highlight w:val="none"/>
              </w:rPr>
            </w:pPr>
            <w:r>
              <w:rPr>
                <w:rFonts w:hint="eastAsia" w:ascii="宋体" w:hAnsi="宋体" w:eastAsia="宋体" w:cs="宋体"/>
                <w:color w:val="auto"/>
                <w:sz w:val="24"/>
                <w:szCs w:val="24"/>
                <w:highlight w:val="none"/>
                <w:lang w:bidi="ar"/>
              </w:rPr>
              <w:t>/</w:t>
            </w:r>
          </w:p>
        </w:tc>
        <w:tc>
          <w:tcPr>
            <w:tcW w:w="6987" w:type="dxa"/>
            <w:noWrap w:val="0"/>
            <w:vAlign w:val="center"/>
          </w:tcPr>
          <w:p w14:paraId="14271829">
            <w:pPr>
              <w:keepNext w:val="0"/>
              <w:keepLines w:val="0"/>
              <w:bidi w:val="0"/>
              <w:spacing w:line="360" w:lineRule="auto"/>
              <w:jc w:val="both"/>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近五年，成功完成过以下业绩：</w:t>
            </w:r>
          </w:p>
          <w:p w14:paraId="0444D02D">
            <w:pPr>
              <w:keepNext w:val="0"/>
              <w:keepLines w:val="0"/>
              <w:bidi w:val="0"/>
              <w:spacing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类似工公路工程或公路养护工程的施工监理服务类似业绩。</w:t>
            </w:r>
          </w:p>
        </w:tc>
      </w:tr>
    </w:tbl>
    <w:p w14:paraId="24170E4C">
      <w:pPr>
        <w:keepNext w:val="0"/>
        <w:keepLines w:val="0"/>
        <w:bidi w:val="0"/>
        <w:spacing w:before="272"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2"/>
          <w:szCs w:val="22"/>
          <w:highlight w:val="none"/>
        </w:rPr>
        <w:t>注：</w:t>
      </w:r>
      <w:r>
        <w:rPr>
          <w:rFonts w:hint="eastAsia" w:ascii="宋体" w:hAnsi="宋体" w:eastAsia="宋体" w:cs="宋体"/>
          <w:color w:val="auto"/>
          <w:sz w:val="21"/>
          <w:szCs w:val="21"/>
          <w:highlight w:val="none"/>
        </w:rPr>
        <w:t>1、同一工程项目同时满足2项或多项业绩要求条件的，可分别计；</w:t>
      </w:r>
    </w:p>
    <w:p w14:paraId="1BBCA1FD">
      <w:pPr>
        <w:keepNext w:val="0"/>
        <w:keepLines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2、“完成过”指工程完工并交工验收（时间以载明的交工验收或无交工验收一次性竣工验收时间为准），经评定合格，本文提到的交工验收是指交工验收或一次性竣工验收。</w:t>
      </w:r>
    </w:p>
    <w:p w14:paraId="2B57CD73">
      <w:pPr>
        <w:keepNext w:val="0"/>
        <w:keepLines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3、本表要求业绩指由投标人承接并完成的业绩,投标人上级单位（如总公司、集团公司等）的监理业绩和投标人具备独立法人资格的下属机构的监理业绩均不予认定。</w:t>
      </w:r>
    </w:p>
    <w:p w14:paraId="1FB38597">
      <w:pPr>
        <w:keepNext w:val="0"/>
        <w:keepLines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4、近五年是指：20</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月1日至投标文件递交截止日（以交工验收或无交工验收一次性竣工验收的时间为准）。</w:t>
      </w:r>
    </w:p>
    <w:p w14:paraId="7D3C1269">
      <w:pPr>
        <w:keepNext w:val="0"/>
        <w:keepLines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5、类似工程是指：新建（或改、扩建）三级以上（含三级）公路工程项目。</w:t>
      </w:r>
    </w:p>
    <w:p w14:paraId="61E4E986">
      <w:pPr>
        <w:keepNext w:val="0"/>
        <w:keepLines w:val="0"/>
        <w:bidi w:val="0"/>
        <w:spacing w:line="360" w:lineRule="auto"/>
        <w:ind w:firstLine="420" w:firstLineChars="200"/>
        <w:rPr>
          <w:rFonts w:hint="eastAsia" w:ascii="宋体" w:hAnsi="宋体" w:eastAsia="宋体" w:cs="宋体"/>
          <w:color w:val="auto"/>
          <w:sz w:val="21"/>
          <w:szCs w:val="21"/>
          <w:highlight w:val="none"/>
        </w:rPr>
      </w:pPr>
    </w:p>
    <w:p w14:paraId="50F1DF39">
      <w:pPr>
        <w:keepNext w:val="0"/>
        <w:keepLines w:val="0"/>
        <w:widowControl w:val="0"/>
        <w:tabs>
          <w:tab w:val="left" w:pos="1051"/>
        </w:tabs>
        <w:kinsoku w:val="0"/>
        <w:overflowPunct w:val="0"/>
        <w:autoSpaceDE w:val="0"/>
        <w:autoSpaceDN w:val="0"/>
        <w:bidi w:val="0"/>
        <w:adjustRightInd w:val="0"/>
        <w:spacing w:line="410" w:lineRule="exact"/>
        <w:jc w:val="center"/>
        <w:rPr>
          <w:rFonts w:hint="eastAsia" w:ascii="宋体" w:hAnsi="宋体" w:eastAsia="宋体" w:cs="宋体"/>
          <w:b/>
          <w:bCs/>
          <w:color w:val="auto"/>
          <w:sz w:val="28"/>
          <w:szCs w:val="28"/>
          <w:highlight w:val="none"/>
        </w:rPr>
      </w:pPr>
      <w:bookmarkStart w:id="73" w:name="bookmark23"/>
      <w:bookmarkEnd w:id="73"/>
      <w:r>
        <w:rPr>
          <w:rFonts w:hint="eastAsia" w:ascii="宋体" w:hAnsi="宋体" w:eastAsia="宋体" w:cs="宋体"/>
          <w:b/>
          <w:bCs/>
          <w:color w:val="auto"/>
          <w:spacing w:val="2"/>
          <w:sz w:val="28"/>
          <w:szCs w:val="28"/>
          <w:highlight w:val="none"/>
        </w:rPr>
        <w:t>附</w:t>
      </w:r>
      <w:r>
        <w:rPr>
          <w:rFonts w:hint="eastAsia" w:ascii="宋体" w:hAnsi="宋体" w:eastAsia="宋体" w:cs="宋体"/>
          <w:b/>
          <w:bCs/>
          <w:color w:val="auto"/>
          <w:sz w:val="28"/>
          <w:szCs w:val="28"/>
          <w:highlight w:val="none"/>
        </w:rPr>
        <w:t>录3</w:t>
      </w:r>
      <w:r>
        <w:rPr>
          <w:rFonts w:hint="eastAsia" w:ascii="宋体" w:hAnsi="宋体" w:eastAsia="宋体" w:cs="宋体"/>
          <w:b/>
          <w:bCs/>
          <w:color w:val="auto"/>
          <w:sz w:val="28"/>
          <w:szCs w:val="28"/>
          <w:highlight w:val="none"/>
        </w:rPr>
        <w:tab/>
      </w:r>
      <w:r>
        <w:rPr>
          <w:rFonts w:hint="eastAsia" w:ascii="宋体" w:hAnsi="宋体" w:eastAsia="宋体" w:cs="宋体"/>
          <w:b/>
          <w:bCs/>
          <w:color w:val="auto"/>
          <w:spacing w:val="2"/>
          <w:sz w:val="28"/>
          <w:szCs w:val="28"/>
          <w:highlight w:val="none"/>
        </w:rPr>
        <w:t>资</w:t>
      </w:r>
      <w:r>
        <w:rPr>
          <w:rFonts w:hint="eastAsia" w:ascii="宋体" w:hAnsi="宋体" w:eastAsia="宋体" w:cs="宋体"/>
          <w:b/>
          <w:bCs/>
          <w:color w:val="auto"/>
          <w:sz w:val="28"/>
          <w:szCs w:val="28"/>
          <w:highlight w:val="none"/>
        </w:rPr>
        <w:t>格</w:t>
      </w:r>
      <w:r>
        <w:rPr>
          <w:rFonts w:hint="eastAsia" w:ascii="宋体" w:hAnsi="宋体" w:eastAsia="宋体" w:cs="宋体"/>
          <w:b/>
          <w:bCs/>
          <w:color w:val="auto"/>
          <w:spacing w:val="2"/>
          <w:sz w:val="28"/>
          <w:szCs w:val="28"/>
          <w:highlight w:val="none"/>
        </w:rPr>
        <w:t>审</w:t>
      </w:r>
      <w:r>
        <w:rPr>
          <w:rFonts w:hint="eastAsia" w:ascii="宋体" w:hAnsi="宋体" w:eastAsia="宋体" w:cs="宋体"/>
          <w:b/>
          <w:bCs/>
          <w:color w:val="auto"/>
          <w:sz w:val="28"/>
          <w:szCs w:val="28"/>
          <w:highlight w:val="none"/>
        </w:rPr>
        <w:t>查条件</w:t>
      </w:r>
      <w:r>
        <w:rPr>
          <w:rFonts w:hint="eastAsia" w:ascii="宋体" w:hAnsi="宋体" w:eastAsia="宋体" w:cs="宋体"/>
          <w:b/>
          <w:bCs/>
          <w:color w:val="auto"/>
          <w:spacing w:val="2"/>
          <w:sz w:val="28"/>
          <w:szCs w:val="28"/>
          <w:highlight w:val="none"/>
        </w:rPr>
        <w:t>（</w:t>
      </w:r>
      <w:r>
        <w:rPr>
          <w:rFonts w:hint="eastAsia" w:ascii="宋体" w:hAnsi="宋体" w:eastAsia="宋体" w:cs="宋体"/>
          <w:b/>
          <w:bCs/>
          <w:color w:val="auto"/>
          <w:sz w:val="28"/>
          <w:szCs w:val="28"/>
          <w:highlight w:val="none"/>
        </w:rPr>
        <w:t>信誉最低要求）</w:t>
      </w:r>
    </w:p>
    <w:tbl>
      <w:tblPr>
        <w:tblStyle w:val="2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59"/>
      </w:tblGrid>
      <w:tr w14:paraId="2339A0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459" w:type="dxa"/>
            <w:tcBorders>
              <w:top w:val="single" w:color="auto" w:sz="12" w:space="0"/>
              <w:left w:val="single" w:color="auto" w:sz="12" w:space="0"/>
              <w:bottom w:val="single" w:color="auto" w:sz="4" w:space="0"/>
              <w:right w:val="single" w:color="auto" w:sz="12" w:space="0"/>
            </w:tcBorders>
            <w:noWrap w:val="0"/>
            <w:vAlign w:val="center"/>
          </w:tcPr>
          <w:p w14:paraId="248AF13A">
            <w:pPr>
              <w:keepNext w:val="0"/>
              <w:keepLines w:val="0"/>
              <w:widowControl w:val="0"/>
              <w:autoSpaceDE w:val="0"/>
              <w:autoSpaceDN w:val="0"/>
              <w:bidi w:val="0"/>
              <w:adjustRightInd w:val="0"/>
              <w:snapToGrid w:val="0"/>
              <w:ind w:firstLine="480" w:firstLineChars="20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信誉要求</w:t>
            </w:r>
          </w:p>
        </w:tc>
      </w:tr>
      <w:tr w14:paraId="4685A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9" w:hRule="atLeast"/>
          <w:jc w:val="center"/>
        </w:trPr>
        <w:tc>
          <w:tcPr>
            <w:tcW w:w="9459" w:type="dxa"/>
            <w:tcBorders>
              <w:top w:val="single" w:color="auto" w:sz="4" w:space="0"/>
              <w:left w:val="single" w:color="auto" w:sz="12" w:space="0"/>
              <w:bottom w:val="single" w:color="auto" w:sz="12" w:space="0"/>
              <w:right w:val="single" w:color="auto" w:sz="12" w:space="0"/>
            </w:tcBorders>
            <w:noWrap w:val="0"/>
            <w:vAlign w:val="center"/>
          </w:tcPr>
          <w:p w14:paraId="244EF3A6">
            <w:pPr>
              <w:keepNext w:val="0"/>
              <w:keepLines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sz w:val="24"/>
                <w:szCs w:val="24"/>
                <w:highlight w:val="none"/>
              </w:rPr>
              <w:t>最新年度（含无广东省最新年度信用等级而上一年度有广东省信用等级的）在广东省公路工程从业单位信用评价（监理单位）中，信用等级未被评为D级；初次进入广东省的投标人，在最新全国公路从业单位（监理单位）信用评价结果中未被评为D级。</w:t>
            </w:r>
          </w:p>
        </w:tc>
      </w:tr>
    </w:tbl>
    <w:p w14:paraId="0A110B39">
      <w:pPr>
        <w:keepNext w:val="0"/>
        <w:keepLines w:val="0"/>
        <w:bidi w:val="0"/>
        <w:spacing w:line="360" w:lineRule="auto"/>
        <w:jc w:val="left"/>
        <w:rPr>
          <w:rFonts w:hint="eastAsia" w:ascii="宋体" w:hAnsi="宋体" w:eastAsia="宋体" w:cs="宋体"/>
          <w:color w:val="auto"/>
          <w:kern w:val="0"/>
          <w:sz w:val="20"/>
          <w:highlight w:val="none"/>
          <w:lang w:bidi="ar"/>
        </w:rPr>
      </w:pPr>
      <w:bookmarkStart w:id="74" w:name="bookmark24"/>
      <w:bookmarkEnd w:id="74"/>
      <w:bookmarkStart w:id="75" w:name="_Toc19446_WPSOffice_Level2"/>
      <w:r>
        <w:rPr>
          <w:rFonts w:hint="eastAsia" w:ascii="宋体" w:hAnsi="宋体" w:eastAsia="宋体" w:cs="宋体"/>
          <w:color w:val="auto"/>
          <w:kern w:val="0"/>
          <w:sz w:val="20"/>
          <w:highlight w:val="none"/>
          <w:lang w:bidi="ar"/>
        </w:rPr>
        <w:t>注：信用等级的确定原则遵循投标人须知前附表第10.2款的规定。</w:t>
      </w:r>
    </w:p>
    <w:p w14:paraId="3082588B">
      <w:pPr>
        <w:keepNext w:val="0"/>
        <w:keepLines w:val="0"/>
        <w:bidi w:val="0"/>
        <w:spacing w:line="360" w:lineRule="auto"/>
        <w:ind w:firstLine="400" w:firstLineChars="200"/>
        <w:jc w:val="left"/>
        <w:rPr>
          <w:rFonts w:hint="eastAsia" w:ascii="宋体" w:hAnsi="宋体" w:eastAsia="宋体" w:cs="宋体"/>
          <w:color w:val="auto"/>
          <w:kern w:val="0"/>
          <w:sz w:val="20"/>
          <w:highlight w:val="none"/>
          <w:lang w:bidi="ar"/>
        </w:rPr>
      </w:pPr>
    </w:p>
    <w:p w14:paraId="20E17289">
      <w:pPr>
        <w:keepNext w:val="0"/>
        <w:keepLines w:val="0"/>
        <w:bidi w:val="0"/>
        <w:spacing w:line="360" w:lineRule="auto"/>
        <w:ind w:firstLine="400" w:firstLineChars="200"/>
        <w:jc w:val="left"/>
        <w:rPr>
          <w:rFonts w:hint="eastAsia" w:ascii="宋体" w:hAnsi="宋体" w:eastAsia="宋体" w:cs="宋体"/>
          <w:color w:val="auto"/>
          <w:kern w:val="0"/>
          <w:sz w:val="20"/>
          <w:highlight w:val="none"/>
          <w:lang w:bidi="ar"/>
        </w:rPr>
      </w:pPr>
    </w:p>
    <w:p w14:paraId="75B3D3DD">
      <w:pPr>
        <w:keepNext w:val="0"/>
        <w:keepLines w:val="0"/>
        <w:widowControl w:val="0"/>
        <w:tabs>
          <w:tab w:val="left" w:pos="1401"/>
        </w:tabs>
        <w:kinsoku w:val="0"/>
        <w:overflowPunct w:val="0"/>
        <w:autoSpaceDE w:val="0"/>
        <w:autoSpaceDN w:val="0"/>
        <w:bidi w:val="0"/>
        <w:adjustRightInd w:val="0"/>
        <w:spacing w:line="410" w:lineRule="exact"/>
        <w:jc w:val="center"/>
        <w:rPr>
          <w:rFonts w:hint="eastAsia" w:ascii="宋体" w:hAnsi="宋体" w:eastAsia="宋体" w:cs="宋体"/>
          <w:color w:val="auto"/>
          <w:spacing w:val="2"/>
          <w:sz w:val="24"/>
          <w:szCs w:val="24"/>
          <w:highlight w:val="none"/>
        </w:rPr>
      </w:pPr>
    </w:p>
    <w:p w14:paraId="6AC02412">
      <w:pPr>
        <w:keepNext w:val="0"/>
        <w:keepLines w:val="0"/>
        <w:widowControl w:val="0"/>
        <w:tabs>
          <w:tab w:val="left" w:pos="1401"/>
        </w:tabs>
        <w:kinsoku w:val="0"/>
        <w:overflowPunct w:val="0"/>
        <w:autoSpaceDE w:val="0"/>
        <w:autoSpaceDN w:val="0"/>
        <w:bidi w:val="0"/>
        <w:adjustRightInd w:val="0"/>
        <w:spacing w:line="410" w:lineRule="exact"/>
        <w:jc w:val="center"/>
        <w:rPr>
          <w:rFonts w:hint="eastAsia" w:ascii="宋体" w:hAnsi="宋体" w:eastAsia="宋体" w:cs="宋体"/>
          <w:color w:val="auto"/>
          <w:spacing w:val="2"/>
          <w:sz w:val="24"/>
          <w:szCs w:val="24"/>
          <w:highlight w:val="none"/>
        </w:rPr>
      </w:pPr>
    </w:p>
    <w:p w14:paraId="042A9854">
      <w:pPr>
        <w:keepNext w:val="0"/>
        <w:keepLines w:val="0"/>
        <w:widowControl w:val="0"/>
        <w:tabs>
          <w:tab w:val="left" w:pos="1401"/>
        </w:tabs>
        <w:kinsoku w:val="0"/>
        <w:overflowPunct w:val="0"/>
        <w:autoSpaceDE w:val="0"/>
        <w:autoSpaceDN w:val="0"/>
        <w:bidi w:val="0"/>
        <w:adjustRightInd w:val="0"/>
        <w:spacing w:line="41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pacing w:val="2"/>
          <w:sz w:val="28"/>
          <w:szCs w:val="28"/>
          <w:highlight w:val="none"/>
        </w:rPr>
        <w:t>附</w:t>
      </w:r>
      <w:r>
        <w:rPr>
          <w:rFonts w:hint="eastAsia" w:ascii="宋体" w:hAnsi="宋体" w:eastAsia="宋体" w:cs="宋体"/>
          <w:b/>
          <w:bCs/>
          <w:color w:val="auto"/>
          <w:sz w:val="28"/>
          <w:szCs w:val="28"/>
          <w:highlight w:val="none"/>
        </w:rPr>
        <w:t>录4</w:t>
      </w:r>
      <w:r>
        <w:rPr>
          <w:rFonts w:hint="eastAsia" w:ascii="宋体" w:hAnsi="宋体" w:eastAsia="宋体" w:cs="宋体"/>
          <w:b/>
          <w:bCs/>
          <w:color w:val="auto"/>
          <w:spacing w:val="2"/>
          <w:sz w:val="28"/>
          <w:szCs w:val="28"/>
          <w:highlight w:val="none"/>
        </w:rPr>
        <w:t>资</w:t>
      </w:r>
      <w:r>
        <w:rPr>
          <w:rFonts w:hint="eastAsia" w:ascii="宋体" w:hAnsi="宋体" w:eastAsia="宋体" w:cs="宋体"/>
          <w:b/>
          <w:bCs/>
          <w:color w:val="auto"/>
          <w:sz w:val="28"/>
          <w:szCs w:val="28"/>
          <w:highlight w:val="none"/>
        </w:rPr>
        <w:t>格</w:t>
      </w:r>
      <w:r>
        <w:rPr>
          <w:rFonts w:hint="eastAsia" w:ascii="宋体" w:hAnsi="宋体" w:eastAsia="宋体" w:cs="宋体"/>
          <w:b/>
          <w:bCs/>
          <w:color w:val="auto"/>
          <w:spacing w:val="2"/>
          <w:sz w:val="28"/>
          <w:szCs w:val="28"/>
          <w:highlight w:val="none"/>
        </w:rPr>
        <w:t>审</w:t>
      </w:r>
      <w:r>
        <w:rPr>
          <w:rFonts w:hint="eastAsia" w:ascii="宋体" w:hAnsi="宋体" w:eastAsia="宋体" w:cs="宋体"/>
          <w:b/>
          <w:bCs/>
          <w:color w:val="auto"/>
          <w:sz w:val="28"/>
          <w:szCs w:val="28"/>
          <w:highlight w:val="none"/>
        </w:rPr>
        <w:t>查条件</w:t>
      </w:r>
      <w:r>
        <w:rPr>
          <w:rFonts w:hint="eastAsia" w:ascii="宋体" w:hAnsi="宋体" w:eastAsia="宋体" w:cs="宋体"/>
          <w:b/>
          <w:bCs/>
          <w:color w:val="auto"/>
          <w:spacing w:val="2"/>
          <w:sz w:val="28"/>
          <w:szCs w:val="28"/>
          <w:highlight w:val="none"/>
        </w:rPr>
        <w:t>（</w:t>
      </w:r>
      <w:r>
        <w:rPr>
          <w:rFonts w:hint="eastAsia" w:ascii="宋体" w:hAnsi="宋体" w:eastAsia="宋体" w:cs="宋体"/>
          <w:b/>
          <w:bCs/>
          <w:color w:val="auto"/>
          <w:sz w:val="28"/>
          <w:szCs w:val="28"/>
          <w:highlight w:val="none"/>
        </w:rPr>
        <w:t>总监理工程师最</w:t>
      </w:r>
      <w:r>
        <w:rPr>
          <w:rFonts w:hint="eastAsia" w:ascii="宋体" w:hAnsi="宋体" w:eastAsia="宋体" w:cs="宋体"/>
          <w:b/>
          <w:bCs/>
          <w:color w:val="auto"/>
          <w:spacing w:val="2"/>
          <w:sz w:val="28"/>
          <w:szCs w:val="28"/>
          <w:highlight w:val="none"/>
        </w:rPr>
        <w:t>低</w:t>
      </w:r>
      <w:r>
        <w:rPr>
          <w:rFonts w:hint="eastAsia" w:ascii="宋体" w:hAnsi="宋体" w:eastAsia="宋体" w:cs="宋体"/>
          <w:b/>
          <w:bCs/>
          <w:color w:val="auto"/>
          <w:sz w:val="28"/>
          <w:szCs w:val="28"/>
          <w:highlight w:val="none"/>
        </w:rPr>
        <w:t>要</w:t>
      </w:r>
      <w:r>
        <w:rPr>
          <w:rFonts w:hint="eastAsia" w:ascii="宋体" w:hAnsi="宋体" w:eastAsia="宋体" w:cs="宋体"/>
          <w:b/>
          <w:bCs/>
          <w:color w:val="auto"/>
          <w:spacing w:val="1"/>
          <w:sz w:val="28"/>
          <w:szCs w:val="28"/>
          <w:highlight w:val="none"/>
        </w:rPr>
        <w:t>求</w:t>
      </w:r>
      <w:r>
        <w:rPr>
          <w:rFonts w:hint="eastAsia" w:ascii="宋体" w:hAnsi="宋体" w:eastAsia="宋体" w:cs="宋体"/>
          <w:b/>
          <w:bCs/>
          <w:color w:val="auto"/>
          <w:sz w:val="28"/>
          <w:szCs w:val="28"/>
          <w:highlight w:val="none"/>
        </w:rPr>
        <w:t>）</w:t>
      </w:r>
      <w:bookmarkEnd w:id="75"/>
    </w:p>
    <w:p w14:paraId="7A259DF4">
      <w:pPr>
        <w:pStyle w:val="35"/>
        <w:keepNext w:val="0"/>
        <w:keepLines w:val="0"/>
        <w:bidi w:val="0"/>
        <w:rPr>
          <w:rFonts w:hint="eastAsia" w:ascii="宋体" w:hAnsi="宋体" w:eastAsia="宋体" w:cs="宋体"/>
          <w:color w:val="auto"/>
          <w:highlight w:val="none"/>
          <w:u w:val="single"/>
        </w:rPr>
      </w:pPr>
      <w:r>
        <w:rPr>
          <w:rFonts w:hint="eastAsia" w:ascii="宋体" w:hAnsi="宋体" w:eastAsia="宋体" w:cs="宋体"/>
          <w:color w:val="auto"/>
          <w:sz w:val="24"/>
          <w:szCs w:val="24"/>
          <w:highlight w:val="none"/>
        </w:rPr>
        <w:t>标段：</w:t>
      </w:r>
      <w:r>
        <w:rPr>
          <w:rFonts w:hint="eastAsia" w:ascii="宋体" w:hAnsi="宋体" w:eastAsia="宋体" w:cs="宋体"/>
          <w:color w:val="auto"/>
          <w:sz w:val="24"/>
          <w:szCs w:val="24"/>
          <w:highlight w:val="none"/>
          <w:u w:val="single"/>
        </w:rPr>
        <w:t>/</w:t>
      </w:r>
    </w:p>
    <w:tbl>
      <w:tblPr>
        <w:tblStyle w:val="21"/>
        <w:tblW w:w="4998"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0" w:type="dxa"/>
          <w:bottom w:w="0" w:type="dxa"/>
          <w:right w:w="0" w:type="dxa"/>
        </w:tblCellMar>
      </w:tblPr>
      <w:tblGrid>
        <w:gridCol w:w="1189"/>
        <w:gridCol w:w="1292"/>
        <w:gridCol w:w="739"/>
        <w:gridCol w:w="4284"/>
        <w:gridCol w:w="2161"/>
      </w:tblGrid>
      <w:tr w14:paraId="1EBF6A9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33" w:hRule="atLeast"/>
          <w:jc w:val="center"/>
        </w:trPr>
        <w:tc>
          <w:tcPr>
            <w:tcW w:w="615" w:type="pct"/>
            <w:tcBorders>
              <w:bottom w:val="single" w:color="000000" w:sz="12" w:space="0"/>
              <w:right w:val="single" w:color="000000" w:sz="12" w:space="0"/>
            </w:tcBorders>
            <w:noWrap w:val="0"/>
            <w:vAlign w:val="center"/>
          </w:tcPr>
          <w:p w14:paraId="08ED3295">
            <w:pPr>
              <w:jc w:val="center"/>
              <w:rPr>
                <w:rFonts w:hint="eastAsia" w:ascii="宋体" w:hAnsi="宋体" w:eastAsia="宋体" w:cs="宋体"/>
                <w:color w:val="auto"/>
                <w:sz w:val="24"/>
                <w:szCs w:val="24"/>
              </w:rPr>
            </w:pPr>
            <w:bookmarkStart w:id="76" w:name="_Toc15113_WPSOffice_Level2"/>
            <w:r>
              <w:rPr>
                <w:rFonts w:hint="eastAsia" w:ascii="宋体" w:hAnsi="宋体" w:eastAsia="宋体" w:cs="宋体"/>
                <w:color w:val="auto"/>
                <w:sz w:val="24"/>
                <w:szCs w:val="24"/>
                <w:lang w:eastAsia="zh-CN"/>
              </w:rPr>
              <w:t>标段类别</w:t>
            </w:r>
          </w:p>
        </w:tc>
        <w:tc>
          <w:tcPr>
            <w:tcW w:w="668" w:type="pct"/>
            <w:tcBorders>
              <w:bottom w:val="single" w:color="000000" w:sz="12" w:space="0"/>
              <w:right w:val="single" w:color="000000" w:sz="12" w:space="0"/>
            </w:tcBorders>
            <w:noWrap w:val="0"/>
            <w:vAlign w:val="center"/>
          </w:tcPr>
          <w:p w14:paraId="02C2DC93">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人员</w:t>
            </w:r>
          </w:p>
        </w:tc>
        <w:tc>
          <w:tcPr>
            <w:tcW w:w="382" w:type="pct"/>
            <w:tcBorders>
              <w:left w:val="single" w:color="000000" w:sz="12" w:space="0"/>
              <w:bottom w:val="single" w:color="000000" w:sz="12" w:space="0"/>
              <w:right w:val="single" w:color="000000" w:sz="12" w:space="0"/>
            </w:tcBorders>
            <w:noWrap w:val="0"/>
            <w:vAlign w:val="center"/>
          </w:tcPr>
          <w:p w14:paraId="59A62436">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数</w:t>
            </w:r>
            <w:r>
              <w:rPr>
                <w:rFonts w:hint="eastAsia" w:ascii="宋体" w:hAnsi="宋体" w:eastAsia="宋体" w:cs="宋体"/>
                <w:color w:val="auto"/>
                <w:sz w:val="24"/>
                <w:szCs w:val="24"/>
              </w:rPr>
              <w:tab/>
            </w:r>
            <w:r>
              <w:rPr>
                <w:rFonts w:hint="eastAsia" w:ascii="宋体" w:hAnsi="宋体" w:eastAsia="宋体" w:cs="宋体"/>
                <w:color w:val="auto"/>
                <w:sz w:val="24"/>
                <w:szCs w:val="24"/>
              </w:rPr>
              <w:t>量</w:t>
            </w:r>
          </w:p>
        </w:tc>
        <w:tc>
          <w:tcPr>
            <w:tcW w:w="2215" w:type="pct"/>
            <w:tcBorders>
              <w:left w:val="single" w:color="000000" w:sz="12" w:space="0"/>
              <w:bottom w:val="single" w:color="000000" w:sz="12" w:space="0"/>
              <w:right w:val="single" w:color="000000" w:sz="12" w:space="0"/>
            </w:tcBorders>
            <w:noWrap w:val="0"/>
            <w:vAlign w:val="center"/>
          </w:tcPr>
          <w:p w14:paraId="26CEA78C">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资格要求</w:t>
            </w:r>
          </w:p>
        </w:tc>
        <w:tc>
          <w:tcPr>
            <w:tcW w:w="1117" w:type="pct"/>
            <w:tcBorders>
              <w:left w:val="single" w:color="000000" w:sz="12" w:space="0"/>
              <w:bottom w:val="single" w:color="000000" w:sz="12" w:space="0"/>
            </w:tcBorders>
            <w:noWrap w:val="0"/>
            <w:vAlign w:val="center"/>
          </w:tcPr>
          <w:p w14:paraId="2818360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在岗要求</w:t>
            </w:r>
          </w:p>
        </w:tc>
      </w:tr>
      <w:tr w14:paraId="7054CB9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074" w:hRule="atLeast"/>
          <w:jc w:val="center"/>
        </w:trPr>
        <w:tc>
          <w:tcPr>
            <w:tcW w:w="615" w:type="pct"/>
            <w:vMerge w:val="restart"/>
            <w:tcBorders>
              <w:top w:val="single" w:color="000000" w:sz="12" w:space="0"/>
              <w:right w:val="single" w:color="000000" w:sz="12" w:space="0"/>
            </w:tcBorders>
            <w:noWrap w:val="0"/>
            <w:vAlign w:val="center"/>
          </w:tcPr>
          <w:p w14:paraId="0A14CD9D">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土建监理含中心试验室</w:t>
            </w:r>
          </w:p>
          <w:p w14:paraId="21AC2DCB">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（D类）</w:t>
            </w:r>
          </w:p>
        </w:tc>
        <w:tc>
          <w:tcPr>
            <w:tcW w:w="668" w:type="pct"/>
            <w:tcBorders>
              <w:top w:val="single" w:color="000000" w:sz="12" w:space="0"/>
              <w:right w:val="single" w:color="000000" w:sz="12" w:space="0"/>
            </w:tcBorders>
            <w:noWrap w:val="0"/>
            <w:vAlign w:val="center"/>
          </w:tcPr>
          <w:p w14:paraId="2AC076A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总监理工程师</w:t>
            </w:r>
          </w:p>
        </w:tc>
        <w:tc>
          <w:tcPr>
            <w:tcW w:w="382" w:type="pct"/>
            <w:tcBorders>
              <w:top w:val="single" w:color="000000" w:sz="12" w:space="0"/>
              <w:left w:val="single" w:color="000000" w:sz="12" w:space="0"/>
              <w:bottom w:val="single" w:color="000000" w:sz="12" w:space="0"/>
              <w:right w:val="single" w:color="000000" w:sz="12" w:space="0"/>
            </w:tcBorders>
            <w:noWrap w:val="0"/>
            <w:vAlign w:val="center"/>
          </w:tcPr>
          <w:p w14:paraId="3BE63CB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215" w:type="pct"/>
            <w:vMerge w:val="restart"/>
            <w:tcBorders>
              <w:top w:val="single" w:color="000000" w:sz="12" w:space="0"/>
              <w:left w:val="single" w:color="000000" w:sz="12" w:space="0"/>
              <w:right w:val="single" w:color="000000" w:sz="12" w:space="0"/>
            </w:tcBorders>
            <w:noWrap w:val="0"/>
            <w:vAlign w:val="top"/>
          </w:tcPr>
          <w:p w14:paraId="4981BD0A">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1）具有交通运输部颁发的监理工程师证书；</w:t>
            </w:r>
          </w:p>
          <w:p w14:paraId="2A94CE1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（2）工程师及以上技术职称（公路工程相关专业）。</w:t>
            </w:r>
          </w:p>
          <w:p w14:paraId="547CC2FB">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备注：“公路工程相关专业”指其职称证上的专业为道桥、路桥、道路、公路与桥梁、公路与城市道路、公路、公路工程、公路工程管理、交通土建、桥梁、交通工程、公路施工、公路技术等专业职称。</w:t>
            </w:r>
          </w:p>
        </w:tc>
        <w:tc>
          <w:tcPr>
            <w:tcW w:w="1117" w:type="pct"/>
            <w:vMerge w:val="restart"/>
            <w:tcBorders>
              <w:top w:val="single" w:color="000000" w:sz="12" w:space="0"/>
              <w:left w:val="single" w:color="000000" w:sz="12" w:space="0"/>
            </w:tcBorders>
            <w:noWrap w:val="0"/>
            <w:vAlign w:val="center"/>
          </w:tcPr>
          <w:p w14:paraId="10C05B22">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无在岗项目（指目前未在其他项目上任职，或虽在其他项目上任职但本项目中标后能够从该项目撤离）</w:t>
            </w:r>
          </w:p>
        </w:tc>
      </w:tr>
      <w:tr w14:paraId="2F163A5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340" w:hRule="atLeast"/>
          <w:jc w:val="center"/>
        </w:trPr>
        <w:tc>
          <w:tcPr>
            <w:tcW w:w="615" w:type="pct"/>
            <w:vMerge w:val="continue"/>
            <w:tcBorders>
              <w:right w:val="single" w:color="000000" w:sz="12" w:space="0"/>
            </w:tcBorders>
            <w:noWrap w:val="0"/>
            <w:vAlign w:val="center"/>
          </w:tcPr>
          <w:p w14:paraId="25142DF1">
            <w:pPr>
              <w:jc w:val="center"/>
              <w:rPr>
                <w:rFonts w:hint="eastAsia" w:ascii="宋体" w:hAnsi="宋体" w:eastAsia="宋体" w:cs="宋体"/>
                <w:color w:val="auto"/>
                <w:sz w:val="24"/>
                <w:szCs w:val="24"/>
              </w:rPr>
            </w:pPr>
          </w:p>
        </w:tc>
        <w:tc>
          <w:tcPr>
            <w:tcW w:w="668" w:type="pct"/>
            <w:tcBorders>
              <w:top w:val="single" w:color="000000" w:sz="12" w:space="0"/>
              <w:right w:val="single" w:color="000000" w:sz="12" w:space="0"/>
            </w:tcBorders>
            <w:noWrap w:val="0"/>
            <w:vAlign w:val="center"/>
          </w:tcPr>
          <w:p w14:paraId="3C72B3C1">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总监理工程师（备选）</w:t>
            </w:r>
          </w:p>
        </w:tc>
        <w:tc>
          <w:tcPr>
            <w:tcW w:w="382" w:type="pct"/>
            <w:tcBorders>
              <w:top w:val="single" w:color="000000" w:sz="12" w:space="0"/>
              <w:left w:val="single" w:color="000000" w:sz="12" w:space="0"/>
              <w:right w:val="single" w:color="000000" w:sz="12" w:space="0"/>
            </w:tcBorders>
            <w:noWrap w:val="0"/>
            <w:vAlign w:val="center"/>
          </w:tcPr>
          <w:p w14:paraId="238578B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215" w:type="pct"/>
            <w:vMerge w:val="continue"/>
            <w:tcBorders>
              <w:left w:val="single" w:color="000000" w:sz="12" w:space="0"/>
              <w:right w:val="single" w:color="000000" w:sz="12" w:space="0"/>
            </w:tcBorders>
            <w:noWrap w:val="0"/>
            <w:vAlign w:val="center"/>
          </w:tcPr>
          <w:p w14:paraId="67C3B4AF">
            <w:pPr>
              <w:rPr>
                <w:rFonts w:hint="eastAsia" w:ascii="宋体" w:hAnsi="宋体" w:eastAsia="宋体" w:cs="宋体"/>
                <w:color w:val="auto"/>
                <w:sz w:val="24"/>
                <w:szCs w:val="24"/>
              </w:rPr>
            </w:pPr>
          </w:p>
        </w:tc>
        <w:tc>
          <w:tcPr>
            <w:tcW w:w="1117" w:type="pct"/>
            <w:vMerge w:val="continue"/>
            <w:tcBorders>
              <w:left w:val="single" w:color="000000" w:sz="12" w:space="0"/>
            </w:tcBorders>
            <w:noWrap w:val="0"/>
            <w:vAlign w:val="center"/>
          </w:tcPr>
          <w:p w14:paraId="52DD9BB2">
            <w:pPr>
              <w:rPr>
                <w:rFonts w:hint="eastAsia" w:ascii="宋体" w:hAnsi="宋体" w:eastAsia="宋体" w:cs="宋体"/>
                <w:color w:val="auto"/>
                <w:sz w:val="24"/>
                <w:szCs w:val="24"/>
              </w:rPr>
            </w:pPr>
          </w:p>
        </w:tc>
      </w:tr>
    </w:tbl>
    <w:p w14:paraId="67CFAFDE">
      <w:pPr>
        <w:keepNext w:val="0"/>
        <w:keepLines w:val="0"/>
        <w:widowControl w:val="0"/>
        <w:tabs>
          <w:tab w:val="left" w:pos="2244"/>
        </w:tabs>
        <w:kinsoku w:val="0"/>
        <w:overflowPunct w:val="0"/>
        <w:autoSpaceDE w:val="0"/>
        <w:autoSpaceDN w:val="0"/>
        <w:bidi w:val="0"/>
        <w:adjustRightInd w:val="0"/>
        <w:spacing w:line="410" w:lineRule="exact"/>
        <w:ind w:right="-231" w:rightChars="-110"/>
        <w:jc w:val="left"/>
        <w:rPr>
          <w:rFonts w:hint="eastAsia" w:ascii="宋体" w:hAnsi="宋体" w:eastAsia="宋体" w:cs="宋体"/>
          <w:color w:val="auto"/>
          <w:kern w:val="0"/>
          <w:sz w:val="20"/>
          <w:highlight w:val="none"/>
          <w:lang w:bidi="ar"/>
        </w:rPr>
      </w:pPr>
      <w:r>
        <w:rPr>
          <w:rFonts w:hint="eastAsia" w:ascii="宋体" w:hAnsi="宋体" w:eastAsia="宋体" w:cs="宋体"/>
          <w:color w:val="auto"/>
          <w:kern w:val="0"/>
          <w:sz w:val="20"/>
          <w:highlight w:val="none"/>
          <w:lang w:bidi="ar"/>
        </w:rPr>
        <w:t>注：“担任过类似工程监理负责人”监理负责人可为总监理工程师或副总监理工程师或驻地监理工程师。</w:t>
      </w:r>
    </w:p>
    <w:p w14:paraId="5B58B26B">
      <w:pPr>
        <w:keepNext w:val="0"/>
        <w:keepLines w:val="0"/>
        <w:widowControl w:val="0"/>
        <w:tabs>
          <w:tab w:val="left" w:pos="1401"/>
        </w:tabs>
        <w:kinsoku w:val="0"/>
        <w:overflowPunct w:val="0"/>
        <w:autoSpaceDE w:val="0"/>
        <w:autoSpaceDN w:val="0"/>
        <w:bidi w:val="0"/>
        <w:adjustRightInd w:val="0"/>
        <w:spacing w:line="41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pacing w:val="2"/>
          <w:sz w:val="28"/>
          <w:szCs w:val="28"/>
          <w:highlight w:val="none"/>
        </w:rPr>
        <w:br w:type="page"/>
      </w:r>
      <w:r>
        <w:rPr>
          <w:rFonts w:hint="eastAsia" w:ascii="宋体" w:hAnsi="宋体" w:eastAsia="宋体" w:cs="宋体"/>
          <w:b/>
          <w:bCs/>
          <w:color w:val="auto"/>
          <w:spacing w:val="2"/>
          <w:sz w:val="28"/>
          <w:szCs w:val="28"/>
          <w:highlight w:val="none"/>
        </w:rPr>
        <w:t>附</w:t>
      </w:r>
      <w:r>
        <w:rPr>
          <w:rFonts w:hint="eastAsia" w:ascii="宋体" w:hAnsi="宋体" w:eastAsia="宋体" w:cs="宋体"/>
          <w:b/>
          <w:bCs/>
          <w:color w:val="auto"/>
          <w:sz w:val="28"/>
          <w:szCs w:val="28"/>
          <w:highlight w:val="none"/>
        </w:rPr>
        <w:t>录5</w:t>
      </w:r>
      <w:r>
        <w:rPr>
          <w:rFonts w:hint="eastAsia" w:ascii="宋体" w:hAnsi="宋体" w:eastAsia="宋体" w:cs="宋体"/>
          <w:b/>
          <w:bCs/>
          <w:color w:val="auto"/>
          <w:spacing w:val="2"/>
          <w:sz w:val="28"/>
          <w:szCs w:val="28"/>
          <w:highlight w:val="none"/>
        </w:rPr>
        <w:t>资</w:t>
      </w:r>
      <w:r>
        <w:rPr>
          <w:rFonts w:hint="eastAsia" w:ascii="宋体" w:hAnsi="宋体" w:eastAsia="宋体" w:cs="宋体"/>
          <w:b/>
          <w:bCs/>
          <w:color w:val="auto"/>
          <w:sz w:val="28"/>
          <w:szCs w:val="28"/>
          <w:highlight w:val="none"/>
        </w:rPr>
        <w:t>格</w:t>
      </w:r>
      <w:r>
        <w:rPr>
          <w:rFonts w:hint="eastAsia" w:ascii="宋体" w:hAnsi="宋体" w:eastAsia="宋体" w:cs="宋体"/>
          <w:b/>
          <w:bCs/>
          <w:color w:val="auto"/>
          <w:spacing w:val="2"/>
          <w:sz w:val="28"/>
          <w:szCs w:val="28"/>
          <w:highlight w:val="none"/>
        </w:rPr>
        <w:t>审</w:t>
      </w:r>
      <w:r>
        <w:rPr>
          <w:rFonts w:hint="eastAsia" w:ascii="宋体" w:hAnsi="宋体" w:eastAsia="宋体" w:cs="宋体"/>
          <w:b/>
          <w:bCs/>
          <w:color w:val="auto"/>
          <w:sz w:val="28"/>
          <w:szCs w:val="28"/>
          <w:highlight w:val="none"/>
        </w:rPr>
        <w:t>查条件</w:t>
      </w:r>
      <w:r>
        <w:rPr>
          <w:rFonts w:hint="eastAsia" w:ascii="宋体" w:hAnsi="宋体" w:eastAsia="宋体" w:cs="宋体"/>
          <w:b/>
          <w:bCs/>
          <w:color w:val="auto"/>
          <w:spacing w:val="2"/>
          <w:sz w:val="28"/>
          <w:szCs w:val="28"/>
          <w:highlight w:val="none"/>
        </w:rPr>
        <w:t>（</w:t>
      </w:r>
      <w:r>
        <w:rPr>
          <w:rFonts w:hint="eastAsia" w:ascii="宋体" w:hAnsi="宋体" w:eastAsia="宋体" w:cs="宋体"/>
          <w:b/>
          <w:bCs/>
          <w:color w:val="auto"/>
          <w:sz w:val="28"/>
          <w:szCs w:val="28"/>
          <w:highlight w:val="none"/>
        </w:rPr>
        <w:t>其他主要监理人员最</w:t>
      </w:r>
      <w:r>
        <w:rPr>
          <w:rFonts w:hint="eastAsia" w:ascii="宋体" w:hAnsi="宋体" w:eastAsia="宋体" w:cs="宋体"/>
          <w:b/>
          <w:bCs/>
          <w:color w:val="auto"/>
          <w:spacing w:val="2"/>
          <w:sz w:val="28"/>
          <w:szCs w:val="28"/>
          <w:highlight w:val="none"/>
        </w:rPr>
        <w:t>低</w:t>
      </w:r>
      <w:r>
        <w:rPr>
          <w:rFonts w:hint="eastAsia" w:ascii="宋体" w:hAnsi="宋体" w:eastAsia="宋体" w:cs="宋体"/>
          <w:b/>
          <w:bCs/>
          <w:color w:val="auto"/>
          <w:sz w:val="28"/>
          <w:szCs w:val="28"/>
          <w:highlight w:val="none"/>
        </w:rPr>
        <w:t>要</w:t>
      </w:r>
      <w:r>
        <w:rPr>
          <w:rFonts w:hint="eastAsia" w:ascii="宋体" w:hAnsi="宋体" w:eastAsia="宋体" w:cs="宋体"/>
          <w:b/>
          <w:bCs/>
          <w:color w:val="auto"/>
          <w:spacing w:val="1"/>
          <w:sz w:val="28"/>
          <w:szCs w:val="28"/>
          <w:highlight w:val="none"/>
        </w:rPr>
        <w:t>求</w:t>
      </w:r>
      <w:r>
        <w:rPr>
          <w:rFonts w:hint="eastAsia" w:ascii="宋体" w:hAnsi="宋体" w:eastAsia="宋体" w:cs="宋体"/>
          <w:b/>
          <w:bCs/>
          <w:color w:val="auto"/>
          <w:sz w:val="28"/>
          <w:szCs w:val="28"/>
          <w:highlight w:val="none"/>
        </w:rPr>
        <w:t>）</w:t>
      </w:r>
    </w:p>
    <w:p w14:paraId="79D36642">
      <w:pPr>
        <w:keepNext w:val="0"/>
        <w:keepLines w:val="0"/>
        <w:bidi w:val="0"/>
        <w:rPr>
          <w:rFonts w:hint="eastAsia" w:ascii="宋体" w:hAnsi="宋体" w:eastAsia="宋体" w:cs="宋体"/>
          <w:color w:val="auto"/>
          <w:highlight w:val="none"/>
        </w:rPr>
      </w:pPr>
    </w:p>
    <w:p w14:paraId="3C4AB372">
      <w:pPr>
        <w:keepNext w:val="0"/>
        <w:keepLines w:val="0"/>
        <w:bidi w:val="0"/>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val="en-US" w:eastAsia="zh-CN"/>
        </w:rPr>
        <w:t>标段：</w:t>
      </w:r>
      <w:r>
        <w:rPr>
          <w:rFonts w:hint="eastAsia" w:ascii="宋体" w:hAnsi="宋体" w:eastAsia="宋体" w:cs="宋体"/>
          <w:color w:val="auto"/>
          <w:highlight w:val="none"/>
          <w:u w:val="single"/>
          <w:lang w:val="en-US" w:eastAsia="zh-CN"/>
        </w:rPr>
        <w:t>/</w:t>
      </w:r>
    </w:p>
    <w:tbl>
      <w:tblPr>
        <w:tblStyle w:val="21"/>
        <w:tblpPr w:leftFromText="180" w:rightFromText="180" w:vertAnchor="text" w:horzAnchor="page" w:tblpX="1385" w:tblpY="323"/>
        <w:tblOverlap w:val="never"/>
        <w:tblW w:w="5094" w:type="pct"/>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77"/>
        <w:gridCol w:w="1931"/>
        <w:gridCol w:w="751"/>
        <w:gridCol w:w="6667"/>
      </w:tblGrid>
      <w:tr w14:paraId="333FB0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1225" w:type="pct"/>
            <w:gridSpan w:val="2"/>
            <w:noWrap w:val="0"/>
            <w:vAlign w:val="center"/>
          </w:tcPr>
          <w:p w14:paraId="657F79AA">
            <w:pPr>
              <w:keepNext w:val="0"/>
              <w:keepLines w:val="0"/>
              <w:kinsoku w:val="0"/>
              <w:autoSpaceDE w:val="0"/>
              <w:autoSpaceDN w:val="0"/>
              <w:bidi w:val="0"/>
              <w:adjustRightInd w:val="0"/>
              <w:snapToGrid w:val="0"/>
              <w:spacing w:before="78" w:line="360" w:lineRule="auto"/>
              <w:jc w:val="center"/>
              <w:textAlignment w:val="baseline"/>
              <w:rPr>
                <w:rFonts w:hint="eastAsia" w:ascii="宋体" w:hAnsi="宋体" w:eastAsia="宋体" w:cs="宋体"/>
                <w:snapToGrid w:val="0"/>
                <w:color w:val="auto"/>
                <w:kern w:val="0"/>
                <w:szCs w:val="21"/>
                <w:highlight w:val="none"/>
                <w:lang w:eastAsia="en-US"/>
              </w:rPr>
            </w:pPr>
            <w:r>
              <w:rPr>
                <w:rFonts w:hint="eastAsia" w:ascii="宋体" w:hAnsi="宋体" w:eastAsia="宋体" w:cs="宋体"/>
                <w:snapToGrid w:val="0"/>
                <w:color w:val="auto"/>
                <w:spacing w:val="-6"/>
                <w:kern w:val="0"/>
                <w:szCs w:val="21"/>
                <w:highlight w:val="none"/>
                <w:lang w:eastAsia="en-US"/>
              </w:rPr>
              <w:t>人员</w:t>
            </w:r>
          </w:p>
        </w:tc>
        <w:tc>
          <w:tcPr>
            <w:tcW w:w="382" w:type="pct"/>
            <w:noWrap w:val="0"/>
            <w:vAlign w:val="center"/>
          </w:tcPr>
          <w:p w14:paraId="646567B4">
            <w:pPr>
              <w:keepNext w:val="0"/>
              <w:keepLines w:val="0"/>
              <w:kinsoku w:val="0"/>
              <w:autoSpaceDE w:val="0"/>
              <w:autoSpaceDN w:val="0"/>
              <w:bidi w:val="0"/>
              <w:adjustRightInd w:val="0"/>
              <w:snapToGrid w:val="0"/>
              <w:spacing w:before="78" w:line="360" w:lineRule="auto"/>
              <w:jc w:val="center"/>
              <w:textAlignment w:val="baseline"/>
              <w:rPr>
                <w:rFonts w:hint="eastAsia" w:ascii="宋体" w:hAnsi="宋体" w:eastAsia="宋体" w:cs="宋体"/>
                <w:snapToGrid w:val="0"/>
                <w:color w:val="auto"/>
                <w:kern w:val="0"/>
                <w:szCs w:val="21"/>
                <w:highlight w:val="none"/>
                <w:lang w:eastAsia="en-US"/>
              </w:rPr>
            </w:pPr>
            <w:r>
              <w:rPr>
                <w:rFonts w:hint="eastAsia" w:ascii="宋体" w:hAnsi="宋体" w:eastAsia="宋体" w:cs="宋体"/>
                <w:snapToGrid w:val="0"/>
                <w:color w:val="auto"/>
                <w:spacing w:val="-6"/>
                <w:kern w:val="0"/>
                <w:szCs w:val="21"/>
                <w:highlight w:val="none"/>
                <w:lang w:eastAsia="en-US"/>
              </w:rPr>
              <w:t>数量</w:t>
            </w:r>
          </w:p>
        </w:tc>
        <w:tc>
          <w:tcPr>
            <w:tcW w:w="3391" w:type="pct"/>
            <w:noWrap w:val="0"/>
            <w:vAlign w:val="center"/>
          </w:tcPr>
          <w:p w14:paraId="592178E3">
            <w:pPr>
              <w:keepNext w:val="0"/>
              <w:keepLines w:val="0"/>
              <w:kinsoku w:val="0"/>
              <w:autoSpaceDE w:val="0"/>
              <w:autoSpaceDN w:val="0"/>
              <w:bidi w:val="0"/>
              <w:adjustRightInd w:val="0"/>
              <w:snapToGrid w:val="0"/>
              <w:spacing w:before="78" w:line="360" w:lineRule="auto"/>
              <w:jc w:val="center"/>
              <w:textAlignment w:val="baseline"/>
              <w:rPr>
                <w:rFonts w:hint="eastAsia" w:ascii="宋体" w:hAnsi="宋体" w:eastAsia="宋体" w:cs="宋体"/>
                <w:snapToGrid w:val="0"/>
                <w:color w:val="auto"/>
                <w:spacing w:val="-10"/>
                <w:kern w:val="0"/>
                <w:szCs w:val="21"/>
                <w:highlight w:val="none"/>
                <w:lang w:eastAsia="en-US"/>
              </w:rPr>
            </w:pPr>
            <w:r>
              <w:rPr>
                <w:rFonts w:hint="eastAsia" w:ascii="宋体" w:hAnsi="宋体" w:eastAsia="宋体" w:cs="宋体"/>
                <w:snapToGrid w:val="0"/>
                <w:color w:val="auto"/>
                <w:spacing w:val="-10"/>
                <w:kern w:val="0"/>
                <w:szCs w:val="21"/>
                <w:highlight w:val="none"/>
                <w:lang w:eastAsia="en-US"/>
              </w:rPr>
              <w:t>资格要求</w:t>
            </w:r>
          </w:p>
        </w:tc>
      </w:tr>
      <w:tr w14:paraId="5BF0E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243" w:type="pct"/>
            <w:vMerge w:val="restart"/>
            <w:noWrap w:val="0"/>
            <w:vAlign w:val="center"/>
          </w:tcPr>
          <w:p w14:paraId="524DE9FE">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专业监理工程师</w:t>
            </w:r>
          </w:p>
        </w:tc>
        <w:tc>
          <w:tcPr>
            <w:tcW w:w="982" w:type="pct"/>
            <w:noWrap w:val="0"/>
            <w:vAlign w:val="center"/>
          </w:tcPr>
          <w:p w14:paraId="660F2105">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路基工程</w:t>
            </w:r>
          </w:p>
        </w:tc>
        <w:tc>
          <w:tcPr>
            <w:tcW w:w="382" w:type="pct"/>
            <w:noWrap w:val="0"/>
            <w:vAlign w:val="center"/>
          </w:tcPr>
          <w:p w14:paraId="6B49B38F">
            <w:pPr>
              <w:keepNext w:val="0"/>
              <w:keepLines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bidi="ar"/>
              </w:rPr>
            </w:pPr>
            <w:r>
              <w:rPr>
                <w:rFonts w:hint="eastAsia" w:ascii="宋体" w:hAnsi="宋体" w:eastAsia="宋体" w:cs="宋体"/>
                <w:snapToGrid w:val="0"/>
                <w:color w:val="auto"/>
                <w:kern w:val="0"/>
                <w:szCs w:val="21"/>
                <w:highlight w:val="none"/>
                <w:lang w:val="en-US" w:eastAsia="zh-CN" w:bidi="ar"/>
              </w:rPr>
              <w:t>1</w:t>
            </w:r>
          </w:p>
        </w:tc>
        <w:tc>
          <w:tcPr>
            <w:tcW w:w="3391" w:type="pct"/>
            <w:noWrap w:val="0"/>
            <w:vAlign w:val="center"/>
          </w:tcPr>
          <w:p w14:paraId="02DDCADC">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eastAsia="en-US" w:bidi="ar"/>
              </w:rPr>
            </w:pPr>
            <w:r>
              <w:rPr>
                <w:rFonts w:hint="eastAsia" w:ascii="宋体" w:hAnsi="宋体" w:eastAsia="宋体" w:cs="宋体"/>
                <w:snapToGrid w:val="0"/>
                <w:color w:val="auto"/>
                <w:kern w:val="0"/>
                <w:szCs w:val="21"/>
                <w:highlight w:val="none"/>
                <w:lang w:val="en-US" w:eastAsia="zh-CN" w:bidi="ar"/>
              </w:rPr>
              <w:t>具有交通运输部用印的交通运输工程专业监理工程师职业资格证书（或电子证书）；或具有交通运输部核发的公路工程道桥专业监理工程师资格证书，具有路桥相关专业中级及以上技术职称，从事公路路基工程监理工作5年以上。</w:t>
            </w:r>
          </w:p>
        </w:tc>
      </w:tr>
      <w:tr w14:paraId="6B1FE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243" w:type="pct"/>
            <w:vMerge w:val="continue"/>
            <w:noWrap w:val="0"/>
            <w:vAlign w:val="center"/>
          </w:tcPr>
          <w:p w14:paraId="455C6235">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p>
        </w:tc>
        <w:tc>
          <w:tcPr>
            <w:tcW w:w="982" w:type="pct"/>
            <w:noWrap w:val="0"/>
            <w:vAlign w:val="center"/>
          </w:tcPr>
          <w:p w14:paraId="17620CAD">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试验检测</w:t>
            </w:r>
          </w:p>
        </w:tc>
        <w:tc>
          <w:tcPr>
            <w:tcW w:w="382" w:type="pct"/>
            <w:noWrap w:val="0"/>
            <w:vAlign w:val="center"/>
          </w:tcPr>
          <w:p w14:paraId="0BF8C1F0">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Cs w:val="21"/>
                <w:highlight w:val="none"/>
              </w:rPr>
              <w:t>1</w:t>
            </w:r>
          </w:p>
        </w:tc>
        <w:tc>
          <w:tcPr>
            <w:tcW w:w="3391" w:type="pct"/>
            <w:noWrap w:val="0"/>
            <w:vAlign w:val="center"/>
          </w:tcPr>
          <w:p w14:paraId="5CEC4588">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Cs w:val="21"/>
                <w:highlight w:val="none"/>
                <w:lang w:bidi="ar"/>
              </w:rPr>
              <w:t>具有行政主管部门核发的公路水运试验检测师资格证书或试验检测工程师证书，具有路桥相关专业中级及以上技术职称，从事试验检测工作5年以上。</w:t>
            </w:r>
          </w:p>
        </w:tc>
      </w:tr>
      <w:tr w14:paraId="389EE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243" w:type="pct"/>
            <w:vMerge w:val="continue"/>
            <w:noWrap w:val="0"/>
            <w:vAlign w:val="center"/>
          </w:tcPr>
          <w:p w14:paraId="0D9FBE82">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p>
        </w:tc>
        <w:tc>
          <w:tcPr>
            <w:tcW w:w="982" w:type="pct"/>
            <w:noWrap w:val="0"/>
            <w:vAlign w:val="center"/>
          </w:tcPr>
          <w:p w14:paraId="2F1884E2">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合同管理</w:t>
            </w:r>
          </w:p>
          <w:p w14:paraId="00258C7A">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p>
        </w:tc>
        <w:tc>
          <w:tcPr>
            <w:tcW w:w="382" w:type="pct"/>
            <w:noWrap w:val="0"/>
            <w:vAlign w:val="center"/>
          </w:tcPr>
          <w:p w14:paraId="35896CCB">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1</w:t>
            </w:r>
          </w:p>
        </w:tc>
        <w:tc>
          <w:tcPr>
            <w:tcW w:w="3391" w:type="pct"/>
            <w:noWrap w:val="0"/>
            <w:vAlign w:val="center"/>
          </w:tcPr>
          <w:p w14:paraId="56FB1442">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bidi="ar"/>
              </w:rPr>
            </w:pPr>
            <w:r>
              <w:rPr>
                <w:rFonts w:hint="eastAsia" w:ascii="宋体" w:hAnsi="宋体" w:eastAsia="宋体" w:cs="宋体"/>
                <w:snapToGrid w:val="0"/>
                <w:color w:val="auto"/>
                <w:kern w:val="0"/>
                <w:szCs w:val="21"/>
                <w:highlight w:val="none"/>
                <w:lang w:bidi="ar"/>
              </w:rPr>
              <w:t>具有住房与城乡建设部颁发的注册造价工程师证书或一级造价工程师注册证（土木建筑工程专业），或交通运输部（原交通部）颁发的甲级造价人员证书或一级造价工程师注册证（交通运输工程专业），具有中级及以上技术职称，从事监理造价工作5年以上。</w:t>
            </w:r>
          </w:p>
        </w:tc>
      </w:tr>
      <w:tr w14:paraId="25B68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2" w:hRule="atLeast"/>
        </w:trPr>
        <w:tc>
          <w:tcPr>
            <w:tcW w:w="243" w:type="pct"/>
            <w:vMerge w:val="continue"/>
            <w:noWrap w:val="0"/>
            <w:vAlign w:val="center"/>
          </w:tcPr>
          <w:p w14:paraId="4C4C34AB">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eastAsia="en-US"/>
              </w:rPr>
            </w:pPr>
          </w:p>
        </w:tc>
        <w:tc>
          <w:tcPr>
            <w:tcW w:w="982" w:type="pct"/>
            <w:noWrap w:val="0"/>
            <w:vAlign w:val="center"/>
          </w:tcPr>
          <w:p w14:paraId="04CCB240">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交通安全设施</w:t>
            </w:r>
          </w:p>
          <w:p w14:paraId="4D612824">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p>
        </w:tc>
        <w:tc>
          <w:tcPr>
            <w:tcW w:w="382" w:type="pct"/>
            <w:noWrap w:val="0"/>
            <w:vAlign w:val="center"/>
          </w:tcPr>
          <w:p w14:paraId="2EB3BADE">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1</w:t>
            </w:r>
          </w:p>
        </w:tc>
        <w:tc>
          <w:tcPr>
            <w:tcW w:w="3391" w:type="pct"/>
            <w:noWrap w:val="0"/>
            <w:vAlign w:val="center"/>
          </w:tcPr>
          <w:p w14:paraId="581E9FFF">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bidi="ar"/>
              </w:rPr>
            </w:pPr>
            <w:r>
              <w:rPr>
                <w:rFonts w:hint="eastAsia" w:ascii="宋体" w:hAnsi="宋体" w:eastAsia="宋体" w:cs="宋体"/>
                <w:snapToGrid w:val="0"/>
                <w:color w:val="auto"/>
                <w:kern w:val="0"/>
                <w:szCs w:val="21"/>
                <w:highlight w:val="none"/>
                <w:lang w:val="en-US" w:eastAsia="zh-CN" w:bidi="ar"/>
              </w:rPr>
              <w:t>具有交通运输部用印的交通运输工程专业监理工程师职业资格证书（或电子证书），具有交通运输部核发的专业监理工程师资格证书，具有公路相关专业中级及以上技术职称，从事交通安全设施监理工作5年以上。</w:t>
            </w:r>
          </w:p>
          <w:p w14:paraId="2A86F3B6">
            <w:pPr>
              <w:keepNext w:val="0"/>
              <w:keepLines w:val="0"/>
              <w:kinsoku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eastAsia="en-US"/>
              </w:rPr>
            </w:pPr>
          </w:p>
        </w:tc>
      </w:tr>
      <w:tr w14:paraId="44FDE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1225" w:type="pct"/>
            <w:gridSpan w:val="2"/>
            <w:noWrap w:val="0"/>
            <w:vAlign w:val="center"/>
          </w:tcPr>
          <w:p w14:paraId="7F5672AB">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监理员</w:t>
            </w:r>
          </w:p>
        </w:tc>
        <w:tc>
          <w:tcPr>
            <w:tcW w:w="382" w:type="pct"/>
            <w:noWrap w:val="0"/>
            <w:vAlign w:val="center"/>
          </w:tcPr>
          <w:p w14:paraId="75969291">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w:t>
            </w:r>
          </w:p>
        </w:tc>
        <w:tc>
          <w:tcPr>
            <w:tcW w:w="3391" w:type="pct"/>
            <w:noWrap w:val="0"/>
            <w:vAlign w:val="center"/>
          </w:tcPr>
          <w:p w14:paraId="2076A0AF">
            <w:pPr>
              <w:keepNext w:val="0"/>
              <w:keepLines w:val="0"/>
              <w:kinsoku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eastAsia="en-US"/>
              </w:rPr>
            </w:pPr>
            <w:r>
              <w:rPr>
                <w:rFonts w:hint="eastAsia" w:ascii="宋体" w:hAnsi="宋体" w:eastAsia="宋体" w:cs="宋体"/>
                <w:snapToGrid w:val="0"/>
                <w:color w:val="auto"/>
                <w:kern w:val="0"/>
                <w:szCs w:val="21"/>
                <w:highlight w:val="none"/>
                <w:lang w:bidi="ar"/>
              </w:rPr>
              <w:t>具有监理人员培训证书，</w:t>
            </w:r>
            <w:r>
              <w:rPr>
                <w:rFonts w:hint="eastAsia" w:ascii="宋体" w:hAnsi="宋体" w:eastAsia="宋体" w:cs="宋体"/>
                <w:snapToGrid w:val="0"/>
                <w:color w:val="auto"/>
                <w:kern w:val="0"/>
                <w:szCs w:val="21"/>
                <w:highlight w:val="none"/>
                <w:lang w:val="en-US" w:eastAsia="zh-CN" w:bidi="ar"/>
              </w:rPr>
              <w:t>公路</w:t>
            </w:r>
            <w:r>
              <w:rPr>
                <w:rFonts w:hint="eastAsia" w:ascii="宋体" w:hAnsi="宋体" w:eastAsia="宋体" w:cs="宋体"/>
                <w:snapToGrid w:val="0"/>
                <w:color w:val="auto"/>
                <w:kern w:val="0"/>
                <w:szCs w:val="21"/>
                <w:highlight w:val="none"/>
                <w:lang w:bidi="ar"/>
              </w:rPr>
              <w:t>相关专业初级及以上技术职称，从事监理工作2年以上。</w:t>
            </w:r>
          </w:p>
        </w:tc>
      </w:tr>
    </w:tbl>
    <w:p w14:paraId="164E72CA">
      <w:pPr>
        <w:keepNext w:val="0"/>
        <w:keepLines w:val="0"/>
        <w:widowControl w:val="0"/>
        <w:kinsoku w:val="0"/>
        <w:wordWrap w:val="0"/>
        <w:overflowPunct w:val="0"/>
        <w:autoSpaceDE w:val="0"/>
        <w:autoSpaceDN w:val="0"/>
        <w:bidi w:val="0"/>
        <w:adjustRightInd w:val="0"/>
        <w:jc w:val="left"/>
        <w:rPr>
          <w:rFonts w:hint="eastAsia" w:ascii="宋体" w:hAnsi="宋体" w:eastAsia="宋体" w:cs="宋体"/>
          <w:bCs/>
          <w:color w:val="auto"/>
          <w:kern w:val="21"/>
          <w:szCs w:val="21"/>
          <w:highlight w:val="none"/>
        </w:rPr>
      </w:pPr>
    </w:p>
    <w:p w14:paraId="4E6F19C6">
      <w:pPr>
        <w:keepNext w:val="0"/>
        <w:keepLines w:val="0"/>
        <w:widowControl w:val="0"/>
        <w:kinsoku w:val="0"/>
        <w:wordWrap w:val="0"/>
        <w:overflowPunct w:val="0"/>
        <w:autoSpaceDE w:val="0"/>
        <w:autoSpaceDN w:val="0"/>
        <w:bidi w:val="0"/>
        <w:adjustRightInd w:val="0"/>
        <w:jc w:val="left"/>
        <w:rPr>
          <w:rFonts w:hint="eastAsia" w:ascii="宋体" w:hAnsi="宋体" w:eastAsia="宋体" w:cs="宋体"/>
          <w:bCs/>
          <w:color w:val="auto"/>
          <w:kern w:val="21"/>
          <w:szCs w:val="21"/>
          <w:highlight w:val="none"/>
        </w:rPr>
      </w:pPr>
    </w:p>
    <w:p w14:paraId="7D09AA45">
      <w:pPr>
        <w:keepNext w:val="0"/>
        <w:keepLines w:val="0"/>
        <w:widowControl w:val="0"/>
        <w:kinsoku w:val="0"/>
        <w:wordWrap w:val="0"/>
        <w:overflowPunct w:val="0"/>
        <w:autoSpaceDE w:val="0"/>
        <w:autoSpaceDN w:val="0"/>
        <w:bidi w:val="0"/>
        <w:adjustRightInd w:val="0"/>
        <w:jc w:val="left"/>
        <w:rPr>
          <w:rFonts w:hint="eastAsia" w:ascii="宋体" w:hAnsi="宋体" w:eastAsia="宋体" w:cs="宋体"/>
          <w:bCs/>
          <w:color w:val="auto"/>
          <w:kern w:val="21"/>
          <w:szCs w:val="21"/>
          <w:highlight w:val="none"/>
        </w:rPr>
      </w:pPr>
      <w:r>
        <w:rPr>
          <w:rFonts w:hint="eastAsia" w:ascii="宋体" w:hAnsi="宋体" w:eastAsia="宋体" w:cs="宋体"/>
          <w:bCs/>
          <w:color w:val="auto"/>
          <w:kern w:val="21"/>
          <w:szCs w:val="21"/>
          <w:highlight w:val="none"/>
        </w:rPr>
        <w:t>注：</w:t>
      </w:r>
    </w:p>
    <w:p w14:paraId="08F41DA3">
      <w:pPr>
        <w:keepNext w:val="0"/>
        <w:keepLines w:val="0"/>
        <w:widowControl w:val="0"/>
        <w:kinsoku w:val="0"/>
        <w:wordWrap w:val="0"/>
        <w:overflowPunct w:val="0"/>
        <w:autoSpaceDE w:val="0"/>
        <w:autoSpaceDN w:val="0"/>
        <w:bidi w:val="0"/>
        <w:adjustRightInd w:val="0"/>
        <w:jc w:val="left"/>
        <w:rPr>
          <w:rFonts w:hint="eastAsia" w:ascii="宋体" w:hAnsi="宋体" w:eastAsia="宋体" w:cs="宋体"/>
          <w:color w:val="auto"/>
          <w:highlight w:val="none"/>
          <w:lang w:eastAsia="zh-CN"/>
        </w:rPr>
      </w:pPr>
      <w:r>
        <w:rPr>
          <w:rFonts w:hint="eastAsia" w:ascii="宋体" w:hAnsi="宋体" w:eastAsia="宋体" w:cs="宋体"/>
          <w:bCs/>
          <w:color w:val="auto"/>
          <w:kern w:val="21"/>
          <w:szCs w:val="21"/>
          <w:highlight w:val="none"/>
        </w:rPr>
        <w:t>附录5所要求人员须按投标文件投标函的格式承诺，中标人在进场前向招标人提交实际投入的人员</w:t>
      </w:r>
      <w:r>
        <w:rPr>
          <w:rFonts w:hint="eastAsia" w:ascii="宋体" w:hAnsi="宋体" w:eastAsia="宋体" w:cs="宋体"/>
          <w:bCs/>
          <w:color w:val="auto"/>
          <w:kern w:val="21"/>
          <w:szCs w:val="21"/>
          <w:highlight w:val="none"/>
          <w:lang w:eastAsia="zh-CN"/>
        </w:rPr>
        <w:t>。</w:t>
      </w:r>
    </w:p>
    <w:p w14:paraId="643DFED2">
      <w:pPr>
        <w:keepNext w:val="0"/>
        <w:keepLines w:val="0"/>
        <w:bidi w:val="0"/>
        <w:rPr>
          <w:rFonts w:hint="eastAsia" w:ascii="宋体" w:hAnsi="宋体" w:eastAsia="宋体" w:cs="宋体"/>
          <w:b/>
          <w:color w:val="auto"/>
          <w:kern w:val="21"/>
          <w:sz w:val="28"/>
          <w:highlight w:val="none"/>
        </w:rPr>
      </w:pPr>
    </w:p>
    <w:p w14:paraId="4033BF33">
      <w:pPr>
        <w:keepNext w:val="0"/>
        <w:keepLines w:val="0"/>
        <w:bidi w:val="0"/>
        <w:rPr>
          <w:rFonts w:hint="eastAsia" w:ascii="宋体" w:hAnsi="宋体" w:eastAsia="宋体" w:cs="宋体"/>
          <w:b/>
          <w:color w:val="auto"/>
          <w:kern w:val="21"/>
          <w:sz w:val="28"/>
          <w:highlight w:val="none"/>
        </w:rPr>
      </w:pPr>
    </w:p>
    <w:p w14:paraId="0A54E13A">
      <w:pPr>
        <w:keepNext w:val="0"/>
        <w:keepLines w:val="0"/>
        <w:widowControl w:val="0"/>
        <w:kinsoku w:val="0"/>
        <w:wordWrap w:val="0"/>
        <w:overflowPunct w:val="0"/>
        <w:autoSpaceDE w:val="0"/>
        <w:autoSpaceDN w:val="0"/>
        <w:bidi w:val="0"/>
        <w:adjustRightInd w:val="0"/>
        <w:jc w:val="center"/>
        <w:rPr>
          <w:rFonts w:hint="eastAsia" w:ascii="宋体" w:hAnsi="宋体" w:eastAsia="宋体" w:cs="宋体"/>
          <w:color w:val="auto"/>
          <w:sz w:val="20"/>
          <w:highlight w:val="none"/>
        </w:rPr>
      </w:pPr>
      <w:r>
        <w:rPr>
          <w:rFonts w:hint="eastAsia" w:ascii="宋体" w:hAnsi="宋体" w:eastAsia="宋体" w:cs="宋体"/>
          <w:b/>
          <w:color w:val="auto"/>
          <w:kern w:val="21"/>
          <w:sz w:val="28"/>
          <w:highlight w:val="none"/>
        </w:rPr>
        <w:br w:type="page"/>
      </w:r>
      <w:r>
        <w:rPr>
          <w:rFonts w:hint="eastAsia" w:ascii="宋体" w:hAnsi="宋体" w:eastAsia="宋体" w:cs="宋体"/>
          <w:b/>
          <w:color w:val="auto"/>
          <w:kern w:val="21"/>
          <w:sz w:val="28"/>
          <w:highlight w:val="none"/>
        </w:rPr>
        <w:t>第二章投标人须知正文及附件</w:t>
      </w:r>
      <w:bookmarkEnd w:id="76"/>
    </w:p>
    <w:p w14:paraId="0A5F5C5C">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77" w:name="bookmark26"/>
      <w:bookmarkEnd w:id="77"/>
      <w:bookmarkStart w:id="78" w:name="_Toc15936_WPSOffice_Level2"/>
      <w:bookmarkStart w:id="79" w:name="_Toc503235741"/>
      <w:bookmarkStart w:id="80" w:name="_Toc503517920"/>
      <w:r>
        <w:rPr>
          <w:rFonts w:hint="eastAsia" w:ascii="宋体" w:hAnsi="宋体" w:eastAsia="宋体" w:cs="宋体"/>
          <w:b/>
          <w:color w:val="auto"/>
          <w:kern w:val="21"/>
          <w:sz w:val="28"/>
          <w:szCs w:val="28"/>
          <w:highlight w:val="none"/>
        </w:rPr>
        <w:t>1.总则</w:t>
      </w:r>
      <w:bookmarkEnd w:id="78"/>
      <w:bookmarkEnd w:id="79"/>
      <w:bookmarkEnd w:id="80"/>
    </w:p>
    <w:p w14:paraId="3D8846BD">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81" w:name="_Toc503235742"/>
      <w:bookmarkStart w:id="82" w:name="_Toc503517921"/>
      <w:r>
        <w:rPr>
          <w:rFonts w:hint="eastAsia" w:ascii="宋体" w:hAnsi="宋体" w:eastAsia="宋体" w:cs="宋体"/>
          <w:b/>
          <w:color w:val="auto"/>
          <w:kern w:val="21"/>
          <w:sz w:val="28"/>
          <w:szCs w:val="28"/>
          <w:highlight w:val="none"/>
        </w:rPr>
        <w:t>1.1项目概况</w:t>
      </w:r>
      <w:bookmarkEnd w:id="81"/>
      <w:bookmarkEnd w:id="82"/>
    </w:p>
    <w:p w14:paraId="1B12CC7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1.1.1根据《中华人民共和国招标投标法》、《中华人民共和国招标投标法实施条例》、《公路工程建设项目招标投标管理办法》等有关法律、法规和规章的规定，本招标项目已具备招标条件，现对本标段施工监理进行招标。</w:t>
      </w:r>
    </w:p>
    <w:p w14:paraId="72A3BBE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1.1.2本招标项目招标人：见投标人须知前附表。</w:t>
      </w:r>
    </w:p>
    <w:p w14:paraId="4610721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1.1.3本标段招标代理机构：见投标人须知前附表。</w:t>
      </w:r>
    </w:p>
    <w:p w14:paraId="22F54C2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1.1.4本招标项目名称：见投标人须知前附表。</w:t>
      </w:r>
    </w:p>
    <w:p w14:paraId="4C8605C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1.1.5本标段建设地点：见投标人须知前附表。</w:t>
      </w:r>
    </w:p>
    <w:p w14:paraId="21CD993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1.1.6本标段建设规模：见投标人须知前附表。</w:t>
      </w:r>
    </w:p>
    <w:p w14:paraId="5716BE3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1.1.7招标项目施工预计开工日期和建设周期：见投标人须知前附表。</w:t>
      </w:r>
    </w:p>
    <w:p w14:paraId="79657DD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1.1.8建筑安装工程费/工程投资额：见投标人须知前附表。</w:t>
      </w:r>
    </w:p>
    <w:p w14:paraId="08F18FDC">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83" w:name="_Toc503235743"/>
      <w:bookmarkStart w:id="84" w:name="_Toc503517922"/>
      <w:r>
        <w:rPr>
          <w:rFonts w:hint="eastAsia" w:ascii="宋体" w:hAnsi="宋体" w:eastAsia="宋体" w:cs="宋体"/>
          <w:b/>
          <w:color w:val="auto"/>
          <w:kern w:val="21"/>
          <w:sz w:val="28"/>
          <w:szCs w:val="28"/>
          <w:highlight w:val="none"/>
        </w:rPr>
        <w:t>1.2招标项目的资金来源和落实情况</w:t>
      </w:r>
      <w:bookmarkEnd w:id="83"/>
      <w:bookmarkEnd w:id="84"/>
    </w:p>
    <w:p w14:paraId="15A9A08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1.2.1资金来源及比例：见投标人须知前附表。</w:t>
      </w:r>
    </w:p>
    <w:p w14:paraId="2D0364B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1.2.2资金落实情况：见投标人须知前附表。</w:t>
      </w:r>
    </w:p>
    <w:p w14:paraId="5844963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85" w:name="_Toc503517923"/>
      <w:bookmarkStart w:id="86" w:name="_Toc503235744"/>
      <w:r>
        <w:rPr>
          <w:rFonts w:hint="eastAsia" w:ascii="宋体" w:hAnsi="宋体" w:eastAsia="宋体" w:cs="宋体"/>
          <w:b/>
          <w:color w:val="auto"/>
          <w:kern w:val="21"/>
          <w:sz w:val="28"/>
          <w:szCs w:val="28"/>
          <w:highlight w:val="none"/>
        </w:rPr>
        <w:t>1.3招标范围、监理服务期限、质量要求和安全目标</w:t>
      </w:r>
      <w:bookmarkEnd w:id="85"/>
      <w:bookmarkEnd w:id="86"/>
    </w:p>
    <w:p w14:paraId="3C6FD06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1.3.1招标范围：见投标人须知前附表。</w:t>
      </w:r>
    </w:p>
    <w:p w14:paraId="3195D3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1.3.2本标段的监理服务期限：见投标人须知前附表。</w:t>
      </w:r>
    </w:p>
    <w:p w14:paraId="2DD3221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1.3.3本标段的质量要求：见投标人须知前附表。</w:t>
      </w:r>
    </w:p>
    <w:p w14:paraId="5FFBD0F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1.3.4本标段的安全目标：见投标人须知前附表。</w:t>
      </w:r>
    </w:p>
    <w:p w14:paraId="237F4A21">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lang w:val="en-US" w:eastAsia="zh-CN"/>
        </w:rPr>
        <w:t>1.4投标人资格要求（适用于已进行资格预审的）</w:t>
      </w:r>
    </w:p>
    <w:p w14:paraId="1DC6F3AF">
      <w:pPr>
        <w:keepNext w:val="0"/>
        <w:keepLines w:val="0"/>
        <w:widowControl/>
        <w:suppressLineNumbers w:val="0"/>
        <w:ind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投标人应是收到招标人发出投标邀请书的单位。</w:t>
      </w:r>
    </w:p>
    <w:p w14:paraId="0037C78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87" w:name="_Toc503235746"/>
      <w:bookmarkStart w:id="88" w:name="_Toc503517925"/>
      <w:r>
        <w:rPr>
          <w:rFonts w:hint="eastAsia" w:ascii="宋体" w:hAnsi="宋体" w:eastAsia="宋体" w:cs="宋体"/>
          <w:b/>
          <w:color w:val="auto"/>
          <w:kern w:val="21"/>
          <w:sz w:val="28"/>
          <w:szCs w:val="28"/>
          <w:highlight w:val="none"/>
        </w:rPr>
        <w:t>1.4投标人资格要求（适用于未进行资格预审的）</w:t>
      </w:r>
      <w:bookmarkEnd w:id="87"/>
      <w:bookmarkEnd w:id="88"/>
    </w:p>
    <w:p w14:paraId="6BD0644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1.4.1投标人应具备承担本标段施工监理的资质条件、能力和信誉。</w:t>
      </w:r>
    </w:p>
    <w:p w14:paraId="5F592E4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（1）资质要求：见投标人须知前附表；</w:t>
      </w:r>
    </w:p>
    <w:p w14:paraId="2D50D79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（2）业绩要求：见投标人须知前附表；</w:t>
      </w:r>
    </w:p>
    <w:p w14:paraId="593EFD4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（3）信誉要求：见投标人须知前附表；</w:t>
      </w:r>
    </w:p>
    <w:p w14:paraId="59C4BC4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（4）总监理工程师或驻地监理工程师资格：见投标人须知前附表；</w:t>
      </w:r>
    </w:p>
    <w:p w14:paraId="72C642E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（5）其他要求：见投标人须知前附表。</w:t>
      </w:r>
    </w:p>
    <w:p w14:paraId="5A7C6C0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需要提交的相关证明材料见本章第3.5款的规定。</w:t>
      </w:r>
    </w:p>
    <w:p w14:paraId="14C8A79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1.4.2投标人须知前附表规定接受联合体投标的，联合体除应符合本章第1.4.1项和投标人须知前附表的要求外，还应遵守以下规定：</w:t>
      </w:r>
    </w:p>
    <w:p w14:paraId="618FA6B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（1）联合体各方应按招标文件提供的格式签订联合体协议书，明确联合体牵头人和各方权利义务，并承诺就中标项目向招标人承担连带责任；</w:t>
      </w:r>
    </w:p>
    <w:p w14:paraId="1749C50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（2）由同一专业的单位组成的联合体，按照资质等级较低的单位确定资质等级；</w:t>
      </w:r>
    </w:p>
    <w:p w14:paraId="3CDD156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（3）联合体各方不得再以自己名义单独或参加其他联合体在同一标段中投标；</w:t>
      </w:r>
    </w:p>
    <w:p w14:paraId="6D0D758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50D565A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（5）尽管委任了联合体牵头人，但联合体各成员在投标、签订合同与履行合同过程中，仍负有连带的和各自的法律责任。</w:t>
      </w:r>
    </w:p>
    <w:p w14:paraId="5A25E1B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1.4.3投标人（包括联合体各成员）不得与本标段相关单位存在下列关联关系：</w:t>
      </w:r>
    </w:p>
    <w:p w14:paraId="3295A74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（1）为招标人不具有独立法人资格的附属机构（单位）；</w:t>
      </w:r>
    </w:p>
    <w:p w14:paraId="497B793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（2）与招标人存在利害关系且可能影响招标公正性；</w:t>
      </w:r>
    </w:p>
    <w:p w14:paraId="371D6E9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（3）与本标段的其他投标人同为一个单位负责人；</w:t>
      </w:r>
    </w:p>
    <w:p w14:paraId="6CF4FE8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（4）与本标段的其他投标人存在控股、管理关系；</w:t>
      </w:r>
    </w:p>
    <w:p w14:paraId="1FD8561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（5）为本标段的代建人；</w:t>
      </w:r>
    </w:p>
    <w:p w14:paraId="385B664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（6）为本标段的招标代理机构；</w:t>
      </w:r>
    </w:p>
    <w:p w14:paraId="2663034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（7）与本标段的代建人或招标代理机构同为一个法定代表人；</w:t>
      </w:r>
    </w:p>
    <w:p w14:paraId="26F1572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（8）与本标段的代建人或招标代理机构存在控股或参股关系；</w:t>
      </w:r>
    </w:p>
    <w:p w14:paraId="02F7C94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（9）与本标段对应工程的施工承包人以及建筑材料、建筑构配件和设备供应商有隶属关系或其他利害关系；</w:t>
      </w:r>
    </w:p>
    <w:p w14:paraId="2031A48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（10）法律法规或投标人须知前附表规定的其他情形。</w:t>
      </w:r>
    </w:p>
    <w:p w14:paraId="43E44D2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1.4.4投标人（包括联合体各成员）不得存在下列不良状况或不良信用记录：</w:t>
      </w:r>
    </w:p>
    <w:p w14:paraId="74EEF04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（1）被省级及以上交通运输主管部门取消招标项目所在地的投标资格且处于有效期内；</w:t>
      </w:r>
    </w:p>
    <w:p w14:paraId="3DA3C57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（2）被责令停业，暂扣或吊销执照，或吊销资质证书；</w:t>
      </w:r>
    </w:p>
    <w:p w14:paraId="6613286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（3）进入清算程序，或被宣告破产，或其他丧失履约能力的情形；</w:t>
      </w:r>
    </w:p>
    <w:p w14:paraId="78BF292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（4）在国家企业信用信息公示系统（https://www.gsxt.gov.cn/index.html）中被列入严重违法失信企业名单；</w:t>
      </w:r>
    </w:p>
    <w:p w14:paraId="33E66B4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（5）在“信用中国”网站（http://www.creditchina.gov.cn/）中被列入失信被执行人名单；</w:t>
      </w:r>
    </w:p>
    <w:p w14:paraId="4E249FF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（6）投标人或其法定代表人、拟委任的总监理工程师或驻地监理工程师在近三年内有行贿犯罪行为的（行贿犯罪行为的认定以检察机关职务犯罪预防部门出具的查询结果为准）；</w:t>
      </w:r>
    </w:p>
    <w:p w14:paraId="1B346E7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（7）法律法规或投标人须知前附表规定的其他情形。</w:t>
      </w:r>
    </w:p>
    <w:p w14:paraId="68EFCAE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1.4.5投标人（包括联合体各成员）应进入交通运输部“全国公路建设市场监督管理系统（https://hwdms.mot.gov.cn/）”中的公路工程施工监理资质企业名录，且投标人名称和资质与该名录中的相应企业名称和资质完全一致。投标人不满足本项规定条件的，将被否决投标。</w:t>
      </w:r>
    </w:p>
    <w:p w14:paraId="660ABF4E">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89" w:name="_Toc503235747"/>
      <w:bookmarkStart w:id="90" w:name="_Toc503517926"/>
      <w:r>
        <w:rPr>
          <w:rFonts w:hint="eastAsia" w:ascii="宋体" w:hAnsi="宋体" w:eastAsia="宋体" w:cs="宋体"/>
          <w:b/>
          <w:color w:val="auto"/>
          <w:kern w:val="21"/>
          <w:sz w:val="28"/>
          <w:szCs w:val="28"/>
          <w:highlight w:val="none"/>
        </w:rPr>
        <w:t>1.5费用承担</w:t>
      </w:r>
      <w:bookmarkEnd w:id="89"/>
      <w:bookmarkEnd w:id="90"/>
    </w:p>
    <w:p w14:paraId="738B4CE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投标人准备和参加投标活动发生的费用自理。</w:t>
      </w:r>
    </w:p>
    <w:p w14:paraId="0DCEF931">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91" w:name="_Toc503235748"/>
      <w:bookmarkStart w:id="92" w:name="_Toc503517927"/>
      <w:r>
        <w:rPr>
          <w:rFonts w:hint="eastAsia" w:ascii="宋体" w:hAnsi="宋体" w:eastAsia="宋体" w:cs="宋体"/>
          <w:b/>
          <w:color w:val="auto"/>
          <w:kern w:val="21"/>
          <w:sz w:val="28"/>
          <w:szCs w:val="28"/>
          <w:highlight w:val="none"/>
        </w:rPr>
        <w:t>1.6保密</w:t>
      </w:r>
      <w:bookmarkEnd w:id="91"/>
      <w:bookmarkEnd w:id="92"/>
    </w:p>
    <w:p w14:paraId="245F8F1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参与招标投标活动的各方应对招标文件和投标文件中的商业和技术等秘密保密，否则应承担相应的法律责任。</w:t>
      </w:r>
    </w:p>
    <w:p w14:paraId="5D125B3D">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93" w:name="_Toc503517928"/>
      <w:bookmarkStart w:id="94" w:name="_Toc503235749"/>
      <w:r>
        <w:rPr>
          <w:rFonts w:hint="eastAsia" w:ascii="宋体" w:hAnsi="宋体" w:eastAsia="宋体" w:cs="宋体"/>
          <w:b/>
          <w:color w:val="auto"/>
          <w:kern w:val="21"/>
          <w:sz w:val="28"/>
          <w:szCs w:val="28"/>
          <w:highlight w:val="none"/>
        </w:rPr>
        <w:t>1.7语言文字</w:t>
      </w:r>
      <w:bookmarkEnd w:id="93"/>
      <w:bookmarkEnd w:id="94"/>
    </w:p>
    <w:p w14:paraId="6F5FDB7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招标投标文件使用的语言文字为中文。专用术语使用外文的，应附有中文注释。</w:t>
      </w:r>
    </w:p>
    <w:p w14:paraId="149F5D9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95" w:name="_Toc503517929"/>
      <w:bookmarkStart w:id="96" w:name="_Toc503235750"/>
      <w:r>
        <w:rPr>
          <w:rFonts w:hint="eastAsia" w:ascii="宋体" w:hAnsi="宋体" w:eastAsia="宋体" w:cs="宋体"/>
          <w:b/>
          <w:color w:val="auto"/>
          <w:kern w:val="21"/>
          <w:sz w:val="28"/>
          <w:szCs w:val="28"/>
          <w:highlight w:val="none"/>
        </w:rPr>
        <w:t>1.8计量单位</w:t>
      </w:r>
      <w:bookmarkEnd w:id="95"/>
      <w:bookmarkEnd w:id="96"/>
    </w:p>
    <w:p w14:paraId="1EBC4E0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所有计量均采用中华人民共和国法定计量单位。</w:t>
      </w:r>
    </w:p>
    <w:p w14:paraId="6A13765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97" w:name="_Toc503517930"/>
      <w:bookmarkStart w:id="98" w:name="_Toc503235751"/>
      <w:r>
        <w:rPr>
          <w:rFonts w:hint="eastAsia" w:ascii="宋体" w:hAnsi="宋体" w:eastAsia="宋体" w:cs="宋体"/>
          <w:b/>
          <w:color w:val="auto"/>
          <w:kern w:val="21"/>
          <w:sz w:val="28"/>
          <w:szCs w:val="28"/>
          <w:highlight w:val="none"/>
        </w:rPr>
        <w:t>1.9踏勘现场</w:t>
      </w:r>
      <w:bookmarkEnd w:id="97"/>
      <w:bookmarkEnd w:id="98"/>
    </w:p>
    <w:p w14:paraId="0E3F6CC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1.9.1第一章“招标公告”或“投标邀请书”规定组织踏勘现场的，招标人按规定的时间、地点组织投标人踏勘项目现场。部分投标人未按时参加踏勘现场的，不影响踏勘现场的正常进行。招标人不得组织单个或部分投标人踏勘项目现场。</w:t>
      </w:r>
    </w:p>
    <w:p w14:paraId="63B8678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1.9.2投标人踏勘现场发生的费用自理。</w:t>
      </w:r>
    </w:p>
    <w:p w14:paraId="518A82E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1.9.3除招标人的原因外，投标人自行负责在踏勘现场中所发生的人员伤亡和财产损失。</w:t>
      </w:r>
    </w:p>
    <w:p w14:paraId="0EC8AB9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1.9.4招标人在踏勘现场中介绍的工程场地和相关的周边环境情况，供投标人在编制投标文件时参考，招标人不对投标人据此作出的判断和决策负责。</w:t>
      </w:r>
    </w:p>
    <w:p w14:paraId="5EB89BC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99" w:name="_Toc503235752"/>
      <w:bookmarkStart w:id="100" w:name="_Toc503517931"/>
      <w:r>
        <w:rPr>
          <w:rFonts w:hint="eastAsia" w:ascii="宋体" w:hAnsi="宋体" w:eastAsia="宋体" w:cs="宋体"/>
          <w:b/>
          <w:color w:val="auto"/>
          <w:kern w:val="21"/>
          <w:sz w:val="28"/>
          <w:szCs w:val="28"/>
          <w:highlight w:val="none"/>
        </w:rPr>
        <w:t>1.10投标预备会</w:t>
      </w:r>
      <w:bookmarkEnd w:id="99"/>
      <w:bookmarkEnd w:id="100"/>
    </w:p>
    <w:p w14:paraId="00A00CC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1.10.1第一章“招标公告”或“投标邀请书”规定召开投标预备会的，招标人按规定的时间和地点召开投标预备会，澄清投标人提出的问题。</w:t>
      </w:r>
    </w:p>
    <w:p w14:paraId="71250CF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1.10.2投标人应按投标人须知前附表规定的时间和形式将提出的问题送达招标人，以便招标人在会议期间澄清。</w:t>
      </w:r>
    </w:p>
    <w:p w14:paraId="6A43780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1.10.3投标预备会后，招标人将对投标人所提问题的澄清，以投标人须知前附表规定的形式通知所有购买招标文件的投标人。该澄清内容为招标文件的组成部分。</w:t>
      </w:r>
    </w:p>
    <w:p w14:paraId="31F7A51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01" w:name="_Toc503235753"/>
      <w:bookmarkStart w:id="102" w:name="_Toc503517932"/>
      <w:r>
        <w:rPr>
          <w:rFonts w:hint="eastAsia" w:ascii="宋体" w:hAnsi="宋体" w:eastAsia="宋体" w:cs="宋体"/>
          <w:b/>
          <w:color w:val="auto"/>
          <w:kern w:val="21"/>
          <w:sz w:val="28"/>
          <w:szCs w:val="28"/>
          <w:highlight w:val="none"/>
        </w:rPr>
        <w:t>1.11分包</w:t>
      </w:r>
      <w:bookmarkEnd w:id="101"/>
      <w:bookmarkEnd w:id="102"/>
    </w:p>
    <w:p w14:paraId="09C6952D">
      <w:pPr>
        <w:keepNext w:val="0"/>
        <w:keepLines w:val="0"/>
        <w:widowControl w:val="0"/>
        <w:autoSpaceDE w:val="0"/>
        <w:autoSpaceDN w:val="0"/>
        <w:bidi w:val="0"/>
        <w:adjustRightInd w:val="0"/>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本项目严禁分包。</w:t>
      </w:r>
    </w:p>
    <w:p w14:paraId="1C3328D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03" w:name="_Toc503517933"/>
      <w:bookmarkStart w:id="104" w:name="_Toc503235754"/>
      <w:r>
        <w:rPr>
          <w:rFonts w:hint="eastAsia" w:ascii="宋体" w:hAnsi="宋体" w:eastAsia="宋体" w:cs="宋体"/>
          <w:b/>
          <w:color w:val="auto"/>
          <w:kern w:val="21"/>
          <w:sz w:val="28"/>
          <w:szCs w:val="28"/>
          <w:highlight w:val="none"/>
        </w:rPr>
        <w:t>1.12响应和偏差</w:t>
      </w:r>
      <w:bookmarkEnd w:id="103"/>
      <w:bookmarkEnd w:id="104"/>
    </w:p>
    <w:p w14:paraId="0667756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1.12.1投标文件偏离招标文件某些要求，视为投标文件存在偏差。偏差包括重大偏差和细微偏差。</w:t>
      </w:r>
    </w:p>
    <w:p w14:paraId="2CC108F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1.12.2投标文件应对招标文件的实质性要求和条件作出满足性或更有利于招标人的响应，否则，视为投标文件存在重大偏差，投标人的投标将被否决。</w:t>
      </w:r>
    </w:p>
    <w:p w14:paraId="516416C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投标文件存在第三章“评标办法”中所列任一否决投标情形的，均属于存在重大偏差。</w:t>
      </w:r>
    </w:p>
    <w:p w14:paraId="5B1282D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1.12.3投标文件中的下列偏差为细微偏差：</w:t>
      </w:r>
    </w:p>
    <w:p w14:paraId="13C0C60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（1）在按照第三章“评标办法”的规定对投标价进行算术性错误修正后，最终投标报价未超过最高投标限价（如有）的情况下，出现第三章“评标办法”规定的算术性错误；</w:t>
      </w:r>
    </w:p>
    <w:p w14:paraId="6F13EA0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（2）技术建议书不够完善；</w:t>
      </w:r>
    </w:p>
    <w:p w14:paraId="46A1B88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（3）投标文件页码不连续、采用活页夹装订、个别文字有遗漏错误等不影响投标文件实质性内容的偏差。</w:t>
      </w:r>
    </w:p>
    <w:p w14:paraId="0B0B556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1.12.4评标委员会对投标文件中的细微偏差按如下规定处理：</w:t>
      </w:r>
    </w:p>
    <w:p w14:paraId="06CEB04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（1）对于本章第1.12.3项（1）目所述的细微偏差，按照第三章“评标办法”的规定予以修正并要求投标人进行澄清；</w:t>
      </w:r>
    </w:p>
    <w:p w14:paraId="0A612BA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（2）对于本章第1.12.3项（2）、（3）目所述的细微偏差，可在相关评分因素的评分中酌情扣分。</w:t>
      </w:r>
    </w:p>
    <w:p w14:paraId="2C6351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1.12.5投标人应根据招标文件的要求提供技术建议书等内容以对招标文件作出响应。</w:t>
      </w:r>
    </w:p>
    <w:p w14:paraId="6EA0D79E">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05" w:name="_Toc503235755"/>
      <w:bookmarkStart w:id="106" w:name="_Toc10823_WPSOffice_Level2"/>
      <w:bookmarkStart w:id="107" w:name="_Toc503517934"/>
      <w:r>
        <w:rPr>
          <w:rFonts w:hint="eastAsia" w:ascii="宋体" w:hAnsi="宋体" w:eastAsia="宋体" w:cs="宋体"/>
          <w:b/>
          <w:color w:val="auto"/>
          <w:kern w:val="21"/>
          <w:sz w:val="28"/>
          <w:szCs w:val="28"/>
          <w:highlight w:val="none"/>
        </w:rPr>
        <w:t>2.招标文件</w:t>
      </w:r>
      <w:bookmarkEnd w:id="105"/>
      <w:bookmarkEnd w:id="106"/>
      <w:bookmarkEnd w:id="107"/>
    </w:p>
    <w:p w14:paraId="02A1B25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08" w:name="_Toc503235756"/>
      <w:bookmarkStart w:id="109" w:name="_Toc503517935"/>
      <w:r>
        <w:rPr>
          <w:rFonts w:hint="eastAsia" w:ascii="宋体" w:hAnsi="宋体" w:eastAsia="宋体" w:cs="宋体"/>
          <w:b/>
          <w:color w:val="auto"/>
          <w:kern w:val="21"/>
          <w:sz w:val="28"/>
          <w:szCs w:val="28"/>
          <w:highlight w:val="none"/>
        </w:rPr>
        <w:t>2.1招标文件的组成</w:t>
      </w:r>
      <w:bookmarkEnd w:id="108"/>
      <w:bookmarkEnd w:id="109"/>
    </w:p>
    <w:p w14:paraId="4110BF7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本招标文件包括：</w:t>
      </w:r>
    </w:p>
    <w:p w14:paraId="110BFCF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（1）招标公告（或投标邀请书）；</w:t>
      </w:r>
    </w:p>
    <w:p w14:paraId="222CC88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（2）投标人须知；</w:t>
      </w:r>
    </w:p>
    <w:p w14:paraId="0825ECA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（3）评标办法；</w:t>
      </w:r>
    </w:p>
    <w:p w14:paraId="10C9023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（4）合同条款及格式；</w:t>
      </w:r>
    </w:p>
    <w:p w14:paraId="1FD9267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（5）委托人要求；</w:t>
      </w:r>
    </w:p>
    <w:p w14:paraId="277D81E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（6）图纸和资料；</w:t>
      </w:r>
    </w:p>
    <w:p w14:paraId="1FE92DB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（7）投标文件格式；</w:t>
      </w:r>
    </w:p>
    <w:p w14:paraId="20CB931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（8）投标人须知前附表规定的其他资料。</w:t>
      </w:r>
    </w:p>
    <w:p w14:paraId="06F94AC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根据本章第1.10款、第2.2款和第2.3款对招标文件所作的澄清、修改，构成招标文件的组成部分。</w:t>
      </w:r>
    </w:p>
    <w:p w14:paraId="7A4A603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当招标文件、招标文件的澄清或修改等在同一内容的表述上不一致时，以最后发出的书面文件为准。</w:t>
      </w:r>
    </w:p>
    <w:p w14:paraId="702723D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10" w:name="_Toc503517936"/>
      <w:bookmarkStart w:id="111" w:name="_Toc503235757"/>
      <w:r>
        <w:rPr>
          <w:rFonts w:hint="eastAsia" w:ascii="宋体" w:hAnsi="宋体" w:eastAsia="宋体" w:cs="宋体"/>
          <w:b/>
          <w:color w:val="auto"/>
          <w:kern w:val="21"/>
          <w:sz w:val="28"/>
          <w:szCs w:val="28"/>
          <w:highlight w:val="none"/>
        </w:rPr>
        <w:t>2.2招标文件的澄清</w:t>
      </w:r>
      <w:bookmarkEnd w:id="110"/>
      <w:bookmarkEnd w:id="111"/>
    </w:p>
    <w:p w14:paraId="15EABEF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64C7F44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2.2.2招标文件的澄清以投标人须知前附表规定的形式发给所有购买招标文件的投标人，但不指明澄清问题的来源。澄清发出的时间距本章第4.2.1项规定的投标截止时间不足15日，且澄清内容可能影响投标文件编制的，将相应延长投标截止时间。</w:t>
      </w:r>
    </w:p>
    <w:p w14:paraId="1A4E61D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2.2.3投标人在收到澄清后，应按投标人须知前附表规定的时间和形式通知招标人，确认已收到该澄清。</w:t>
      </w:r>
    </w:p>
    <w:p w14:paraId="51E6FA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2.2.4除非招标人认为确有必要答复，否则，招标人有权拒绝回复投标人在本章第2.2.1项规定的时间后提出的任何澄清要求。</w:t>
      </w:r>
    </w:p>
    <w:p w14:paraId="66BB000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12" w:name="_Toc503235758"/>
      <w:bookmarkStart w:id="113" w:name="_Toc503517937"/>
      <w:r>
        <w:rPr>
          <w:rFonts w:hint="eastAsia" w:ascii="宋体" w:hAnsi="宋体" w:eastAsia="宋体" w:cs="宋体"/>
          <w:b/>
          <w:color w:val="auto"/>
          <w:kern w:val="21"/>
          <w:sz w:val="28"/>
          <w:szCs w:val="28"/>
          <w:highlight w:val="none"/>
        </w:rPr>
        <w:t>2.3招标文件的修改</w:t>
      </w:r>
      <w:bookmarkEnd w:id="112"/>
      <w:bookmarkEnd w:id="113"/>
    </w:p>
    <w:p w14:paraId="16C1099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2.3.1招标人以投标人须知前附表规定的形式修改招标文件，并通知所有已购买招标文件的投标人。修改招标文件的时间距本章第4.2.1项规定的投标截止时间不足15日，且修改内容可能影响投标文件编制的，将相应延长投标截止时间。</w:t>
      </w:r>
    </w:p>
    <w:p w14:paraId="0F2D0E0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2.3.2投标人收到修改内容后，应按投标人须知前附表规定的时间和形式通知招标人，确认已收到该修改。</w:t>
      </w:r>
    </w:p>
    <w:p w14:paraId="37D426CC">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14" w:name="_Toc503517938"/>
      <w:bookmarkStart w:id="115" w:name="_Toc503235759"/>
      <w:r>
        <w:rPr>
          <w:rFonts w:hint="eastAsia" w:ascii="宋体" w:hAnsi="宋体" w:eastAsia="宋体" w:cs="宋体"/>
          <w:b/>
          <w:color w:val="auto"/>
          <w:kern w:val="21"/>
          <w:sz w:val="28"/>
          <w:szCs w:val="28"/>
          <w:highlight w:val="none"/>
        </w:rPr>
        <w:t>2.4招标文件的异议</w:t>
      </w:r>
      <w:bookmarkEnd w:id="114"/>
      <w:bookmarkEnd w:id="115"/>
    </w:p>
    <w:p w14:paraId="4E73320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投标人或其他利害关系人对招标文件有异议的，应在投标截止时间10日前以书面形式提出。招标人将在收到异议之日起3日内作出答复；作出答复前，将暂停招标投标活动。</w:t>
      </w:r>
    </w:p>
    <w:p w14:paraId="332F8914">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16" w:name="_Toc503235760"/>
      <w:bookmarkStart w:id="117" w:name="_Toc503517939"/>
      <w:bookmarkStart w:id="118" w:name="_Toc24346_WPSOffice_Level2"/>
      <w:r>
        <w:rPr>
          <w:rFonts w:hint="eastAsia" w:ascii="宋体" w:hAnsi="宋体" w:eastAsia="宋体" w:cs="宋体"/>
          <w:b/>
          <w:color w:val="auto"/>
          <w:kern w:val="21"/>
          <w:sz w:val="28"/>
          <w:szCs w:val="28"/>
          <w:highlight w:val="none"/>
        </w:rPr>
        <w:t>3.投标文件</w:t>
      </w:r>
      <w:bookmarkEnd w:id="116"/>
      <w:bookmarkEnd w:id="117"/>
      <w:bookmarkEnd w:id="118"/>
    </w:p>
    <w:p w14:paraId="2BD1ABE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19" w:name="_Toc503235762"/>
      <w:bookmarkStart w:id="120" w:name="_Toc503517941"/>
      <w:r>
        <w:rPr>
          <w:rFonts w:hint="eastAsia" w:ascii="宋体" w:hAnsi="宋体" w:eastAsia="宋体" w:cs="宋体"/>
          <w:b/>
          <w:color w:val="auto"/>
          <w:kern w:val="21"/>
          <w:sz w:val="28"/>
          <w:szCs w:val="28"/>
          <w:highlight w:val="none"/>
        </w:rPr>
        <w:t>3.1投标文件的组成</w:t>
      </w:r>
    </w:p>
    <w:p w14:paraId="304F32E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3.1.1投标文件应采用双信封形式，包括下列内容：</w:t>
      </w:r>
    </w:p>
    <w:p w14:paraId="10040CC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第一个信封（商务及技术文件）：</w:t>
      </w:r>
    </w:p>
    <w:p w14:paraId="2B933F9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（1）投标函；</w:t>
      </w:r>
    </w:p>
    <w:p w14:paraId="140ED56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（2）授权委托书或法定代表人身份证明；</w:t>
      </w:r>
    </w:p>
    <w:p w14:paraId="3225F18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（3）联合体协议书；</w:t>
      </w:r>
    </w:p>
    <w:p w14:paraId="171ABEA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（4）投标保证金；</w:t>
      </w:r>
    </w:p>
    <w:p w14:paraId="079F793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（5）资格审查资料；</w:t>
      </w:r>
    </w:p>
    <w:p w14:paraId="6209808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（6）技术建议书；</w:t>
      </w:r>
    </w:p>
    <w:p w14:paraId="0426738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（7）投标人须知前附表规定的其他资料。</w:t>
      </w:r>
    </w:p>
    <w:p w14:paraId="66793B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第二个信封（报价文件）：</w:t>
      </w:r>
    </w:p>
    <w:p w14:paraId="245FAE7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（1）投标函；</w:t>
      </w:r>
    </w:p>
    <w:p w14:paraId="1A5921F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w:t>
      </w:r>
      <w:r>
        <w:rPr>
          <w:rFonts w:hint="eastAsia" w:ascii="宋体" w:hAnsi="宋体" w:eastAsia="宋体" w:cs="宋体"/>
          <w:color w:val="auto"/>
          <w:sz w:val="24"/>
          <w:szCs w:val="24"/>
          <w:highlight w:val="none"/>
        </w:rPr>
        <w:t>监理服务费用清单。</w:t>
      </w:r>
    </w:p>
    <w:p w14:paraId="4011DEF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投标人在评标过程中作出的符合法律法规和招标文件规定的澄清确认，构成投标文件的组成部分。</w:t>
      </w:r>
    </w:p>
    <w:p w14:paraId="5DA41AD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3.1.2投标人须知前附表规定不接受联合体投标的，或投标人没有组成联合体的，投标文件不包括本章第3.1.1（3）目所指的联合体协议书。</w:t>
      </w:r>
    </w:p>
    <w:p w14:paraId="457635D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3.1.3投标人须知前附表未要求提交投标保证金的，投标文件不包括本章第3.1.1（4）目所指的投标保证金。</w:t>
      </w:r>
    </w:p>
    <w:p w14:paraId="739B796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3.2投标报价</w:t>
      </w:r>
      <w:bookmarkEnd w:id="119"/>
      <w:bookmarkEnd w:id="120"/>
    </w:p>
    <w:p w14:paraId="76B4BE5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3.2.1投标报价应包括国家规定的增值税税金，除投标人须知前附表另有规定外，增值税税金按一般计税方法计算。投标人应按第七章“投标文件格式”的要求在投标函中进行报价并填写监理服务费用清单相应表格。</w:t>
      </w:r>
    </w:p>
    <w:p w14:paraId="7093664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3.2.2投标人应充分了解本项目的总体情况以及影响投标报价的其他要素，按照招标文件规定的施工监理工作内容和计划工作量，自行测算监理服务费用。投标报价应涵盖投标人完成施工准备阶段、施工阶段、验收与缺陷责任期阶段监理工作所需的全部费用。</w:t>
      </w:r>
    </w:p>
    <w:p w14:paraId="1A5B930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投标人应按照“投标文件格式”中“监理服务费用清单”的要求填报监理服务费。投标人未填报的部分，在工程实施时委托人将不予支付，并认为该部分费用已包含在报价中。</w:t>
      </w:r>
    </w:p>
    <w:p w14:paraId="62CF546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3.2.3</w:t>
      </w:r>
      <w:bookmarkStart w:id="121" w:name="_Toc152042319"/>
      <w:bookmarkEnd w:id="121"/>
      <w:bookmarkStart w:id="122" w:name="_Toc247513967"/>
      <w:bookmarkEnd w:id="122"/>
      <w:bookmarkStart w:id="123" w:name="_Toc352691487"/>
      <w:bookmarkEnd w:id="123"/>
      <w:bookmarkStart w:id="124" w:name="_Toc384308224"/>
      <w:bookmarkEnd w:id="124"/>
      <w:bookmarkStart w:id="125" w:name="_Toc152045543"/>
      <w:bookmarkEnd w:id="125"/>
      <w:bookmarkStart w:id="126" w:name="_Toc15242"/>
      <w:bookmarkEnd w:id="126"/>
      <w:bookmarkStart w:id="127" w:name="_Toc361508599"/>
      <w:bookmarkEnd w:id="127"/>
      <w:bookmarkStart w:id="128" w:name="_Toc300834964"/>
      <w:bookmarkEnd w:id="128"/>
      <w:bookmarkStart w:id="129" w:name="_Toc247527568"/>
      <w:bookmarkEnd w:id="129"/>
      <w:bookmarkStart w:id="130" w:name="_Toc369531530"/>
      <w:bookmarkEnd w:id="130"/>
      <w:bookmarkStart w:id="131" w:name="_Toc144974511"/>
      <w:bookmarkEnd w:id="131"/>
      <w:r>
        <w:rPr>
          <w:rFonts w:hint="eastAsia" w:ascii="宋体" w:hAnsi="宋体" w:eastAsia="宋体" w:cs="宋体"/>
          <w:color w:val="auto"/>
          <w:kern w:val="21"/>
          <w:sz w:val="24"/>
          <w:szCs w:val="24"/>
          <w:highlight w:val="none"/>
        </w:rPr>
        <w:t>本项目的报价方式见投标人须知前附表。投标人在投标截止时间前修改投标函中的投标报价总额，应同时修改投标文件“监理服务费用清单”中的相应报价。此修改须符合本章第4.3款的有关要求。</w:t>
      </w:r>
    </w:p>
    <w:p w14:paraId="79D41B4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3.2.4招标人设有最高投标限价的，投标人的投标报价不得超过最高投标限价，最高投标限价在投标</w:t>
      </w:r>
      <w:bookmarkStart w:id="132" w:name="_Toc144974512"/>
      <w:bookmarkStart w:id="133" w:name="_Toc152042320"/>
      <w:bookmarkStart w:id="134" w:name="_Toc384308225"/>
      <w:bookmarkStart w:id="135" w:name="_Toc10429"/>
      <w:bookmarkStart w:id="136" w:name="_Toc369531531"/>
      <w:bookmarkStart w:id="137" w:name="_Toc352691488"/>
      <w:bookmarkStart w:id="138" w:name="_Toc300834965"/>
      <w:bookmarkStart w:id="139" w:name="_Toc247513968"/>
      <w:bookmarkStart w:id="140" w:name="_Toc247527569"/>
      <w:bookmarkStart w:id="141" w:name="_Toc152045544"/>
      <w:bookmarkStart w:id="142" w:name="_Toc361508600"/>
      <w:r>
        <w:rPr>
          <w:rFonts w:hint="eastAsia" w:ascii="宋体" w:hAnsi="宋体" w:eastAsia="宋体" w:cs="宋体"/>
          <w:color w:val="auto"/>
          <w:kern w:val="21"/>
          <w:sz w:val="24"/>
          <w:szCs w:val="24"/>
          <w:highlight w:val="none"/>
        </w:rPr>
        <w:t>人须知前附表中载明。</w:t>
      </w:r>
      <w:bookmarkEnd w:id="132"/>
      <w:bookmarkEnd w:id="133"/>
      <w:bookmarkEnd w:id="134"/>
      <w:bookmarkEnd w:id="135"/>
      <w:bookmarkEnd w:id="136"/>
      <w:bookmarkEnd w:id="137"/>
      <w:bookmarkEnd w:id="138"/>
      <w:bookmarkEnd w:id="139"/>
      <w:bookmarkEnd w:id="140"/>
      <w:bookmarkEnd w:id="141"/>
      <w:bookmarkEnd w:id="142"/>
    </w:p>
    <w:p w14:paraId="5AD2AC0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3.2.5投标报价的其他要求见投标人须知前附表。</w:t>
      </w:r>
    </w:p>
    <w:p w14:paraId="1FCC40C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43" w:name="_Toc503517942"/>
      <w:bookmarkStart w:id="144" w:name="_Toc503235763"/>
      <w:r>
        <w:rPr>
          <w:rFonts w:hint="eastAsia" w:ascii="宋体" w:hAnsi="宋体" w:eastAsia="宋体" w:cs="宋体"/>
          <w:b/>
          <w:color w:val="auto"/>
          <w:kern w:val="21"/>
          <w:sz w:val="28"/>
          <w:szCs w:val="28"/>
          <w:highlight w:val="none"/>
        </w:rPr>
        <w:t>3.3投标有效期</w:t>
      </w:r>
      <w:bookmarkEnd w:id="143"/>
      <w:bookmarkEnd w:id="144"/>
    </w:p>
    <w:p w14:paraId="581F71A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3.3.1除投标人须知前附表另有规定外，投标有效期为90日。</w:t>
      </w:r>
    </w:p>
    <w:p w14:paraId="763DE44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3.3.2在投标有效期内，投标人撤销投标文件的，应承担招标文件和法律规定的责任。</w:t>
      </w:r>
    </w:p>
    <w:p w14:paraId="577AD2E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递交的投标保证金的银行同期活期存款利息。</w:t>
      </w:r>
    </w:p>
    <w:p w14:paraId="1B02266D">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45" w:name="_Toc503517943"/>
      <w:bookmarkStart w:id="146" w:name="_Toc503235764"/>
      <w:r>
        <w:rPr>
          <w:rFonts w:hint="eastAsia" w:ascii="宋体" w:hAnsi="宋体" w:eastAsia="宋体" w:cs="宋体"/>
          <w:b/>
          <w:color w:val="auto"/>
          <w:kern w:val="21"/>
          <w:sz w:val="28"/>
          <w:szCs w:val="28"/>
          <w:highlight w:val="none"/>
        </w:rPr>
        <w:t>3.4投标保证金</w:t>
      </w:r>
      <w:bookmarkEnd w:id="145"/>
      <w:bookmarkEnd w:id="146"/>
    </w:p>
    <w:p w14:paraId="7E832F7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3.4.1投标人在递交投标文件的同时，应按投标人须知前附表规定的金额和第七章“投标文件格式”规定的投标保证金格式递交投标保证金，并作为其投标文件的组成部分。联合体投标的，其投标保证金由牵头人递交，并应符合投标人须知前附表的规定。</w:t>
      </w:r>
    </w:p>
    <w:p w14:paraId="0B1186F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投标保证金应采用现金、支票、银行保函或招标人在投标人须知前附表规定的其他形式。</w:t>
      </w:r>
    </w:p>
    <w:p w14:paraId="4B84555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（1）若采用现金或支票，投标人应在递交投标文件截止时间之前，将投标保证金由投标人的基本账户转入招标人指定账户，否则视为投标保证金无效。招标人指定的开户银行及账号见投标人须知前附表。</w:t>
      </w:r>
    </w:p>
    <w:p w14:paraId="2394599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（2）若采用银行保函，则应由符合投标人须知前附表规定级别的银行开具，并采用招标文件提供的格式。银行保函复印件装订在投标文件内，原件应在递交投标文件截止时间之前单独密封递交给招标人。</w:t>
      </w:r>
    </w:p>
    <w:p w14:paraId="08D2D8F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无论采取何种形式的投标保证金，投标保证金有效期均应与投标有效期一致。招标人如果按本章第3.3.3项的规定延长了投标有效期，则投标保证金的有效期也相应延长。</w:t>
      </w:r>
    </w:p>
    <w:p w14:paraId="49AB5CA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3.4.2投标人不按本章第3.4.1项要求提交投标保证金的，评标委员会将否决其投标。</w:t>
      </w:r>
    </w:p>
    <w:p w14:paraId="2CD45AF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3.4.3招标人最迟将在中标通知书发出后5日内向中标候选人以外的其他投标人退还投标保证金，与中标人签订合同后5日内向中标人和其他中标候选人退还投标保证金。投标保证金以现金或支票形式递交的，招标人应同时退还投标保证金的银行同期活期存款利息，且退还至投标人的基本账户。</w:t>
      </w:r>
    </w:p>
    <w:p w14:paraId="04A40E5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利息计算原则见投标人须知前附表。</w:t>
      </w:r>
    </w:p>
    <w:p w14:paraId="4D9205D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3.4.4有下列情形之一的，投标保证金将不予退还：</w:t>
      </w:r>
    </w:p>
    <w:p w14:paraId="05EF292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（1）投标人在投标有效期内撤销投标文件；</w:t>
      </w:r>
    </w:p>
    <w:p w14:paraId="0E5FF52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（2）中标人在收到中标通知书后，无正当理由不与招标人订立合同，在签订合同时向招标人提出附加条件，或不按照招标文件要求提交履约保证金；</w:t>
      </w:r>
    </w:p>
    <w:p w14:paraId="6922BE3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（3）发生投标人须知前附表规定的其他可以不予退还投标保证金的情形。</w:t>
      </w:r>
    </w:p>
    <w:p w14:paraId="3F14833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47" w:name="_Toc503235765"/>
      <w:bookmarkStart w:id="148" w:name="_Toc503517944"/>
      <w:r>
        <w:rPr>
          <w:rFonts w:hint="eastAsia" w:ascii="宋体" w:hAnsi="宋体" w:eastAsia="宋体" w:cs="宋体"/>
          <w:b/>
          <w:color w:val="auto"/>
          <w:kern w:val="21"/>
          <w:sz w:val="28"/>
          <w:szCs w:val="28"/>
          <w:highlight w:val="none"/>
        </w:rPr>
        <w:t>3.5资格审查资料（适用于已进行资格预审的）</w:t>
      </w:r>
      <w:bookmarkEnd w:id="147"/>
      <w:bookmarkEnd w:id="148"/>
    </w:p>
    <w:p w14:paraId="79F95CC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3.5.1投标人在递交投标文件前，发生可能影响其投标资格的新情况的，应在投标文件中更新或补充其在申请资格预审时提供的资料，以证实其各项资格条件仍能继续满足资格预审文件的要求。</w:t>
      </w:r>
    </w:p>
    <w:p w14:paraId="46DD8F2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3.5.2如果投标人在投标阶段发生合并、分立、破产等重大变化，或发生重大安全或质量事故，或由于其他任何情况，导致投标人不再具备资格预审文件规定的各项资格条件或其投标影响招标公正性时，投标人必须在其投标文件中对上述情况进行如实说明，否则，招标人一经查实，将视为投标人弄虚作假，其投标将被否决。</w:t>
      </w:r>
    </w:p>
    <w:p w14:paraId="153D5D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3.5.3招标人有权核查投标人在资格预审申请文件和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合同价款或履约保证金中扣除不超过5%签约合同价的金额作为违约金。同时招标人将投标人上述弄虚作假行为上报省级交通运输主管部门，作为不良记录纳入公路建设市场信用信息管理系统。</w:t>
      </w:r>
    </w:p>
    <w:p w14:paraId="683C3CA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49" w:name="_Toc503235766"/>
      <w:bookmarkStart w:id="150" w:name="_Toc503517945"/>
      <w:r>
        <w:rPr>
          <w:rFonts w:hint="eastAsia" w:ascii="宋体" w:hAnsi="宋体" w:eastAsia="宋体" w:cs="宋体"/>
          <w:b/>
          <w:color w:val="auto"/>
          <w:kern w:val="21"/>
          <w:sz w:val="28"/>
          <w:szCs w:val="28"/>
          <w:highlight w:val="none"/>
        </w:rPr>
        <w:t>3.5资格审查资料（适用于未进行资格预审的）</w:t>
      </w:r>
      <w:bookmarkEnd w:id="149"/>
      <w:bookmarkEnd w:id="150"/>
    </w:p>
    <w:p w14:paraId="4430CC7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除投标人须知前附表另有规定外，投标人应按下列规定提供资格审查资料，以证明其满足本章第1.4款规定的资质、业绩、信誉等要求。</w:t>
      </w:r>
    </w:p>
    <w:p w14:paraId="1C65D0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u w:val="single"/>
        </w:rPr>
      </w:pPr>
      <w:r>
        <w:rPr>
          <w:rFonts w:hint="eastAsia" w:ascii="宋体" w:hAnsi="宋体" w:eastAsia="宋体" w:cs="宋体"/>
          <w:color w:val="auto"/>
          <w:kern w:val="21"/>
          <w:sz w:val="24"/>
          <w:szCs w:val="24"/>
          <w:highlight w:val="none"/>
        </w:rPr>
        <w:t>3.5.1“投标人基本情况表”应附企业法人营业执照副本和组织机构代码证副本（按照“三证合一”或“五证合一”登记制度进行登记的，可仅提供营业执照副本，下同）、监理资质证书副本、基本账户开户许可证的复印件，投标人在交通运输部“全国公路建设市场监督管理系统”公路工程施工监理资质企业名录中的网页截图复印件</w:t>
      </w:r>
      <w:r>
        <w:rPr>
          <w:rFonts w:hint="eastAsia" w:ascii="宋体" w:hAnsi="宋体" w:eastAsia="宋体" w:cs="宋体"/>
          <w:color w:val="auto"/>
          <w:kern w:val="21"/>
          <w:sz w:val="24"/>
          <w:szCs w:val="24"/>
          <w:highlight w:val="none"/>
          <w:vertAlign w:val="superscript"/>
        </w:rPr>
        <w:sym w:font="Times New Roman" w:char="0000"/>
      </w:r>
      <w:r>
        <w:rPr>
          <w:rFonts w:hint="eastAsia" w:ascii="宋体" w:hAnsi="宋体" w:eastAsia="宋体" w:cs="宋体"/>
          <w:color w:val="auto"/>
          <w:kern w:val="21"/>
          <w:sz w:val="24"/>
          <w:szCs w:val="24"/>
          <w:highlight w:val="none"/>
        </w:rPr>
        <w:t>，以及投标人在国家企业信用信息公示系统中基础信息（体现股东及出资详细信息）的网页截图或由法定的社会验资机构出具的验资报告或注册地工商部门出具的股东出资情况证明复印件。</w:t>
      </w:r>
    </w:p>
    <w:p w14:paraId="17AF30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企业法人营业执照副本和组织机构代码证副本、监理资质证书副本、基本账户开户许可证的复印件应提供全本（证书封面、封底、空白页除外），应包括投标人名称、投标人其他相关信息、颁发机构名称、投标人信息变更情况等关键页在内，并逐页加盖投标人单位章。</w:t>
      </w:r>
    </w:p>
    <w:p w14:paraId="03D3DFB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3.5.2“近年完成的类似项目”应是已列入交通运输主管部门“公路建设市场信用信息管理系统”并公开的业绩，具体时间要求见投标人须知前附表。</w:t>
      </w:r>
    </w:p>
    <w:p w14:paraId="6D4428D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近年完成的类似项目情况表”应附在交通运输部“全国公路建设市场监督管理系统”（网址：https://hwdms.mot.gov.cn/）中查询到的企业“业绩信息”相关项目网页截图复印件。在交通运输部“全国公路建设市场监督管理系统”中无法查询，但可在省级交通运输主管部门“公路建设市场信用信息管理系统”中查询的，应附省级交通运输主管部门“公路建设市场信用信息管理系统”中查询到的网页截图复印件并注明查询路径。除网页截图复印件外，投标人无须再提供任何业绩证明材料。</w:t>
      </w:r>
    </w:p>
    <w:p w14:paraId="5990787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如投标人未提供相关项目网页截图复印件或相关项目网页截图中的信息无法证实投标人满足招标文件规定的资格审查条件（业绩最低要求），则该项目业绩不予认定。</w:t>
      </w:r>
    </w:p>
    <w:p w14:paraId="2D4217D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3.5.3“投标人的信誉情况表”应附投标人在国家企业信用信息公示系统中未被列入严重违法失信企业名单、在“信用中国”网站中未被列入失信被执行人名单的网页截图复印件，以及由项目所在地或投标人住所地检察机关职务犯罪预防部门出具的近三年内投标人及其法定代表人、拟委任的总监理工程师或驻地监理工程师均无行贿犯罪行为的查询记录证明原件。</w:t>
      </w:r>
    </w:p>
    <w:p w14:paraId="0861D96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3.5.4“拟委任的总监理工程师或驻地监理工程师资历表”应附总监理工程师或驻地监理工程师的身份证、职称资格证书和资格审查条件所要求的其他相关证书（如公路工程监理工程师证书等）的复印件，以及投标人所属社保机构出具的拟委任的总监理工程师或驻地监理工程师的社保缴费证明或其他能够证明拟委任的总监理工程师或驻地监理工程师参加社保的有效证明材料复印件。</w:t>
      </w:r>
    </w:p>
    <w:p w14:paraId="5FEA01B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拟委任的总监理工程师或驻地监理工程师资历表”还应附交通运输部“全国公路建设市场监督管理系统”中载明的、能够证明总监理工程师或驻地监理工程师具有相关业绩的网页截图复印件。在交通运输部“全国公路建设市场监督管理系统”中无法查询，但可在省级交通运输主管部门“公路建设市场信用信息管理系统”中查询的，应附省级交通运输主管部门“公路建设市场信用信息管理系统”中查询到的网页截图复印件并注明查询路径。除网页截图复印件外，投标人无须再提供任何业绩证明材料。如投标人未提供相关业绩网页截图复印件或相关业绩网页截图中的信息无法证实投标人满足招标文件规定的资格审查条件（总监理工程师或驻地监理工程师最低要求），则该业绩不予认定。</w:t>
      </w:r>
    </w:p>
    <w:p w14:paraId="1CDB185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如总监理工程师或驻地监理工程师目前仍在其他项目上任职，则投标人应提供由该项目委托人出具的、承诺上述人员能够从该项目撤离的书面证明材料原件。</w:t>
      </w:r>
    </w:p>
    <w:p w14:paraId="1063854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3.5.5“拟委任的其他主要监理人员汇总表”（如有）应填报满足投标人须知前附表附录5规定的其他主要监理人员的相关信息。“拟委任的其他主要监理人员资历表”（如有）中相关人员应附身份证、职称资格证书和资格审查条件所要求的其他相关证书（如公路工程监理工程师证书等）的复印件，相关业绩证明材料复印件，以及投标人所属社保机构出具的社保缴费证明或其他能够证明其参加社保的有效证明材料复印件。拟派人员为退体返聘人员无法提供社保证明的，需提供身份证及退体证明和投标人聘用合同彩色扫描件。</w:t>
      </w:r>
    </w:p>
    <w:p w14:paraId="1EAAF03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w:t>
      </w:r>
      <w:r>
        <w:rPr>
          <w:rFonts w:hint="eastAsia" w:ascii="宋体" w:hAnsi="宋体" w:eastAsia="宋体" w:cs="宋体"/>
          <w:color w:val="auto"/>
          <w:kern w:val="21"/>
          <w:sz w:val="24"/>
          <w:szCs w:val="24"/>
          <w:highlight w:val="none"/>
          <w:lang w:val="en-US" w:eastAsia="zh-CN"/>
        </w:rPr>
        <w:t>6</w:t>
      </w:r>
      <w:r>
        <w:rPr>
          <w:rFonts w:hint="eastAsia" w:ascii="宋体" w:hAnsi="宋体" w:eastAsia="宋体" w:cs="宋体"/>
          <w:color w:val="auto"/>
          <w:kern w:val="21"/>
          <w:sz w:val="24"/>
          <w:szCs w:val="24"/>
          <w:highlight w:val="none"/>
        </w:rPr>
        <w:t>投标人须知前附表规定接受联合体投标的，本章第3.5.1项至第3.5.</w:t>
      </w:r>
      <w:r>
        <w:rPr>
          <w:rFonts w:hint="eastAsia" w:ascii="宋体" w:hAnsi="宋体" w:eastAsia="宋体" w:cs="宋体"/>
          <w:color w:val="auto"/>
          <w:kern w:val="21"/>
          <w:sz w:val="24"/>
          <w:szCs w:val="24"/>
          <w:highlight w:val="none"/>
          <w:lang w:val="en-US" w:eastAsia="zh-CN"/>
        </w:rPr>
        <w:t>5</w:t>
      </w:r>
      <w:r>
        <w:rPr>
          <w:rFonts w:hint="eastAsia" w:ascii="宋体" w:hAnsi="宋体" w:eastAsia="宋体" w:cs="宋体"/>
          <w:color w:val="auto"/>
          <w:kern w:val="21"/>
          <w:sz w:val="24"/>
          <w:szCs w:val="24"/>
          <w:highlight w:val="none"/>
        </w:rPr>
        <w:t>项规定的表格和资料应包括联合体各方相关情况。</w:t>
      </w:r>
    </w:p>
    <w:p w14:paraId="58F7618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w:t>
      </w:r>
      <w:r>
        <w:rPr>
          <w:rFonts w:hint="eastAsia" w:ascii="宋体" w:hAnsi="宋体" w:eastAsia="宋体" w:cs="宋体"/>
          <w:color w:val="auto"/>
          <w:kern w:val="21"/>
          <w:sz w:val="24"/>
          <w:szCs w:val="24"/>
          <w:highlight w:val="none"/>
          <w:lang w:val="en-US" w:eastAsia="zh-CN"/>
        </w:rPr>
        <w:t>7</w:t>
      </w:r>
      <w:r>
        <w:rPr>
          <w:rFonts w:hint="eastAsia" w:ascii="宋体" w:hAnsi="宋体" w:eastAsia="宋体" w:cs="宋体"/>
          <w:color w:val="auto"/>
          <w:kern w:val="21"/>
          <w:sz w:val="24"/>
          <w:szCs w:val="24"/>
          <w:highlight w:val="none"/>
        </w:rPr>
        <w:t>除合同条款约定的特殊情形外，投标人在投标文件中填报的总监理工程师或驻地监理工程师不允许更换。</w:t>
      </w:r>
    </w:p>
    <w:p w14:paraId="14B8708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w:t>
      </w:r>
      <w:r>
        <w:rPr>
          <w:rFonts w:hint="eastAsia" w:ascii="宋体" w:hAnsi="宋体" w:eastAsia="宋体" w:cs="宋体"/>
          <w:color w:val="auto"/>
          <w:kern w:val="21"/>
          <w:sz w:val="24"/>
          <w:szCs w:val="24"/>
          <w:highlight w:val="none"/>
          <w:lang w:val="en-US" w:eastAsia="zh-CN"/>
        </w:rPr>
        <w:t>8</w:t>
      </w:r>
      <w:r>
        <w:rPr>
          <w:rFonts w:hint="eastAsia" w:ascii="宋体" w:hAnsi="宋体" w:eastAsia="宋体" w:cs="宋体"/>
          <w:color w:val="auto"/>
          <w:kern w:val="21"/>
          <w:sz w:val="24"/>
          <w:szCs w:val="24"/>
          <w:highlight w:val="none"/>
        </w:rPr>
        <w:t>投标人在投标文件中填报的资质、业绩、主要人员资历和目前在岗情况、信用等级等信息，应与其在交通运输主管部门“公路建设市场信用信息管理系统”上填报并发布的相关信息一致。投标人应根据本单位实际情况及时完成相关信息的申报、录入和动态更新，并对相关信息的真实性、完整性和准确性负责。</w:t>
      </w:r>
    </w:p>
    <w:p w14:paraId="5C5E154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w:t>
      </w:r>
      <w:r>
        <w:rPr>
          <w:rFonts w:hint="eastAsia" w:ascii="宋体" w:hAnsi="宋体" w:eastAsia="宋体" w:cs="宋体"/>
          <w:color w:val="auto"/>
          <w:kern w:val="21"/>
          <w:sz w:val="24"/>
          <w:szCs w:val="24"/>
          <w:highlight w:val="none"/>
          <w:lang w:val="en-US" w:eastAsia="zh-CN"/>
        </w:rPr>
        <w:t>9</w:t>
      </w:r>
      <w:r>
        <w:rPr>
          <w:rFonts w:hint="eastAsia" w:ascii="宋体" w:hAnsi="宋体" w:eastAsia="宋体" w:cs="宋体"/>
          <w:color w:val="auto"/>
          <w:kern w:val="21"/>
          <w:sz w:val="24"/>
          <w:szCs w:val="24"/>
          <w:highlight w:val="none"/>
        </w:rPr>
        <w:t>招标人有权核查投标人在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合同价款或履约保证金中扣除不超过5％签约合同价的金额作为违约金。同时招标人将投标人上述弄虚作假行为上报省级交通运输主管部门，作为不良记录纳入公路建设市场信用信息管理系统。</w:t>
      </w:r>
    </w:p>
    <w:p w14:paraId="7960C5E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51" w:name="_Toc503517946"/>
      <w:bookmarkStart w:id="152" w:name="_Toc503235767"/>
      <w:r>
        <w:rPr>
          <w:rFonts w:hint="eastAsia" w:ascii="宋体" w:hAnsi="宋体" w:eastAsia="宋体" w:cs="宋体"/>
          <w:b/>
          <w:color w:val="auto"/>
          <w:kern w:val="21"/>
          <w:sz w:val="28"/>
          <w:szCs w:val="28"/>
          <w:highlight w:val="none"/>
        </w:rPr>
        <w:t>3.6备选投标方案</w:t>
      </w:r>
      <w:bookmarkEnd w:id="151"/>
      <w:bookmarkEnd w:id="152"/>
    </w:p>
    <w:p w14:paraId="64F045A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3.6.1除投标人须知前附表规定允许外，投标人不得递交备选投标方案，否则其投标将被否决。</w:t>
      </w:r>
    </w:p>
    <w:p w14:paraId="2937DA8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3.6.2允许投标人递交备选投标方案的，只有中标人所递交的备选投标方案方可予以考虑。评标委员会认为中标人的备选投标方案优于其按照招标文件要求编制的投标方案的，招标人可以接受该备选投标方案。</w:t>
      </w:r>
    </w:p>
    <w:p w14:paraId="2490044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3.6.3投标人提供两个或两个以上投标报价，或在投标文件中提供一个报价，但同时提供两个或两个以上</w:t>
      </w:r>
      <w:bookmarkStart w:id="153" w:name="_Toc152045550"/>
      <w:bookmarkStart w:id="154" w:name="_Toc352691495"/>
      <w:bookmarkStart w:id="155" w:name="_Toc247527575"/>
      <w:bookmarkStart w:id="156" w:name="_Toc384308232"/>
      <w:bookmarkStart w:id="157" w:name="_Toc300834971"/>
      <w:bookmarkStart w:id="158" w:name="_Toc361508607"/>
      <w:bookmarkStart w:id="159" w:name="_Toc152042326"/>
      <w:bookmarkStart w:id="160" w:name="_Toc247513974"/>
      <w:bookmarkStart w:id="161" w:name="_Toc369531538"/>
      <w:bookmarkStart w:id="162" w:name="_Toc29902"/>
      <w:bookmarkStart w:id="163" w:name="_Toc144974518"/>
      <w:r>
        <w:rPr>
          <w:rFonts w:hint="eastAsia" w:ascii="宋体" w:hAnsi="宋体" w:eastAsia="宋体" w:cs="宋体"/>
          <w:color w:val="auto"/>
          <w:kern w:val="21"/>
          <w:sz w:val="24"/>
          <w:szCs w:val="24"/>
          <w:highlight w:val="none"/>
        </w:rPr>
        <w:t>技术建议书的</w:t>
      </w:r>
      <w:bookmarkEnd w:id="153"/>
      <w:bookmarkEnd w:id="154"/>
      <w:bookmarkEnd w:id="155"/>
      <w:bookmarkEnd w:id="156"/>
      <w:bookmarkEnd w:id="157"/>
      <w:bookmarkEnd w:id="158"/>
      <w:bookmarkEnd w:id="159"/>
      <w:bookmarkEnd w:id="160"/>
      <w:bookmarkEnd w:id="161"/>
      <w:bookmarkEnd w:id="162"/>
      <w:bookmarkEnd w:id="163"/>
      <w:r>
        <w:rPr>
          <w:rFonts w:hint="eastAsia" w:ascii="宋体" w:hAnsi="宋体" w:eastAsia="宋体" w:cs="宋体"/>
          <w:color w:val="auto"/>
          <w:kern w:val="21"/>
          <w:sz w:val="24"/>
          <w:szCs w:val="24"/>
          <w:highlight w:val="none"/>
        </w:rPr>
        <w:t>，视为提供备选方案。</w:t>
      </w:r>
    </w:p>
    <w:p w14:paraId="2056151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64" w:name="_Toc503517947"/>
      <w:bookmarkStart w:id="165" w:name="_Toc503235768"/>
      <w:r>
        <w:rPr>
          <w:rFonts w:hint="eastAsia" w:ascii="宋体" w:hAnsi="宋体" w:eastAsia="宋体" w:cs="宋体"/>
          <w:b/>
          <w:color w:val="auto"/>
          <w:kern w:val="21"/>
          <w:sz w:val="28"/>
          <w:szCs w:val="28"/>
          <w:highlight w:val="none"/>
        </w:rPr>
        <w:t>3.7投标文件的编制</w:t>
      </w:r>
      <w:bookmarkEnd w:id="164"/>
      <w:bookmarkEnd w:id="165"/>
    </w:p>
    <w:p w14:paraId="59AEACE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3.7.1投标文件应按第七章“投标文件格式”进行编写，如有必要，可以增加附页，作为投标文件的组成部分。</w:t>
      </w:r>
    </w:p>
    <w:p w14:paraId="1EC8C13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3.7.2投标文件应对招标文件有关监理服务期限、投标有效期、质量要求、安全目标、委托人要求、招标范围等实质性内容作出响应。</w:t>
      </w:r>
    </w:p>
    <w:p w14:paraId="393209B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3.7.3投标文件应用不褪色的材料书写或打印。投标文件格式中明确要求投标人法定代表人或其委托代理人签字之处，必须由相关人员亲笔签名，不得使用印章、签名章或其他电子制版签名代替；明确要求投标人加盖单位章之处，必须加盖单位章。其中，投标函及对投标文件的澄清和说明应加盖投标人单位章，或由投标人的法定代表人或其委托代理人签字。</w:t>
      </w:r>
    </w:p>
    <w:p w14:paraId="7B1668A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如果投标文件由委托代理人签署，则投标人须提交授权委托书，授权委托书应按第七章“投标文件格式”的要求出具，并由法定代表人和委托代理人亲笔签名，不得使用印章、签名章或其他电子制版签名代替。</w:t>
      </w:r>
    </w:p>
    <w:p w14:paraId="645EBA5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如果由投标人的法定代表人亲自签署投标文件，则投标人须提交法定代表人身份证明，身份证明应符合第七章“投标文件格式”的要求。</w:t>
      </w:r>
    </w:p>
    <w:p w14:paraId="363B367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以联合体形式参与投标的，投标文件由联合体牵头人的法定代表人或其委托代理人按上述规定签署并加盖联合体牵头人单位章。法定代表人授权委托书或法定代表人身份证明须由联合体牵头人按上述规定出具。</w:t>
      </w:r>
    </w:p>
    <w:p w14:paraId="469FC44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投标文件应尽量避免涂改、行间插字或删除。如果出现上述情况，改动之处应由投标人的法定代表人或其授权的代理人签字或盖单位章。</w:t>
      </w:r>
    </w:p>
    <w:p w14:paraId="4C0BC94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3.7.4投标文件正本一份,副本份数见投标人须知前附表。正本和副本的封面右上角上应清楚地标记“正本”或“副本”字样。投标人应根据投标人须知前附表要求提供电子版文件。当副本和正本不一致或电子版文件和纸质正本文件不一致时，以纸质正本文件为准。</w:t>
      </w:r>
    </w:p>
    <w:p w14:paraId="42FBC51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3.7.5投标文件的正本与副本应分别装订成册（A4纸幅），编制目录并逐页标注连续页码。投标文件不得采用活页夹装订，否则，招标人对由于投标文件装订松散而造成的丢失或其他后果不承担任何责任。装订的其他要求见投标人须知前附表。</w:t>
      </w:r>
    </w:p>
    <w:p w14:paraId="5BA2B114">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66" w:name="_Toc503517948"/>
      <w:bookmarkStart w:id="167" w:name="_Toc503235769"/>
      <w:bookmarkStart w:id="168" w:name="_Toc2076_WPSOffice_Level2"/>
      <w:r>
        <w:rPr>
          <w:rFonts w:hint="eastAsia" w:ascii="宋体" w:hAnsi="宋体" w:eastAsia="宋体" w:cs="宋体"/>
          <w:b/>
          <w:color w:val="auto"/>
          <w:kern w:val="21"/>
          <w:sz w:val="28"/>
          <w:szCs w:val="28"/>
          <w:highlight w:val="none"/>
        </w:rPr>
        <w:t>4.投标</w:t>
      </w:r>
      <w:bookmarkEnd w:id="166"/>
      <w:bookmarkEnd w:id="167"/>
      <w:bookmarkEnd w:id="168"/>
    </w:p>
    <w:p w14:paraId="61E10E5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69" w:name="_Toc503517949"/>
      <w:bookmarkStart w:id="170" w:name="_Toc503235770"/>
      <w:r>
        <w:rPr>
          <w:rFonts w:hint="eastAsia" w:ascii="宋体" w:hAnsi="宋体" w:eastAsia="宋体" w:cs="宋体"/>
          <w:b/>
          <w:color w:val="auto"/>
          <w:kern w:val="21"/>
          <w:sz w:val="28"/>
          <w:szCs w:val="28"/>
          <w:highlight w:val="none"/>
        </w:rPr>
        <w:t>4.1投标文件的密封和标识</w:t>
      </w:r>
      <w:bookmarkEnd w:id="169"/>
      <w:bookmarkEnd w:id="170"/>
    </w:p>
    <w:p w14:paraId="6F37C80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rPr>
        <w:t>4.1.1投标文件应采用双信封形式密封。投标文件第一个信封（商务及技术文件）以及第二个信封（报价文件）应单独密封包装。商务及技术文件的正本与副本应统一密封在一个封套中。报价文件的正本与副本以及投标文件电子版文件（如需要）应统一密封在另一个封套中。封套应加贴封条，并在封套的封口处加盖投标人单位章或由投标人的法定代表人或其委托代理人签字。</w:t>
      </w:r>
    </w:p>
    <w:p w14:paraId="3D454C7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采用银行保函形式提交投标保证金的，银行保函原件应密封在单独的封套中。</w:t>
      </w:r>
    </w:p>
    <w:p w14:paraId="6745FEC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4.1.2投标文件第一个信封（商务及技术文件）、第二个信封（报价文件）以及银行保函封套上应写明的内容见投标人须知前附表。</w:t>
      </w:r>
    </w:p>
    <w:p w14:paraId="42E33A6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4.1.3未按本章第4.1.1项要求密封的投标文件，招标人将予以拒收。</w:t>
      </w:r>
    </w:p>
    <w:p w14:paraId="7F8BE7A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71" w:name="_Toc503235771"/>
      <w:bookmarkStart w:id="172" w:name="_Toc503517950"/>
      <w:r>
        <w:rPr>
          <w:rFonts w:hint="eastAsia" w:ascii="宋体" w:hAnsi="宋体" w:eastAsia="宋体" w:cs="宋体"/>
          <w:b/>
          <w:color w:val="auto"/>
          <w:kern w:val="21"/>
          <w:sz w:val="28"/>
          <w:szCs w:val="28"/>
          <w:highlight w:val="none"/>
        </w:rPr>
        <w:t>4.2投标文件的递交</w:t>
      </w:r>
      <w:bookmarkEnd w:id="171"/>
      <w:bookmarkEnd w:id="172"/>
    </w:p>
    <w:p w14:paraId="7E7CDF7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4.2.1投标人应在第一章“招标公告”或“投标邀请书”规定的投标截止时间前递交投标文件。</w:t>
      </w:r>
    </w:p>
    <w:p w14:paraId="148F724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4.2.2投标人递交投标文件的地点：见第一章“招标公告”或“投标邀请书”。</w:t>
      </w:r>
    </w:p>
    <w:p w14:paraId="3396B2C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bookmarkStart w:id="173" w:name="_Toc503235772"/>
      <w:bookmarkStart w:id="174" w:name="_Toc503517951"/>
      <w:r>
        <w:rPr>
          <w:rFonts w:hint="eastAsia" w:ascii="宋体" w:hAnsi="宋体" w:eastAsia="宋体" w:cs="宋体"/>
          <w:color w:val="auto"/>
          <w:kern w:val="21"/>
          <w:sz w:val="24"/>
          <w:szCs w:val="24"/>
          <w:highlight w:val="none"/>
          <w:lang w:val="en-US" w:eastAsia="zh-CN"/>
        </w:rPr>
        <w:t>4.2.3除投标人须知前附表另有规定外，投标人所递交的投标文件不予退还。投标人少于3个的，投标文件当场退还给投标人。</w:t>
      </w:r>
    </w:p>
    <w:p w14:paraId="6C4B63B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lang w:val="en-US" w:eastAsia="zh-CN"/>
        </w:rPr>
      </w:pPr>
      <w:r>
        <w:rPr>
          <w:rFonts w:hint="eastAsia" w:ascii="宋体" w:hAnsi="宋体" w:eastAsia="宋体" w:cs="宋体"/>
          <w:color w:val="auto"/>
          <w:kern w:val="21"/>
          <w:sz w:val="24"/>
          <w:szCs w:val="24"/>
          <w:highlight w:val="none"/>
          <w:lang w:val="en-US" w:eastAsia="zh-CN"/>
        </w:rPr>
        <w:t>4.2.4招标人收到投标文件后，向投标人出具签收凭证。</w:t>
      </w:r>
    </w:p>
    <w:p w14:paraId="2AF5098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lang w:val="en-US" w:eastAsia="zh-CN"/>
        </w:rPr>
        <w:t>4.2.5逾期送达的或未送达指定地点的投标文件，招标人将予以拒收。</w:t>
      </w:r>
    </w:p>
    <w:p w14:paraId="7AA4385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4.3投标文件的修改与撤回</w:t>
      </w:r>
      <w:bookmarkEnd w:id="173"/>
      <w:bookmarkEnd w:id="174"/>
    </w:p>
    <w:p w14:paraId="43DE2CD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bookmarkStart w:id="175" w:name="_Toc503517952"/>
      <w:bookmarkStart w:id="176" w:name="_Toc24594_WPSOffice_Level2"/>
      <w:bookmarkStart w:id="177" w:name="_Toc503235773"/>
      <w:r>
        <w:rPr>
          <w:rFonts w:hint="eastAsia" w:ascii="宋体" w:hAnsi="宋体" w:eastAsia="宋体" w:cs="宋体"/>
          <w:color w:val="auto"/>
          <w:kern w:val="21"/>
          <w:sz w:val="24"/>
          <w:szCs w:val="24"/>
          <w:highlight w:val="none"/>
        </w:rPr>
        <w:t>4.3.1在本章第4.2.1项规定的投标截止时间前，投标人可以修改或撤回已递交的投标文件，但应以书面形式通知招标人。</w:t>
      </w:r>
    </w:p>
    <w:p w14:paraId="44F9F43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4.3.2</w:t>
      </w:r>
      <w:r>
        <w:rPr>
          <w:rFonts w:hint="eastAsia" w:ascii="宋体" w:hAnsi="宋体" w:eastAsia="宋体" w:cs="宋体"/>
          <w:color w:val="auto"/>
          <w:kern w:val="21"/>
          <w:sz w:val="24"/>
          <w:szCs w:val="24"/>
          <w:highlight w:val="none"/>
          <w:lang w:val="en-US" w:eastAsia="zh-CN"/>
        </w:rPr>
        <w:t>投标人修改或撤回已递交投标文件的书面通知应按照本章第3.7.3项的要求签字或盖章。招标人收到书面通知后，向投标人出具签收凭证。</w:t>
      </w:r>
    </w:p>
    <w:p w14:paraId="367885F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4.3.3投标人撤回投标文件的，招标人自收到投标人书面撤回通知之日起5日内退还已收取的投标保证金。</w:t>
      </w:r>
    </w:p>
    <w:p w14:paraId="490A021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4.3.4修改的内容为投标文件的组成部分。修改的投标文件应按照本章第3条、第4条的规定进行编制、密封、标记和递交，并标明“修改”字样。</w:t>
      </w:r>
    </w:p>
    <w:p w14:paraId="609CD8D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5.开标</w:t>
      </w:r>
      <w:bookmarkEnd w:id="175"/>
      <w:bookmarkEnd w:id="176"/>
      <w:bookmarkEnd w:id="177"/>
    </w:p>
    <w:p w14:paraId="4DC9A6ED">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78" w:name="_Toc503235774"/>
      <w:bookmarkStart w:id="179" w:name="_Toc503517953"/>
      <w:r>
        <w:rPr>
          <w:rFonts w:hint="eastAsia" w:ascii="宋体" w:hAnsi="宋体" w:eastAsia="宋体" w:cs="宋体"/>
          <w:b/>
          <w:color w:val="auto"/>
          <w:kern w:val="21"/>
          <w:sz w:val="28"/>
          <w:szCs w:val="28"/>
          <w:highlight w:val="none"/>
        </w:rPr>
        <w:t>5.1开标时间和地点</w:t>
      </w:r>
      <w:bookmarkEnd w:id="178"/>
      <w:bookmarkEnd w:id="179"/>
    </w:p>
    <w:p w14:paraId="59411CD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rPr>
        <w:t>招标人在本章第4.2.1项规定的投标截止时间（开标时间）和投标人须知前附表规定的地点对收到的投标文件第一个信封（商务及技术文件）公开开标</w:t>
      </w:r>
      <w:r>
        <w:rPr>
          <w:rFonts w:hint="eastAsia" w:ascii="宋体" w:hAnsi="宋体" w:eastAsia="宋体" w:cs="宋体"/>
          <w:color w:val="auto"/>
          <w:kern w:val="21"/>
          <w:sz w:val="24"/>
          <w:szCs w:val="24"/>
          <w:highlight w:val="none"/>
          <w:lang w:eastAsia="zh-CN"/>
        </w:rPr>
        <w:t>。</w:t>
      </w:r>
    </w:p>
    <w:p w14:paraId="0D1A1E1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招标人在投标人须知前附表规定的时间和地点对投标文件第二个信封（报价文件）公开开标。</w:t>
      </w:r>
    </w:p>
    <w:p w14:paraId="37F537A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80" w:name="_Toc503235775"/>
      <w:bookmarkStart w:id="181" w:name="_Toc503517954"/>
      <w:r>
        <w:rPr>
          <w:rFonts w:hint="eastAsia" w:ascii="宋体" w:hAnsi="宋体" w:eastAsia="宋体" w:cs="宋体"/>
          <w:b/>
          <w:color w:val="auto"/>
          <w:kern w:val="21"/>
          <w:sz w:val="28"/>
          <w:szCs w:val="28"/>
          <w:highlight w:val="none"/>
        </w:rPr>
        <w:t>5.2开标程序</w:t>
      </w:r>
      <w:bookmarkEnd w:id="180"/>
      <w:bookmarkEnd w:id="181"/>
    </w:p>
    <w:p w14:paraId="6E03160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5.2.1主持人按下列程序对投标文件第一个信封（商务及技术文件）进行开标：</w:t>
      </w:r>
    </w:p>
    <w:p w14:paraId="7599D37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（1）宣布开标纪律；</w:t>
      </w:r>
    </w:p>
    <w:p w14:paraId="2B39BE6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（2）公布在投标截止时间前递交投标文件的投标人数量；</w:t>
      </w:r>
    </w:p>
    <w:p w14:paraId="6F4E86D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（3）宣布开标人、唱标人、记录人等有关人员姓名；</w:t>
      </w:r>
    </w:p>
    <w:p w14:paraId="4133DED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w:t>
      </w:r>
      <w:r>
        <w:rPr>
          <w:rFonts w:hint="eastAsia" w:ascii="宋体" w:hAnsi="宋体" w:eastAsia="宋体" w:cs="宋体"/>
          <w:color w:val="auto"/>
          <w:kern w:val="21"/>
          <w:sz w:val="24"/>
          <w:szCs w:val="24"/>
          <w:highlight w:val="none"/>
          <w:lang w:val="en-US" w:eastAsia="zh-CN"/>
        </w:rPr>
        <w:t>4</w:t>
      </w:r>
      <w:r>
        <w:rPr>
          <w:rFonts w:hint="eastAsia" w:ascii="宋体" w:hAnsi="宋体" w:eastAsia="宋体" w:cs="宋体"/>
          <w:color w:val="auto"/>
          <w:kern w:val="21"/>
          <w:sz w:val="24"/>
          <w:szCs w:val="24"/>
          <w:highlight w:val="none"/>
        </w:rPr>
        <w:t>）按照投标人须知前附表规定的开标顺序当众开标，公布标段名称、投标人名称、投标保证金的递交情况、监理服务期限及其他内容，并记录在案；</w:t>
      </w:r>
    </w:p>
    <w:p w14:paraId="39FDC0A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w:t>
      </w:r>
      <w:r>
        <w:rPr>
          <w:rFonts w:hint="eastAsia" w:ascii="宋体" w:hAnsi="宋体" w:eastAsia="宋体" w:cs="宋体"/>
          <w:color w:val="auto"/>
          <w:kern w:val="21"/>
          <w:sz w:val="24"/>
          <w:szCs w:val="24"/>
          <w:highlight w:val="none"/>
          <w:lang w:val="en-US" w:eastAsia="zh-CN"/>
        </w:rPr>
        <w:t>5</w:t>
      </w:r>
      <w:r>
        <w:rPr>
          <w:rFonts w:hint="eastAsia" w:ascii="宋体" w:hAnsi="宋体" w:eastAsia="宋体" w:cs="宋体"/>
          <w:color w:val="auto"/>
          <w:kern w:val="21"/>
          <w:sz w:val="24"/>
          <w:szCs w:val="24"/>
          <w:highlight w:val="none"/>
        </w:rPr>
        <w:t>）招标人代表、记录人等有关人员在开标记录上签字确认；</w:t>
      </w:r>
    </w:p>
    <w:p w14:paraId="17D180F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w:t>
      </w:r>
      <w:r>
        <w:rPr>
          <w:rFonts w:hint="eastAsia" w:ascii="宋体" w:hAnsi="宋体" w:eastAsia="宋体" w:cs="宋体"/>
          <w:color w:val="auto"/>
          <w:kern w:val="21"/>
          <w:sz w:val="24"/>
          <w:szCs w:val="24"/>
          <w:highlight w:val="none"/>
          <w:lang w:val="en-US" w:eastAsia="zh-CN"/>
        </w:rPr>
        <w:t>6</w:t>
      </w:r>
      <w:r>
        <w:rPr>
          <w:rFonts w:hint="eastAsia" w:ascii="宋体" w:hAnsi="宋体" w:eastAsia="宋体" w:cs="宋体"/>
          <w:color w:val="auto"/>
          <w:kern w:val="21"/>
          <w:sz w:val="24"/>
          <w:szCs w:val="24"/>
          <w:highlight w:val="none"/>
        </w:rPr>
        <w:t>）开标结束。</w:t>
      </w:r>
    </w:p>
    <w:p w14:paraId="78F6170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5.2.2在投标文件第一个信封（商务及技术文件）开标现场，投标文件第二个信封（报价文件）不予开封。</w:t>
      </w:r>
    </w:p>
    <w:p w14:paraId="3F7E571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5.2.3招标人将按照本章第5.1款规定的时间和地点对投标文件第二个信封（报价文件）进行开标。主持人按下列程序进行开标：</w:t>
      </w:r>
    </w:p>
    <w:p w14:paraId="26F971D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（1）宣布开标纪律；</w:t>
      </w:r>
    </w:p>
    <w:p w14:paraId="7932101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（2）当众拆开投标文件第一个信封（商务及技术文件）评审结果的密封袋，宣布通过投标文件第一个信封（商务及技术文件）评审的投标人名单；</w:t>
      </w:r>
    </w:p>
    <w:p w14:paraId="020B40A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（3）宣布开标人、唱标人、记录人等有关人员姓名；</w:t>
      </w:r>
    </w:p>
    <w:p w14:paraId="0D3852B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（4）按照投标人须知前附表规定由投标人推选的代表检查投标文件的密封情况；</w:t>
      </w:r>
    </w:p>
    <w:p w14:paraId="19761C0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按照投标人须知前附表规定的开标顺序当众开标，开标人只拆封通过投标文件第一个信封（商务及技术文件）评审的投标文件第二个信封（报价文件），公布标段名称、投标人名称、投标报价及其他内容，并记录在案；</w:t>
      </w:r>
    </w:p>
    <w:p w14:paraId="41FDB4F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（6）计算并宣布评标基准价；</w:t>
      </w:r>
    </w:p>
    <w:p w14:paraId="20391E0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（7）将未通过投标文件第一个信封（商务及技术文件）评审的投标文件第二个信封（报价文件）退还给投标人；</w:t>
      </w:r>
    </w:p>
    <w:p w14:paraId="36BAF5B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（8）记录人等有关人员在开标记录上签字确认；</w:t>
      </w:r>
    </w:p>
    <w:p w14:paraId="44B4F11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（9）开标结束。</w:t>
      </w:r>
    </w:p>
    <w:p w14:paraId="7712BEB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5.2.4在投标文件第二个信封（报价文件）开标现场，招标人将按第三章“评标办法”规定的原则计算并宣布评标基准价。若招标人发现投标文件出现以下任一情况，其投标报价将不再参加评标基准价的计算：</w:t>
      </w:r>
    </w:p>
    <w:p w14:paraId="3534BA1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（1）未在投标函上填写投标总价；</w:t>
      </w:r>
    </w:p>
    <w:p w14:paraId="5AC0D65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（2）投标报价超出招标人公布的最高投标限价（如有）；</w:t>
      </w:r>
    </w:p>
    <w:p w14:paraId="61E66EE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（3）投标报价的大写金额无法确定具体数值；</w:t>
      </w:r>
    </w:p>
    <w:p w14:paraId="311844C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（4）投标函上填写的标段号与投标文件封套上标记的标段号不一致。</w:t>
      </w:r>
    </w:p>
    <w:p w14:paraId="381B7A0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如果投标人认为某一标段的评标基准价计算有误，有权在开标现场提出，经招标人当场核实确认之后，可重新宣布评标基准价。开标现场宣布的评标基准价除计算有误经评标委员会修正外，在整个评标期间保持不变，不随任何因素发生变化。</w:t>
      </w:r>
    </w:p>
    <w:p w14:paraId="2D5073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5.2.5在投标文件第一个信封（商务及技术文件）或第二个信封（报价文件）开标过程中，若招标人宣读的内容与投标文件不符，投标人有权在开标现场提出疑问，经招标人当场核查确认之后，可重新宣读其投标文件。若投标人现场未提出疑问，则认为投标人已确认招标人宣读的内容。</w:t>
      </w:r>
    </w:p>
    <w:p w14:paraId="40BE2AC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82" w:name="_Toc503517955"/>
      <w:bookmarkStart w:id="183" w:name="_Toc503235776"/>
      <w:r>
        <w:rPr>
          <w:rFonts w:hint="eastAsia" w:ascii="宋体" w:hAnsi="宋体" w:eastAsia="宋体" w:cs="宋体"/>
          <w:b/>
          <w:color w:val="auto"/>
          <w:kern w:val="21"/>
          <w:sz w:val="28"/>
          <w:szCs w:val="28"/>
          <w:highlight w:val="none"/>
        </w:rPr>
        <w:t>5.3开标异议</w:t>
      </w:r>
      <w:bookmarkEnd w:id="182"/>
      <w:bookmarkEnd w:id="183"/>
    </w:p>
    <w:p w14:paraId="5032F6B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投标人对开标有异议的，应在开标现场提出，招标人当场作出答复，并制作记录，招标人代表、记录人等有关人员在记录上签字确认。</w:t>
      </w:r>
    </w:p>
    <w:p w14:paraId="5E7E3E0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84" w:name="_Toc8937_WPSOffice_Level2"/>
      <w:bookmarkStart w:id="185" w:name="_Toc503235777"/>
      <w:bookmarkStart w:id="186" w:name="_Toc503517956"/>
      <w:r>
        <w:rPr>
          <w:rFonts w:hint="eastAsia" w:ascii="宋体" w:hAnsi="宋体" w:eastAsia="宋体" w:cs="宋体"/>
          <w:b/>
          <w:color w:val="auto"/>
          <w:kern w:val="21"/>
          <w:sz w:val="28"/>
          <w:szCs w:val="28"/>
          <w:highlight w:val="none"/>
        </w:rPr>
        <w:t>6.评标</w:t>
      </w:r>
      <w:bookmarkEnd w:id="184"/>
      <w:bookmarkEnd w:id="185"/>
      <w:bookmarkEnd w:id="186"/>
    </w:p>
    <w:p w14:paraId="0FD2234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87" w:name="_Toc503235778"/>
      <w:bookmarkStart w:id="188" w:name="_Toc503517957"/>
      <w:r>
        <w:rPr>
          <w:rFonts w:hint="eastAsia" w:ascii="宋体" w:hAnsi="宋体" w:eastAsia="宋体" w:cs="宋体"/>
          <w:b/>
          <w:color w:val="auto"/>
          <w:kern w:val="21"/>
          <w:sz w:val="28"/>
          <w:szCs w:val="28"/>
          <w:highlight w:val="none"/>
        </w:rPr>
        <w:t>6.1评标委员会</w:t>
      </w:r>
      <w:bookmarkEnd w:id="187"/>
      <w:bookmarkEnd w:id="188"/>
    </w:p>
    <w:p w14:paraId="68E59A3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6CE54F6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6.1.2评标委员会成员有下列情形之一的，应主动提出回避：</w:t>
      </w:r>
    </w:p>
    <w:p w14:paraId="6283BC7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（1）为负责招标项目监督管理的交通运输主管部门的工作人员；</w:t>
      </w:r>
    </w:p>
    <w:p w14:paraId="1CBE462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（2）与投标人法定代表人或其委托代理人有近亲属关系；</w:t>
      </w:r>
    </w:p>
    <w:p w14:paraId="2E2EBA7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（3）为投标人的工作人员或退休人员；</w:t>
      </w:r>
    </w:p>
    <w:p w14:paraId="067F91B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（4）与投标人有其他利害关系，可能影响评标活动公正性；</w:t>
      </w:r>
    </w:p>
    <w:p w14:paraId="2BC57DE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（5）在与招标投标有关的活动中有过违法违规行为、曾受过行政处罚或刑事处罚。</w:t>
      </w:r>
    </w:p>
    <w:p w14:paraId="182AC22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6.1.3评标过程中，评标委员会成员有回避事由、擅离职守或因健康等原因不能继续评标的，招标人有权更换。被更换的评标委员会成员作出的评审结论无效，由更换后的评标委员会成员重新进行评审。</w:t>
      </w:r>
    </w:p>
    <w:p w14:paraId="5E2961A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89" w:name="_Toc503235779"/>
      <w:bookmarkStart w:id="190" w:name="_Toc503517958"/>
      <w:r>
        <w:rPr>
          <w:rFonts w:hint="eastAsia" w:ascii="宋体" w:hAnsi="宋体" w:eastAsia="宋体" w:cs="宋体"/>
          <w:b/>
          <w:color w:val="auto"/>
          <w:kern w:val="21"/>
          <w:sz w:val="28"/>
          <w:szCs w:val="28"/>
          <w:highlight w:val="none"/>
        </w:rPr>
        <w:t>6.2评标原则</w:t>
      </w:r>
      <w:bookmarkEnd w:id="189"/>
      <w:bookmarkEnd w:id="190"/>
    </w:p>
    <w:p w14:paraId="0BA3EB6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评标活动遵循公平、公正、科学和择优的原则。</w:t>
      </w:r>
    </w:p>
    <w:p w14:paraId="32591B0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91" w:name="_Toc503517959"/>
      <w:bookmarkStart w:id="192" w:name="_Toc503235780"/>
      <w:r>
        <w:rPr>
          <w:rFonts w:hint="eastAsia" w:ascii="宋体" w:hAnsi="宋体" w:eastAsia="宋体" w:cs="宋体"/>
          <w:b/>
          <w:color w:val="auto"/>
          <w:kern w:val="21"/>
          <w:sz w:val="28"/>
          <w:szCs w:val="28"/>
          <w:highlight w:val="none"/>
        </w:rPr>
        <w:t>6.3评标</w:t>
      </w:r>
      <w:bookmarkEnd w:id="191"/>
      <w:bookmarkEnd w:id="192"/>
    </w:p>
    <w:p w14:paraId="680184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6.3.1评标委员会按照第三章“评标办法”规定的方法、评审因素、标准和程序对投标文件进行评审。第三章“评标办法”没有规定的方法、评审因素和标准，不作为评标依据。</w:t>
      </w:r>
    </w:p>
    <w:p w14:paraId="626B7AA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6.3.2评标完成后，评标委员会应向招标人提交书面评标报告和中标候选人名单。评标委员会推荐中标</w:t>
      </w:r>
      <w:bookmarkStart w:id="193" w:name="_Toc247527583"/>
      <w:bookmarkStart w:id="194" w:name="_Toc352691502"/>
      <w:bookmarkStart w:id="195" w:name="_Toc247513982"/>
      <w:bookmarkStart w:id="196" w:name="_Toc152042334"/>
      <w:bookmarkStart w:id="197" w:name="_Toc384308240"/>
      <w:bookmarkStart w:id="198" w:name="_Toc12259"/>
      <w:bookmarkStart w:id="199" w:name="_Toc369531546"/>
      <w:bookmarkStart w:id="200" w:name="_Toc361508615"/>
      <w:bookmarkStart w:id="201" w:name="_Toc152045558"/>
      <w:bookmarkStart w:id="202" w:name="_Toc144974526"/>
      <w:bookmarkStart w:id="203" w:name="_Toc300834979"/>
      <w:r>
        <w:rPr>
          <w:rFonts w:hint="eastAsia" w:ascii="宋体" w:hAnsi="宋体" w:eastAsia="宋体" w:cs="宋体"/>
          <w:color w:val="auto"/>
          <w:kern w:val="21"/>
          <w:sz w:val="24"/>
          <w:szCs w:val="24"/>
          <w:highlight w:val="none"/>
        </w:rPr>
        <w:t>候选人的人数见投标人须知前附</w:t>
      </w:r>
      <w:bookmarkEnd w:id="193"/>
      <w:bookmarkEnd w:id="194"/>
      <w:bookmarkEnd w:id="195"/>
      <w:bookmarkEnd w:id="196"/>
      <w:bookmarkEnd w:id="197"/>
      <w:bookmarkEnd w:id="198"/>
      <w:bookmarkEnd w:id="199"/>
      <w:bookmarkEnd w:id="200"/>
      <w:bookmarkEnd w:id="201"/>
      <w:bookmarkEnd w:id="202"/>
      <w:bookmarkEnd w:id="203"/>
      <w:r>
        <w:rPr>
          <w:rFonts w:hint="eastAsia" w:ascii="宋体" w:hAnsi="宋体" w:eastAsia="宋体" w:cs="宋体"/>
          <w:color w:val="auto"/>
          <w:kern w:val="21"/>
          <w:sz w:val="24"/>
          <w:szCs w:val="24"/>
          <w:highlight w:val="none"/>
        </w:rPr>
        <w:t>表。</w:t>
      </w:r>
    </w:p>
    <w:p w14:paraId="5F91A0A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04" w:name="_Toc503235781"/>
      <w:bookmarkStart w:id="205" w:name="_Toc28460_WPSOffice_Level2"/>
      <w:bookmarkStart w:id="206" w:name="_Toc503517960"/>
      <w:r>
        <w:rPr>
          <w:rFonts w:hint="eastAsia" w:ascii="宋体" w:hAnsi="宋体" w:eastAsia="宋体" w:cs="宋体"/>
          <w:b/>
          <w:color w:val="auto"/>
          <w:kern w:val="21"/>
          <w:sz w:val="28"/>
          <w:szCs w:val="28"/>
          <w:highlight w:val="none"/>
        </w:rPr>
        <w:t>7.合同授予</w:t>
      </w:r>
      <w:bookmarkEnd w:id="204"/>
      <w:bookmarkEnd w:id="205"/>
      <w:bookmarkEnd w:id="206"/>
    </w:p>
    <w:p w14:paraId="20EBAD4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07" w:name="_Toc503517961"/>
      <w:bookmarkStart w:id="208" w:name="_Toc503235782"/>
      <w:r>
        <w:rPr>
          <w:rFonts w:hint="eastAsia" w:ascii="宋体" w:hAnsi="宋体" w:eastAsia="宋体" w:cs="宋体"/>
          <w:b/>
          <w:color w:val="auto"/>
          <w:kern w:val="21"/>
          <w:sz w:val="28"/>
          <w:szCs w:val="28"/>
          <w:highlight w:val="none"/>
        </w:rPr>
        <w:t>7.1中标候选人公示</w:t>
      </w:r>
      <w:bookmarkEnd w:id="207"/>
      <w:bookmarkEnd w:id="208"/>
    </w:p>
    <w:p w14:paraId="7568466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招标人在收到评标报告之日起3日内，按照投标人须知前附表规定的公示媒介和期限公示中标候选人，公示期不得少于3日，公示内容包括：</w:t>
      </w:r>
    </w:p>
    <w:p w14:paraId="069B534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（1）中标候选人排序、名称、投标报价，对监理质量要求、安全目标和监理服务期限的响应情况；</w:t>
      </w:r>
    </w:p>
    <w:p w14:paraId="5349040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（2）中标候选人在投标文件中承诺的总监理工程师或驻地监理工程师姓名、个人业绩、相关证书名称和编号；</w:t>
      </w:r>
    </w:p>
    <w:p w14:paraId="6EC9D6B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（3）中标候选人在投标文件中填报的项目业绩；</w:t>
      </w:r>
    </w:p>
    <w:p w14:paraId="28FDA01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（4）被否决投标的投标人名称、否决依据和原因；</w:t>
      </w:r>
    </w:p>
    <w:p w14:paraId="2A6E968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（5）提出异议的渠道和方式；</w:t>
      </w:r>
    </w:p>
    <w:p w14:paraId="2A611CA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（6）投标人须知前附表规定公示的其他内容。</w:t>
      </w:r>
    </w:p>
    <w:p w14:paraId="4072E47E">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09" w:name="_Toc503235783"/>
      <w:bookmarkStart w:id="210" w:name="_Toc503517962"/>
      <w:r>
        <w:rPr>
          <w:rFonts w:hint="eastAsia" w:ascii="宋体" w:hAnsi="宋体" w:eastAsia="宋体" w:cs="宋体"/>
          <w:b/>
          <w:color w:val="auto"/>
          <w:kern w:val="21"/>
          <w:sz w:val="28"/>
          <w:szCs w:val="28"/>
          <w:highlight w:val="none"/>
        </w:rPr>
        <w:t>7.2评标结果异议</w:t>
      </w:r>
      <w:bookmarkEnd w:id="209"/>
      <w:bookmarkEnd w:id="210"/>
    </w:p>
    <w:p w14:paraId="3E8BE00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投标人或其他利害关系人对依法必须进行招标的项目的评标结果有异议的，应在中标候选人公示期间提出。招标人将在收到异议之日起3日内作出答复；作出答复前，将暂停招标投标活动。</w:t>
      </w:r>
    </w:p>
    <w:p w14:paraId="35BC9014">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11" w:name="_Toc503517963"/>
      <w:bookmarkStart w:id="212" w:name="_Toc503235784"/>
      <w:r>
        <w:rPr>
          <w:rFonts w:hint="eastAsia" w:ascii="宋体" w:hAnsi="宋体" w:eastAsia="宋体" w:cs="宋体"/>
          <w:b/>
          <w:color w:val="auto"/>
          <w:kern w:val="21"/>
          <w:sz w:val="28"/>
          <w:szCs w:val="28"/>
          <w:highlight w:val="none"/>
        </w:rPr>
        <w:t>7.3中标候选人履约能力审查</w:t>
      </w:r>
      <w:bookmarkEnd w:id="211"/>
      <w:bookmarkEnd w:id="212"/>
    </w:p>
    <w:p w14:paraId="55D8112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中标候选人的经营、财务状况发生较大变化或存在违法行为，招标人认为可能影响其履约能力的，将在发出中标通知书前提请原评标委员会按照招标文件规定的标准和方法进行审查确认。</w:t>
      </w:r>
    </w:p>
    <w:p w14:paraId="041D535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13" w:name="_Toc503235785"/>
      <w:bookmarkStart w:id="214" w:name="_Toc503517964"/>
      <w:r>
        <w:rPr>
          <w:rFonts w:hint="eastAsia" w:ascii="宋体" w:hAnsi="宋体" w:eastAsia="宋体" w:cs="宋体"/>
          <w:b/>
          <w:color w:val="auto"/>
          <w:kern w:val="21"/>
          <w:sz w:val="28"/>
          <w:szCs w:val="28"/>
          <w:highlight w:val="none"/>
        </w:rPr>
        <w:t>7.4定标</w:t>
      </w:r>
      <w:bookmarkEnd w:id="213"/>
      <w:bookmarkEnd w:id="214"/>
    </w:p>
    <w:p w14:paraId="6839336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按照投标人须知前附表的规定，招标人或招标人授权的评标委员会依法确定中标人。</w:t>
      </w:r>
    </w:p>
    <w:p w14:paraId="414EE8D1">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15" w:name="_Toc503235786"/>
      <w:bookmarkStart w:id="216" w:name="_Toc503517965"/>
      <w:r>
        <w:rPr>
          <w:rFonts w:hint="eastAsia" w:ascii="宋体" w:hAnsi="宋体" w:eastAsia="宋体" w:cs="宋体"/>
          <w:b/>
          <w:color w:val="auto"/>
          <w:kern w:val="21"/>
          <w:sz w:val="28"/>
          <w:szCs w:val="28"/>
          <w:highlight w:val="none"/>
        </w:rPr>
        <w:t>7.5中标通知</w:t>
      </w:r>
      <w:bookmarkEnd w:id="215"/>
      <w:bookmarkEnd w:id="216"/>
    </w:p>
    <w:p w14:paraId="7D3E2BD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在本章第3.3款规定的投标有效期内，招标人以投标人须知前附表规定的形式向中标人发出中标通知书，同时将中标结果通知未中标的投标人。</w:t>
      </w:r>
    </w:p>
    <w:p w14:paraId="4999F83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17" w:name="_Toc501257108"/>
      <w:bookmarkStart w:id="218" w:name="_Toc503235787"/>
      <w:bookmarkStart w:id="219" w:name="_Toc503517966"/>
      <w:r>
        <w:rPr>
          <w:rFonts w:hint="eastAsia" w:ascii="宋体" w:hAnsi="宋体" w:eastAsia="宋体" w:cs="宋体"/>
          <w:b/>
          <w:color w:val="auto"/>
          <w:kern w:val="21"/>
          <w:sz w:val="28"/>
          <w:szCs w:val="28"/>
          <w:highlight w:val="none"/>
        </w:rPr>
        <w:t>7.6中标结果公告</w:t>
      </w:r>
      <w:bookmarkEnd w:id="217"/>
      <w:bookmarkEnd w:id="218"/>
      <w:bookmarkEnd w:id="219"/>
    </w:p>
    <w:p w14:paraId="0C0779D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招标人在确定中标人之日起3日内，按照投标人须知前附表规定的公告媒介和期限公告中标结果，公告期不得少于3日。公告内容包括中标人名称、中标价。</w:t>
      </w:r>
    </w:p>
    <w:p w14:paraId="72CB556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20" w:name="_Toc503517967"/>
      <w:bookmarkStart w:id="221" w:name="_Toc503235789"/>
      <w:r>
        <w:rPr>
          <w:rFonts w:hint="eastAsia" w:ascii="宋体" w:hAnsi="宋体" w:eastAsia="宋体" w:cs="宋体"/>
          <w:b/>
          <w:color w:val="auto"/>
          <w:kern w:val="21"/>
          <w:sz w:val="28"/>
          <w:szCs w:val="28"/>
          <w:highlight w:val="none"/>
        </w:rPr>
        <w:t>7.7履约保证金</w:t>
      </w:r>
      <w:bookmarkEnd w:id="220"/>
      <w:bookmarkEnd w:id="221"/>
    </w:p>
    <w:p w14:paraId="09C524C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7.7.1在签订合同前，中标人应按投标人须知前附表规定的形式、金额和招标文件第四章“合同条款及格式”规定的或事先经过招标人书面认可的履约保证金格式向招标人提交履约保证金。除投标人须知前附表另有规定外，履约保证金为签约合同价的</w:t>
      </w:r>
      <w:r>
        <w:rPr>
          <w:rFonts w:hint="eastAsia" w:ascii="宋体" w:hAnsi="宋体" w:eastAsia="宋体" w:cs="宋体"/>
          <w:color w:val="auto"/>
          <w:kern w:val="21"/>
          <w:sz w:val="24"/>
          <w:szCs w:val="24"/>
          <w:highlight w:val="none"/>
          <w:lang w:val="en-US" w:eastAsia="zh-CN"/>
        </w:rPr>
        <w:t>3</w:t>
      </w:r>
      <w:r>
        <w:rPr>
          <w:rFonts w:hint="eastAsia" w:ascii="宋体" w:hAnsi="宋体" w:eastAsia="宋体" w:cs="宋体"/>
          <w:color w:val="auto"/>
          <w:kern w:val="21"/>
          <w:sz w:val="24"/>
          <w:szCs w:val="24"/>
          <w:highlight w:val="none"/>
        </w:rPr>
        <w:t>%。联合体中标的，其履约保证金以联合体各方或联合体中牵头人的名义提交。</w:t>
      </w:r>
    </w:p>
    <w:p w14:paraId="5D1AEC8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采用银行保函时，应由符合投标人须知前附表规定级别的银行开具，所需的费用由中标人承担，中标人应保证银行保函有效。</w:t>
      </w:r>
    </w:p>
    <w:p w14:paraId="0156E02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7.7.2中标人不能按本章第7.7.1项要求提交履约保证金的，视为放弃中标，其投标保证金不予退还，给招标人造成的损失超过投标保证金数额的，中标人还应对超过部分予以赔偿。</w:t>
      </w:r>
    </w:p>
    <w:p w14:paraId="6427780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22" w:name="_Toc503235790"/>
      <w:bookmarkStart w:id="223" w:name="_Toc503517968"/>
      <w:r>
        <w:rPr>
          <w:rFonts w:hint="eastAsia" w:ascii="宋体" w:hAnsi="宋体" w:eastAsia="宋体" w:cs="宋体"/>
          <w:b/>
          <w:color w:val="auto"/>
          <w:kern w:val="21"/>
          <w:sz w:val="28"/>
          <w:szCs w:val="28"/>
          <w:highlight w:val="none"/>
        </w:rPr>
        <w:t>7.8签订合同</w:t>
      </w:r>
      <w:bookmarkEnd w:id="222"/>
      <w:bookmarkEnd w:id="223"/>
    </w:p>
    <w:p w14:paraId="5E60956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7.8.1招标人和中标人应在中标通知书发出之日起30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w:t>
      </w:r>
    </w:p>
    <w:p w14:paraId="38C0B5B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7.8.2发出中标通知书后，招标人无正当理由拒签合同，或在签订合同时向中标人提出附加条件的，招标人向中标人退还投标保证金；给中标人造成损失的，还应赔偿损失。</w:t>
      </w:r>
    </w:p>
    <w:p w14:paraId="22AAEF7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7.8.3签约合同价的确定原则如下：</w:t>
      </w:r>
    </w:p>
    <w:p w14:paraId="268A6A9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（1）按照评标办法规定对投标报价进行修正后，若修正后的最终投标报价小于开标时的投标函大写金额报价，则签订合同时以修正后的最终投标报价为准；</w:t>
      </w:r>
    </w:p>
    <w:p w14:paraId="27503BF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（2）按照评标办法规定对投标报价进行修正后，若修正后的最终投标报价大于开标时的投标函大写金额报价，则签订合同时以开标时的投标函大写金额报价为准，同时按比例修正相应子目的单价或合价。</w:t>
      </w:r>
    </w:p>
    <w:p w14:paraId="0A2CEFE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7.8.4联合体中标的，联合体各方应共同与招标人签订合同，就中标项目向招标人承担连带责任。</w:t>
      </w:r>
    </w:p>
    <w:p w14:paraId="10DF455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7.8.5招标人和中标人在签订合同协议书的同时，须按照本招标文件规定的格式和要求签订廉政合同，明确双方在廉政建设方面的权利和义务以及应承担的违约责任。</w:t>
      </w:r>
    </w:p>
    <w:p w14:paraId="0B04C533">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szCs w:val="28"/>
          <w:highlight w:val="none"/>
        </w:rPr>
      </w:pPr>
      <w:bookmarkStart w:id="224" w:name="_Toc11583_WPSOffice_Level2"/>
      <w:bookmarkStart w:id="225" w:name="_Toc503517969"/>
      <w:bookmarkStart w:id="226" w:name="_Toc503235791"/>
      <w:r>
        <w:rPr>
          <w:rFonts w:hint="eastAsia" w:ascii="宋体" w:hAnsi="宋体" w:eastAsia="宋体" w:cs="宋体"/>
          <w:b/>
          <w:color w:val="auto"/>
          <w:kern w:val="21"/>
          <w:sz w:val="28"/>
          <w:szCs w:val="28"/>
          <w:highlight w:val="none"/>
        </w:rPr>
        <w:t>8.纪律和监督</w:t>
      </w:r>
      <w:bookmarkEnd w:id="224"/>
      <w:bookmarkEnd w:id="225"/>
      <w:bookmarkEnd w:id="226"/>
    </w:p>
    <w:p w14:paraId="669BCEEE">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27" w:name="_Toc503517970"/>
      <w:bookmarkStart w:id="228" w:name="_Toc503235792"/>
      <w:r>
        <w:rPr>
          <w:rFonts w:hint="eastAsia" w:ascii="宋体" w:hAnsi="宋体" w:eastAsia="宋体" w:cs="宋体"/>
          <w:b/>
          <w:color w:val="auto"/>
          <w:kern w:val="21"/>
          <w:sz w:val="28"/>
          <w:szCs w:val="28"/>
          <w:highlight w:val="none"/>
        </w:rPr>
        <w:t>8.1对招标人的纪律要求</w:t>
      </w:r>
      <w:bookmarkEnd w:id="227"/>
      <w:bookmarkEnd w:id="228"/>
    </w:p>
    <w:p w14:paraId="42B0D2E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招标人不得泄露招标投标活动中应保密的情况和资料，不得与投标人串通损害国家利益、社会公共利益或他人合法权益。</w:t>
      </w:r>
    </w:p>
    <w:p w14:paraId="3C1B9F9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29" w:name="_Toc503517971"/>
      <w:bookmarkStart w:id="230" w:name="_Toc503235793"/>
      <w:r>
        <w:rPr>
          <w:rFonts w:hint="eastAsia" w:ascii="宋体" w:hAnsi="宋体" w:eastAsia="宋体" w:cs="宋体"/>
          <w:b/>
          <w:color w:val="auto"/>
          <w:kern w:val="21"/>
          <w:sz w:val="28"/>
          <w:szCs w:val="28"/>
          <w:highlight w:val="none"/>
        </w:rPr>
        <w:t>8.2对投标人的纪律要求</w:t>
      </w:r>
      <w:bookmarkEnd w:id="229"/>
      <w:bookmarkEnd w:id="230"/>
    </w:p>
    <w:p w14:paraId="31C9712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投标人不得相互串通投标或与招标人串通投标，不得向招标人或评标委员会成员行贿谋取中标，不得以他人名义投标或以其他方式弄虚作假骗取中标；投标人不得以任何方式干扰、影响评标工作。</w:t>
      </w:r>
    </w:p>
    <w:p w14:paraId="2E6D069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31" w:name="_Toc503517972"/>
      <w:bookmarkStart w:id="232" w:name="_Toc503235794"/>
      <w:r>
        <w:rPr>
          <w:rFonts w:hint="eastAsia" w:ascii="宋体" w:hAnsi="宋体" w:eastAsia="宋体" w:cs="宋体"/>
          <w:b/>
          <w:color w:val="auto"/>
          <w:kern w:val="21"/>
          <w:sz w:val="28"/>
          <w:szCs w:val="28"/>
          <w:highlight w:val="none"/>
        </w:rPr>
        <w:t>8.3对评标委员会成员的纪律要求</w:t>
      </w:r>
      <w:bookmarkEnd w:id="231"/>
      <w:bookmarkEnd w:id="232"/>
    </w:p>
    <w:p w14:paraId="78D250D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行，不得使用第三章“评标办法”没有规定的评审因素和标准进行评标。</w:t>
      </w:r>
    </w:p>
    <w:p w14:paraId="5B2D914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33" w:name="_Toc503235795"/>
      <w:bookmarkStart w:id="234" w:name="_Toc503517973"/>
      <w:r>
        <w:rPr>
          <w:rFonts w:hint="eastAsia" w:ascii="宋体" w:hAnsi="宋体" w:eastAsia="宋体" w:cs="宋体"/>
          <w:b/>
          <w:color w:val="auto"/>
          <w:kern w:val="21"/>
          <w:sz w:val="28"/>
          <w:szCs w:val="28"/>
          <w:highlight w:val="none"/>
        </w:rPr>
        <w:t>8.4对与评标活动有关的工作人员的纪律要求</w:t>
      </w:r>
      <w:bookmarkEnd w:id="233"/>
      <w:bookmarkEnd w:id="234"/>
    </w:p>
    <w:p w14:paraId="64C04CE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t>
      </w:r>
    </w:p>
    <w:p w14:paraId="35ED3D8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35" w:name="_Toc503517974"/>
      <w:bookmarkStart w:id="236" w:name="_Toc503235796"/>
      <w:r>
        <w:rPr>
          <w:rFonts w:hint="eastAsia" w:ascii="宋体" w:hAnsi="宋体" w:eastAsia="宋体" w:cs="宋体"/>
          <w:b/>
          <w:color w:val="auto"/>
          <w:kern w:val="21"/>
          <w:sz w:val="28"/>
          <w:szCs w:val="28"/>
          <w:highlight w:val="none"/>
        </w:rPr>
        <w:t>8.5投诉</w:t>
      </w:r>
      <w:bookmarkEnd w:id="235"/>
      <w:bookmarkEnd w:id="236"/>
    </w:p>
    <w:p w14:paraId="08B68DE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8.5.1投标人或其他利害关系人认为招标投标活动不符合法律、行政法规规定的，可以自知道或应当知道之日起10日内向有关行政监督部门投诉。投诉应有明确的请求和必要的证明材料。</w:t>
      </w:r>
    </w:p>
    <w:p w14:paraId="57609D2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监督部门的联系方式见投标人须知前附表。</w:t>
      </w:r>
    </w:p>
    <w:p w14:paraId="2770FE63">
      <w:pPr>
        <w:keepNext w:val="0"/>
        <w:keepLines w:val="0"/>
        <w:pageBreakBefore w:val="0"/>
        <w:widowControl w:val="0"/>
        <w:kinsoku/>
        <w:wordWrap/>
        <w:overflowPunct/>
        <w:topLinePunct w:val="0"/>
        <w:autoSpaceDE w:val="0"/>
        <w:autoSpaceDN w:val="0"/>
        <w:bidi w:val="0"/>
        <w:adjustRightInd w:val="0"/>
        <w:snapToGrid/>
        <w:spacing w:line="336" w:lineRule="auto"/>
        <w:ind w:firstLine="480" w:firstLineChars="20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8.5.2投标人或其他利害关系人对招标文件、开标和评标结果提出投诉的，应按照投标人须知第2.4款、第5.3款和第7.2款的规定先向招标人提出异议。异议答复期间</w:t>
      </w:r>
      <w:bookmarkStart w:id="237" w:name="_Toc12776"/>
      <w:bookmarkStart w:id="238" w:name="_Toc247527595"/>
      <w:bookmarkStart w:id="239" w:name="_Toc352691517"/>
      <w:bookmarkStart w:id="240" w:name="_Toc369531561"/>
      <w:bookmarkStart w:id="241" w:name="_Toc361508630"/>
      <w:bookmarkStart w:id="242" w:name="_Toc300834993"/>
      <w:bookmarkStart w:id="243" w:name="_Toc384308255"/>
      <w:bookmarkStart w:id="244" w:name="_Toc144974538"/>
      <w:bookmarkStart w:id="245" w:name="_Toc247513994"/>
      <w:bookmarkStart w:id="246" w:name="_Toc152045570"/>
      <w:bookmarkStart w:id="247" w:name="_Toc152042346"/>
      <w:r>
        <w:rPr>
          <w:rFonts w:hint="eastAsia" w:ascii="宋体" w:hAnsi="宋体" w:eastAsia="宋体" w:cs="宋体"/>
          <w:color w:val="auto"/>
          <w:kern w:val="21"/>
          <w:sz w:val="24"/>
          <w:szCs w:val="24"/>
          <w:highlight w:val="none"/>
        </w:rPr>
        <w:t>不计算在第8.5.</w:t>
      </w:r>
      <w:bookmarkEnd w:id="237"/>
      <w:bookmarkEnd w:id="238"/>
      <w:bookmarkEnd w:id="239"/>
      <w:bookmarkEnd w:id="240"/>
      <w:bookmarkEnd w:id="241"/>
      <w:bookmarkEnd w:id="242"/>
      <w:bookmarkEnd w:id="243"/>
      <w:bookmarkEnd w:id="244"/>
      <w:bookmarkEnd w:id="245"/>
      <w:bookmarkEnd w:id="246"/>
      <w:bookmarkEnd w:id="247"/>
      <w:r>
        <w:rPr>
          <w:rFonts w:hint="eastAsia" w:ascii="宋体" w:hAnsi="宋体" w:eastAsia="宋体" w:cs="宋体"/>
          <w:color w:val="auto"/>
          <w:kern w:val="21"/>
          <w:sz w:val="24"/>
          <w:szCs w:val="24"/>
          <w:highlight w:val="none"/>
        </w:rPr>
        <w:t>1项规定的期限内。</w:t>
      </w:r>
    </w:p>
    <w:p w14:paraId="05AAF099">
      <w:pPr>
        <w:keepNext w:val="0"/>
        <w:keepLines w:val="0"/>
        <w:pageBreakBefore w:val="0"/>
        <w:widowControl w:val="0"/>
        <w:kinsoku/>
        <w:wordWrap/>
        <w:overflowPunct/>
        <w:topLinePunct w:val="0"/>
        <w:autoSpaceDE w:val="0"/>
        <w:autoSpaceDN w:val="0"/>
        <w:bidi w:val="0"/>
        <w:adjustRightInd w:val="0"/>
        <w:snapToGrid/>
        <w:spacing w:before="240" w:beforeLines="100" w:after="120" w:afterLines="50" w:line="336" w:lineRule="auto"/>
        <w:textAlignment w:val="auto"/>
        <w:outlineLvl w:val="4"/>
        <w:rPr>
          <w:rFonts w:hint="eastAsia" w:ascii="宋体" w:hAnsi="宋体" w:eastAsia="宋体" w:cs="宋体"/>
          <w:b/>
          <w:color w:val="auto"/>
          <w:kern w:val="21"/>
          <w:sz w:val="28"/>
          <w:szCs w:val="28"/>
          <w:highlight w:val="none"/>
        </w:rPr>
      </w:pPr>
      <w:bookmarkStart w:id="248" w:name="_Toc9952_WPSOffice_Level2"/>
      <w:bookmarkStart w:id="249" w:name="_Toc503235797"/>
      <w:bookmarkStart w:id="250" w:name="_Toc503517975"/>
      <w:r>
        <w:rPr>
          <w:rFonts w:hint="eastAsia" w:ascii="宋体" w:hAnsi="宋体" w:eastAsia="宋体" w:cs="宋体"/>
          <w:b/>
          <w:color w:val="auto"/>
          <w:kern w:val="21"/>
          <w:sz w:val="28"/>
          <w:szCs w:val="28"/>
          <w:highlight w:val="none"/>
        </w:rPr>
        <w:t>9.是否采用电子招标投标</w:t>
      </w:r>
      <w:bookmarkEnd w:id="248"/>
      <w:bookmarkEnd w:id="249"/>
      <w:bookmarkEnd w:id="250"/>
    </w:p>
    <w:p w14:paraId="60FCB743">
      <w:pPr>
        <w:keepNext w:val="0"/>
        <w:keepLines w:val="0"/>
        <w:pageBreakBefore w:val="0"/>
        <w:widowControl w:val="0"/>
        <w:kinsoku/>
        <w:wordWrap/>
        <w:overflowPunct/>
        <w:topLinePunct w:val="0"/>
        <w:autoSpaceDE w:val="0"/>
        <w:autoSpaceDN w:val="0"/>
        <w:bidi w:val="0"/>
        <w:adjustRightInd w:val="0"/>
        <w:snapToGrid/>
        <w:spacing w:line="336" w:lineRule="auto"/>
        <w:ind w:firstLine="480" w:firstLineChars="20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本招标项目是否采用电子招标投标方式，见投标人须知前附表。</w:t>
      </w:r>
    </w:p>
    <w:p w14:paraId="24577D46">
      <w:pPr>
        <w:keepNext w:val="0"/>
        <w:keepLines w:val="0"/>
        <w:pageBreakBefore w:val="0"/>
        <w:widowControl w:val="0"/>
        <w:kinsoku/>
        <w:wordWrap/>
        <w:overflowPunct/>
        <w:topLinePunct w:val="0"/>
        <w:autoSpaceDE w:val="0"/>
        <w:autoSpaceDN w:val="0"/>
        <w:bidi w:val="0"/>
        <w:adjustRightInd w:val="0"/>
        <w:snapToGrid/>
        <w:spacing w:before="240" w:beforeLines="100" w:after="120" w:afterLines="50" w:line="336" w:lineRule="auto"/>
        <w:textAlignment w:val="auto"/>
        <w:outlineLvl w:val="4"/>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lang w:val="en-US" w:eastAsia="zh-CN"/>
        </w:rPr>
        <w:t>10.</w:t>
      </w:r>
      <w:r>
        <w:rPr>
          <w:rFonts w:hint="eastAsia" w:ascii="宋体" w:hAnsi="宋体" w:eastAsia="宋体" w:cs="宋体"/>
          <w:b/>
          <w:color w:val="auto"/>
          <w:kern w:val="21"/>
          <w:sz w:val="28"/>
          <w:szCs w:val="28"/>
          <w:highlight w:val="none"/>
        </w:rPr>
        <w:t>需要补充的其他内容</w:t>
      </w:r>
    </w:p>
    <w:p w14:paraId="4C2949E5">
      <w:pPr>
        <w:keepNext w:val="0"/>
        <w:keepLines w:val="0"/>
        <w:pageBreakBefore w:val="0"/>
        <w:widowControl w:val="0"/>
        <w:numPr>
          <w:ilvl w:val="1"/>
          <w:numId w:val="2"/>
        </w:numPr>
        <w:kinsoku/>
        <w:wordWrap/>
        <w:overflowPunct/>
        <w:topLinePunct w:val="0"/>
        <w:autoSpaceDE w:val="0"/>
        <w:autoSpaceDN w:val="0"/>
        <w:bidi w:val="0"/>
        <w:adjustRightInd w:val="0"/>
        <w:snapToGrid/>
        <w:spacing w:line="336" w:lineRule="auto"/>
        <w:ind w:firstLine="480" w:firstLineChars="20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自购买招标文件之日起，投标人应保证其提供的联系方式（电话、传真、电子邮件）一直有效，以便及时收到招标人发出的函件（招标文件的澄清、修改等），并应及时向招标人反馈信息，否则招标人不承担由此引起的一切后果。</w:t>
      </w:r>
    </w:p>
    <w:p w14:paraId="0C1B8DB5">
      <w:pPr>
        <w:keepNext w:val="0"/>
        <w:keepLines w:val="0"/>
        <w:pageBreakBefore w:val="0"/>
        <w:widowControl w:val="0"/>
        <w:kinsoku/>
        <w:wordWrap/>
        <w:overflowPunct/>
        <w:topLinePunct w:val="0"/>
        <w:autoSpaceDE w:val="0"/>
        <w:autoSpaceDN w:val="0"/>
        <w:bidi w:val="0"/>
        <w:adjustRightInd w:val="0"/>
        <w:snapToGrid/>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需要补充的其他内容：见投标人须知前附表。</w:t>
      </w:r>
      <w:bookmarkStart w:id="251" w:name="bookmark83"/>
      <w:bookmarkEnd w:id="251"/>
      <w:bookmarkStart w:id="252" w:name="_Toc2334_WPSOffice_Level2"/>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附件一开标记录表</w:t>
      </w:r>
      <w:bookmarkEnd w:id="252"/>
    </w:p>
    <w:p w14:paraId="1A70CFE9">
      <w:pPr>
        <w:keepNext w:val="0"/>
        <w:keepLines w:val="0"/>
        <w:widowControl w:val="0"/>
        <w:kinsoku w:val="0"/>
        <w:overflowPunct w:val="0"/>
        <w:autoSpaceDE w:val="0"/>
        <w:autoSpaceDN w:val="0"/>
        <w:bidi w:val="0"/>
        <w:adjustRightInd w:val="0"/>
        <w:spacing w:before="5" w:line="130" w:lineRule="exact"/>
        <w:jc w:val="left"/>
        <w:rPr>
          <w:rFonts w:hint="eastAsia" w:ascii="宋体" w:hAnsi="宋体" w:eastAsia="宋体" w:cs="宋体"/>
          <w:color w:val="auto"/>
          <w:sz w:val="13"/>
          <w:highlight w:val="none"/>
        </w:rPr>
      </w:pPr>
    </w:p>
    <w:p w14:paraId="18864E2C">
      <w:pPr>
        <w:keepNext w:val="0"/>
        <w:keepLines w:val="0"/>
        <w:widowControl w:val="0"/>
        <w:tabs>
          <w:tab w:val="left" w:pos="1186"/>
          <w:tab w:val="left" w:pos="3430"/>
        </w:tabs>
        <w:kinsoku w:val="0"/>
        <w:overflowPunct w:val="0"/>
        <w:autoSpaceDE w:val="0"/>
        <w:autoSpaceDN w:val="0"/>
        <w:bidi w:val="0"/>
        <w:adjustRightInd w:val="0"/>
        <w:spacing w:line="256" w:lineRule="auto"/>
        <w:ind w:left="3903" w:right="355" w:hanging="3695"/>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u w:val="single" w:color="000000"/>
        </w:rPr>
        <w:tab/>
      </w:r>
      <w:r>
        <w:rPr>
          <w:rFonts w:hint="eastAsia" w:ascii="宋体" w:hAnsi="宋体" w:eastAsia="宋体" w:cs="宋体"/>
          <w:color w:val="auto"/>
          <w:sz w:val="28"/>
          <w:szCs w:val="24"/>
          <w:highlight w:val="none"/>
        </w:rPr>
        <w:t>（项目名</w:t>
      </w:r>
      <w:r>
        <w:rPr>
          <w:rFonts w:hint="eastAsia" w:ascii="宋体" w:hAnsi="宋体" w:eastAsia="宋体" w:cs="宋体"/>
          <w:color w:val="auto"/>
          <w:spacing w:val="-3"/>
          <w:sz w:val="28"/>
          <w:szCs w:val="24"/>
          <w:highlight w:val="none"/>
        </w:rPr>
        <w:t>称</w:t>
      </w:r>
      <w:r>
        <w:rPr>
          <w:rFonts w:hint="eastAsia" w:ascii="宋体" w:hAnsi="宋体" w:eastAsia="宋体" w:cs="宋体"/>
          <w:color w:val="auto"/>
          <w:sz w:val="28"/>
          <w:szCs w:val="24"/>
          <w:highlight w:val="none"/>
        </w:rPr>
        <w:t>）</w:t>
      </w:r>
      <w:r>
        <w:rPr>
          <w:rFonts w:hint="eastAsia" w:ascii="宋体" w:hAnsi="宋体" w:eastAsia="宋体" w:cs="宋体"/>
          <w:color w:val="auto"/>
          <w:sz w:val="28"/>
          <w:szCs w:val="24"/>
          <w:highlight w:val="none"/>
          <w:u w:val="single" w:color="000000"/>
        </w:rPr>
        <w:tab/>
      </w:r>
      <w:r>
        <w:rPr>
          <w:rFonts w:hint="eastAsia" w:ascii="宋体" w:hAnsi="宋体" w:eastAsia="宋体" w:cs="宋体"/>
          <w:color w:val="auto"/>
          <w:sz w:val="28"/>
          <w:szCs w:val="24"/>
          <w:highlight w:val="none"/>
        </w:rPr>
        <w:t>标段施</w:t>
      </w:r>
      <w:r>
        <w:rPr>
          <w:rFonts w:hint="eastAsia" w:ascii="宋体" w:hAnsi="宋体" w:eastAsia="宋体" w:cs="宋体"/>
          <w:color w:val="auto"/>
          <w:spacing w:val="-3"/>
          <w:sz w:val="28"/>
          <w:szCs w:val="24"/>
          <w:highlight w:val="none"/>
        </w:rPr>
        <w:t>工监</w:t>
      </w:r>
      <w:r>
        <w:rPr>
          <w:rFonts w:hint="eastAsia" w:ascii="宋体" w:hAnsi="宋体" w:eastAsia="宋体" w:cs="宋体"/>
          <w:color w:val="auto"/>
          <w:sz w:val="28"/>
          <w:szCs w:val="24"/>
          <w:highlight w:val="none"/>
        </w:rPr>
        <w:t>理第一</w:t>
      </w:r>
      <w:r>
        <w:rPr>
          <w:rFonts w:hint="eastAsia" w:ascii="宋体" w:hAnsi="宋体" w:eastAsia="宋体" w:cs="宋体"/>
          <w:color w:val="auto"/>
          <w:spacing w:val="-3"/>
          <w:sz w:val="28"/>
          <w:szCs w:val="24"/>
          <w:highlight w:val="none"/>
        </w:rPr>
        <w:t>个</w:t>
      </w:r>
      <w:r>
        <w:rPr>
          <w:rFonts w:hint="eastAsia" w:ascii="宋体" w:hAnsi="宋体" w:eastAsia="宋体" w:cs="宋体"/>
          <w:color w:val="auto"/>
          <w:sz w:val="28"/>
          <w:szCs w:val="24"/>
          <w:highlight w:val="none"/>
        </w:rPr>
        <w:t>信封</w:t>
      </w:r>
      <w:r>
        <w:rPr>
          <w:rFonts w:hint="eastAsia" w:ascii="宋体" w:hAnsi="宋体" w:eastAsia="宋体" w:cs="宋体"/>
          <w:color w:val="auto"/>
          <w:spacing w:val="-3"/>
          <w:sz w:val="28"/>
          <w:szCs w:val="24"/>
          <w:highlight w:val="none"/>
        </w:rPr>
        <w:t>（商</w:t>
      </w:r>
      <w:r>
        <w:rPr>
          <w:rFonts w:hint="eastAsia" w:ascii="宋体" w:hAnsi="宋体" w:eastAsia="宋体" w:cs="宋体"/>
          <w:color w:val="auto"/>
          <w:sz w:val="28"/>
          <w:szCs w:val="24"/>
          <w:highlight w:val="none"/>
        </w:rPr>
        <w:t>务及技</w:t>
      </w:r>
      <w:r>
        <w:rPr>
          <w:rFonts w:hint="eastAsia" w:ascii="宋体" w:hAnsi="宋体" w:eastAsia="宋体" w:cs="宋体"/>
          <w:color w:val="auto"/>
          <w:spacing w:val="-3"/>
          <w:sz w:val="28"/>
          <w:szCs w:val="24"/>
          <w:highlight w:val="none"/>
        </w:rPr>
        <w:t>术</w:t>
      </w:r>
      <w:r>
        <w:rPr>
          <w:rFonts w:hint="eastAsia" w:ascii="宋体" w:hAnsi="宋体" w:eastAsia="宋体" w:cs="宋体"/>
          <w:color w:val="auto"/>
          <w:sz w:val="28"/>
          <w:szCs w:val="24"/>
          <w:highlight w:val="none"/>
        </w:rPr>
        <w:t>文</w:t>
      </w:r>
      <w:r>
        <w:rPr>
          <w:rFonts w:hint="eastAsia" w:ascii="宋体" w:hAnsi="宋体" w:eastAsia="宋体" w:cs="宋体"/>
          <w:color w:val="auto"/>
          <w:spacing w:val="-3"/>
          <w:sz w:val="28"/>
          <w:szCs w:val="24"/>
          <w:highlight w:val="none"/>
        </w:rPr>
        <w:t>件</w:t>
      </w:r>
      <w:r>
        <w:rPr>
          <w:rFonts w:hint="eastAsia" w:ascii="宋体" w:hAnsi="宋体" w:eastAsia="宋体" w:cs="宋体"/>
          <w:color w:val="auto"/>
          <w:sz w:val="28"/>
          <w:szCs w:val="24"/>
          <w:highlight w:val="none"/>
        </w:rPr>
        <w:t>）</w:t>
      </w:r>
    </w:p>
    <w:p w14:paraId="69293EC2">
      <w:pPr>
        <w:keepNext w:val="0"/>
        <w:keepLines w:val="0"/>
        <w:widowControl w:val="0"/>
        <w:tabs>
          <w:tab w:val="left" w:pos="1186"/>
          <w:tab w:val="left" w:pos="3430"/>
        </w:tabs>
        <w:kinsoku w:val="0"/>
        <w:overflowPunct w:val="0"/>
        <w:autoSpaceDE w:val="0"/>
        <w:autoSpaceDN w:val="0"/>
        <w:bidi w:val="0"/>
        <w:adjustRightInd w:val="0"/>
        <w:spacing w:line="256" w:lineRule="auto"/>
        <w:ind w:left="3903" w:right="355" w:hanging="3695"/>
        <w:jc w:val="center"/>
        <w:rPr>
          <w:rFonts w:hint="eastAsia" w:ascii="宋体" w:hAnsi="宋体" w:eastAsia="宋体" w:cs="宋体"/>
          <w:color w:val="auto"/>
          <w:sz w:val="28"/>
          <w:highlight w:val="none"/>
        </w:rPr>
      </w:pPr>
      <w:r>
        <w:rPr>
          <w:rFonts w:hint="eastAsia" w:ascii="宋体" w:hAnsi="宋体" w:eastAsia="宋体" w:cs="宋体"/>
          <w:color w:val="auto"/>
          <w:sz w:val="28"/>
          <w:szCs w:val="24"/>
          <w:highlight w:val="none"/>
        </w:rPr>
        <w:t>开标记</w:t>
      </w:r>
      <w:r>
        <w:rPr>
          <w:rFonts w:hint="eastAsia" w:ascii="宋体" w:hAnsi="宋体" w:eastAsia="宋体" w:cs="宋体"/>
          <w:color w:val="auto"/>
          <w:spacing w:val="-3"/>
          <w:sz w:val="28"/>
          <w:szCs w:val="24"/>
          <w:highlight w:val="none"/>
        </w:rPr>
        <w:t>录</w:t>
      </w:r>
      <w:r>
        <w:rPr>
          <w:rFonts w:hint="eastAsia" w:ascii="宋体" w:hAnsi="宋体" w:eastAsia="宋体" w:cs="宋体"/>
          <w:color w:val="auto"/>
          <w:sz w:val="28"/>
          <w:szCs w:val="24"/>
          <w:highlight w:val="none"/>
        </w:rPr>
        <w:t>表</w:t>
      </w:r>
    </w:p>
    <w:p w14:paraId="48DE1CE8">
      <w:pPr>
        <w:pStyle w:val="3"/>
        <w:keepNext w:val="0"/>
        <w:keepLines w:val="0"/>
        <w:tabs>
          <w:tab w:val="left" w:pos="6358"/>
          <w:tab w:val="left" w:pos="6958"/>
          <w:tab w:val="left" w:pos="7559"/>
          <w:tab w:val="left" w:pos="8159"/>
          <w:tab w:val="left" w:pos="8759"/>
        </w:tabs>
        <w:kinsoku w:val="0"/>
        <w:overflowPunct w:val="0"/>
        <w:bidi w:val="0"/>
        <w:spacing w:before="60"/>
        <w:ind w:left="4798"/>
        <w:rPr>
          <w:rFonts w:hint="eastAsia" w:ascii="宋体" w:hAnsi="宋体" w:eastAsia="宋体" w:cs="宋体"/>
          <w:color w:val="auto"/>
          <w:highlight w:val="none"/>
        </w:rPr>
      </w:pPr>
      <w:r>
        <w:rPr>
          <w:rFonts w:hint="eastAsia" w:ascii="宋体" w:hAnsi="宋体" w:eastAsia="宋体" w:cs="宋体"/>
          <w:color w:val="auto"/>
          <w:highlight w:val="none"/>
        </w:rPr>
        <w:t>开标时间：</w:t>
      </w: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r>
        <w:rPr>
          <w:rFonts w:hint="eastAsia" w:ascii="宋体" w:hAnsi="宋体" w:eastAsia="宋体" w:cs="宋体"/>
          <w:color w:val="auto"/>
          <w:highlight w:val="none"/>
          <w:u w:val="single"/>
        </w:rPr>
        <w:tab/>
      </w:r>
      <w:r>
        <w:rPr>
          <w:rFonts w:hint="eastAsia" w:ascii="宋体" w:hAnsi="宋体" w:eastAsia="宋体" w:cs="宋体"/>
          <w:color w:val="auto"/>
          <w:highlight w:val="none"/>
        </w:rPr>
        <w:t>时</w:t>
      </w:r>
      <w:r>
        <w:rPr>
          <w:rFonts w:hint="eastAsia" w:ascii="宋体" w:hAnsi="宋体" w:eastAsia="宋体" w:cs="宋体"/>
          <w:color w:val="auto"/>
          <w:highlight w:val="none"/>
          <w:u w:val="single"/>
        </w:rPr>
        <w:tab/>
      </w:r>
      <w:r>
        <w:rPr>
          <w:rFonts w:hint="eastAsia" w:ascii="宋体" w:hAnsi="宋体" w:eastAsia="宋体" w:cs="宋体"/>
          <w:color w:val="auto"/>
          <w:highlight w:val="none"/>
        </w:rPr>
        <w:t>分</w:t>
      </w:r>
    </w:p>
    <w:p w14:paraId="3427185A">
      <w:pPr>
        <w:keepNext w:val="0"/>
        <w:keepLines w:val="0"/>
        <w:widowControl w:val="0"/>
        <w:kinsoku w:val="0"/>
        <w:overflowPunct w:val="0"/>
        <w:autoSpaceDE w:val="0"/>
        <w:autoSpaceDN w:val="0"/>
        <w:bidi w:val="0"/>
        <w:adjustRightInd w:val="0"/>
        <w:spacing w:before="2" w:line="50" w:lineRule="exact"/>
        <w:jc w:val="left"/>
        <w:rPr>
          <w:rFonts w:hint="eastAsia" w:ascii="宋体" w:hAnsi="宋体" w:eastAsia="宋体" w:cs="宋体"/>
          <w:color w:val="auto"/>
          <w:sz w:val="5"/>
          <w:highlight w:val="none"/>
        </w:rPr>
      </w:pPr>
    </w:p>
    <w:tbl>
      <w:tblPr>
        <w:tblStyle w:val="21"/>
        <w:tblW w:w="0" w:type="auto"/>
        <w:jc w:val="center"/>
        <w:tblLayout w:type="fixed"/>
        <w:tblCellMar>
          <w:top w:w="0" w:type="dxa"/>
          <w:left w:w="108" w:type="dxa"/>
          <w:bottom w:w="0" w:type="dxa"/>
          <w:right w:w="108" w:type="dxa"/>
        </w:tblCellMar>
      </w:tblPr>
      <w:tblGrid>
        <w:gridCol w:w="696"/>
        <w:gridCol w:w="1414"/>
        <w:gridCol w:w="1283"/>
        <w:gridCol w:w="1340"/>
        <w:gridCol w:w="1614"/>
        <w:gridCol w:w="1045"/>
        <w:gridCol w:w="1790"/>
      </w:tblGrid>
      <w:tr w14:paraId="1D589B5E">
        <w:tblPrEx>
          <w:tblCellMar>
            <w:top w:w="0" w:type="dxa"/>
            <w:left w:w="108" w:type="dxa"/>
            <w:bottom w:w="0" w:type="dxa"/>
            <w:right w:w="108" w:type="dxa"/>
          </w:tblCellMar>
        </w:tblPrEx>
        <w:trPr>
          <w:trHeight w:val="1010"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7D46FE1C">
            <w:pPr>
              <w:pStyle w:val="30"/>
              <w:keepNext w:val="0"/>
              <w:keepLines w:val="0"/>
              <w:kinsoku w:val="0"/>
              <w:overflowPunct w:val="0"/>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1414" w:type="dxa"/>
            <w:tcBorders>
              <w:top w:val="single" w:color="000000" w:sz="4" w:space="0"/>
              <w:left w:val="single" w:color="000000" w:sz="4" w:space="0"/>
              <w:bottom w:val="single" w:color="000000" w:sz="4" w:space="0"/>
              <w:right w:val="single" w:color="000000" w:sz="4" w:space="0"/>
            </w:tcBorders>
            <w:noWrap w:val="0"/>
            <w:vAlign w:val="center"/>
          </w:tcPr>
          <w:p w14:paraId="0BB32152">
            <w:pPr>
              <w:pStyle w:val="30"/>
              <w:keepNext w:val="0"/>
              <w:keepLines w:val="0"/>
              <w:kinsoku w:val="0"/>
              <w:overflowPunct w:val="0"/>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55928579">
            <w:pPr>
              <w:pStyle w:val="30"/>
              <w:keepNext w:val="0"/>
              <w:keepLines w:val="0"/>
              <w:kinsoku w:val="0"/>
              <w:overflowPunct w:val="0"/>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密封</w:t>
            </w:r>
            <w:r>
              <w:rPr>
                <w:rFonts w:hint="eastAsia" w:ascii="宋体" w:hAnsi="宋体" w:eastAsia="宋体" w:cs="宋体"/>
                <w:color w:val="auto"/>
                <w:spacing w:val="-3"/>
                <w:sz w:val="22"/>
                <w:szCs w:val="22"/>
                <w:highlight w:val="none"/>
              </w:rPr>
              <w:t>情</w:t>
            </w:r>
            <w:r>
              <w:rPr>
                <w:rFonts w:hint="eastAsia" w:ascii="宋体" w:hAnsi="宋体" w:eastAsia="宋体" w:cs="宋体"/>
                <w:color w:val="auto"/>
                <w:sz w:val="22"/>
                <w:szCs w:val="22"/>
                <w:highlight w:val="none"/>
              </w:rPr>
              <w:t>况</w:t>
            </w:r>
          </w:p>
        </w:tc>
        <w:tc>
          <w:tcPr>
            <w:tcW w:w="1340" w:type="dxa"/>
            <w:tcBorders>
              <w:top w:val="single" w:color="000000" w:sz="4" w:space="0"/>
              <w:left w:val="single" w:color="000000" w:sz="4" w:space="0"/>
              <w:bottom w:val="single" w:color="000000" w:sz="4" w:space="0"/>
              <w:right w:val="single" w:color="000000" w:sz="4" w:space="0"/>
            </w:tcBorders>
            <w:noWrap w:val="0"/>
            <w:vAlign w:val="center"/>
          </w:tcPr>
          <w:p w14:paraId="2E90D996">
            <w:pPr>
              <w:pStyle w:val="30"/>
              <w:keepNext w:val="0"/>
              <w:keepLines w:val="0"/>
              <w:kinsoku w:val="0"/>
              <w:overflowPunct w:val="0"/>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w:t>
            </w:r>
            <w:r>
              <w:rPr>
                <w:rFonts w:hint="eastAsia" w:ascii="宋体" w:hAnsi="宋体" w:eastAsia="宋体" w:cs="宋体"/>
                <w:color w:val="auto"/>
                <w:spacing w:val="-3"/>
                <w:sz w:val="22"/>
                <w:szCs w:val="22"/>
                <w:highlight w:val="none"/>
              </w:rPr>
              <w:t>保</w:t>
            </w:r>
            <w:r>
              <w:rPr>
                <w:rFonts w:hint="eastAsia" w:ascii="宋体" w:hAnsi="宋体" w:eastAsia="宋体" w:cs="宋体"/>
                <w:color w:val="auto"/>
                <w:sz w:val="22"/>
                <w:szCs w:val="22"/>
                <w:highlight w:val="none"/>
              </w:rPr>
              <w:t>证金递交</w:t>
            </w:r>
            <w:r>
              <w:rPr>
                <w:rFonts w:hint="eastAsia" w:ascii="宋体" w:hAnsi="宋体" w:eastAsia="宋体" w:cs="宋体"/>
                <w:color w:val="auto"/>
                <w:spacing w:val="-3"/>
                <w:sz w:val="22"/>
                <w:szCs w:val="22"/>
                <w:highlight w:val="none"/>
              </w:rPr>
              <w:t>情况</w:t>
            </w:r>
          </w:p>
        </w:tc>
        <w:tc>
          <w:tcPr>
            <w:tcW w:w="1614" w:type="dxa"/>
            <w:tcBorders>
              <w:top w:val="single" w:color="000000" w:sz="4" w:space="0"/>
              <w:left w:val="single" w:color="000000" w:sz="4" w:space="0"/>
              <w:bottom w:val="single" w:color="000000" w:sz="4" w:space="0"/>
              <w:right w:val="single" w:color="000000" w:sz="4" w:space="0"/>
            </w:tcBorders>
            <w:noWrap w:val="0"/>
            <w:vAlign w:val="center"/>
          </w:tcPr>
          <w:p w14:paraId="0D99EFD0">
            <w:pPr>
              <w:pStyle w:val="30"/>
              <w:keepNext w:val="0"/>
              <w:keepLines w:val="0"/>
              <w:kinsoku w:val="0"/>
              <w:overflowPunct w:val="0"/>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监理</w:t>
            </w:r>
            <w:r>
              <w:rPr>
                <w:rFonts w:hint="eastAsia" w:ascii="宋体" w:hAnsi="宋体" w:eastAsia="宋体" w:cs="宋体"/>
                <w:color w:val="auto"/>
                <w:spacing w:val="-3"/>
                <w:sz w:val="22"/>
                <w:szCs w:val="22"/>
                <w:highlight w:val="none"/>
              </w:rPr>
              <w:t>服</w:t>
            </w:r>
            <w:r>
              <w:rPr>
                <w:rFonts w:hint="eastAsia" w:ascii="宋体" w:hAnsi="宋体" w:eastAsia="宋体" w:cs="宋体"/>
                <w:color w:val="auto"/>
                <w:sz w:val="22"/>
                <w:szCs w:val="22"/>
                <w:highlight w:val="none"/>
              </w:rPr>
              <w:t>务</w:t>
            </w:r>
            <w:r>
              <w:rPr>
                <w:rFonts w:hint="eastAsia" w:ascii="宋体" w:hAnsi="宋体" w:eastAsia="宋体" w:cs="宋体"/>
                <w:color w:val="auto"/>
                <w:spacing w:val="-3"/>
                <w:sz w:val="22"/>
                <w:szCs w:val="22"/>
                <w:highlight w:val="none"/>
              </w:rPr>
              <w:t>期</w:t>
            </w:r>
            <w:r>
              <w:rPr>
                <w:rFonts w:hint="eastAsia" w:ascii="宋体" w:hAnsi="宋体" w:eastAsia="宋体" w:cs="宋体"/>
                <w:color w:val="auto"/>
                <w:sz w:val="22"/>
                <w:szCs w:val="22"/>
                <w:highlight w:val="none"/>
              </w:rPr>
              <w:t>限</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4D0B1FCD">
            <w:pPr>
              <w:pStyle w:val="30"/>
              <w:keepNext w:val="0"/>
              <w:keepLines w:val="0"/>
              <w:kinsoku w:val="0"/>
              <w:overflowPunct w:val="0"/>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p>
        </w:tc>
        <w:tc>
          <w:tcPr>
            <w:tcW w:w="1790" w:type="dxa"/>
            <w:tcBorders>
              <w:top w:val="single" w:color="000000" w:sz="4" w:space="0"/>
              <w:left w:val="single" w:color="000000" w:sz="4" w:space="0"/>
              <w:bottom w:val="single" w:color="000000" w:sz="4" w:space="0"/>
              <w:right w:val="single" w:color="000000" w:sz="4" w:space="0"/>
            </w:tcBorders>
            <w:noWrap w:val="0"/>
            <w:vAlign w:val="center"/>
          </w:tcPr>
          <w:p w14:paraId="68A5EC65">
            <w:pPr>
              <w:pStyle w:val="30"/>
              <w:keepNext w:val="0"/>
              <w:keepLines w:val="0"/>
              <w:kinsoku w:val="0"/>
              <w:overflowPunct w:val="0"/>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w:t>
            </w:r>
            <w:r>
              <w:rPr>
                <w:rFonts w:hint="eastAsia" w:ascii="宋体" w:hAnsi="宋体" w:eastAsia="宋体" w:cs="宋体"/>
                <w:color w:val="auto"/>
                <w:spacing w:val="-3"/>
                <w:sz w:val="22"/>
                <w:szCs w:val="22"/>
                <w:highlight w:val="none"/>
              </w:rPr>
              <w:t>人</w:t>
            </w:r>
            <w:r>
              <w:rPr>
                <w:rFonts w:hint="eastAsia" w:ascii="宋体" w:hAnsi="宋体" w:eastAsia="宋体" w:cs="宋体"/>
                <w:color w:val="auto"/>
                <w:sz w:val="22"/>
                <w:szCs w:val="22"/>
                <w:highlight w:val="none"/>
              </w:rPr>
              <w:t>代</w:t>
            </w:r>
            <w:r>
              <w:rPr>
                <w:rFonts w:hint="eastAsia" w:ascii="宋体" w:hAnsi="宋体" w:eastAsia="宋体" w:cs="宋体"/>
                <w:color w:val="auto"/>
                <w:spacing w:val="-3"/>
                <w:sz w:val="22"/>
                <w:szCs w:val="22"/>
                <w:highlight w:val="none"/>
              </w:rPr>
              <w:t>表</w:t>
            </w:r>
            <w:r>
              <w:rPr>
                <w:rFonts w:hint="eastAsia" w:ascii="宋体" w:hAnsi="宋体" w:eastAsia="宋体" w:cs="宋体"/>
                <w:color w:val="auto"/>
                <w:sz w:val="22"/>
                <w:szCs w:val="22"/>
                <w:highlight w:val="none"/>
              </w:rPr>
              <w:t>签名</w:t>
            </w:r>
          </w:p>
        </w:tc>
      </w:tr>
      <w:tr w14:paraId="46E7503E">
        <w:tblPrEx>
          <w:tblCellMar>
            <w:top w:w="0" w:type="dxa"/>
            <w:left w:w="108" w:type="dxa"/>
            <w:bottom w:w="0" w:type="dxa"/>
            <w:right w:w="108" w:type="dxa"/>
          </w:tblCellMar>
        </w:tblPrEx>
        <w:trPr>
          <w:trHeight w:val="572"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7DB047F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60BC643B">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10235786">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730AA9AF">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7DD8B20B">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73E2455B">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5D0EF0D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783C9195">
        <w:tblPrEx>
          <w:tblCellMar>
            <w:top w:w="0" w:type="dxa"/>
            <w:left w:w="108" w:type="dxa"/>
            <w:bottom w:w="0" w:type="dxa"/>
            <w:right w:w="108" w:type="dxa"/>
          </w:tblCellMar>
        </w:tblPrEx>
        <w:trPr>
          <w:trHeight w:val="569"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57CCD4F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11DD996A">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7D732E7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53968B1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46C9253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1308F67E">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7976F39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72233090">
        <w:tblPrEx>
          <w:tblCellMar>
            <w:top w:w="0" w:type="dxa"/>
            <w:left w:w="108" w:type="dxa"/>
            <w:bottom w:w="0" w:type="dxa"/>
            <w:right w:w="108" w:type="dxa"/>
          </w:tblCellMar>
        </w:tblPrEx>
        <w:trPr>
          <w:trHeight w:val="571"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0F2D7A5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3D1D9DDD">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7AF30275">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19A4BFC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4F4F2CB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0648073A">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0BC57DA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610FFF54">
        <w:tblPrEx>
          <w:tblCellMar>
            <w:top w:w="0" w:type="dxa"/>
            <w:left w:w="108" w:type="dxa"/>
            <w:bottom w:w="0" w:type="dxa"/>
            <w:right w:w="108" w:type="dxa"/>
          </w:tblCellMar>
        </w:tblPrEx>
        <w:trPr>
          <w:trHeight w:val="569"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79F2133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20B4732A">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186820A5">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62DDA8E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0330424E">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02A30DDE">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32BA9F8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4DC9CF06">
        <w:tblPrEx>
          <w:tblCellMar>
            <w:top w:w="0" w:type="dxa"/>
            <w:left w:w="108" w:type="dxa"/>
            <w:bottom w:w="0" w:type="dxa"/>
            <w:right w:w="108" w:type="dxa"/>
          </w:tblCellMar>
        </w:tblPrEx>
        <w:trPr>
          <w:trHeight w:val="571"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1BBCD9AF">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723E103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5EA603E9">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3E2AFEB9">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11D51892">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51806E9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1E72426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3FD3E615">
        <w:tblPrEx>
          <w:tblCellMar>
            <w:top w:w="0" w:type="dxa"/>
            <w:left w:w="108" w:type="dxa"/>
            <w:bottom w:w="0" w:type="dxa"/>
            <w:right w:w="108" w:type="dxa"/>
          </w:tblCellMar>
        </w:tblPrEx>
        <w:trPr>
          <w:trHeight w:val="569"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5F5A6E82">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26EB470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5128515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0F3943C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52F8AD1A">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708538AB">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59E13A4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5587D014">
        <w:tblPrEx>
          <w:tblCellMar>
            <w:top w:w="0" w:type="dxa"/>
            <w:left w:w="108" w:type="dxa"/>
            <w:bottom w:w="0" w:type="dxa"/>
            <w:right w:w="108" w:type="dxa"/>
          </w:tblCellMar>
        </w:tblPrEx>
        <w:trPr>
          <w:trHeight w:val="571"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6A5CFB7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0D0EBD2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4AB0710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7C0FC50D">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139B30A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68C8216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7369DA4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0D04685E">
        <w:tblPrEx>
          <w:tblCellMar>
            <w:top w:w="0" w:type="dxa"/>
            <w:left w:w="108" w:type="dxa"/>
            <w:bottom w:w="0" w:type="dxa"/>
            <w:right w:w="108" w:type="dxa"/>
          </w:tblCellMar>
        </w:tblPrEx>
        <w:trPr>
          <w:trHeight w:val="569"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0C9B174D">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5352C23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685D784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3D2EAD6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40E93C2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40A77D9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58C9C6D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11E166AE">
        <w:tblPrEx>
          <w:tblCellMar>
            <w:top w:w="0" w:type="dxa"/>
            <w:left w:w="108" w:type="dxa"/>
            <w:bottom w:w="0" w:type="dxa"/>
            <w:right w:w="108" w:type="dxa"/>
          </w:tblCellMar>
        </w:tblPrEx>
        <w:trPr>
          <w:trHeight w:val="571"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571ACBD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1159EF5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7927E6D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05AD6AEA">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5C49BAC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32D6B3B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1176D87B">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38B89252">
        <w:tblPrEx>
          <w:tblCellMar>
            <w:top w:w="0" w:type="dxa"/>
            <w:left w:w="108" w:type="dxa"/>
            <w:bottom w:w="0" w:type="dxa"/>
            <w:right w:w="108" w:type="dxa"/>
          </w:tblCellMar>
        </w:tblPrEx>
        <w:trPr>
          <w:trHeight w:val="569"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748BAA9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2CCCDFFE">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58E4E28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57E48DB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6B60E62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2B2775D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4F0560D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72345B4A">
        <w:tblPrEx>
          <w:tblCellMar>
            <w:top w:w="0" w:type="dxa"/>
            <w:left w:w="108" w:type="dxa"/>
            <w:bottom w:w="0" w:type="dxa"/>
            <w:right w:w="108" w:type="dxa"/>
          </w:tblCellMar>
        </w:tblPrEx>
        <w:trPr>
          <w:trHeight w:val="571"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77DC7B6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00ED52A6">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7687303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2BAABD6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7C458B7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51B2E81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1191328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721C081D">
        <w:tblPrEx>
          <w:tblCellMar>
            <w:top w:w="0" w:type="dxa"/>
            <w:left w:w="108" w:type="dxa"/>
            <w:bottom w:w="0" w:type="dxa"/>
            <w:right w:w="108" w:type="dxa"/>
          </w:tblCellMar>
        </w:tblPrEx>
        <w:trPr>
          <w:trHeight w:val="569"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026E753D">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7F96562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15615E6B">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7E5A4A2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7E0370F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3D0E761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44663D22">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1984EE01">
        <w:tblPrEx>
          <w:tblCellMar>
            <w:top w:w="0" w:type="dxa"/>
            <w:left w:w="108" w:type="dxa"/>
            <w:bottom w:w="0" w:type="dxa"/>
            <w:right w:w="108" w:type="dxa"/>
          </w:tblCellMar>
        </w:tblPrEx>
        <w:trPr>
          <w:trHeight w:val="571"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7DAA409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4CD281A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5B6F87AE">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39999026">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290691D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6FA1AB4F">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2802366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1113304D">
        <w:tblPrEx>
          <w:tblCellMar>
            <w:top w:w="0" w:type="dxa"/>
            <w:left w:w="108" w:type="dxa"/>
            <w:bottom w:w="0" w:type="dxa"/>
            <w:right w:w="108" w:type="dxa"/>
          </w:tblCellMar>
        </w:tblPrEx>
        <w:trPr>
          <w:trHeight w:val="569"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2F0B8C6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4E9F4D4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2CDFB8D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20FB7D59">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25DD5B79">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70E41279">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43E3B4D9">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bl>
    <w:p w14:paraId="0727E04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D8BCAA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1299B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67B86D1">
      <w:pPr>
        <w:keepNext w:val="0"/>
        <w:keepLines w:val="0"/>
        <w:widowControl w:val="0"/>
        <w:kinsoku w:val="0"/>
        <w:overflowPunct w:val="0"/>
        <w:autoSpaceDE w:val="0"/>
        <w:autoSpaceDN w:val="0"/>
        <w:bidi w:val="0"/>
        <w:adjustRightInd w:val="0"/>
        <w:spacing w:before="16" w:line="220" w:lineRule="exact"/>
        <w:jc w:val="left"/>
        <w:rPr>
          <w:rFonts w:hint="eastAsia" w:ascii="宋体" w:hAnsi="宋体" w:eastAsia="宋体" w:cs="宋体"/>
          <w:color w:val="auto"/>
          <w:sz w:val="22"/>
          <w:highlight w:val="none"/>
        </w:rPr>
      </w:pPr>
    </w:p>
    <w:p w14:paraId="16074CA2">
      <w:pPr>
        <w:keepNext w:val="0"/>
        <w:keepLines w:val="0"/>
        <w:widowControl w:val="0"/>
        <w:tabs>
          <w:tab w:val="left" w:pos="2835"/>
          <w:tab w:val="left" w:pos="6824"/>
          <w:tab w:val="left" w:pos="8999"/>
        </w:tabs>
        <w:kinsoku w:val="0"/>
        <w:overflowPunct w:val="0"/>
        <w:autoSpaceDE w:val="0"/>
        <w:autoSpaceDN w:val="0"/>
        <w:bidi w:val="0"/>
        <w:adjustRightInd w:val="0"/>
        <w:spacing w:before="1"/>
        <w:ind w:left="209"/>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w:t>
      </w:r>
      <w:r>
        <w:rPr>
          <w:rFonts w:hint="eastAsia" w:ascii="宋体" w:hAnsi="宋体" w:eastAsia="宋体" w:cs="宋体"/>
          <w:color w:val="auto"/>
          <w:spacing w:val="-3"/>
          <w:sz w:val="22"/>
          <w:szCs w:val="22"/>
          <w:highlight w:val="none"/>
        </w:rPr>
        <w:t>人</w:t>
      </w:r>
      <w:r>
        <w:rPr>
          <w:rFonts w:hint="eastAsia" w:ascii="宋体" w:hAnsi="宋体" w:eastAsia="宋体" w:cs="宋体"/>
          <w:color w:val="auto"/>
          <w:sz w:val="22"/>
          <w:szCs w:val="22"/>
          <w:highlight w:val="none"/>
        </w:rPr>
        <w:t>代</w:t>
      </w:r>
      <w:r>
        <w:rPr>
          <w:rFonts w:hint="eastAsia" w:ascii="宋体" w:hAnsi="宋体" w:eastAsia="宋体" w:cs="宋体"/>
          <w:color w:val="auto"/>
          <w:spacing w:val="-3"/>
          <w:sz w:val="22"/>
          <w:szCs w:val="22"/>
          <w:highlight w:val="none"/>
        </w:rPr>
        <w:t>表</w:t>
      </w:r>
      <w:r>
        <w:rPr>
          <w:rFonts w:hint="eastAsia" w:ascii="宋体" w:hAnsi="宋体" w:eastAsia="宋体" w:cs="宋体"/>
          <w:color w:val="auto"/>
          <w:spacing w:val="-1"/>
          <w:sz w:val="22"/>
          <w:szCs w:val="22"/>
          <w:highlight w:val="none"/>
        </w:rPr>
        <w:t>：</w:t>
      </w:r>
      <w:r>
        <w:rPr>
          <w:rFonts w:hint="eastAsia" w:ascii="宋体" w:hAnsi="宋体" w:eastAsia="宋体" w:cs="宋体"/>
          <w:color w:val="auto"/>
          <w:spacing w:val="-1"/>
          <w:sz w:val="22"/>
          <w:szCs w:val="22"/>
          <w:highlight w:val="none"/>
          <w:u w:val="single"/>
        </w:rPr>
        <w:tab/>
      </w:r>
      <w:r>
        <w:rPr>
          <w:rFonts w:hint="eastAsia" w:ascii="宋体" w:hAnsi="宋体" w:eastAsia="宋体" w:cs="宋体"/>
          <w:color w:val="auto"/>
          <w:spacing w:val="-1"/>
          <w:sz w:val="22"/>
          <w:szCs w:val="22"/>
          <w:highlight w:val="none"/>
        </w:rPr>
        <w:tab/>
      </w:r>
      <w:r>
        <w:rPr>
          <w:rFonts w:hint="eastAsia" w:ascii="宋体" w:hAnsi="宋体" w:eastAsia="宋体" w:cs="宋体"/>
          <w:color w:val="auto"/>
          <w:sz w:val="22"/>
          <w:szCs w:val="22"/>
          <w:highlight w:val="none"/>
        </w:rPr>
        <w:t>记</w:t>
      </w:r>
      <w:r>
        <w:rPr>
          <w:rFonts w:hint="eastAsia" w:ascii="宋体" w:hAnsi="宋体" w:eastAsia="宋体" w:cs="宋体"/>
          <w:color w:val="auto"/>
          <w:spacing w:val="-3"/>
          <w:sz w:val="22"/>
          <w:szCs w:val="22"/>
          <w:highlight w:val="none"/>
        </w:rPr>
        <w:t>录人</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ab/>
      </w:r>
    </w:p>
    <w:p w14:paraId="6B4A54CB">
      <w:pPr>
        <w:keepNext w:val="0"/>
        <w:keepLines w:val="0"/>
        <w:widowControl w:val="0"/>
        <w:kinsoku w:val="0"/>
        <w:overflowPunct w:val="0"/>
        <w:autoSpaceDE w:val="0"/>
        <w:autoSpaceDN w:val="0"/>
        <w:bidi w:val="0"/>
        <w:adjustRightInd w:val="0"/>
        <w:spacing w:before="9" w:line="100" w:lineRule="exact"/>
        <w:jc w:val="left"/>
        <w:rPr>
          <w:rFonts w:hint="eastAsia" w:ascii="宋体" w:hAnsi="宋体" w:eastAsia="宋体" w:cs="宋体"/>
          <w:color w:val="auto"/>
          <w:sz w:val="22"/>
          <w:szCs w:val="22"/>
          <w:highlight w:val="none"/>
        </w:rPr>
      </w:pPr>
    </w:p>
    <w:p w14:paraId="591D0CA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082BC6DA">
      <w:pPr>
        <w:keepNext w:val="0"/>
        <w:keepLines w:val="0"/>
        <w:widowControl w:val="0"/>
        <w:tabs>
          <w:tab w:val="left" w:pos="6584"/>
          <w:tab w:val="left" w:pos="7530"/>
          <w:tab w:val="left" w:pos="8790"/>
        </w:tabs>
        <w:kinsoku w:val="0"/>
        <w:overflowPunct w:val="0"/>
        <w:autoSpaceDE w:val="0"/>
        <w:autoSpaceDN w:val="0"/>
        <w:bidi w:val="0"/>
        <w:adjustRightInd w:val="0"/>
        <w:spacing w:before="1"/>
        <w:ind w:left="5533"/>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ab/>
      </w:r>
      <w:r>
        <w:rPr>
          <w:rFonts w:hint="eastAsia" w:ascii="宋体" w:hAnsi="宋体" w:eastAsia="宋体" w:cs="宋体"/>
          <w:color w:val="auto"/>
          <w:spacing w:val="-3"/>
          <w:sz w:val="22"/>
          <w:szCs w:val="22"/>
          <w:highlight w:val="none"/>
        </w:rPr>
        <w:t>月</w:t>
      </w:r>
      <w:r>
        <w:rPr>
          <w:rFonts w:hint="eastAsia" w:ascii="宋体" w:hAnsi="宋体" w:eastAsia="宋体" w:cs="宋体"/>
          <w:color w:val="auto"/>
          <w:spacing w:val="-3"/>
          <w:sz w:val="22"/>
          <w:szCs w:val="22"/>
          <w:highlight w:val="none"/>
          <w:u w:val="single"/>
        </w:rPr>
        <w:tab/>
      </w:r>
      <w:r>
        <w:rPr>
          <w:rFonts w:hint="eastAsia" w:ascii="宋体" w:hAnsi="宋体" w:eastAsia="宋体" w:cs="宋体"/>
          <w:color w:val="auto"/>
          <w:sz w:val="22"/>
          <w:szCs w:val="22"/>
          <w:highlight w:val="none"/>
        </w:rPr>
        <w:t>日</w:t>
      </w:r>
    </w:p>
    <w:p w14:paraId="36E953B3">
      <w:pPr>
        <w:keepNext w:val="0"/>
        <w:keepLines w:val="0"/>
        <w:widowControl w:val="0"/>
        <w:kinsoku w:val="0"/>
        <w:overflowPunct w:val="0"/>
        <w:autoSpaceDE w:val="0"/>
        <w:autoSpaceDN w:val="0"/>
        <w:bidi w:val="0"/>
        <w:adjustRightInd w:val="0"/>
        <w:spacing w:before="8" w:line="170" w:lineRule="exact"/>
        <w:jc w:val="left"/>
        <w:rPr>
          <w:rFonts w:hint="eastAsia" w:ascii="宋体" w:hAnsi="宋体" w:eastAsia="宋体" w:cs="宋体"/>
          <w:color w:val="auto"/>
          <w:sz w:val="17"/>
          <w:highlight w:val="none"/>
        </w:rPr>
      </w:pPr>
    </w:p>
    <w:p w14:paraId="2CF3D85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854EEA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r>
        <w:rPr>
          <w:rFonts w:hint="eastAsia" w:ascii="宋体" w:hAnsi="宋体" w:eastAsia="宋体" w:cs="宋体"/>
          <w:color w:val="auto"/>
          <w:sz w:val="20"/>
          <w:highlight w:val="none"/>
        </w:rPr>
        <w:br w:type="page"/>
      </w:r>
    </w:p>
    <w:p w14:paraId="174D40E3">
      <w:pPr>
        <w:keepNext w:val="0"/>
        <w:keepLines w:val="0"/>
        <w:widowControl w:val="0"/>
        <w:kinsoku w:val="0"/>
        <w:overflowPunct w:val="0"/>
        <w:autoSpaceDE w:val="0"/>
        <w:autoSpaceDN w:val="0"/>
        <w:bidi w:val="0"/>
        <w:adjustRightInd w:val="0"/>
        <w:spacing w:before="5" w:line="240" w:lineRule="exact"/>
        <w:jc w:val="left"/>
        <w:rPr>
          <w:rFonts w:hint="eastAsia" w:ascii="宋体" w:hAnsi="宋体" w:eastAsia="宋体" w:cs="宋体"/>
          <w:color w:val="auto"/>
          <w:sz w:val="24"/>
          <w:highlight w:val="none"/>
        </w:rPr>
      </w:pPr>
    </w:p>
    <w:p w14:paraId="3D29B19B">
      <w:pPr>
        <w:keepNext w:val="0"/>
        <w:keepLines w:val="0"/>
        <w:widowControl w:val="0"/>
        <w:tabs>
          <w:tab w:val="left" w:pos="976"/>
          <w:tab w:val="left" w:pos="3221"/>
        </w:tabs>
        <w:kinsoku w:val="0"/>
        <w:overflowPunct w:val="0"/>
        <w:autoSpaceDE w:val="0"/>
        <w:autoSpaceDN w:val="0"/>
        <w:bidi w:val="0"/>
        <w:adjustRightInd w:val="0"/>
        <w:spacing w:line="381" w:lineRule="exact"/>
        <w:ind w:right="97"/>
        <w:jc w:val="center"/>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u w:val="single" w:color="000000"/>
        </w:rPr>
        <w:tab/>
      </w:r>
      <w:r>
        <w:rPr>
          <w:rFonts w:hint="eastAsia" w:ascii="宋体" w:hAnsi="宋体" w:eastAsia="宋体" w:cs="宋体"/>
          <w:color w:val="auto"/>
          <w:sz w:val="28"/>
          <w:szCs w:val="24"/>
          <w:highlight w:val="none"/>
        </w:rPr>
        <w:t>（项目名</w:t>
      </w:r>
      <w:r>
        <w:rPr>
          <w:rFonts w:hint="eastAsia" w:ascii="宋体" w:hAnsi="宋体" w:eastAsia="宋体" w:cs="宋体"/>
          <w:color w:val="auto"/>
          <w:spacing w:val="-3"/>
          <w:sz w:val="28"/>
          <w:szCs w:val="24"/>
          <w:highlight w:val="none"/>
        </w:rPr>
        <w:t>称</w:t>
      </w:r>
      <w:r>
        <w:rPr>
          <w:rFonts w:hint="eastAsia" w:ascii="宋体" w:hAnsi="宋体" w:eastAsia="宋体" w:cs="宋体"/>
          <w:color w:val="auto"/>
          <w:sz w:val="28"/>
          <w:szCs w:val="24"/>
          <w:highlight w:val="none"/>
        </w:rPr>
        <w:t>）</w:t>
      </w:r>
      <w:r>
        <w:rPr>
          <w:rFonts w:hint="eastAsia" w:ascii="宋体" w:hAnsi="宋体" w:eastAsia="宋体" w:cs="宋体"/>
          <w:color w:val="auto"/>
          <w:sz w:val="28"/>
          <w:szCs w:val="24"/>
          <w:highlight w:val="none"/>
          <w:u w:val="single" w:color="000000"/>
        </w:rPr>
        <w:tab/>
      </w:r>
      <w:r>
        <w:rPr>
          <w:rFonts w:hint="eastAsia" w:ascii="宋体" w:hAnsi="宋体" w:eastAsia="宋体" w:cs="宋体"/>
          <w:color w:val="auto"/>
          <w:sz w:val="28"/>
          <w:szCs w:val="24"/>
          <w:highlight w:val="none"/>
        </w:rPr>
        <w:t>标段施</w:t>
      </w:r>
      <w:r>
        <w:rPr>
          <w:rFonts w:hint="eastAsia" w:ascii="宋体" w:hAnsi="宋体" w:eastAsia="宋体" w:cs="宋体"/>
          <w:color w:val="auto"/>
          <w:spacing w:val="-3"/>
          <w:sz w:val="28"/>
          <w:szCs w:val="24"/>
          <w:highlight w:val="none"/>
        </w:rPr>
        <w:t>工监</w:t>
      </w:r>
      <w:r>
        <w:rPr>
          <w:rFonts w:hint="eastAsia" w:ascii="宋体" w:hAnsi="宋体" w:eastAsia="宋体" w:cs="宋体"/>
          <w:color w:val="auto"/>
          <w:sz w:val="28"/>
          <w:szCs w:val="24"/>
          <w:highlight w:val="none"/>
        </w:rPr>
        <w:t>理第二</w:t>
      </w:r>
      <w:r>
        <w:rPr>
          <w:rFonts w:hint="eastAsia" w:ascii="宋体" w:hAnsi="宋体" w:eastAsia="宋体" w:cs="宋体"/>
          <w:color w:val="auto"/>
          <w:spacing w:val="-3"/>
          <w:sz w:val="28"/>
          <w:szCs w:val="24"/>
          <w:highlight w:val="none"/>
        </w:rPr>
        <w:t>个</w:t>
      </w:r>
      <w:r>
        <w:rPr>
          <w:rFonts w:hint="eastAsia" w:ascii="宋体" w:hAnsi="宋体" w:eastAsia="宋体" w:cs="宋体"/>
          <w:color w:val="auto"/>
          <w:sz w:val="28"/>
          <w:szCs w:val="24"/>
          <w:highlight w:val="none"/>
        </w:rPr>
        <w:t>信封</w:t>
      </w:r>
      <w:r>
        <w:rPr>
          <w:rFonts w:hint="eastAsia" w:ascii="宋体" w:hAnsi="宋体" w:eastAsia="宋体" w:cs="宋体"/>
          <w:color w:val="auto"/>
          <w:spacing w:val="-3"/>
          <w:sz w:val="28"/>
          <w:szCs w:val="24"/>
          <w:highlight w:val="none"/>
        </w:rPr>
        <w:t>（报</w:t>
      </w:r>
      <w:r>
        <w:rPr>
          <w:rFonts w:hint="eastAsia" w:ascii="宋体" w:hAnsi="宋体" w:eastAsia="宋体" w:cs="宋体"/>
          <w:color w:val="auto"/>
          <w:sz w:val="28"/>
          <w:szCs w:val="24"/>
          <w:highlight w:val="none"/>
        </w:rPr>
        <w:t>价文件）</w:t>
      </w:r>
    </w:p>
    <w:p w14:paraId="357E6B2A">
      <w:pPr>
        <w:keepNext w:val="0"/>
        <w:keepLines w:val="0"/>
        <w:widowControl w:val="0"/>
        <w:tabs>
          <w:tab w:val="left" w:pos="976"/>
          <w:tab w:val="left" w:pos="3221"/>
        </w:tabs>
        <w:kinsoku w:val="0"/>
        <w:overflowPunct w:val="0"/>
        <w:autoSpaceDE w:val="0"/>
        <w:autoSpaceDN w:val="0"/>
        <w:bidi w:val="0"/>
        <w:adjustRightInd w:val="0"/>
        <w:spacing w:line="381" w:lineRule="exact"/>
        <w:ind w:right="97"/>
        <w:jc w:val="center"/>
        <w:rPr>
          <w:rFonts w:hint="eastAsia" w:ascii="宋体" w:hAnsi="宋体" w:eastAsia="宋体" w:cs="宋体"/>
          <w:color w:val="auto"/>
          <w:sz w:val="28"/>
          <w:highlight w:val="none"/>
        </w:rPr>
      </w:pPr>
      <w:r>
        <w:rPr>
          <w:rFonts w:hint="eastAsia" w:ascii="宋体" w:hAnsi="宋体" w:eastAsia="宋体" w:cs="宋体"/>
          <w:color w:val="auto"/>
          <w:sz w:val="28"/>
          <w:szCs w:val="24"/>
          <w:highlight w:val="none"/>
        </w:rPr>
        <w:t>开标记</w:t>
      </w:r>
      <w:r>
        <w:rPr>
          <w:rFonts w:hint="eastAsia" w:ascii="宋体" w:hAnsi="宋体" w:eastAsia="宋体" w:cs="宋体"/>
          <w:color w:val="auto"/>
          <w:spacing w:val="-3"/>
          <w:sz w:val="28"/>
          <w:szCs w:val="24"/>
          <w:highlight w:val="none"/>
        </w:rPr>
        <w:t>录</w:t>
      </w:r>
      <w:r>
        <w:rPr>
          <w:rFonts w:hint="eastAsia" w:ascii="宋体" w:hAnsi="宋体" w:eastAsia="宋体" w:cs="宋体"/>
          <w:color w:val="auto"/>
          <w:sz w:val="28"/>
          <w:szCs w:val="24"/>
          <w:highlight w:val="none"/>
        </w:rPr>
        <w:t>表</w:t>
      </w:r>
    </w:p>
    <w:p w14:paraId="1FEA865A">
      <w:pPr>
        <w:pStyle w:val="3"/>
        <w:keepNext w:val="0"/>
        <w:keepLines w:val="0"/>
        <w:tabs>
          <w:tab w:val="left" w:pos="6261"/>
          <w:tab w:val="left" w:pos="6861"/>
          <w:tab w:val="left" w:pos="7461"/>
          <w:tab w:val="left" w:pos="8061"/>
          <w:tab w:val="left" w:pos="8661"/>
        </w:tabs>
        <w:kinsoku w:val="0"/>
        <w:overflowPunct w:val="0"/>
        <w:bidi w:val="0"/>
        <w:spacing w:before="79"/>
        <w:ind w:left="4701"/>
        <w:rPr>
          <w:rFonts w:hint="eastAsia" w:ascii="宋体" w:hAnsi="宋体" w:eastAsia="宋体" w:cs="宋体"/>
          <w:color w:val="auto"/>
          <w:highlight w:val="none"/>
        </w:rPr>
      </w:pPr>
      <w:r>
        <w:rPr>
          <w:rFonts w:hint="eastAsia" w:ascii="宋体" w:hAnsi="宋体" w:eastAsia="宋体" w:cs="宋体"/>
          <w:color w:val="auto"/>
          <w:highlight w:val="none"/>
        </w:rPr>
        <w:t>开标时间：</w:t>
      </w: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r>
        <w:rPr>
          <w:rFonts w:hint="eastAsia" w:ascii="宋体" w:hAnsi="宋体" w:eastAsia="宋体" w:cs="宋体"/>
          <w:color w:val="auto"/>
          <w:highlight w:val="none"/>
          <w:u w:val="single"/>
        </w:rPr>
        <w:tab/>
      </w:r>
      <w:r>
        <w:rPr>
          <w:rFonts w:hint="eastAsia" w:ascii="宋体" w:hAnsi="宋体" w:eastAsia="宋体" w:cs="宋体"/>
          <w:color w:val="auto"/>
          <w:highlight w:val="none"/>
        </w:rPr>
        <w:t>时</w:t>
      </w:r>
      <w:r>
        <w:rPr>
          <w:rFonts w:hint="eastAsia" w:ascii="宋体" w:hAnsi="宋体" w:eastAsia="宋体" w:cs="宋体"/>
          <w:color w:val="auto"/>
          <w:highlight w:val="none"/>
          <w:u w:val="single"/>
        </w:rPr>
        <w:tab/>
      </w:r>
      <w:r>
        <w:rPr>
          <w:rFonts w:hint="eastAsia" w:ascii="宋体" w:hAnsi="宋体" w:eastAsia="宋体" w:cs="宋体"/>
          <w:color w:val="auto"/>
          <w:highlight w:val="none"/>
        </w:rPr>
        <w:t>分</w:t>
      </w:r>
    </w:p>
    <w:p w14:paraId="73FF5CB8">
      <w:pPr>
        <w:keepNext w:val="0"/>
        <w:keepLines w:val="0"/>
        <w:widowControl w:val="0"/>
        <w:kinsoku w:val="0"/>
        <w:overflowPunct w:val="0"/>
        <w:autoSpaceDE w:val="0"/>
        <w:autoSpaceDN w:val="0"/>
        <w:bidi w:val="0"/>
        <w:adjustRightInd w:val="0"/>
        <w:spacing w:before="4" w:line="50" w:lineRule="exact"/>
        <w:jc w:val="left"/>
        <w:rPr>
          <w:rFonts w:hint="eastAsia" w:ascii="宋体" w:hAnsi="宋体" w:eastAsia="宋体" w:cs="宋体"/>
          <w:color w:val="auto"/>
          <w:sz w:val="5"/>
          <w:highlight w:val="none"/>
        </w:rPr>
      </w:pPr>
    </w:p>
    <w:tbl>
      <w:tblPr>
        <w:tblStyle w:val="21"/>
        <w:tblW w:w="0" w:type="auto"/>
        <w:tblInd w:w="219" w:type="dxa"/>
        <w:tblLayout w:type="fixed"/>
        <w:tblCellMar>
          <w:top w:w="0" w:type="dxa"/>
          <w:left w:w="108" w:type="dxa"/>
          <w:bottom w:w="0" w:type="dxa"/>
          <w:right w:w="108" w:type="dxa"/>
        </w:tblCellMar>
      </w:tblPr>
      <w:tblGrid>
        <w:gridCol w:w="708"/>
        <w:gridCol w:w="1440"/>
        <w:gridCol w:w="1362"/>
        <w:gridCol w:w="1398"/>
        <w:gridCol w:w="1345"/>
        <w:gridCol w:w="1008"/>
        <w:gridCol w:w="1738"/>
      </w:tblGrid>
      <w:tr w14:paraId="7A8B7274">
        <w:tblPrEx>
          <w:tblCellMar>
            <w:top w:w="0" w:type="dxa"/>
            <w:left w:w="108" w:type="dxa"/>
            <w:bottom w:w="0" w:type="dxa"/>
            <w:right w:w="108" w:type="dxa"/>
          </w:tblCellMar>
        </w:tblPrEx>
        <w:trPr>
          <w:trHeight w:val="1008" w:hRule="exact"/>
        </w:trPr>
        <w:tc>
          <w:tcPr>
            <w:tcW w:w="708" w:type="dxa"/>
            <w:tcBorders>
              <w:top w:val="single" w:color="000000" w:sz="4" w:space="0"/>
              <w:left w:val="single" w:color="000000" w:sz="4" w:space="0"/>
              <w:bottom w:val="single" w:color="000000" w:sz="4" w:space="0"/>
              <w:right w:val="single" w:color="000000" w:sz="4" w:space="0"/>
            </w:tcBorders>
            <w:noWrap w:val="0"/>
            <w:vAlign w:val="center"/>
          </w:tcPr>
          <w:p w14:paraId="61B56CA6">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2DE296E">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71D59F38">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w:t>
            </w:r>
            <w:r>
              <w:rPr>
                <w:rFonts w:hint="eastAsia" w:ascii="宋体" w:hAnsi="宋体" w:eastAsia="宋体" w:cs="宋体"/>
                <w:color w:val="auto"/>
                <w:spacing w:val="-3"/>
                <w:sz w:val="24"/>
                <w:szCs w:val="24"/>
                <w:highlight w:val="none"/>
              </w:rPr>
              <w:t>情</w:t>
            </w:r>
            <w:r>
              <w:rPr>
                <w:rFonts w:hint="eastAsia" w:ascii="宋体" w:hAnsi="宋体" w:eastAsia="宋体" w:cs="宋体"/>
                <w:color w:val="auto"/>
                <w:sz w:val="24"/>
                <w:szCs w:val="24"/>
                <w:highlight w:val="none"/>
              </w:rPr>
              <w:t>况</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642B62D1">
            <w:pPr>
              <w:pStyle w:val="30"/>
              <w:keepNext w:val="0"/>
              <w:keepLines w:val="0"/>
              <w:kinsoku w:val="0"/>
              <w:overflowPunct w:val="0"/>
              <w:bidi w:val="0"/>
              <w:jc w:val="center"/>
              <w:rPr>
                <w:rFonts w:hint="eastAsia" w:ascii="宋体" w:hAnsi="宋体" w:eastAsia="宋体" w:cs="宋体"/>
                <w:color w:val="auto"/>
                <w:sz w:val="24"/>
                <w:szCs w:val="24"/>
                <w:highlight w:val="none"/>
              </w:rPr>
            </w:pPr>
          </w:p>
          <w:p w14:paraId="2E417CBE">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报</w:t>
            </w:r>
            <w:r>
              <w:rPr>
                <w:rFonts w:hint="eastAsia" w:ascii="宋体" w:hAnsi="宋体" w:eastAsia="宋体" w:cs="宋体"/>
                <w:color w:val="auto"/>
                <w:sz w:val="24"/>
                <w:szCs w:val="24"/>
                <w:highlight w:val="none"/>
              </w:rPr>
              <w:t>价</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元）</w:t>
            </w:r>
          </w:p>
        </w:tc>
        <w:tc>
          <w:tcPr>
            <w:tcW w:w="1345" w:type="dxa"/>
            <w:tcBorders>
              <w:top w:val="single" w:color="000000" w:sz="4" w:space="0"/>
              <w:left w:val="single" w:color="000000" w:sz="4" w:space="0"/>
              <w:bottom w:val="single" w:color="000000" w:sz="4" w:space="0"/>
              <w:right w:val="single" w:color="000000" w:sz="4" w:space="0"/>
            </w:tcBorders>
            <w:noWrap w:val="0"/>
            <w:vAlign w:val="center"/>
          </w:tcPr>
          <w:p w14:paraId="6377817D">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w:t>
            </w:r>
            <w:r>
              <w:rPr>
                <w:rFonts w:hint="eastAsia" w:ascii="宋体" w:hAnsi="宋体" w:eastAsia="宋体" w:cs="宋体"/>
                <w:color w:val="auto"/>
                <w:spacing w:val="-3"/>
                <w:sz w:val="24"/>
                <w:szCs w:val="24"/>
                <w:highlight w:val="none"/>
              </w:rPr>
              <w:t>超</w:t>
            </w:r>
            <w:r>
              <w:rPr>
                <w:rFonts w:hint="eastAsia" w:ascii="宋体" w:hAnsi="宋体" w:eastAsia="宋体" w:cs="宋体"/>
                <w:color w:val="auto"/>
                <w:sz w:val="24"/>
                <w:szCs w:val="24"/>
                <w:highlight w:val="none"/>
              </w:rPr>
              <w:t>过最高投</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限价</w:t>
            </w:r>
          </w:p>
        </w:tc>
        <w:tc>
          <w:tcPr>
            <w:tcW w:w="1008" w:type="dxa"/>
            <w:tcBorders>
              <w:top w:val="single" w:color="000000" w:sz="4" w:space="0"/>
              <w:left w:val="single" w:color="000000" w:sz="4" w:space="0"/>
              <w:bottom w:val="single" w:color="000000" w:sz="4" w:space="0"/>
              <w:right w:val="single" w:color="000000" w:sz="4" w:space="0"/>
            </w:tcBorders>
            <w:noWrap w:val="0"/>
            <w:vAlign w:val="center"/>
          </w:tcPr>
          <w:p w14:paraId="6871D953">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c>
          <w:tcPr>
            <w:tcW w:w="1738" w:type="dxa"/>
            <w:tcBorders>
              <w:top w:val="single" w:color="000000" w:sz="4" w:space="0"/>
              <w:left w:val="single" w:color="000000" w:sz="4" w:space="0"/>
              <w:bottom w:val="single" w:color="000000" w:sz="4" w:space="0"/>
              <w:right w:val="single" w:color="000000" w:sz="4" w:space="0"/>
            </w:tcBorders>
            <w:noWrap w:val="0"/>
            <w:vAlign w:val="center"/>
          </w:tcPr>
          <w:p w14:paraId="288E490D">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代</w:t>
            </w:r>
            <w:r>
              <w:rPr>
                <w:rFonts w:hint="eastAsia" w:ascii="宋体" w:hAnsi="宋体" w:eastAsia="宋体" w:cs="宋体"/>
                <w:color w:val="auto"/>
                <w:spacing w:val="-3"/>
                <w:sz w:val="24"/>
                <w:szCs w:val="24"/>
                <w:highlight w:val="none"/>
              </w:rPr>
              <w:t>表</w:t>
            </w:r>
            <w:r>
              <w:rPr>
                <w:rFonts w:hint="eastAsia" w:ascii="宋体" w:hAnsi="宋体" w:eastAsia="宋体" w:cs="宋体"/>
                <w:color w:val="auto"/>
                <w:sz w:val="24"/>
                <w:szCs w:val="24"/>
                <w:highlight w:val="none"/>
              </w:rPr>
              <w:t>签名</w:t>
            </w:r>
          </w:p>
        </w:tc>
      </w:tr>
      <w:tr w14:paraId="706EE68A">
        <w:tblPrEx>
          <w:tblCellMar>
            <w:top w:w="0" w:type="dxa"/>
            <w:left w:w="108" w:type="dxa"/>
            <w:bottom w:w="0" w:type="dxa"/>
            <w:right w:w="108" w:type="dxa"/>
          </w:tblCellMar>
        </w:tblPrEx>
        <w:trPr>
          <w:trHeight w:val="571"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0775AAF9">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7533A18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715E5DA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2777D45E">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09EE12C3">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348580EF">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0082D34A">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43ABD367">
        <w:tblPrEx>
          <w:tblCellMar>
            <w:top w:w="0" w:type="dxa"/>
            <w:left w:w="108" w:type="dxa"/>
            <w:bottom w:w="0" w:type="dxa"/>
            <w:right w:w="108" w:type="dxa"/>
          </w:tblCellMar>
        </w:tblPrEx>
        <w:trPr>
          <w:trHeight w:val="569"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799E6A74">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4DD802A2">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2C12C15A">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68196B4D">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60135B34">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273D7DAA">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37E580CB">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191B1645">
        <w:tblPrEx>
          <w:tblCellMar>
            <w:top w:w="0" w:type="dxa"/>
            <w:left w:w="108" w:type="dxa"/>
            <w:bottom w:w="0" w:type="dxa"/>
            <w:right w:w="108" w:type="dxa"/>
          </w:tblCellMar>
        </w:tblPrEx>
        <w:trPr>
          <w:trHeight w:val="571"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405A1DCD">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007379E6">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1BA76B1E">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245300E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130262B5">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35CA151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1484E0B3">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4AA23A9E">
        <w:tblPrEx>
          <w:tblCellMar>
            <w:top w:w="0" w:type="dxa"/>
            <w:left w:w="108" w:type="dxa"/>
            <w:bottom w:w="0" w:type="dxa"/>
            <w:right w:w="108" w:type="dxa"/>
          </w:tblCellMar>
        </w:tblPrEx>
        <w:trPr>
          <w:trHeight w:val="569"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4CBFF935">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07E67F84">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0179D799">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329B0036">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0E7EB20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228240A0">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0D48A28F">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2C1D4749">
        <w:tblPrEx>
          <w:tblCellMar>
            <w:top w:w="0" w:type="dxa"/>
            <w:left w:w="108" w:type="dxa"/>
            <w:bottom w:w="0" w:type="dxa"/>
            <w:right w:w="108" w:type="dxa"/>
          </w:tblCellMar>
        </w:tblPrEx>
        <w:trPr>
          <w:trHeight w:val="571"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3DEDC17D">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4421017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0184C4D7">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149CBA9E">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4FD992A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68E350B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38A22179">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1FA3FA39">
        <w:tblPrEx>
          <w:tblCellMar>
            <w:top w:w="0" w:type="dxa"/>
            <w:left w:w="108" w:type="dxa"/>
            <w:bottom w:w="0" w:type="dxa"/>
            <w:right w:w="108" w:type="dxa"/>
          </w:tblCellMar>
        </w:tblPrEx>
        <w:trPr>
          <w:trHeight w:val="569"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055819D7">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14701F6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34C4C20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1264A3FE">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5DA0338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180D86C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351E4AE3">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59515900">
        <w:tblPrEx>
          <w:tblCellMar>
            <w:top w:w="0" w:type="dxa"/>
            <w:left w:w="108" w:type="dxa"/>
            <w:bottom w:w="0" w:type="dxa"/>
            <w:right w:w="108" w:type="dxa"/>
          </w:tblCellMar>
        </w:tblPrEx>
        <w:trPr>
          <w:trHeight w:val="572"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1E97E945">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28E6465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47675FDF">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63494ED4">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2A027CC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0505E84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71F7FACE">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0FA88E3C">
        <w:tblPrEx>
          <w:tblCellMar>
            <w:top w:w="0" w:type="dxa"/>
            <w:left w:w="108" w:type="dxa"/>
            <w:bottom w:w="0" w:type="dxa"/>
            <w:right w:w="108" w:type="dxa"/>
          </w:tblCellMar>
        </w:tblPrEx>
        <w:trPr>
          <w:trHeight w:val="569"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3A94151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59A91B30">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511762F0">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6017D21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65F65005">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53B59425">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030F1B94">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399FADB0">
        <w:tblPrEx>
          <w:tblCellMar>
            <w:top w:w="0" w:type="dxa"/>
            <w:left w:w="108" w:type="dxa"/>
            <w:bottom w:w="0" w:type="dxa"/>
            <w:right w:w="108" w:type="dxa"/>
          </w:tblCellMar>
        </w:tblPrEx>
        <w:trPr>
          <w:trHeight w:val="571"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2A66283B">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7C9A2C3A">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6BB8E60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7D0DEC2B">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0887098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75247F5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1F8A650A">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3CEA8997">
        <w:tblPrEx>
          <w:tblCellMar>
            <w:top w:w="0" w:type="dxa"/>
            <w:left w:w="108" w:type="dxa"/>
            <w:bottom w:w="0" w:type="dxa"/>
            <w:right w:w="108" w:type="dxa"/>
          </w:tblCellMar>
        </w:tblPrEx>
        <w:trPr>
          <w:trHeight w:val="569"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4E59DC5D">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2C261633">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3F5C0B4D">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33624B39">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0ACE1BC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505B7CAF">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5CDD8C9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7B525127">
        <w:tblPrEx>
          <w:tblCellMar>
            <w:top w:w="0" w:type="dxa"/>
            <w:left w:w="108" w:type="dxa"/>
            <w:bottom w:w="0" w:type="dxa"/>
            <w:right w:w="108" w:type="dxa"/>
          </w:tblCellMar>
        </w:tblPrEx>
        <w:trPr>
          <w:trHeight w:val="571"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109EA3A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4EFC00A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5027E572">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1D0A5D49">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704323EB">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5C1CA956">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2B32389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39036CE3">
        <w:tblPrEx>
          <w:tblCellMar>
            <w:top w:w="0" w:type="dxa"/>
            <w:left w:w="108" w:type="dxa"/>
            <w:bottom w:w="0" w:type="dxa"/>
            <w:right w:w="108" w:type="dxa"/>
          </w:tblCellMar>
        </w:tblPrEx>
        <w:trPr>
          <w:trHeight w:val="569"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656ADC57">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12560EE4">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21D1338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04F2F76F">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791642F9">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08C95E45">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52D6BA74">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32A0CA5F">
        <w:tblPrEx>
          <w:tblCellMar>
            <w:top w:w="0" w:type="dxa"/>
            <w:left w:w="108" w:type="dxa"/>
            <w:bottom w:w="0" w:type="dxa"/>
            <w:right w:w="108" w:type="dxa"/>
          </w:tblCellMar>
        </w:tblPrEx>
        <w:trPr>
          <w:trHeight w:val="876" w:hRule="exact"/>
        </w:trPr>
        <w:tc>
          <w:tcPr>
            <w:tcW w:w="3510" w:type="dxa"/>
            <w:gridSpan w:val="3"/>
            <w:tcBorders>
              <w:top w:val="single" w:color="000000" w:sz="4" w:space="0"/>
              <w:left w:val="single" w:color="000000" w:sz="4" w:space="0"/>
              <w:bottom w:val="single" w:color="000000" w:sz="4" w:space="0"/>
              <w:right w:val="single" w:color="000000" w:sz="4" w:space="0"/>
            </w:tcBorders>
            <w:noWrap w:val="0"/>
            <w:vAlign w:val="top"/>
          </w:tcPr>
          <w:p w14:paraId="06227984">
            <w:pPr>
              <w:pStyle w:val="30"/>
              <w:keepNext w:val="0"/>
              <w:keepLines w:val="0"/>
              <w:kinsoku w:val="0"/>
              <w:overflowPunct w:val="0"/>
              <w:bidi w:val="0"/>
              <w:spacing w:before="5" w:line="190" w:lineRule="exact"/>
              <w:rPr>
                <w:rFonts w:hint="eastAsia" w:ascii="宋体" w:hAnsi="宋体" w:eastAsia="宋体" w:cs="宋体"/>
                <w:color w:val="auto"/>
                <w:sz w:val="24"/>
                <w:szCs w:val="24"/>
                <w:highlight w:val="none"/>
              </w:rPr>
            </w:pPr>
          </w:p>
          <w:p w14:paraId="57031C6D">
            <w:pPr>
              <w:pStyle w:val="30"/>
              <w:keepNext w:val="0"/>
              <w:keepLines w:val="0"/>
              <w:kinsoku w:val="0"/>
              <w:overflowPunct w:val="0"/>
              <w:bidi w:val="0"/>
              <w:ind w:left="1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编</w:t>
            </w:r>
            <w:r>
              <w:rPr>
                <w:rFonts w:hint="eastAsia" w:ascii="宋体" w:hAnsi="宋体" w:eastAsia="宋体" w:cs="宋体"/>
                <w:color w:val="auto"/>
                <w:spacing w:val="-3"/>
                <w:sz w:val="24"/>
                <w:szCs w:val="24"/>
                <w:highlight w:val="none"/>
              </w:rPr>
              <w:t>制</w:t>
            </w:r>
            <w:r>
              <w:rPr>
                <w:rFonts w:hint="eastAsia" w:ascii="宋体" w:hAnsi="宋体" w:eastAsia="宋体" w:cs="宋体"/>
                <w:color w:val="auto"/>
                <w:sz w:val="24"/>
                <w:szCs w:val="24"/>
                <w:highlight w:val="none"/>
              </w:rPr>
              <w:t>的</w:t>
            </w:r>
            <w:r>
              <w:rPr>
                <w:rFonts w:hint="eastAsia" w:ascii="宋体" w:hAnsi="宋体" w:eastAsia="宋体" w:cs="宋体"/>
                <w:color w:val="auto"/>
                <w:spacing w:val="-3"/>
                <w:sz w:val="24"/>
                <w:szCs w:val="24"/>
                <w:highlight w:val="none"/>
              </w:rPr>
              <w:t>最</w:t>
            </w:r>
            <w:r>
              <w:rPr>
                <w:rFonts w:hint="eastAsia" w:ascii="宋体" w:hAnsi="宋体" w:eastAsia="宋体" w:cs="宋体"/>
                <w:color w:val="auto"/>
                <w:sz w:val="24"/>
                <w:szCs w:val="24"/>
                <w:highlight w:val="none"/>
              </w:rPr>
              <w:t>高</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限</w:t>
            </w:r>
            <w:r>
              <w:rPr>
                <w:rFonts w:hint="eastAsia" w:ascii="宋体" w:hAnsi="宋体" w:eastAsia="宋体" w:cs="宋体"/>
                <w:color w:val="auto"/>
                <w:sz w:val="24"/>
                <w:szCs w:val="24"/>
                <w:highlight w:val="none"/>
              </w:rPr>
              <w:t>价</w:t>
            </w:r>
          </w:p>
          <w:p w14:paraId="103EB041">
            <w:pPr>
              <w:pStyle w:val="30"/>
              <w:keepNext w:val="0"/>
              <w:keepLines w:val="0"/>
              <w:kinsoku w:val="0"/>
              <w:overflowPunct w:val="0"/>
              <w:bidi w:val="0"/>
              <w:ind w:left="1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如有</w:t>
            </w:r>
            <w:r>
              <w:rPr>
                <w:rFonts w:hint="eastAsia" w:ascii="宋体" w:hAnsi="宋体" w:eastAsia="宋体" w:cs="宋体"/>
                <w:color w:val="auto"/>
                <w:sz w:val="24"/>
                <w:szCs w:val="24"/>
                <w:highlight w:val="none"/>
              </w:rPr>
              <w:t>）</w:t>
            </w:r>
          </w:p>
        </w:tc>
        <w:tc>
          <w:tcPr>
            <w:tcW w:w="5489" w:type="dxa"/>
            <w:gridSpan w:val="4"/>
            <w:tcBorders>
              <w:top w:val="single" w:color="000000" w:sz="4" w:space="0"/>
              <w:left w:val="single" w:color="000000" w:sz="4" w:space="0"/>
              <w:bottom w:val="single" w:color="000000" w:sz="4" w:space="0"/>
              <w:right w:val="single" w:color="000000" w:sz="4" w:space="0"/>
            </w:tcBorders>
            <w:noWrap w:val="0"/>
            <w:vAlign w:val="top"/>
          </w:tcPr>
          <w:p w14:paraId="12C1E400">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bl>
    <w:p w14:paraId="16293D7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4E4496F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4B78AF7A">
      <w:pPr>
        <w:keepNext w:val="0"/>
        <w:keepLines w:val="0"/>
        <w:widowControl w:val="0"/>
        <w:kinsoku w:val="0"/>
        <w:overflowPunct w:val="0"/>
        <w:autoSpaceDE w:val="0"/>
        <w:autoSpaceDN w:val="0"/>
        <w:bidi w:val="0"/>
        <w:adjustRightInd w:val="0"/>
        <w:spacing w:before="14" w:line="240" w:lineRule="exact"/>
        <w:jc w:val="left"/>
        <w:rPr>
          <w:rFonts w:hint="eastAsia" w:ascii="宋体" w:hAnsi="宋体" w:eastAsia="宋体" w:cs="宋体"/>
          <w:color w:val="auto"/>
          <w:sz w:val="22"/>
          <w:szCs w:val="22"/>
          <w:highlight w:val="none"/>
        </w:rPr>
      </w:pPr>
    </w:p>
    <w:p w14:paraId="406D63C8">
      <w:pPr>
        <w:keepNext w:val="0"/>
        <w:keepLines w:val="0"/>
        <w:widowControl w:val="0"/>
        <w:tabs>
          <w:tab w:val="left" w:pos="2850"/>
          <w:tab w:val="left" w:pos="6839"/>
          <w:tab w:val="left" w:pos="8901"/>
        </w:tabs>
        <w:kinsoku w:val="0"/>
        <w:overflowPunct w:val="0"/>
        <w:autoSpaceDE w:val="0"/>
        <w:autoSpaceDN w:val="0"/>
        <w:bidi w:val="0"/>
        <w:adjustRightInd w:val="0"/>
        <w:spacing w:before="1"/>
        <w:ind w:left="224"/>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w:t>
      </w:r>
      <w:r>
        <w:rPr>
          <w:rFonts w:hint="eastAsia" w:ascii="宋体" w:hAnsi="宋体" w:eastAsia="宋体" w:cs="宋体"/>
          <w:color w:val="auto"/>
          <w:spacing w:val="-3"/>
          <w:sz w:val="22"/>
          <w:szCs w:val="22"/>
          <w:highlight w:val="none"/>
        </w:rPr>
        <w:t>人</w:t>
      </w:r>
      <w:r>
        <w:rPr>
          <w:rFonts w:hint="eastAsia" w:ascii="宋体" w:hAnsi="宋体" w:eastAsia="宋体" w:cs="宋体"/>
          <w:color w:val="auto"/>
          <w:sz w:val="22"/>
          <w:szCs w:val="22"/>
          <w:highlight w:val="none"/>
        </w:rPr>
        <w:t>代</w:t>
      </w:r>
      <w:r>
        <w:rPr>
          <w:rFonts w:hint="eastAsia" w:ascii="宋体" w:hAnsi="宋体" w:eastAsia="宋体" w:cs="宋体"/>
          <w:color w:val="auto"/>
          <w:spacing w:val="-3"/>
          <w:sz w:val="22"/>
          <w:szCs w:val="22"/>
          <w:highlight w:val="none"/>
        </w:rPr>
        <w:t>表</w:t>
      </w:r>
      <w:r>
        <w:rPr>
          <w:rFonts w:hint="eastAsia" w:ascii="宋体" w:hAnsi="宋体" w:eastAsia="宋体" w:cs="宋体"/>
          <w:color w:val="auto"/>
          <w:spacing w:val="-1"/>
          <w:sz w:val="22"/>
          <w:szCs w:val="22"/>
          <w:highlight w:val="none"/>
        </w:rPr>
        <w:t>：</w:t>
      </w:r>
      <w:r>
        <w:rPr>
          <w:rFonts w:hint="eastAsia" w:ascii="宋体" w:hAnsi="宋体" w:eastAsia="宋体" w:cs="宋体"/>
          <w:color w:val="auto"/>
          <w:spacing w:val="-1"/>
          <w:sz w:val="22"/>
          <w:szCs w:val="22"/>
          <w:highlight w:val="none"/>
          <w:u w:val="single"/>
        </w:rPr>
        <w:tab/>
      </w:r>
      <w:r>
        <w:rPr>
          <w:rFonts w:hint="eastAsia" w:ascii="宋体" w:hAnsi="宋体" w:eastAsia="宋体" w:cs="宋体"/>
          <w:color w:val="auto"/>
          <w:spacing w:val="-1"/>
          <w:sz w:val="22"/>
          <w:szCs w:val="22"/>
          <w:highlight w:val="none"/>
        </w:rPr>
        <w:tab/>
      </w:r>
      <w:r>
        <w:rPr>
          <w:rFonts w:hint="eastAsia" w:ascii="宋体" w:hAnsi="宋体" w:eastAsia="宋体" w:cs="宋体"/>
          <w:color w:val="auto"/>
          <w:sz w:val="22"/>
          <w:szCs w:val="22"/>
          <w:highlight w:val="none"/>
        </w:rPr>
        <w:t>记</w:t>
      </w:r>
      <w:r>
        <w:rPr>
          <w:rFonts w:hint="eastAsia" w:ascii="宋体" w:hAnsi="宋体" w:eastAsia="宋体" w:cs="宋体"/>
          <w:color w:val="auto"/>
          <w:spacing w:val="-3"/>
          <w:sz w:val="22"/>
          <w:szCs w:val="22"/>
          <w:highlight w:val="none"/>
        </w:rPr>
        <w:t>录人</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ab/>
      </w:r>
    </w:p>
    <w:p w14:paraId="3306BA45">
      <w:pPr>
        <w:keepNext w:val="0"/>
        <w:keepLines w:val="0"/>
        <w:widowControl w:val="0"/>
        <w:kinsoku w:val="0"/>
        <w:overflowPunct w:val="0"/>
        <w:autoSpaceDE w:val="0"/>
        <w:autoSpaceDN w:val="0"/>
        <w:bidi w:val="0"/>
        <w:adjustRightInd w:val="0"/>
        <w:spacing w:before="6" w:line="280" w:lineRule="exact"/>
        <w:jc w:val="left"/>
        <w:rPr>
          <w:rFonts w:hint="eastAsia" w:ascii="宋体" w:hAnsi="宋体" w:eastAsia="宋体" w:cs="宋体"/>
          <w:color w:val="auto"/>
          <w:sz w:val="22"/>
          <w:szCs w:val="22"/>
          <w:highlight w:val="none"/>
        </w:rPr>
      </w:pPr>
    </w:p>
    <w:p w14:paraId="772A5A15">
      <w:pPr>
        <w:pStyle w:val="3"/>
        <w:keepNext w:val="0"/>
        <w:keepLines w:val="0"/>
        <w:tabs>
          <w:tab w:val="left" w:pos="959"/>
          <w:tab w:val="left" w:pos="1680"/>
          <w:tab w:val="left" w:pos="2400"/>
        </w:tabs>
        <w:kinsoku w:val="0"/>
        <w:overflowPunct w:val="0"/>
        <w:bidi w:val="0"/>
        <w:spacing w:line="340" w:lineRule="exact"/>
        <w:ind w:left="0" w:right="324"/>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日</w:t>
      </w:r>
    </w:p>
    <w:p w14:paraId="14048076">
      <w:pPr>
        <w:pStyle w:val="3"/>
        <w:keepNext w:val="0"/>
        <w:keepLines w:val="0"/>
        <w:tabs>
          <w:tab w:val="left" w:pos="959"/>
          <w:tab w:val="left" w:pos="1680"/>
          <w:tab w:val="left" w:pos="2400"/>
        </w:tabs>
        <w:kinsoku w:val="0"/>
        <w:overflowPunct w:val="0"/>
        <w:bidi w:val="0"/>
        <w:spacing w:line="340" w:lineRule="exact"/>
        <w:ind w:left="0" w:right="324"/>
        <w:jc w:val="right"/>
        <w:rPr>
          <w:rFonts w:hint="eastAsia" w:ascii="宋体" w:hAnsi="宋体" w:eastAsia="宋体" w:cs="宋体"/>
          <w:color w:val="auto"/>
          <w:sz w:val="22"/>
          <w:szCs w:val="22"/>
          <w:highlight w:val="none"/>
        </w:rPr>
        <w:sectPr>
          <w:pgSz w:w="11907" w:h="16838"/>
          <w:pgMar w:top="1134" w:right="1134" w:bottom="1134" w:left="1134" w:header="882" w:footer="1078" w:gutter="0"/>
          <w:lnNumType w:countBy="0" w:distance="360"/>
          <w:cols w:space="720" w:num="1"/>
        </w:sectPr>
      </w:pPr>
    </w:p>
    <w:p w14:paraId="710CE145">
      <w:pPr>
        <w:pStyle w:val="3"/>
        <w:keepNext w:val="0"/>
        <w:keepLines w:val="0"/>
        <w:kinsoku w:val="0"/>
        <w:overflowPunct w:val="0"/>
        <w:bidi w:val="0"/>
        <w:spacing w:line="340" w:lineRule="exact"/>
        <w:ind w:left="144"/>
        <w:rPr>
          <w:rFonts w:hint="eastAsia" w:ascii="宋体" w:hAnsi="宋体" w:eastAsia="宋体" w:cs="宋体"/>
          <w:color w:val="auto"/>
          <w:highlight w:val="none"/>
        </w:rPr>
      </w:pPr>
      <w:bookmarkStart w:id="253" w:name="bookmark84"/>
      <w:bookmarkEnd w:id="253"/>
      <w:bookmarkStart w:id="254" w:name="_Toc29942_WPSOffice_Level2"/>
      <w:r>
        <w:rPr>
          <w:rFonts w:hint="eastAsia" w:ascii="宋体" w:hAnsi="宋体" w:eastAsia="宋体" w:cs="宋体"/>
          <w:color w:val="auto"/>
          <w:highlight w:val="none"/>
        </w:rPr>
        <w:t>附</w:t>
      </w:r>
      <w:r>
        <w:rPr>
          <w:rFonts w:hint="eastAsia" w:ascii="宋体" w:hAnsi="宋体" w:eastAsia="宋体" w:cs="宋体"/>
          <w:color w:val="auto"/>
          <w:spacing w:val="-1"/>
          <w:highlight w:val="none"/>
        </w:rPr>
        <w:t>件</w:t>
      </w:r>
      <w:r>
        <w:rPr>
          <w:rFonts w:hint="eastAsia" w:ascii="宋体" w:hAnsi="宋体" w:eastAsia="宋体" w:cs="宋体"/>
          <w:color w:val="auto"/>
          <w:highlight w:val="none"/>
        </w:rPr>
        <w:t>二问题澄清通知</w:t>
      </w:r>
      <w:bookmarkEnd w:id="254"/>
    </w:p>
    <w:p w14:paraId="66292BD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1C1316F">
      <w:pPr>
        <w:keepNext w:val="0"/>
        <w:keepLines w:val="0"/>
        <w:widowControl w:val="0"/>
        <w:kinsoku w:val="0"/>
        <w:overflowPunct w:val="0"/>
        <w:autoSpaceDE w:val="0"/>
        <w:autoSpaceDN w:val="0"/>
        <w:bidi w:val="0"/>
        <w:adjustRightInd w:val="0"/>
        <w:spacing w:before="9" w:line="280" w:lineRule="exact"/>
        <w:jc w:val="left"/>
        <w:rPr>
          <w:rFonts w:hint="eastAsia" w:ascii="宋体" w:hAnsi="宋体" w:eastAsia="宋体" w:cs="宋体"/>
          <w:color w:val="auto"/>
          <w:sz w:val="28"/>
          <w:highlight w:val="none"/>
        </w:rPr>
      </w:pPr>
    </w:p>
    <w:p w14:paraId="4F282977">
      <w:pPr>
        <w:keepNext w:val="0"/>
        <w:keepLines w:val="0"/>
        <w:widowControl w:val="0"/>
        <w:kinsoku w:val="0"/>
        <w:overflowPunct w:val="0"/>
        <w:autoSpaceDE w:val="0"/>
        <w:autoSpaceDN w:val="0"/>
        <w:bidi w:val="0"/>
        <w:adjustRightInd w:val="0"/>
        <w:spacing w:line="381" w:lineRule="exact"/>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rPr>
        <w:t>问题澄</w:t>
      </w:r>
      <w:r>
        <w:rPr>
          <w:rFonts w:hint="eastAsia" w:ascii="宋体" w:hAnsi="宋体" w:eastAsia="宋体" w:cs="宋体"/>
          <w:color w:val="auto"/>
          <w:spacing w:val="-3"/>
          <w:sz w:val="28"/>
          <w:highlight w:val="none"/>
        </w:rPr>
        <w:t>清</w:t>
      </w:r>
      <w:r>
        <w:rPr>
          <w:rFonts w:hint="eastAsia" w:ascii="宋体" w:hAnsi="宋体" w:eastAsia="宋体" w:cs="宋体"/>
          <w:color w:val="auto"/>
          <w:sz w:val="28"/>
          <w:highlight w:val="none"/>
        </w:rPr>
        <w:t>通知</w:t>
      </w:r>
    </w:p>
    <w:p w14:paraId="4DAAA339">
      <w:pPr>
        <w:keepNext w:val="0"/>
        <w:keepLines w:val="0"/>
        <w:widowControl w:val="0"/>
        <w:kinsoku w:val="0"/>
        <w:overflowPunct w:val="0"/>
        <w:autoSpaceDE w:val="0"/>
        <w:autoSpaceDN w:val="0"/>
        <w:bidi w:val="0"/>
        <w:adjustRightInd w:val="0"/>
        <w:spacing w:before="2" w:line="120" w:lineRule="exact"/>
        <w:jc w:val="left"/>
        <w:rPr>
          <w:rFonts w:hint="eastAsia" w:ascii="宋体" w:hAnsi="宋体" w:eastAsia="宋体" w:cs="宋体"/>
          <w:color w:val="auto"/>
          <w:sz w:val="12"/>
          <w:highlight w:val="none"/>
        </w:rPr>
      </w:pPr>
    </w:p>
    <w:p w14:paraId="7DCE0B72">
      <w:pPr>
        <w:keepNext w:val="0"/>
        <w:keepLines w:val="0"/>
        <w:widowControl w:val="0"/>
        <w:tabs>
          <w:tab w:val="left" w:pos="2937"/>
        </w:tabs>
        <w:kinsoku w:val="0"/>
        <w:overflowPunct w:val="0"/>
        <w:autoSpaceDE w:val="0"/>
        <w:autoSpaceDN w:val="0"/>
        <w:bidi w:val="0"/>
        <w:adjustRightInd w:val="0"/>
        <w:ind w:right="2"/>
        <w:jc w:val="center"/>
        <w:rPr>
          <w:rFonts w:hint="eastAsia" w:ascii="宋体" w:hAnsi="宋体" w:eastAsia="宋体" w:cs="宋体"/>
          <w:color w:val="auto"/>
          <w:highlight w:val="none"/>
        </w:rPr>
      </w:pPr>
      <w:r>
        <w:rPr>
          <w:rFonts w:hint="eastAsia" w:ascii="宋体" w:hAnsi="宋体" w:eastAsia="宋体" w:cs="宋体"/>
          <w:color w:val="auto"/>
          <w:highlight w:val="none"/>
        </w:rPr>
        <w:t>（编</w:t>
      </w:r>
      <w:r>
        <w:rPr>
          <w:rFonts w:hint="eastAsia" w:ascii="宋体" w:hAnsi="宋体" w:eastAsia="宋体" w:cs="宋体"/>
          <w:color w:val="auto"/>
          <w:spacing w:val="-3"/>
          <w:highlight w:val="none"/>
        </w:rPr>
        <w:t>号</w:t>
      </w:r>
      <w:r>
        <w:rPr>
          <w:rFonts w:hint="eastAsia" w:ascii="宋体" w:hAnsi="宋体" w:eastAsia="宋体" w:cs="宋体"/>
          <w:color w:val="auto"/>
          <w:spacing w:val="-1"/>
          <w:highlight w:val="none"/>
        </w:rPr>
        <w:t>：</w:t>
      </w:r>
      <w:r>
        <w:rPr>
          <w:rFonts w:hint="eastAsia" w:ascii="宋体" w:hAnsi="宋体" w:eastAsia="宋体" w:cs="宋体"/>
          <w:color w:val="auto"/>
          <w:spacing w:val="-1"/>
          <w:highlight w:val="none"/>
          <w:u w:val="single"/>
        </w:rPr>
        <w:tab/>
      </w:r>
      <w:r>
        <w:rPr>
          <w:rFonts w:hint="eastAsia" w:ascii="宋体" w:hAnsi="宋体" w:eastAsia="宋体" w:cs="宋体"/>
          <w:color w:val="auto"/>
          <w:highlight w:val="none"/>
        </w:rPr>
        <w:t>）</w:t>
      </w:r>
    </w:p>
    <w:p w14:paraId="59DC0925">
      <w:pPr>
        <w:keepNext w:val="0"/>
        <w:keepLines w:val="0"/>
        <w:widowControl w:val="0"/>
        <w:kinsoku w:val="0"/>
        <w:overflowPunct w:val="0"/>
        <w:autoSpaceDE w:val="0"/>
        <w:autoSpaceDN w:val="0"/>
        <w:bidi w:val="0"/>
        <w:adjustRightInd w:val="0"/>
        <w:spacing w:before="3" w:line="140" w:lineRule="exact"/>
        <w:jc w:val="left"/>
        <w:rPr>
          <w:rFonts w:hint="eastAsia" w:ascii="宋体" w:hAnsi="宋体" w:eastAsia="宋体" w:cs="宋体"/>
          <w:color w:val="auto"/>
          <w:sz w:val="14"/>
          <w:highlight w:val="none"/>
        </w:rPr>
      </w:pPr>
    </w:p>
    <w:p w14:paraId="133B61A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A727CA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372F1FE">
      <w:pPr>
        <w:pStyle w:val="3"/>
        <w:keepNext w:val="0"/>
        <w:keepLines w:val="0"/>
        <w:tabs>
          <w:tab w:val="left" w:pos="1944"/>
        </w:tabs>
        <w:kinsoku w:val="0"/>
        <w:overflowPunct w:val="0"/>
        <w:bidi w:val="0"/>
        <w:spacing w:line="340" w:lineRule="exact"/>
        <w:ind w:left="144" w:right="5221"/>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（投标人名称</w:t>
      </w:r>
      <w:r>
        <w:rPr>
          <w:rFonts w:hint="eastAsia" w:ascii="宋体" w:hAnsi="宋体" w:eastAsia="宋体" w:cs="宋体"/>
          <w:color w:val="auto"/>
          <w:spacing w:val="-120"/>
          <w:sz w:val="22"/>
          <w:szCs w:val="22"/>
          <w:highlight w:val="none"/>
        </w:rPr>
        <w:t>）</w:t>
      </w:r>
    </w:p>
    <w:p w14:paraId="4F411010">
      <w:pPr>
        <w:keepNext w:val="0"/>
        <w:keepLines w:val="0"/>
        <w:widowControl w:val="0"/>
        <w:kinsoku w:val="0"/>
        <w:overflowPunct w:val="0"/>
        <w:autoSpaceDE w:val="0"/>
        <w:autoSpaceDN w:val="0"/>
        <w:bidi w:val="0"/>
        <w:adjustRightInd w:val="0"/>
        <w:spacing w:before="7" w:line="120" w:lineRule="exact"/>
        <w:jc w:val="left"/>
        <w:rPr>
          <w:rFonts w:hint="eastAsia" w:ascii="宋体" w:hAnsi="宋体" w:eastAsia="宋体" w:cs="宋体"/>
          <w:color w:val="auto"/>
          <w:sz w:val="22"/>
          <w:szCs w:val="22"/>
          <w:highlight w:val="none"/>
        </w:rPr>
      </w:pPr>
    </w:p>
    <w:p w14:paraId="51CFD4F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551AF57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39C2AF59">
      <w:pPr>
        <w:pStyle w:val="3"/>
        <w:keepNext w:val="0"/>
        <w:keepLines w:val="0"/>
        <w:tabs>
          <w:tab w:val="left" w:pos="864"/>
          <w:tab w:val="left" w:pos="2636"/>
          <w:tab w:val="left" w:pos="5007"/>
        </w:tabs>
        <w:kinsoku w:val="0"/>
        <w:overflowPunct w:val="0"/>
        <w:bidi w:val="0"/>
        <w:spacing w:line="298" w:lineRule="auto"/>
        <w:ind w:left="144" w:right="147"/>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b/>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（项目名称</w:t>
      </w:r>
      <w:r>
        <w:rPr>
          <w:rFonts w:hint="eastAsia" w:ascii="宋体" w:hAnsi="宋体" w:eastAsia="宋体" w:cs="宋体"/>
          <w:color w:val="auto"/>
          <w:spacing w:val="-29"/>
          <w:szCs w:val="24"/>
          <w:highlight w:val="none"/>
        </w:rPr>
        <w:t>）</w:t>
      </w:r>
      <w:r>
        <w:rPr>
          <w:rFonts w:hint="eastAsia" w:ascii="宋体" w:hAnsi="宋体" w:eastAsia="宋体" w:cs="宋体"/>
          <w:color w:val="auto"/>
          <w:spacing w:val="-29"/>
          <w:szCs w:val="24"/>
          <w:highlight w:val="none"/>
          <w:u w:val="single" w:color="000000"/>
        </w:rPr>
        <w:tab/>
      </w:r>
      <w:r>
        <w:rPr>
          <w:rFonts w:hint="eastAsia" w:ascii="宋体" w:hAnsi="宋体" w:eastAsia="宋体" w:cs="宋体"/>
          <w:color w:val="auto"/>
          <w:szCs w:val="24"/>
          <w:highlight w:val="none"/>
        </w:rPr>
        <w:t>标段施工监理招标的评标委员会</w:t>
      </w:r>
      <w:r>
        <w:rPr>
          <w:rFonts w:hint="eastAsia" w:ascii="宋体" w:hAnsi="宋体" w:eastAsia="宋体" w:cs="宋体"/>
          <w:color w:val="auto"/>
          <w:spacing w:val="-29"/>
          <w:szCs w:val="24"/>
          <w:highlight w:val="none"/>
        </w:rPr>
        <w:t>，</w:t>
      </w:r>
      <w:r>
        <w:rPr>
          <w:rFonts w:hint="eastAsia" w:ascii="宋体" w:hAnsi="宋体" w:eastAsia="宋体" w:cs="宋体"/>
          <w:color w:val="auto"/>
          <w:szCs w:val="24"/>
          <w:highlight w:val="none"/>
        </w:rPr>
        <w:t>对你方的投标文件进行了仔细的审查，现需你方对下列问题以书面形式予以澄</w:t>
      </w:r>
      <w:r>
        <w:rPr>
          <w:rFonts w:hint="eastAsia" w:ascii="宋体" w:hAnsi="宋体" w:eastAsia="宋体" w:cs="宋体"/>
          <w:color w:val="auto"/>
          <w:spacing w:val="2"/>
          <w:szCs w:val="24"/>
          <w:highlight w:val="none"/>
        </w:rPr>
        <w:t>清</w:t>
      </w:r>
      <w:r>
        <w:rPr>
          <w:rFonts w:hint="eastAsia" w:ascii="宋体" w:hAnsi="宋体" w:eastAsia="宋体" w:cs="宋体"/>
          <w:color w:val="auto"/>
          <w:szCs w:val="24"/>
          <w:highlight w:val="none"/>
        </w:rPr>
        <w:t>或说明：</w:t>
      </w:r>
    </w:p>
    <w:p w14:paraId="7818EE31">
      <w:pPr>
        <w:keepNext w:val="0"/>
        <w:keepLines w:val="0"/>
        <w:widowControl w:val="0"/>
        <w:kinsoku w:val="0"/>
        <w:overflowPunct w:val="0"/>
        <w:autoSpaceDE w:val="0"/>
        <w:autoSpaceDN w:val="0"/>
        <w:bidi w:val="0"/>
        <w:adjustRightInd w:val="0"/>
        <w:spacing w:before="7" w:line="140" w:lineRule="exact"/>
        <w:jc w:val="left"/>
        <w:rPr>
          <w:rFonts w:hint="eastAsia" w:ascii="宋体" w:hAnsi="宋体" w:eastAsia="宋体" w:cs="宋体"/>
          <w:color w:val="auto"/>
          <w:sz w:val="22"/>
          <w:szCs w:val="22"/>
          <w:highlight w:val="none"/>
        </w:rPr>
      </w:pPr>
    </w:p>
    <w:p w14:paraId="10EEDFB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4A32FDD3">
      <w:pPr>
        <w:pStyle w:val="3"/>
        <w:keepNext w:val="0"/>
        <w:keepLines w:val="0"/>
        <w:kinsoku w:val="0"/>
        <w:overflowPunct w:val="0"/>
        <w:bidi w:val="0"/>
        <w:ind w:left="144" w:right="8461"/>
        <w:jc w:val="both"/>
        <w:rPr>
          <w:rFonts w:hint="eastAsia" w:ascii="宋体" w:hAnsi="宋体" w:eastAsia="宋体" w:cs="宋体"/>
          <w:color w:val="auto"/>
          <w:sz w:val="22"/>
          <w:szCs w:val="22"/>
          <w:highlight w:val="none"/>
          <w:lang w:eastAsia="zh-CN"/>
        </w:rPr>
      </w:pPr>
    </w:p>
    <w:p w14:paraId="5FC17C68">
      <w:pPr>
        <w:keepNext w:val="0"/>
        <w:keepLines w:val="0"/>
        <w:widowControl w:val="0"/>
        <w:kinsoku w:val="0"/>
        <w:overflowPunct w:val="0"/>
        <w:autoSpaceDE w:val="0"/>
        <w:autoSpaceDN w:val="0"/>
        <w:bidi w:val="0"/>
        <w:adjustRightInd w:val="0"/>
        <w:spacing w:before="6" w:line="140" w:lineRule="exact"/>
        <w:jc w:val="left"/>
        <w:rPr>
          <w:rFonts w:hint="eastAsia" w:ascii="宋体" w:hAnsi="宋体" w:eastAsia="宋体" w:cs="宋体"/>
          <w:color w:val="auto"/>
          <w:sz w:val="22"/>
          <w:szCs w:val="22"/>
          <w:highlight w:val="none"/>
        </w:rPr>
      </w:pPr>
    </w:p>
    <w:p w14:paraId="767F6A55">
      <w:pPr>
        <w:pStyle w:val="3"/>
        <w:keepNext w:val="0"/>
        <w:keepLines w:val="0"/>
        <w:kinsoku w:val="0"/>
        <w:overflowPunct w:val="0"/>
        <w:bidi w:val="0"/>
        <w:spacing w:before="69"/>
        <w:ind w:left="62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p w14:paraId="5FDAA44B">
      <w:pPr>
        <w:keepNext w:val="0"/>
        <w:keepLines w:val="0"/>
        <w:widowControl w:val="0"/>
        <w:kinsoku w:val="0"/>
        <w:overflowPunct w:val="0"/>
        <w:autoSpaceDE w:val="0"/>
        <w:autoSpaceDN w:val="0"/>
        <w:bidi w:val="0"/>
        <w:adjustRightInd w:val="0"/>
        <w:spacing w:before="6" w:line="160" w:lineRule="exact"/>
        <w:jc w:val="left"/>
        <w:rPr>
          <w:rFonts w:hint="eastAsia" w:ascii="宋体" w:hAnsi="宋体" w:eastAsia="宋体" w:cs="宋体"/>
          <w:color w:val="auto"/>
          <w:sz w:val="22"/>
          <w:szCs w:val="22"/>
          <w:highlight w:val="none"/>
        </w:rPr>
      </w:pPr>
    </w:p>
    <w:p w14:paraId="42CA1C34">
      <w:pPr>
        <w:pStyle w:val="3"/>
        <w:keepNext w:val="0"/>
        <w:keepLines w:val="0"/>
        <w:kinsoku w:val="0"/>
        <w:overflowPunct w:val="0"/>
        <w:bidi w:val="0"/>
        <w:ind w:left="62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p w14:paraId="264F714E">
      <w:pPr>
        <w:keepNext w:val="0"/>
        <w:keepLines w:val="0"/>
        <w:widowControl w:val="0"/>
        <w:kinsoku w:val="0"/>
        <w:overflowPunct w:val="0"/>
        <w:autoSpaceDE w:val="0"/>
        <w:autoSpaceDN w:val="0"/>
        <w:bidi w:val="0"/>
        <w:adjustRightInd w:val="0"/>
        <w:spacing w:before="4" w:line="160" w:lineRule="exact"/>
        <w:jc w:val="left"/>
        <w:rPr>
          <w:rFonts w:hint="eastAsia" w:ascii="宋体" w:hAnsi="宋体" w:eastAsia="宋体" w:cs="宋体"/>
          <w:color w:val="auto"/>
          <w:sz w:val="22"/>
          <w:szCs w:val="22"/>
          <w:highlight w:val="none"/>
        </w:rPr>
      </w:pPr>
    </w:p>
    <w:p w14:paraId="489163E6">
      <w:pPr>
        <w:pStyle w:val="3"/>
        <w:keepNext w:val="0"/>
        <w:keepLines w:val="0"/>
        <w:kinsoku w:val="0"/>
        <w:overflowPunct w:val="0"/>
        <w:bidi w:val="0"/>
        <w:ind w:left="7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p w14:paraId="6DDCE296">
      <w:pPr>
        <w:keepNext w:val="0"/>
        <w:keepLines w:val="0"/>
        <w:widowControl w:val="0"/>
        <w:kinsoku w:val="0"/>
        <w:overflowPunct w:val="0"/>
        <w:autoSpaceDE w:val="0"/>
        <w:autoSpaceDN w:val="0"/>
        <w:bidi w:val="0"/>
        <w:adjustRightInd w:val="0"/>
        <w:spacing w:before="7" w:line="180" w:lineRule="exact"/>
        <w:jc w:val="left"/>
        <w:rPr>
          <w:rFonts w:hint="eastAsia" w:ascii="宋体" w:hAnsi="宋体" w:eastAsia="宋体" w:cs="宋体"/>
          <w:color w:val="auto"/>
          <w:sz w:val="22"/>
          <w:szCs w:val="22"/>
          <w:highlight w:val="none"/>
        </w:rPr>
      </w:pPr>
    </w:p>
    <w:p w14:paraId="33AE5EA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50E3E88">
      <w:pPr>
        <w:pStyle w:val="3"/>
        <w:keepNext w:val="0"/>
        <w:keepLines w:val="0"/>
        <w:kinsoku w:val="0"/>
        <w:overflowPunct w:val="0"/>
        <w:bidi w:val="0"/>
        <w:ind w:left="144" w:right="8221"/>
        <w:jc w:val="both"/>
        <w:rPr>
          <w:rFonts w:hint="eastAsia" w:ascii="宋体" w:hAnsi="宋体" w:eastAsia="宋体" w:cs="宋体"/>
          <w:color w:val="auto"/>
          <w:sz w:val="22"/>
          <w:szCs w:val="22"/>
          <w:highlight w:val="none"/>
          <w:lang w:eastAsia="zh-CN"/>
        </w:rPr>
      </w:pPr>
    </w:p>
    <w:p w14:paraId="5BC79B41">
      <w:pPr>
        <w:keepNext w:val="0"/>
        <w:keepLines w:val="0"/>
        <w:widowControl w:val="0"/>
        <w:kinsoku w:val="0"/>
        <w:overflowPunct w:val="0"/>
        <w:autoSpaceDE w:val="0"/>
        <w:autoSpaceDN w:val="0"/>
        <w:bidi w:val="0"/>
        <w:adjustRightInd w:val="0"/>
        <w:spacing w:before="1" w:line="120" w:lineRule="exact"/>
        <w:jc w:val="left"/>
        <w:rPr>
          <w:rFonts w:hint="eastAsia" w:ascii="宋体" w:hAnsi="宋体" w:eastAsia="宋体" w:cs="宋体"/>
          <w:color w:val="auto"/>
          <w:sz w:val="22"/>
          <w:szCs w:val="22"/>
          <w:highlight w:val="none"/>
        </w:rPr>
      </w:pPr>
    </w:p>
    <w:p w14:paraId="408AF128">
      <w:pPr>
        <w:pStyle w:val="3"/>
        <w:keepNext w:val="0"/>
        <w:keepLines w:val="0"/>
        <w:tabs>
          <w:tab w:val="left" w:pos="2876"/>
          <w:tab w:val="left" w:pos="3168"/>
          <w:tab w:val="left" w:pos="3768"/>
          <w:tab w:val="left" w:pos="4104"/>
          <w:tab w:val="left" w:pos="4368"/>
          <w:tab w:val="left" w:pos="4704"/>
          <w:tab w:val="left" w:pos="4969"/>
          <w:tab w:val="left" w:pos="5305"/>
          <w:tab w:val="left" w:pos="5569"/>
          <w:tab w:val="left" w:pos="5905"/>
          <w:tab w:val="left" w:pos="6505"/>
          <w:tab w:val="left" w:pos="8341"/>
        </w:tabs>
        <w:kinsoku w:val="0"/>
        <w:overflowPunct w:val="0"/>
        <w:bidi w:val="0"/>
        <w:spacing w:line="298" w:lineRule="auto"/>
        <w:ind w:left="144" w:right="144"/>
        <w:jc w:val="both"/>
        <w:rPr>
          <w:rFonts w:hint="eastAsia" w:ascii="宋体" w:hAnsi="宋体" w:eastAsia="宋体" w:cs="宋体"/>
          <w:color w:val="auto"/>
          <w:sz w:val="22"/>
          <w:szCs w:val="22"/>
          <w:highlight w:val="none"/>
        </w:rPr>
      </w:pPr>
      <w:r>
        <w:rPr>
          <w:rFonts w:hint="eastAsia" w:ascii="宋体" w:hAnsi="宋体" w:eastAsia="宋体" w:cs="宋体"/>
          <w:color w:val="auto"/>
          <w:szCs w:val="24"/>
          <w:highlight w:val="none"/>
        </w:rPr>
        <w:t>请将上述问题的澄清或说明于年月日时分前递交至</w:t>
      </w:r>
      <w:r>
        <w:rPr>
          <w:rFonts w:hint="eastAsia" w:ascii="宋体" w:hAnsi="宋体" w:eastAsia="宋体" w:cs="宋体"/>
          <w:color w:val="auto"/>
          <w:szCs w:val="24"/>
          <w:highlight w:val="none"/>
          <w:u w:val="single" w:color="000000"/>
        </w:rPr>
        <w:t>（</w:t>
      </w:r>
      <w:r>
        <w:rPr>
          <w:rFonts w:hint="eastAsia" w:ascii="宋体" w:hAnsi="宋体" w:eastAsia="宋体" w:cs="宋体"/>
          <w:color w:val="auto"/>
          <w:szCs w:val="24"/>
          <w:highlight w:val="none"/>
        </w:rPr>
        <w:t>详细地址</w:t>
      </w:r>
      <w:r>
        <w:rPr>
          <w:rFonts w:hint="eastAsia" w:ascii="宋体" w:hAnsi="宋体" w:eastAsia="宋体" w:cs="宋体"/>
          <w:color w:val="auto"/>
          <w:spacing w:val="-29"/>
          <w:szCs w:val="24"/>
          <w:highlight w:val="none"/>
        </w:rPr>
        <w:t>）</w:t>
      </w:r>
      <w:r>
        <w:rPr>
          <w:rFonts w:hint="eastAsia" w:ascii="宋体" w:hAnsi="宋体" w:eastAsia="宋体" w:cs="宋体"/>
          <w:color w:val="auto"/>
          <w:szCs w:val="24"/>
          <w:highlight w:val="none"/>
        </w:rPr>
        <w:t>或传真至</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（传真号码</w:t>
      </w:r>
      <w:r>
        <w:rPr>
          <w:rFonts w:hint="eastAsia" w:ascii="宋体" w:hAnsi="宋体" w:eastAsia="宋体" w:cs="宋体"/>
          <w:color w:val="auto"/>
          <w:spacing w:val="-29"/>
          <w:szCs w:val="24"/>
          <w:highlight w:val="none"/>
        </w:rPr>
        <w:t>）</w:t>
      </w:r>
      <w:r>
        <w:rPr>
          <w:rFonts w:hint="eastAsia" w:ascii="宋体" w:hAnsi="宋体" w:eastAsia="宋体" w:cs="宋体"/>
          <w:color w:val="auto"/>
          <w:szCs w:val="24"/>
          <w:highlight w:val="none"/>
        </w:rPr>
        <w:t>或通过下载招标文件的电子招标交易平台上传</w:t>
      </w:r>
      <w:r>
        <w:rPr>
          <w:rFonts w:hint="eastAsia" w:ascii="宋体" w:hAnsi="宋体" w:eastAsia="宋体" w:cs="宋体"/>
          <w:color w:val="auto"/>
          <w:spacing w:val="-108"/>
          <w:szCs w:val="24"/>
          <w:highlight w:val="none"/>
        </w:rPr>
        <w:t>。</w:t>
      </w:r>
      <w:r>
        <w:rPr>
          <w:rFonts w:hint="eastAsia" w:ascii="宋体" w:hAnsi="宋体" w:eastAsia="宋体" w:cs="宋体"/>
          <w:color w:val="auto"/>
          <w:szCs w:val="24"/>
          <w:highlight w:val="none"/>
        </w:rPr>
        <w:t>采用传真方式的</w:t>
      </w:r>
      <w:r>
        <w:rPr>
          <w:rFonts w:hint="eastAsia" w:ascii="宋体" w:hAnsi="宋体" w:eastAsia="宋体" w:cs="宋体"/>
          <w:color w:val="auto"/>
          <w:spacing w:val="-108"/>
          <w:szCs w:val="24"/>
          <w:highlight w:val="none"/>
        </w:rPr>
        <w:t>，</w:t>
      </w:r>
      <w:r>
        <w:rPr>
          <w:rFonts w:hint="eastAsia" w:ascii="宋体" w:hAnsi="宋体" w:eastAsia="宋体" w:cs="宋体"/>
          <w:color w:val="auto"/>
          <w:szCs w:val="24"/>
          <w:highlight w:val="none"/>
        </w:rPr>
        <w:t>应在年月日时分前将原件递交至</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u w:val="single" w:color="000000"/>
        </w:rPr>
        <w:t>（</w:t>
      </w:r>
      <w:r>
        <w:rPr>
          <w:rFonts w:hint="eastAsia" w:ascii="宋体" w:hAnsi="宋体" w:eastAsia="宋体" w:cs="宋体"/>
          <w:color w:val="auto"/>
          <w:szCs w:val="24"/>
          <w:highlight w:val="none"/>
        </w:rPr>
        <w:t>详细地址</w:t>
      </w:r>
      <w:r>
        <w:rPr>
          <w:rFonts w:hint="eastAsia" w:ascii="宋体" w:hAnsi="宋体" w:eastAsia="宋体" w:cs="宋体"/>
          <w:color w:val="auto"/>
          <w:spacing w:val="-120"/>
          <w:szCs w:val="24"/>
          <w:highlight w:val="none"/>
        </w:rPr>
        <w:t>）</w:t>
      </w:r>
      <w:r>
        <w:rPr>
          <w:rFonts w:hint="eastAsia" w:ascii="宋体" w:hAnsi="宋体" w:eastAsia="宋体" w:cs="宋体"/>
          <w:color w:val="auto"/>
          <w:szCs w:val="24"/>
          <w:highlight w:val="none"/>
        </w:rPr>
        <w:t>。</w:t>
      </w:r>
    </w:p>
    <w:p w14:paraId="7604EAE9">
      <w:pPr>
        <w:keepNext w:val="0"/>
        <w:keepLines w:val="0"/>
        <w:widowControl w:val="0"/>
        <w:kinsoku w:val="0"/>
        <w:overflowPunct w:val="0"/>
        <w:autoSpaceDE w:val="0"/>
        <w:autoSpaceDN w:val="0"/>
        <w:bidi w:val="0"/>
        <w:adjustRightInd w:val="0"/>
        <w:spacing w:before="8" w:line="100" w:lineRule="exact"/>
        <w:jc w:val="left"/>
        <w:rPr>
          <w:rFonts w:hint="eastAsia" w:ascii="宋体" w:hAnsi="宋体" w:eastAsia="宋体" w:cs="宋体"/>
          <w:color w:val="auto"/>
          <w:sz w:val="22"/>
          <w:szCs w:val="22"/>
          <w:highlight w:val="none"/>
        </w:rPr>
      </w:pPr>
    </w:p>
    <w:p w14:paraId="28072CA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0BA6C41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181CB1A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89659D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505998B">
      <w:pPr>
        <w:pStyle w:val="3"/>
        <w:keepNext w:val="0"/>
        <w:keepLines w:val="0"/>
        <w:tabs>
          <w:tab w:val="left" w:pos="6661"/>
        </w:tabs>
        <w:kinsoku w:val="0"/>
        <w:overflowPunct w:val="0"/>
        <w:bidi w:val="0"/>
        <w:ind w:left="114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评标委员会授权的招标人或招标代理机构</w:t>
      </w:r>
      <w:r>
        <w:rPr>
          <w:rFonts w:hint="eastAsia" w:ascii="宋体" w:hAnsi="宋体" w:eastAsia="宋体" w:cs="宋体"/>
          <w:color w:val="auto"/>
          <w:spacing w:val="1"/>
          <w:sz w:val="22"/>
          <w:szCs w:val="22"/>
          <w:highlight w:val="none"/>
        </w:rPr>
        <w:t>：</w:t>
      </w:r>
      <w:r>
        <w:rPr>
          <w:rFonts w:hint="eastAsia" w:ascii="宋体" w:hAnsi="宋体" w:eastAsia="宋体" w:cs="宋体"/>
          <w:color w:val="auto"/>
          <w:spacing w:val="1"/>
          <w:sz w:val="22"/>
          <w:szCs w:val="22"/>
          <w:highlight w:val="none"/>
          <w:u w:val="single"/>
        </w:rPr>
        <w:tab/>
      </w:r>
      <w:r>
        <w:rPr>
          <w:rFonts w:hint="eastAsia" w:ascii="宋体" w:hAnsi="宋体" w:eastAsia="宋体" w:cs="宋体"/>
          <w:color w:val="auto"/>
          <w:sz w:val="22"/>
          <w:szCs w:val="22"/>
          <w:highlight w:val="none"/>
        </w:rPr>
        <w:t>（签字或盖单位章）</w:t>
      </w:r>
    </w:p>
    <w:p w14:paraId="6A3A709A">
      <w:pPr>
        <w:keepNext w:val="0"/>
        <w:keepLines w:val="0"/>
        <w:widowControl w:val="0"/>
        <w:kinsoku w:val="0"/>
        <w:overflowPunct w:val="0"/>
        <w:autoSpaceDE w:val="0"/>
        <w:autoSpaceDN w:val="0"/>
        <w:bidi w:val="0"/>
        <w:adjustRightInd w:val="0"/>
        <w:spacing w:before="8" w:line="130" w:lineRule="exact"/>
        <w:jc w:val="left"/>
        <w:rPr>
          <w:rFonts w:hint="eastAsia" w:ascii="宋体" w:hAnsi="宋体" w:eastAsia="宋体" w:cs="宋体"/>
          <w:color w:val="auto"/>
          <w:sz w:val="22"/>
          <w:szCs w:val="22"/>
          <w:highlight w:val="none"/>
        </w:rPr>
      </w:pPr>
    </w:p>
    <w:p w14:paraId="2CE5E7E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4CD60A0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4EEF132">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日</w:t>
      </w:r>
    </w:p>
    <w:p w14:paraId="6E2D7E37">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361B61F5">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37CE90B2">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60003D1D">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1677363B">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4FB40886">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36831D5C">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5BEA8410">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4E83491F">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784F209C">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751CEBE0">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1C1B9E9B">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5A06B881">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sectPr>
          <w:pgSz w:w="11907" w:h="16838"/>
          <w:pgMar w:top="1134" w:right="1134" w:bottom="1134" w:left="1134" w:header="882" w:footer="1078" w:gutter="0"/>
          <w:lnNumType w:countBy="0" w:distance="360"/>
          <w:cols w:space="720" w:num="1"/>
        </w:sectPr>
      </w:pPr>
    </w:p>
    <w:p w14:paraId="127F3EAE">
      <w:pPr>
        <w:pStyle w:val="3"/>
        <w:keepNext w:val="0"/>
        <w:keepLines w:val="0"/>
        <w:kinsoku w:val="0"/>
        <w:overflowPunct w:val="0"/>
        <w:bidi w:val="0"/>
        <w:spacing w:line="340" w:lineRule="exact"/>
        <w:ind w:left="144"/>
        <w:rPr>
          <w:rFonts w:hint="eastAsia" w:ascii="宋体" w:hAnsi="宋体" w:eastAsia="宋体" w:cs="宋体"/>
          <w:color w:val="auto"/>
          <w:highlight w:val="none"/>
        </w:rPr>
      </w:pPr>
      <w:bookmarkStart w:id="255" w:name="bookmark85"/>
      <w:bookmarkEnd w:id="255"/>
      <w:bookmarkStart w:id="256" w:name="_Toc14823_WPSOffice_Level2"/>
      <w:r>
        <w:rPr>
          <w:rFonts w:hint="eastAsia" w:ascii="宋体" w:hAnsi="宋体" w:eastAsia="宋体" w:cs="宋体"/>
          <w:color w:val="auto"/>
          <w:highlight w:val="none"/>
        </w:rPr>
        <w:br w:type="page"/>
      </w:r>
      <w:r>
        <w:rPr>
          <w:rFonts w:hint="eastAsia" w:ascii="宋体" w:hAnsi="宋体" w:eastAsia="宋体" w:cs="宋体"/>
          <w:color w:val="auto"/>
          <w:highlight w:val="none"/>
        </w:rPr>
        <w:t>附</w:t>
      </w:r>
      <w:r>
        <w:rPr>
          <w:rFonts w:hint="eastAsia" w:ascii="宋体" w:hAnsi="宋体" w:eastAsia="宋体" w:cs="宋体"/>
          <w:color w:val="auto"/>
          <w:spacing w:val="-1"/>
          <w:highlight w:val="none"/>
        </w:rPr>
        <w:t>件</w:t>
      </w:r>
      <w:r>
        <w:rPr>
          <w:rFonts w:hint="eastAsia" w:ascii="宋体" w:hAnsi="宋体" w:eastAsia="宋体" w:cs="宋体"/>
          <w:color w:val="auto"/>
          <w:highlight w:val="none"/>
        </w:rPr>
        <w:t>三问题的澄清</w:t>
      </w:r>
      <w:bookmarkEnd w:id="256"/>
    </w:p>
    <w:p w14:paraId="2B6AFA09">
      <w:pPr>
        <w:keepNext w:val="0"/>
        <w:keepLines w:val="0"/>
        <w:widowControl w:val="0"/>
        <w:kinsoku w:val="0"/>
        <w:overflowPunct w:val="0"/>
        <w:autoSpaceDE w:val="0"/>
        <w:autoSpaceDN w:val="0"/>
        <w:bidi w:val="0"/>
        <w:adjustRightInd w:val="0"/>
        <w:spacing w:before="5" w:line="150" w:lineRule="exact"/>
        <w:jc w:val="left"/>
        <w:rPr>
          <w:rFonts w:hint="eastAsia" w:ascii="宋体" w:hAnsi="宋体" w:eastAsia="宋体" w:cs="宋体"/>
          <w:color w:val="auto"/>
          <w:sz w:val="15"/>
          <w:highlight w:val="none"/>
        </w:rPr>
      </w:pPr>
      <w:r>
        <w:rPr>
          <w:rFonts w:hint="eastAsia" w:ascii="宋体" w:hAnsi="宋体" w:eastAsia="宋体" w:cs="宋体"/>
          <w:color w:val="auto"/>
          <w:sz w:val="24"/>
          <w:highlight w:val="none"/>
        </w:rPr>
        <w:br w:type="column"/>
      </w:r>
    </w:p>
    <w:p w14:paraId="76949CD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B0C8CE9">
      <w:pPr>
        <w:keepNext w:val="0"/>
        <w:keepLines w:val="0"/>
        <w:widowControl w:val="0"/>
        <w:kinsoku w:val="0"/>
        <w:overflowPunct w:val="0"/>
        <w:autoSpaceDE w:val="0"/>
        <w:autoSpaceDN w:val="0"/>
        <w:bidi w:val="0"/>
        <w:adjustRightInd w:val="0"/>
        <w:ind w:right="3119"/>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rPr>
        <w:t>问题的</w:t>
      </w:r>
      <w:r>
        <w:rPr>
          <w:rFonts w:hint="eastAsia" w:ascii="宋体" w:hAnsi="宋体" w:eastAsia="宋体" w:cs="宋体"/>
          <w:color w:val="auto"/>
          <w:spacing w:val="-3"/>
          <w:sz w:val="28"/>
          <w:highlight w:val="none"/>
        </w:rPr>
        <w:t>澄</w:t>
      </w:r>
      <w:r>
        <w:rPr>
          <w:rFonts w:hint="eastAsia" w:ascii="宋体" w:hAnsi="宋体" w:eastAsia="宋体" w:cs="宋体"/>
          <w:color w:val="auto"/>
          <w:sz w:val="28"/>
          <w:highlight w:val="none"/>
        </w:rPr>
        <w:t>清</w:t>
      </w:r>
    </w:p>
    <w:p w14:paraId="4C50F08E">
      <w:pPr>
        <w:keepNext w:val="0"/>
        <w:keepLines w:val="0"/>
        <w:widowControl w:val="0"/>
        <w:kinsoku w:val="0"/>
        <w:overflowPunct w:val="0"/>
        <w:autoSpaceDE w:val="0"/>
        <w:autoSpaceDN w:val="0"/>
        <w:bidi w:val="0"/>
        <w:adjustRightInd w:val="0"/>
        <w:spacing w:before="2" w:line="120" w:lineRule="exact"/>
        <w:jc w:val="left"/>
        <w:rPr>
          <w:rFonts w:hint="eastAsia" w:ascii="宋体" w:hAnsi="宋体" w:eastAsia="宋体" w:cs="宋体"/>
          <w:color w:val="auto"/>
          <w:sz w:val="12"/>
          <w:highlight w:val="none"/>
        </w:rPr>
      </w:pPr>
    </w:p>
    <w:p w14:paraId="43F9F021">
      <w:pPr>
        <w:keepNext w:val="0"/>
        <w:keepLines w:val="0"/>
        <w:widowControl w:val="0"/>
        <w:tabs>
          <w:tab w:val="left" w:pos="2381"/>
        </w:tabs>
        <w:kinsoku w:val="0"/>
        <w:overflowPunct w:val="0"/>
        <w:autoSpaceDE w:val="0"/>
        <w:autoSpaceDN w:val="0"/>
        <w:bidi w:val="0"/>
        <w:adjustRightInd w:val="0"/>
        <w:ind w:right="3123"/>
        <w:jc w:val="center"/>
        <w:rPr>
          <w:rFonts w:hint="eastAsia" w:ascii="宋体" w:hAnsi="宋体" w:eastAsia="宋体" w:cs="宋体"/>
          <w:color w:val="auto"/>
          <w:highlight w:val="none"/>
        </w:rPr>
      </w:pPr>
      <w:r>
        <w:rPr>
          <w:rFonts w:hint="eastAsia" w:ascii="宋体" w:hAnsi="宋体" w:eastAsia="宋体" w:cs="宋体"/>
          <w:color w:val="auto"/>
          <w:highlight w:val="none"/>
        </w:rPr>
        <w:t>（编</w:t>
      </w:r>
      <w:r>
        <w:rPr>
          <w:rFonts w:hint="eastAsia" w:ascii="宋体" w:hAnsi="宋体" w:eastAsia="宋体" w:cs="宋体"/>
          <w:color w:val="auto"/>
          <w:spacing w:val="-3"/>
          <w:highlight w:val="none"/>
        </w:rPr>
        <w:t>号</w:t>
      </w:r>
      <w:r>
        <w:rPr>
          <w:rFonts w:hint="eastAsia" w:ascii="宋体" w:hAnsi="宋体" w:eastAsia="宋体" w:cs="宋体"/>
          <w:color w:val="auto"/>
          <w:spacing w:val="-1"/>
          <w:highlight w:val="none"/>
        </w:rPr>
        <w:t>：</w:t>
      </w:r>
      <w:r>
        <w:rPr>
          <w:rFonts w:hint="eastAsia" w:ascii="宋体" w:hAnsi="宋体" w:eastAsia="宋体" w:cs="宋体"/>
          <w:color w:val="auto"/>
          <w:spacing w:val="-1"/>
          <w:highlight w:val="none"/>
          <w:u w:val="single"/>
        </w:rPr>
        <w:tab/>
      </w:r>
      <w:r>
        <w:rPr>
          <w:rFonts w:hint="eastAsia" w:ascii="宋体" w:hAnsi="宋体" w:eastAsia="宋体" w:cs="宋体"/>
          <w:color w:val="auto"/>
          <w:highlight w:val="none"/>
        </w:rPr>
        <w:t>）</w:t>
      </w:r>
    </w:p>
    <w:p w14:paraId="02B7A0FA">
      <w:pPr>
        <w:keepNext w:val="0"/>
        <w:keepLines w:val="0"/>
        <w:widowControl w:val="0"/>
        <w:tabs>
          <w:tab w:val="left" w:pos="2381"/>
        </w:tabs>
        <w:kinsoku w:val="0"/>
        <w:overflowPunct w:val="0"/>
        <w:autoSpaceDE w:val="0"/>
        <w:autoSpaceDN w:val="0"/>
        <w:bidi w:val="0"/>
        <w:adjustRightInd w:val="0"/>
        <w:ind w:right="3123"/>
        <w:jc w:val="center"/>
        <w:rPr>
          <w:rFonts w:hint="eastAsia" w:ascii="宋体" w:hAnsi="宋体" w:eastAsia="宋体" w:cs="宋体"/>
          <w:color w:val="auto"/>
          <w:highlight w:val="none"/>
        </w:rPr>
        <w:sectPr>
          <w:type w:val="continuous"/>
          <w:pgSz w:w="11907" w:h="16838"/>
          <w:pgMar w:top="1134" w:right="1134" w:bottom="1134" w:left="1134" w:header="720" w:footer="720" w:gutter="0"/>
          <w:lnNumType w:countBy="0" w:distance="360"/>
          <w:cols w:equalWidth="0" w:num="2">
            <w:col w:w="2551" w:space="856"/>
            <w:col w:w="6232"/>
          </w:cols>
        </w:sectPr>
      </w:pPr>
    </w:p>
    <w:p w14:paraId="73C39573">
      <w:pPr>
        <w:keepNext w:val="0"/>
        <w:keepLines w:val="0"/>
        <w:widowControl w:val="0"/>
        <w:kinsoku w:val="0"/>
        <w:overflowPunct w:val="0"/>
        <w:autoSpaceDE w:val="0"/>
        <w:autoSpaceDN w:val="0"/>
        <w:bidi w:val="0"/>
        <w:adjustRightInd w:val="0"/>
        <w:spacing w:before="3" w:line="140" w:lineRule="exact"/>
        <w:jc w:val="left"/>
        <w:rPr>
          <w:rFonts w:hint="eastAsia" w:ascii="宋体" w:hAnsi="宋体" w:eastAsia="宋体" w:cs="宋体"/>
          <w:color w:val="auto"/>
          <w:sz w:val="14"/>
          <w:highlight w:val="none"/>
        </w:rPr>
      </w:pPr>
    </w:p>
    <w:p w14:paraId="73D8113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27C604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6DD2CE1">
      <w:pPr>
        <w:pStyle w:val="3"/>
        <w:keepNext w:val="0"/>
        <w:keepLines w:val="0"/>
        <w:tabs>
          <w:tab w:val="left" w:pos="2304"/>
          <w:tab w:val="left" w:pos="4824"/>
        </w:tabs>
        <w:bidi w:val="0"/>
        <w:spacing w:line="340" w:lineRule="exact"/>
        <w:ind w:left="144"/>
        <w:rPr>
          <w:rFonts w:hint="eastAsia" w:ascii="宋体" w:hAnsi="宋体" w:eastAsia="宋体" w:cs="宋体"/>
          <w:color w:val="auto"/>
          <w:sz w:val="22"/>
          <w:szCs w:val="22"/>
          <w:highlight w:val="none"/>
        </w:rPr>
      </w:pP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u w:val="single" w:color="000000"/>
        </w:rPr>
        <w:t>（</w:t>
      </w:r>
      <w:r>
        <w:rPr>
          <w:rFonts w:hint="eastAsia" w:ascii="宋体" w:hAnsi="宋体" w:eastAsia="宋体" w:cs="宋体"/>
          <w:color w:val="auto"/>
          <w:szCs w:val="24"/>
          <w:highlight w:val="none"/>
        </w:rPr>
        <w:t>项目名称）</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标段施工监理招标评标委员会：</w:t>
      </w:r>
    </w:p>
    <w:p w14:paraId="6083B6E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750D2BA5">
      <w:pPr>
        <w:pStyle w:val="3"/>
        <w:keepNext w:val="0"/>
        <w:keepLines w:val="0"/>
        <w:tabs>
          <w:tab w:val="left" w:pos="3984"/>
        </w:tabs>
        <w:kinsoku w:val="0"/>
        <w:overflowPunct w:val="0"/>
        <w:bidi w:val="0"/>
        <w:ind w:left="62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问题澄清通知（编号：</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）已收悉，现澄清、说明如下：</w:t>
      </w:r>
    </w:p>
    <w:p w14:paraId="2FF147D4">
      <w:pPr>
        <w:keepNext w:val="0"/>
        <w:keepLines w:val="0"/>
        <w:widowControl w:val="0"/>
        <w:kinsoku w:val="0"/>
        <w:overflowPunct w:val="0"/>
        <w:autoSpaceDE w:val="0"/>
        <w:autoSpaceDN w:val="0"/>
        <w:bidi w:val="0"/>
        <w:adjustRightInd w:val="0"/>
        <w:spacing w:before="4" w:line="180" w:lineRule="exact"/>
        <w:jc w:val="left"/>
        <w:rPr>
          <w:rFonts w:hint="eastAsia" w:ascii="宋体" w:hAnsi="宋体" w:eastAsia="宋体" w:cs="宋体"/>
          <w:color w:val="auto"/>
          <w:sz w:val="22"/>
          <w:szCs w:val="22"/>
          <w:highlight w:val="none"/>
        </w:rPr>
      </w:pPr>
    </w:p>
    <w:p w14:paraId="318655ED">
      <w:pPr>
        <w:pStyle w:val="3"/>
        <w:keepNext w:val="0"/>
        <w:keepLines w:val="0"/>
        <w:tabs>
          <w:tab w:val="left" w:pos="984"/>
        </w:tabs>
        <w:kinsoku w:val="0"/>
        <w:overflowPunct w:val="0"/>
        <w:bidi w:val="0"/>
        <w:ind w:left="1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t>1.</w:t>
      </w:r>
    </w:p>
    <w:p w14:paraId="62455FC1">
      <w:pPr>
        <w:keepNext w:val="0"/>
        <w:keepLines w:val="0"/>
        <w:widowControl w:val="0"/>
        <w:kinsoku w:val="0"/>
        <w:overflowPunct w:val="0"/>
        <w:autoSpaceDE w:val="0"/>
        <w:autoSpaceDN w:val="0"/>
        <w:bidi w:val="0"/>
        <w:adjustRightInd w:val="0"/>
        <w:spacing w:before="3" w:line="160" w:lineRule="exact"/>
        <w:jc w:val="left"/>
        <w:rPr>
          <w:rFonts w:hint="eastAsia" w:ascii="宋体" w:hAnsi="宋体" w:eastAsia="宋体" w:cs="宋体"/>
          <w:color w:val="auto"/>
          <w:sz w:val="22"/>
          <w:szCs w:val="22"/>
          <w:highlight w:val="none"/>
        </w:rPr>
      </w:pPr>
    </w:p>
    <w:p w14:paraId="47F687A3">
      <w:pPr>
        <w:pStyle w:val="3"/>
        <w:keepNext w:val="0"/>
        <w:keepLines w:val="0"/>
        <w:tabs>
          <w:tab w:val="left" w:pos="984"/>
        </w:tabs>
        <w:kinsoku w:val="0"/>
        <w:overflowPunct w:val="0"/>
        <w:bidi w:val="0"/>
        <w:ind w:left="1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t>2.</w:t>
      </w:r>
    </w:p>
    <w:p w14:paraId="3A8A616D">
      <w:pPr>
        <w:pStyle w:val="3"/>
        <w:keepNext w:val="0"/>
        <w:keepLines w:val="0"/>
        <w:kinsoku w:val="0"/>
        <w:overflowPunct w:val="0"/>
        <w:bidi w:val="0"/>
        <w:spacing w:before="67"/>
        <w:ind w:left="144" w:right="9027"/>
        <w:rPr>
          <w:rFonts w:hint="eastAsia" w:ascii="宋体" w:hAnsi="宋体" w:eastAsia="宋体" w:cs="宋体"/>
          <w:color w:val="auto"/>
          <w:sz w:val="22"/>
          <w:szCs w:val="22"/>
          <w:highlight w:val="none"/>
        </w:rPr>
      </w:pPr>
    </w:p>
    <w:p w14:paraId="271E184C">
      <w:pPr>
        <w:keepNext w:val="0"/>
        <w:keepLines w:val="0"/>
        <w:widowControl w:val="0"/>
        <w:kinsoku w:val="0"/>
        <w:overflowPunct w:val="0"/>
        <w:autoSpaceDE w:val="0"/>
        <w:autoSpaceDN w:val="0"/>
        <w:bidi w:val="0"/>
        <w:adjustRightInd w:val="0"/>
        <w:spacing w:before="4" w:line="180" w:lineRule="exact"/>
        <w:jc w:val="left"/>
        <w:rPr>
          <w:rFonts w:hint="eastAsia" w:ascii="宋体" w:hAnsi="宋体" w:eastAsia="宋体" w:cs="宋体"/>
          <w:color w:val="auto"/>
          <w:sz w:val="22"/>
          <w:szCs w:val="22"/>
          <w:highlight w:val="none"/>
        </w:rPr>
      </w:pPr>
    </w:p>
    <w:p w14:paraId="175B6407">
      <w:pPr>
        <w:pStyle w:val="3"/>
        <w:keepNext w:val="0"/>
        <w:keepLines w:val="0"/>
        <w:tabs>
          <w:tab w:val="left" w:pos="864"/>
        </w:tabs>
        <w:kinsoku w:val="0"/>
        <w:overflowPunct w:val="0"/>
        <w:bidi w:val="0"/>
        <w:ind w:left="1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t>.....</w:t>
      </w:r>
    </w:p>
    <w:p w14:paraId="4C04FA1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4516B4A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5C7DC13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0FCC2FA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32AC665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26ACF5B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0B71762C">
      <w:pPr>
        <w:keepNext w:val="0"/>
        <w:keepLines w:val="0"/>
        <w:widowControl w:val="0"/>
        <w:kinsoku w:val="0"/>
        <w:overflowPunct w:val="0"/>
        <w:autoSpaceDE w:val="0"/>
        <w:autoSpaceDN w:val="0"/>
        <w:bidi w:val="0"/>
        <w:adjustRightInd w:val="0"/>
        <w:spacing w:before="1" w:line="200" w:lineRule="exact"/>
        <w:jc w:val="left"/>
        <w:rPr>
          <w:rFonts w:hint="eastAsia" w:ascii="宋体" w:hAnsi="宋体" w:eastAsia="宋体" w:cs="宋体"/>
          <w:color w:val="auto"/>
          <w:sz w:val="22"/>
          <w:szCs w:val="22"/>
          <w:highlight w:val="none"/>
        </w:rPr>
      </w:pPr>
    </w:p>
    <w:p w14:paraId="18D47D48">
      <w:pPr>
        <w:pStyle w:val="3"/>
        <w:keepNext w:val="0"/>
        <w:keepLines w:val="0"/>
        <w:kinsoku w:val="0"/>
        <w:overflowPunct w:val="0"/>
        <w:bidi w:val="0"/>
        <w:spacing w:line="340" w:lineRule="exact"/>
        <w:ind w:left="62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上述</w:t>
      </w:r>
      <w:r>
        <w:rPr>
          <w:rFonts w:hint="eastAsia" w:ascii="宋体" w:hAnsi="宋体" w:eastAsia="宋体" w:cs="宋体"/>
          <w:color w:val="auto"/>
          <w:spacing w:val="2"/>
          <w:sz w:val="22"/>
          <w:szCs w:val="22"/>
          <w:highlight w:val="none"/>
        </w:rPr>
        <w:t>问</w:t>
      </w:r>
      <w:r>
        <w:rPr>
          <w:rFonts w:hint="eastAsia" w:ascii="宋体" w:hAnsi="宋体" w:eastAsia="宋体" w:cs="宋体"/>
          <w:color w:val="auto"/>
          <w:sz w:val="22"/>
          <w:szCs w:val="22"/>
          <w:highlight w:val="none"/>
        </w:rPr>
        <w:t>题</w:t>
      </w:r>
      <w:r>
        <w:rPr>
          <w:rFonts w:hint="eastAsia" w:ascii="宋体" w:hAnsi="宋体" w:eastAsia="宋体" w:cs="宋体"/>
          <w:color w:val="auto"/>
          <w:spacing w:val="2"/>
          <w:sz w:val="22"/>
          <w:szCs w:val="22"/>
          <w:highlight w:val="none"/>
        </w:rPr>
        <w:t>澄</w:t>
      </w:r>
      <w:r>
        <w:rPr>
          <w:rFonts w:hint="eastAsia" w:ascii="宋体" w:hAnsi="宋体" w:eastAsia="宋体" w:cs="宋体"/>
          <w:color w:val="auto"/>
          <w:sz w:val="22"/>
          <w:szCs w:val="22"/>
          <w:highlight w:val="none"/>
        </w:rPr>
        <w:t>清</w:t>
      </w:r>
      <w:r>
        <w:rPr>
          <w:rFonts w:hint="eastAsia" w:ascii="宋体" w:hAnsi="宋体" w:eastAsia="宋体" w:cs="宋体"/>
          <w:color w:val="auto"/>
          <w:spacing w:val="3"/>
          <w:sz w:val="22"/>
          <w:szCs w:val="22"/>
          <w:highlight w:val="none"/>
        </w:rPr>
        <w:t>或</w:t>
      </w:r>
      <w:r>
        <w:rPr>
          <w:rFonts w:hint="eastAsia" w:ascii="宋体" w:hAnsi="宋体" w:eastAsia="宋体" w:cs="宋体"/>
          <w:color w:val="auto"/>
          <w:sz w:val="22"/>
          <w:szCs w:val="22"/>
          <w:highlight w:val="none"/>
        </w:rPr>
        <w:t>说</w:t>
      </w:r>
      <w:r>
        <w:rPr>
          <w:rFonts w:hint="eastAsia" w:ascii="宋体" w:hAnsi="宋体" w:eastAsia="宋体" w:cs="宋体"/>
          <w:color w:val="auto"/>
          <w:spacing w:val="2"/>
          <w:sz w:val="22"/>
          <w:szCs w:val="22"/>
          <w:highlight w:val="none"/>
        </w:rPr>
        <w:t>明，</w:t>
      </w:r>
      <w:r>
        <w:rPr>
          <w:rFonts w:hint="eastAsia" w:ascii="宋体" w:hAnsi="宋体" w:eastAsia="宋体" w:cs="宋体"/>
          <w:color w:val="auto"/>
          <w:sz w:val="22"/>
          <w:szCs w:val="22"/>
          <w:highlight w:val="none"/>
        </w:rPr>
        <w:t>不改</w:t>
      </w:r>
      <w:r>
        <w:rPr>
          <w:rFonts w:hint="eastAsia" w:ascii="宋体" w:hAnsi="宋体" w:eastAsia="宋体" w:cs="宋体"/>
          <w:color w:val="auto"/>
          <w:spacing w:val="2"/>
          <w:sz w:val="22"/>
          <w:szCs w:val="22"/>
          <w:highlight w:val="none"/>
        </w:rPr>
        <w:t>变</w:t>
      </w:r>
      <w:r>
        <w:rPr>
          <w:rFonts w:hint="eastAsia" w:ascii="宋体" w:hAnsi="宋体" w:eastAsia="宋体" w:cs="宋体"/>
          <w:color w:val="auto"/>
          <w:sz w:val="22"/>
          <w:szCs w:val="22"/>
          <w:highlight w:val="none"/>
        </w:rPr>
        <w:t>我</w:t>
      </w:r>
      <w:r>
        <w:rPr>
          <w:rFonts w:hint="eastAsia" w:ascii="宋体" w:hAnsi="宋体" w:eastAsia="宋体" w:cs="宋体"/>
          <w:color w:val="auto"/>
          <w:spacing w:val="2"/>
          <w:sz w:val="22"/>
          <w:szCs w:val="22"/>
          <w:highlight w:val="none"/>
        </w:rPr>
        <w:t>方</w:t>
      </w:r>
      <w:r>
        <w:rPr>
          <w:rFonts w:hint="eastAsia" w:ascii="宋体" w:hAnsi="宋体" w:eastAsia="宋体" w:cs="宋体"/>
          <w:color w:val="auto"/>
          <w:sz w:val="22"/>
          <w:szCs w:val="22"/>
          <w:highlight w:val="none"/>
        </w:rPr>
        <w:t>投</w:t>
      </w:r>
      <w:r>
        <w:rPr>
          <w:rFonts w:hint="eastAsia" w:ascii="宋体" w:hAnsi="宋体" w:eastAsia="宋体" w:cs="宋体"/>
          <w:color w:val="auto"/>
          <w:spacing w:val="2"/>
          <w:sz w:val="22"/>
          <w:szCs w:val="22"/>
          <w:highlight w:val="none"/>
        </w:rPr>
        <w:t>标</w:t>
      </w:r>
      <w:r>
        <w:rPr>
          <w:rFonts w:hint="eastAsia" w:ascii="宋体" w:hAnsi="宋体" w:eastAsia="宋体" w:cs="宋体"/>
          <w:color w:val="auto"/>
          <w:sz w:val="22"/>
          <w:szCs w:val="22"/>
          <w:highlight w:val="none"/>
        </w:rPr>
        <w:t>文件</w:t>
      </w:r>
      <w:r>
        <w:rPr>
          <w:rFonts w:hint="eastAsia" w:ascii="宋体" w:hAnsi="宋体" w:eastAsia="宋体" w:cs="宋体"/>
          <w:color w:val="auto"/>
          <w:spacing w:val="2"/>
          <w:sz w:val="22"/>
          <w:szCs w:val="22"/>
          <w:highlight w:val="none"/>
        </w:rPr>
        <w:t>的</w:t>
      </w:r>
      <w:r>
        <w:rPr>
          <w:rFonts w:hint="eastAsia" w:ascii="宋体" w:hAnsi="宋体" w:eastAsia="宋体" w:cs="宋体"/>
          <w:color w:val="auto"/>
          <w:sz w:val="22"/>
          <w:szCs w:val="22"/>
          <w:highlight w:val="none"/>
        </w:rPr>
        <w:t>实质</w:t>
      </w:r>
      <w:r>
        <w:rPr>
          <w:rFonts w:hint="eastAsia" w:ascii="宋体" w:hAnsi="宋体" w:eastAsia="宋体" w:cs="宋体"/>
          <w:color w:val="auto"/>
          <w:spacing w:val="2"/>
          <w:sz w:val="22"/>
          <w:szCs w:val="22"/>
          <w:highlight w:val="none"/>
        </w:rPr>
        <w:t>性</w:t>
      </w:r>
      <w:r>
        <w:rPr>
          <w:rFonts w:hint="eastAsia" w:ascii="宋体" w:hAnsi="宋体" w:eastAsia="宋体" w:cs="宋体"/>
          <w:color w:val="auto"/>
          <w:sz w:val="22"/>
          <w:szCs w:val="22"/>
          <w:highlight w:val="none"/>
        </w:rPr>
        <w:t>内</w:t>
      </w:r>
      <w:r>
        <w:rPr>
          <w:rFonts w:hint="eastAsia" w:ascii="宋体" w:hAnsi="宋体" w:eastAsia="宋体" w:cs="宋体"/>
          <w:color w:val="auto"/>
          <w:spacing w:val="2"/>
          <w:sz w:val="22"/>
          <w:szCs w:val="22"/>
          <w:highlight w:val="none"/>
        </w:rPr>
        <w:t>容</w:t>
      </w:r>
      <w:r>
        <w:rPr>
          <w:rFonts w:hint="eastAsia" w:ascii="宋体" w:hAnsi="宋体" w:eastAsia="宋体" w:cs="宋体"/>
          <w:color w:val="auto"/>
          <w:sz w:val="22"/>
          <w:szCs w:val="22"/>
          <w:highlight w:val="none"/>
        </w:rPr>
        <w:t>，</w:t>
      </w:r>
      <w:r>
        <w:rPr>
          <w:rFonts w:hint="eastAsia" w:ascii="宋体" w:hAnsi="宋体" w:eastAsia="宋体" w:cs="宋体"/>
          <w:color w:val="auto"/>
          <w:spacing w:val="2"/>
          <w:sz w:val="22"/>
          <w:szCs w:val="22"/>
          <w:highlight w:val="none"/>
        </w:rPr>
        <w:t>构</w:t>
      </w:r>
      <w:r>
        <w:rPr>
          <w:rFonts w:hint="eastAsia" w:ascii="宋体" w:hAnsi="宋体" w:eastAsia="宋体" w:cs="宋体"/>
          <w:color w:val="auto"/>
          <w:sz w:val="22"/>
          <w:szCs w:val="22"/>
          <w:highlight w:val="none"/>
        </w:rPr>
        <w:t>成我</w:t>
      </w:r>
      <w:r>
        <w:rPr>
          <w:rFonts w:hint="eastAsia" w:ascii="宋体" w:hAnsi="宋体" w:eastAsia="宋体" w:cs="宋体"/>
          <w:color w:val="auto"/>
          <w:spacing w:val="2"/>
          <w:sz w:val="22"/>
          <w:szCs w:val="22"/>
          <w:highlight w:val="none"/>
        </w:rPr>
        <w:t>方</w:t>
      </w:r>
      <w:r>
        <w:rPr>
          <w:rFonts w:hint="eastAsia" w:ascii="宋体" w:hAnsi="宋体" w:eastAsia="宋体" w:cs="宋体"/>
          <w:color w:val="auto"/>
          <w:sz w:val="22"/>
          <w:szCs w:val="22"/>
          <w:highlight w:val="none"/>
        </w:rPr>
        <w:t>投标文件的组成部分。</w:t>
      </w:r>
    </w:p>
    <w:p w14:paraId="42E66A88">
      <w:pPr>
        <w:keepNext w:val="0"/>
        <w:keepLines w:val="0"/>
        <w:widowControl w:val="0"/>
        <w:kinsoku w:val="0"/>
        <w:overflowPunct w:val="0"/>
        <w:autoSpaceDE w:val="0"/>
        <w:autoSpaceDN w:val="0"/>
        <w:bidi w:val="0"/>
        <w:adjustRightInd w:val="0"/>
        <w:spacing w:before="6" w:line="160" w:lineRule="exact"/>
        <w:jc w:val="left"/>
        <w:rPr>
          <w:rFonts w:hint="eastAsia" w:ascii="宋体" w:hAnsi="宋体" w:eastAsia="宋体" w:cs="宋体"/>
          <w:color w:val="auto"/>
          <w:sz w:val="22"/>
          <w:szCs w:val="22"/>
          <w:highlight w:val="none"/>
        </w:rPr>
      </w:pPr>
    </w:p>
    <w:p w14:paraId="415AAC6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3776B0E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32D071F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4B5D775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435D2065">
      <w:pPr>
        <w:pStyle w:val="3"/>
        <w:keepNext w:val="0"/>
        <w:keepLines w:val="0"/>
        <w:tabs>
          <w:tab w:val="left" w:pos="7316"/>
        </w:tabs>
        <w:kinsoku w:val="0"/>
        <w:overflowPunct w:val="0"/>
        <w:bidi w:val="0"/>
        <w:spacing w:line="360" w:lineRule="auto"/>
        <w:ind w:left="1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w:t>
      </w:r>
      <w:r>
        <w:rPr>
          <w:rFonts w:hint="eastAsia" w:ascii="宋体" w:hAnsi="宋体" w:eastAsia="宋体" w:cs="宋体"/>
          <w:color w:val="auto"/>
          <w:spacing w:val="-29"/>
          <w:sz w:val="22"/>
          <w:szCs w:val="22"/>
          <w:highlight w:val="none"/>
        </w:rPr>
        <w:t>：</w:t>
      </w:r>
      <w:r>
        <w:rPr>
          <w:rFonts w:hint="eastAsia" w:ascii="宋体" w:hAnsi="宋体" w:eastAsia="宋体" w:cs="宋体"/>
          <w:color w:val="auto"/>
          <w:spacing w:val="-29"/>
          <w:sz w:val="22"/>
          <w:szCs w:val="22"/>
          <w:highlight w:val="none"/>
          <w:u w:val="single"/>
        </w:rPr>
        <w:tab/>
      </w:r>
      <w:r>
        <w:rPr>
          <w:rFonts w:hint="eastAsia" w:ascii="宋体" w:hAnsi="宋体" w:eastAsia="宋体" w:cs="宋体"/>
          <w:color w:val="auto"/>
          <w:sz w:val="22"/>
          <w:szCs w:val="22"/>
          <w:highlight w:val="none"/>
        </w:rPr>
        <w:t>（盖单位章</w:t>
      </w:r>
      <w:r>
        <w:rPr>
          <w:rFonts w:hint="eastAsia" w:ascii="宋体" w:hAnsi="宋体" w:eastAsia="宋体" w:cs="宋体"/>
          <w:color w:val="auto"/>
          <w:spacing w:val="-26"/>
          <w:sz w:val="22"/>
          <w:szCs w:val="22"/>
          <w:highlight w:val="none"/>
        </w:rPr>
        <w:t>）</w:t>
      </w:r>
    </w:p>
    <w:p w14:paraId="1FCDEB9E">
      <w:pPr>
        <w:pStyle w:val="3"/>
        <w:keepNext w:val="0"/>
        <w:keepLines w:val="0"/>
        <w:tabs>
          <w:tab w:val="left" w:pos="7979"/>
        </w:tabs>
        <w:kinsoku w:val="0"/>
        <w:overflowPunct w:val="0"/>
        <w:bidi w:val="0"/>
        <w:spacing w:before="87" w:line="360" w:lineRule="auto"/>
        <w:ind w:left="1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法定代表人或其委托代理人</w:t>
      </w:r>
      <w:r>
        <w:rPr>
          <w:rFonts w:hint="eastAsia" w:ascii="宋体" w:hAnsi="宋体" w:eastAsia="宋体" w:cs="宋体"/>
          <w:color w:val="auto"/>
          <w:spacing w:val="-43"/>
          <w:sz w:val="22"/>
          <w:szCs w:val="22"/>
          <w:highlight w:val="none"/>
        </w:rPr>
        <w:t>：</w:t>
      </w:r>
      <w:r>
        <w:rPr>
          <w:rFonts w:hint="eastAsia" w:ascii="宋体" w:hAnsi="宋体" w:eastAsia="宋体" w:cs="宋体"/>
          <w:color w:val="auto"/>
          <w:spacing w:val="-43"/>
          <w:sz w:val="22"/>
          <w:szCs w:val="22"/>
          <w:highlight w:val="none"/>
          <w:u w:val="single"/>
        </w:rPr>
        <w:tab/>
      </w:r>
      <w:r>
        <w:rPr>
          <w:rFonts w:hint="eastAsia" w:ascii="宋体" w:hAnsi="宋体" w:eastAsia="宋体" w:cs="宋体"/>
          <w:color w:val="auto"/>
          <w:sz w:val="22"/>
          <w:szCs w:val="22"/>
          <w:highlight w:val="none"/>
          <w:u w:val="single"/>
        </w:rPr>
        <w:t>（签</w:t>
      </w:r>
      <w:r>
        <w:rPr>
          <w:rFonts w:hint="eastAsia" w:ascii="宋体" w:hAnsi="宋体" w:eastAsia="宋体" w:cs="宋体"/>
          <w:color w:val="auto"/>
          <w:sz w:val="22"/>
          <w:szCs w:val="22"/>
          <w:highlight w:val="none"/>
        </w:rPr>
        <w:t>字）</w:t>
      </w:r>
    </w:p>
    <w:p w14:paraId="6E5C03D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8474898">
      <w:pPr>
        <w:keepNext w:val="0"/>
        <w:keepLines w:val="0"/>
        <w:widowControl w:val="0"/>
        <w:kinsoku w:val="0"/>
        <w:overflowPunct w:val="0"/>
        <w:autoSpaceDE w:val="0"/>
        <w:autoSpaceDN w:val="0"/>
        <w:bidi w:val="0"/>
        <w:adjustRightInd w:val="0"/>
        <w:spacing w:before="6" w:line="200" w:lineRule="exact"/>
        <w:jc w:val="left"/>
        <w:rPr>
          <w:rFonts w:hint="eastAsia" w:ascii="宋体" w:hAnsi="宋体" w:eastAsia="宋体" w:cs="宋体"/>
          <w:color w:val="auto"/>
          <w:sz w:val="22"/>
          <w:szCs w:val="22"/>
          <w:highlight w:val="none"/>
        </w:rPr>
      </w:pPr>
    </w:p>
    <w:p w14:paraId="50FDB592">
      <w:pPr>
        <w:pStyle w:val="3"/>
        <w:keepNext w:val="0"/>
        <w:keepLines w:val="0"/>
        <w:kinsoku w:val="0"/>
        <w:overflowPunct w:val="0"/>
        <w:bidi w:val="0"/>
        <w:ind w:left="144" w:right="9027"/>
        <w:rPr>
          <w:rFonts w:hint="eastAsia" w:ascii="宋体" w:hAnsi="宋体" w:eastAsia="宋体" w:cs="宋体"/>
          <w:color w:val="auto"/>
          <w:sz w:val="22"/>
          <w:szCs w:val="22"/>
          <w:highlight w:val="none"/>
          <w:lang w:eastAsia="zh-CN"/>
        </w:rPr>
      </w:pPr>
    </w:p>
    <w:p w14:paraId="7533978E">
      <w:pPr>
        <w:keepNext w:val="0"/>
        <w:keepLines w:val="0"/>
        <w:widowControl w:val="0"/>
        <w:kinsoku w:val="0"/>
        <w:overflowPunct w:val="0"/>
        <w:autoSpaceDE w:val="0"/>
        <w:autoSpaceDN w:val="0"/>
        <w:bidi w:val="0"/>
        <w:adjustRightInd w:val="0"/>
        <w:spacing w:before="9" w:line="110" w:lineRule="exact"/>
        <w:jc w:val="left"/>
        <w:rPr>
          <w:rFonts w:hint="eastAsia" w:ascii="宋体" w:hAnsi="宋体" w:eastAsia="宋体" w:cs="宋体"/>
          <w:color w:val="auto"/>
          <w:sz w:val="22"/>
          <w:szCs w:val="22"/>
          <w:highlight w:val="none"/>
        </w:rPr>
      </w:pPr>
    </w:p>
    <w:p w14:paraId="4DC945B9">
      <w:pPr>
        <w:pStyle w:val="3"/>
        <w:keepNext w:val="0"/>
        <w:keepLines w:val="0"/>
        <w:tabs>
          <w:tab w:val="left" w:pos="5065"/>
          <w:tab w:val="left" w:pos="6025"/>
          <w:tab w:val="left" w:pos="6745"/>
          <w:tab w:val="left" w:pos="7465"/>
        </w:tabs>
        <w:kinsoku w:val="0"/>
        <w:overflowPunct w:val="0"/>
        <w:bidi w:val="0"/>
        <w:ind w:left="1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日</w:t>
      </w:r>
    </w:p>
    <w:p w14:paraId="43FF372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034C5D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E3A1AE9">
      <w:pPr>
        <w:keepNext w:val="0"/>
        <w:keepLines w:val="0"/>
        <w:widowControl w:val="0"/>
        <w:kinsoku w:val="0"/>
        <w:overflowPunct w:val="0"/>
        <w:autoSpaceDE w:val="0"/>
        <w:autoSpaceDN w:val="0"/>
        <w:bidi w:val="0"/>
        <w:adjustRightInd w:val="0"/>
        <w:spacing w:before="29"/>
        <w:ind w:left="144"/>
        <w:jc w:val="left"/>
        <w:rPr>
          <w:rFonts w:hint="eastAsia" w:ascii="宋体" w:hAnsi="宋体" w:eastAsia="宋体" w:cs="宋体"/>
          <w:color w:val="auto"/>
          <w:sz w:val="18"/>
          <w:highlight w:val="none"/>
        </w:rPr>
      </w:pPr>
    </w:p>
    <w:p w14:paraId="110723FB">
      <w:pPr>
        <w:pStyle w:val="12"/>
        <w:keepNext w:val="0"/>
        <w:keepLines w:val="0"/>
        <w:bidi w:val="0"/>
        <w:rPr>
          <w:rFonts w:hint="eastAsia" w:ascii="宋体" w:hAnsi="宋体" w:eastAsia="宋体" w:cs="宋体"/>
          <w:color w:val="auto"/>
          <w:sz w:val="18"/>
          <w:highlight w:val="none"/>
        </w:rPr>
      </w:pPr>
    </w:p>
    <w:p w14:paraId="54880D63">
      <w:pPr>
        <w:pStyle w:val="12"/>
        <w:keepNext w:val="0"/>
        <w:keepLines w:val="0"/>
        <w:bidi w:val="0"/>
        <w:rPr>
          <w:rFonts w:hint="eastAsia" w:ascii="宋体" w:hAnsi="宋体" w:eastAsia="宋体" w:cs="宋体"/>
          <w:color w:val="auto"/>
          <w:sz w:val="18"/>
          <w:highlight w:val="none"/>
        </w:rPr>
        <w:sectPr>
          <w:type w:val="continuous"/>
          <w:pgSz w:w="11907" w:h="16838"/>
          <w:pgMar w:top="1134" w:right="1134" w:bottom="1134" w:left="1134" w:header="720" w:footer="720" w:gutter="0"/>
          <w:lnNumType w:countBy="0" w:distance="360"/>
          <w:cols w:space="720" w:num="1"/>
        </w:sectPr>
      </w:pPr>
    </w:p>
    <w:p w14:paraId="44D180B9">
      <w:pPr>
        <w:pStyle w:val="3"/>
        <w:keepNext w:val="0"/>
        <w:keepLines w:val="0"/>
        <w:kinsoku w:val="0"/>
        <w:overflowPunct w:val="0"/>
        <w:bidi w:val="0"/>
        <w:spacing w:line="340" w:lineRule="exact"/>
        <w:ind w:left="144"/>
        <w:rPr>
          <w:rFonts w:hint="eastAsia" w:ascii="宋体" w:hAnsi="宋体" w:eastAsia="宋体" w:cs="宋体"/>
          <w:color w:val="auto"/>
          <w:highlight w:val="none"/>
        </w:rPr>
      </w:pPr>
      <w:bookmarkStart w:id="257" w:name="bookmark86"/>
      <w:bookmarkEnd w:id="257"/>
      <w:bookmarkStart w:id="258" w:name="_Toc20762_WPSOffice_Level2"/>
      <w:r>
        <w:rPr>
          <w:rFonts w:hint="eastAsia" w:ascii="宋体" w:hAnsi="宋体" w:eastAsia="宋体" w:cs="宋体"/>
          <w:color w:val="auto"/>
          <w:highlight w:val="none"/>
        </w:rPr>
        <w:t>附</w:t>
      </w:r>
      <w:r>
        <w:rPr>
          <w:rFonts w:hint="eastAsia" w:ascii="宋体" w:hAnsi="宋体" w:eastAsia="宋体" w:cs="宋体"/>
          <w:color w:val="auto"/>
          <w:spacing w:val="-1"/>
          <w:highlight w:val="none"/>
        </w:rPr>
        <w:t>件</w:t>
      </w:r>
      <w:r>
        <w:rPr>
          <w:rFonts w:hint="eastAsia" w:ascii="宋体" w:hAnsi="宋体" w:eastAsia="宋体" w:cs="宋体"/>
          <w:color w:val="auto"/>
          <w:highlight w:val="none"/>
        </w:rPr>
        <w:t>四中标通知书</w:t>
      </w:r>
      <w:bookmarkEnd w:id="258"/>
    </w:p>
    <w:p w14:paraId="66E90DE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DD13C09">
      <w:pPr>
        <w:keepNext w:val="0"/>
        <w:keepLines w:val="0"/>
        <w:widowControl w:val="0"/>
        <w:kinsoku w:val="0"/>
        <w:overflowPunct w:val="0"/>
        <w:autoSpaceDE w:val="0"/>
        <w:autoSpaceDN w:val="0"/>
        <w:bidi w:val="0"/>
        <w:adjustRightInd w:val="0"/>
        <w:spacing w:before="9" w:line="280" w:lineRule="exact"/>
        <w:jc w:val="left"/>
        <w:rPr>
          <w:rFonts w:hint="eastAsia" w:ascii="宋体" w:hAnsi="宋体" w:eastAsia="宋体" w:cs="宋体"/>
          <w:color w:val="auto"/>
          <w:sz w:val="28"/>
          <w:highlight w:val="none"/>
        </w:rPr>
      </w:pPr>
    </w:p>
    <w:p w14:paraId="4F0D3820">
      <w:pPr>
        <w:keepNext w:val="0"/>
        <w:keepLines w:val="0"/>
        <w:widowControl w:val="0"/>
        <w:kinsoku w:val="0"/>
        <w:overflowPunct w:val="0"/>
        <w:autoSpaceDE w:val="0"/>
        <w:autoSpaceDN w:val="0"/>
        <w:bidi w:val="0"/>
        <w:adjustRightInd w:val="0"/>
        <w:spacing w:line="381" w:lineRule="exact"/>
        <w:ind w:right="33"/>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rPr>
        <w:t>中标通</w:t>
      </w:r>
      <w:r>
        <w:rPr>
          <w:rFonts w:hint="eastAsia" w:ascii="宋体" w:hAnsi="宋体" w:eastAsia="宋体" w:cs="宋体"/>
          <w:color w:val="auto"/>
          <w:spacing w:val="-3"/>
          <w:sz w:val="28"/>
          <w:highlight w:val="none"/>
        </w:rPr>
        <w:t>知</w:t>
      </w:r>
      <w:r>
        <w:rPr>
          <w:rFonts w:hint="eastAsia" w:ascii="宋体" w:hAnsi="宋体" w:eastAsia="宋体" w:cs="宋体"/>
          <w:color w:val="auto"/>
          <w:sz w:val="28"/>
          <w:highlight w:val="none"/>
        </w:rPr>
        <w:t>书</w:t>
      </w:r>
    </w:p>
    <w:p w14:paraId="19D9B6F2">
      <w:pPr>
        <w:keepNext w:val="0"/>
        <w:keepLines w:val="0"/>
        <w:widowControl w:val="0"/>
        <w:kinsoku w:val="0"/>
        <w:overflowPunct w:val="0"/>
        <w:autoSpaceDE w:val="0"/>
        <w:autoSpaceDN w:val="0"/>
        <w:bidi w:val="0"/>
        <w:adjustRightInd w:val="0"/>
        <w:spacing w:before="3" w:line="130" w:lineRule="exact"/>
        <w:jc w:val="left"/>
        <w:rPr>
          <w:rFonts w:hint="eastAsia" w:ascii="宋体" w:hAnsi="宋体" w:eastAsia="宋体" w:cs="宋体"/>
          <w:color w:val="auto"/>
          <w:sz w:val="13"/>
          <w:highlight w:val="none"/>
        </w:rPr>
      </w:pPr>
    </w:p>
    <w:p w14:paraId="7574E5F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2467E4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58271EA">
      <w:pPr>
        <w:keepNext w:val="0"/>
        <w:keepLines w:val="0"/>
        <w:bidi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采用韶关市公共资源交易中心发出的格式</w:t>
      </w:r>
    </w:p>
    <w:p w14:paraId="4F663D16">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330DBD69">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1DF9A3B6">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44D00B69">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4DFAC2F5">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5980999C">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13060495">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2EF98B73">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17728F82">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20804E40">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47494B52">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7191C5C5">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262030C3">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491756F8">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6BF7E988">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1E1239D7">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62B94D22">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11B727E9">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0DB05862">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308C8859">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08F778A9">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1C5F5588">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66564030">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556BB5EB">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3B94E767">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74EC3D8C">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0ABF0589">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0F2EA20F">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371C35DC">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43141890">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0C725A7B">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672219F4">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79770FA8">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684B9485">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sectPr>
          <w:footerReference r:id="rId12" w:type="default"/>
          <w:pgSz w:w="11907" w:h="16838"/>
          <w:pgMar w:top="1134" w:right="1134" w:bottom="1134" w:left="1134" w:header="882" w:footer="1078" w:gutter="0"/>
          <w:lnNumType w:countBy="0" w:distance="360"/>
          <w:cols w:space="720" w:num="1"/>
        </w:sectPr>
      </w:pPr>
    </w:p>
    <w:p w14:paraId="541BB691">
      <w:pPr>
        <w:pStyle w:val="3"/>
        <w:keepNext w:val="0"/>
        <w:keepLines w:val="0"/>
        <w:kinsoku w:val="0"/>
        <w:overflowPunct w:val="0"/>
        <w:bidi w:val="0"/>
        <w:spacing w:line="340" w:lineRule="exact"/>
        <w:ind w:left="144"/>
        <w:rPr>
          <w:rFonts w:hint="eastAsia" w:ascii="宋体" w:hAnsi="宋体" w:eastAsia="宋体" w:cs="宋体"/>
          <w:color w:val="auto"/>
          <w:highlight w:val="none"/>
        </w:rPr>
      </w:pPr>
      <w:bookmarkStart w:id="259" w:name="bookmark87"/>
      <w:bookmarkEnd w:id="259"/>
      <w:bookmarkStart w:id="260" w:name="_Toc6946_WPSOffice_Level2"/>
      <w:r>
        <w:rPr>
          <w:rFonts w:hint="eastAsia" w:ascii="宋体" w:hAnsi="宋体" w:eastAsia="宋体" w:cs="宋体"/>
          <w:color w:val="auto"/>
          <w:highlight w:val="none"/>
        </w:rPr>
        <w:t>附</w:t>
      </w:r>
      <w:r>
        <w:rPr>
          <w:rFonts w:hint="eastAsia" w:ascii="宋体" w:hAnsi="宋体" w:eastAsia="宋体" w:cs="宋体"/>
          <w:color w:val="auto"/>
          <w:spacing w:val="-1"/>
          <w:highlight w:val="none"/>
        </w:rPr>
        <w:t>件</w:t>
      </w:r>
      <w:r>
        <w:rPr>
          <w:rFonts w:hint="eastAsia" w:ascii="宋体" w:hAnsi="宋体" w:eastAsia="宋体" w:cs="宋体"/>
          <w:color w:val="auto"/>
          <w:highlight w:val="none"/>
        </w:rPr>
        <w:t>五中标结果通知书</w:t>
      </w:r>
      <w:bookmarkEnd w:id="260"/>
    </w:p>
    <w:p w14:paraId="0C59C822">
      <w:pPr>
        <w:keepNext w:val="0"/>
        <w:keepLines w:val="0"/>
        <w:widowControl w:val="0"/>
        <w:kinsoku w:val="0"/>
        <w:overflowPunct w:val="0"/>
        <w:autoSpaceDE w:val="0"/>
        <w:autoSpaceDN w:val="0"/>
        <w:bidi w:val="0"/>
        <w:adjustRightInd w:val="0"/>
        <w:spacing w:before="5" w:line="150" w:lineRule="exact"/>
        <w:jc w:val="left"/>
        <w:rPr>
          <w:rFonts w:hint="eastAsia" w:ascii="宋体" w:hAnsi="宋体" w:eastAsia="宋体" w:cs="宋体"/>
          <w:color w:val="auto"/>
          <w:sz w:val="15"/>
          <w:highlight w:val="none"/>
        </w:rPr>
      </w:pPr>
      <w:r>
        <w:rPr>
          <w:rFonts w:hint="eastAsia" w:ascii="宋体" w:hAnsi="宋体" w:eastAsia="宋体" w:cs="宋体"/>
          <w:color w:val="auto"/>
          <w:sz w:val="24"/>
          <w:highlight w:val="none"/>
        </w:rPr>
        <w:br w:type="column"/>
      </w:r>
    </w:p>
    <w:p w14:paraId="7321C55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98991F4">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8"/>
          <w:highlight w:val="none"/>
        </w:rPr>
      </w:pPr>
      <w:bookmarkStart w:id="261" w:name="_Toc2323_WPSOffice_Level2"/>
      <w:r>
        <w:rPr>
          <w:rFonts w:hint="eastAsia" w:ascii="宋体" w:hAnsi="宋体" w:eastAsia="宋体" w:cs="宋体"/>
          <w:color w:val="auto"/>
          <w:sz w:val="28"/>
          <w:highlight w:val="none"/>
        </w:rPr>
        <w:t>中标结</w:t>
      </w:r>
      <w:r>
        <w:rPr>
          <w:rFonts w:hint="eastAsia" w:ascii="宋体" w:hAnsi="宋体" w:eastAsia="宋体" w:cs="宋体"/>
          <w:color w:val="auto"/>
          <w:spacing w:val="-3"/>
          <w:sz w:val="28"/>
          <w:highlight w:val="none"/>
        </w:rPr>
        <w:t>果</w:t>
      </w:r>
      <w:r>
        <w:rPr>
          <w:rFonts w:hint="eastAsia" w:ascii="宋体" w:hAnsi="宋体" w:eastAsia="宋体" w:cs="宋体"/>
          <w:color w:val="auto"/>
          <w:sz w:val="28"/>
          <w:highlight w:val="none"/>
        </w:rPr>
        <w:t>通知书</w:t>
      </w:r>
      <w:bookmarkEnd w:id="261"/>
    </w:p>
    <w:p w14:paraId="545C0491">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8"/>
          <w:highlight w:val="none"/>
        </w:rPr>
        <w:sectPr>
          <w:type w:val="continuous"/>
          <w:pgSz w:w="11907" w:h="16838"/>
          <w:pgMar w:top="1134" w:right="1134" w:bottom="1134" w:left="1134" w:header="720" w:footer="720" w:gutter="0"/>
          <w:lnNumType w:countBy="0" w:distance="360"/>
          <w:cols w:equalWidth="0" w:num="2">
            <w:col w:w="3031" w:space="693"/>
            <w:col w:w="5915"/>
          </w:cols>
        </w:sectPr>
      </w:pPr>
    </w:p>
    <w:p w14:paraId="129B27FC">
      <w:pPr>
        <w:keepNext w:val="0"/>
        <w:keepLines w:val="0"/>
        <w:widowControl w:val="0"/>
        <w:kinsoku w:val="0"/>
        <w:overflowPunct w:val="0"/>
        <w:autoSpaceDE w:val="0"/>
        <w:autoSpaceDN w:val="0"/>
        <w:bidi w:val="0"/>
        <w:adjustRightInd w:val="0"/>
        <w:spacing w:before="5" w:line="130" w:lineRule="exact"/>
        <w:jc w:val="left"/>
        <w:rPr>
          <w:rFonts w:hint="eastAsia" w:ascii="宋体" w:hAnsi="宋体" w:eastAsia="宋体" w:cs="宋体"/>
          <w:color w:val="auto"/>
          <w:sz w:val="24"/>
          <w:szCs w:val="24"/>
          <w:highlight w:val="none"/>
        </w:rPr>
      </w:pPr>
    </w:p>
    <w:p w14:paraId="7011A7C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3737A5D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2F68F97F">
      <w:pPr>
        <w:pStyle w:val="3"/>
        <w:keepNext w:val="0"/>
        <w:keepLines w:val="0"/>
        <w:tabs>
          <w:tab w:val="left" w:pos="2424"/>
        </w:tabs>
        <w:kinsoku w:val="0"/>
        <w:overflowPunct w:val="0"/>
        <w:bidi w:val="0"/>
        <w:spacing w:line="340" w:lineRule="exact"/>
        <w:ind w:left="26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（未中标人名称</w:t>
      </w:r>
      <w:r>
        <w:rPr>
          <w:rFonts w:hint="eastAsia" w:ascii="宋体" w:hAnsi="宋体" w:eastAsia="宋体" w:cs="宋体"/>
          <w:color w:val="auto"/>
          <w:spacing w:val="-120"/>
          <w:sz w:val="24"/>
          <w:szCs w:val="24"/>
          <w:highlight w:val="none"/>
        </w:rPr>
        <w:t>）</w:t>
      </w:r>
    </w:p>
    <w:p w14:paraId="6A625CC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5EF3902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0D203C95">
      <w:pPr>
        <w:pStyle w:val="3"/>
        <w:keepNext w:val="0"/>
        <w:keepLines w:val="0"/>
        <w:tabs>
          <w:tab w:val="left" w:pos="2193"/>
          <w:tab w:val="left" w:pos="3884"/>
          <w:tab w:val="left" w:pos="7182"/>
          <w:tab w:val="left" w:pos="8334"/>
        </w:tabs>
        <w:kinsoku w:val="0"/>
        <w:overflowPunct w:val="0"/>
        <w:bidi w:val="0"/>
        <w:spacing w:line="298" w:lineRule="auto"/>
        <w:ind w:left="144" w:right="182"/>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我方已接受</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（中标人名称</w:t>
      </w:r>
      <w:r>
        <w:rPr>
          <w:rFonts w:hint="eastAsia" w:ascii="宋体" w:hAnsi="宋体" w:eastAsia="宋体" w:cs="宋体"/>
          <w:color w:val="auto"/>
          <w:spacing w:val="-22"/>
          <w:sz w:val="24"/>
          <w:szCs w:val="24"/>
          <w:highlight w:val="none"/>
        </w:rPr>
        <w:t>）</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（投标日期</w:t>
      </w:r>
      <w:r>
        <w:rPr>
          <w:rFonts w:hint="eastAsia" w:ascii="宋体" w:hAnsi="宋体" w:eastAsia="宋体" w:cs="宋体"/>
          <w:color w:val="auto"/>
          <w:spacing w:val="-22"/>
          <w:sz w:val="24"/>
          <w:szCs w:val="24"/>
          <w:highlight w:val="none"/>
        </w:rPr>
        <w:t>）</w:t>
      </w:r>
      <w:r>
        <w:rPr>
          <w:rFonts w:hint="eastAsia" w:ascii="宋体" w:hAnsi="宋体" w:eastAsia="宋体" w:cs="宋体"/>
          <w:color w:val="auto"/>
          <w:sz w:val="24"/>
          <w:szCs w:val="24"/>
          <w:highlight w:val="none"/>
        </w:rPr>
        <w:t>所递交的</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标段施工监理投标文件</w:t>
      </w:r>
      <w:r>
        <w:rPr>
          <w:rFonts w:hint="eastAsia" w:ascii="宋体" w:hAnsi="宋体" w:eastAsia="宋体" w:cs="宋体"/>
          <w:color w:val="auto"/>
          <w:spacing w:val="-111"/>
          <w:sz w:val="24"/>
          <w:szCs w:val="24"/>
          <w:highlight w:val="none"/>
        </w:rPr>
        <w:t>，</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（中标人名称）为中标人。</w:t>
      </w:r>
    </w:p>
    <w:p w14:paraId="77869ACB">
      <w:pPr>
        <w:keepNext w:val="0"/>
        <w:keepLines w:val="0"/>
        <w:widowControl w:val="0"/>
        <w:kinsoku w:val="0"/>
        <w:overflowPunct w:val="0"/>
        <w:autoSpaceDE w:val="0"/>
        <w:autoSpaceDN w:val="0"/>
        <w:bidi w:val="0"/>
        <w:adjustRightInd w:val="0"/>
        <w:spacing w:before="10" w:line="140" w:lineRule="exact"/>
        <w:jc w:val="left"/>
        <w:rPr>
          <w:rFonts w:hint="eastAsia" w:ascii="宋体" w:hAnsi="宋体" w:eastAsia="宋体" w:cs="宋体"/>
          <w:color w:val="auto"/>
          <w:sz w:val="24"/>
          <w:szCs w:val="24"/>
          <w:highlight w:val="none"/>
        </w:rPr>
      </w:pPr>
    </w:p>
    <w:p w14:paraId="200ACE7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7F9EC336">
      <w:pPr>
        <w:pStyle w:val="3"/>
        <w:keepNext w:val="0"/>
        <w:keepLines w:val="0"/>
        <w:kinsoku w:val="0"/>
        <w:overflowPunct w:val="0"/>
        <w:bidi w:val="0"/>
        <w:ind w:left="144" w:right="8501"/>
        <w:jc w:val="both"/>
        <w:rPr>
          <w:rFonts w:hint="eastAsia" w:ascii="宋体" w:hAnsi="宋体" w:eastAsia="宋体" w:cs="宋体"/>
          <w:color w:val="auto"/>
          <w:sz w:val="24"/>
          <w:szCs w:val="24"/>
          <w:highlight w:val="none"/>
          <w:lang w:eastAsia="zh-CN"/>
        </w:rPr>
      </w:pPr>
    </w:p>
    <w:p w14:paraId="0074F332">
      <w:pPr>
        <w:keepNext w:val="0"/>
        <w:keepLines w:val="0"/>
        <w:widowControl w:val="0"/>
        <w:kinsoku w:val="0"/>
        <w:overflowPunct w:val="0"/>
        <w:autoSpaceDE w:val="0"/>
        <w:autoSpaceDN w:val="0"/>
        <w:bidi w:val="0"/>
        <w:adjustRightInd w:val="0"/>
        <w:spacing w:before="9" w:line="110" w:lineRule="exact"/>
        <w:jc w:val="left"/>
        <w:rPr>
          <w:rFonts w:hint="eastAsia" w:ascii="宋体" w:hAnsi="宋体" w:eastAsia="宋体" w:cs="宋体"/>
          <w:color w:val="auto"/>
          <w:sz w:val="24"/>
          <w:szCs w:val="24"/>
          <w:highlight w:val="none"/>
        </w:rPr>
      </w:pPr>
    </w:p>
    <w:p w14:paraId="7DA10937">
      <w:pPr>
        <w:pStyle w:val="3"/>
        <w:keepNext w:val="0"/>
        <w:keepLines w:val="0"/>
        <w:kinsoku w:val="0"/>
        <w:overflowPunct w:val="0"/>
        <w:bidi w:val="0"/>
        <w:ind w:left="144" w:right="50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感谢你单位对招标项目的参与！</w:t>
      </w:r>
    </w:p>
    <w:p w14:paraId="02E1BE30">
      <w:pPr>
        <w:keepNext w:val="0"/>
        <w:keepLines w:val="0"/>
        <w:widowControl w:val="0"/>
        <w:kinsoku w:val="0"/>
        <w:overflowPunct w:val="0"/>
        <w:autoSpaceDE w:val="0"/>
        <w:autoSpaceDN w:val="0"/>
        <w:bidi w:val="0"/>
        <w:adjustRightInd w:val="0"/>
        <w:spacing w:before="3" w:line="180" w:lineRule="exact"/>
        <w:jc w:val="left"/>
        <w:rPr>
          <w:rFonts w:hint="eastAsia" w:ascii="宋体" w:hAnsi="宋体" w:eastAsia="宋体" w:cs="宋体"/>
          <w:color w:val="auto"/>
          <w:sz w:val="24"/>
          <w:szCs w:val="24"/>
          <w:highlight w:val="none"/>
        </w:rPr>
      </w:pPr>
    </w:p>
    <w:p w14:paraId="3CD360A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463ADE1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07D2AD3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67E84AB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584B130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6678BA1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6552B82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624D6DDB">
      <w:pPr>
        <w:pStyle w:val="3"/>
        <w:keepNext w:val="0"/>
        <w:keepLines w:val="0"/>
        <w:tabs>
          <w:tab w:val="left" w:pos="7446"/>
        </w:tabs>
        <w:kinsoku w:val="0"/>
        <w:overflowPunct w:val="0"/>
        <w:bidi w:val="0"/>
        <w:spacing w:line="407" w:lineRule="auto"/>
        <w:ind w:left="3845" w:right="1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（盖单位章）</w:t>
      </w:r>
    </w:p>
    <w:p w14:paraId="1F868DF8">
      <w:pPr>
        <w:pStyle w:val="3"/>
        <w:keepNext w:val="0"/>
        <w:keepLines w:val="0"/>
        <w:tabs>
          <w:tab w:val="left" w:pos="7446"/>
        </w:tabs>
        <w:kinsoku w:val="0"/>
        <w:overflowPunct w:val="0"/>
        <w:bidi w:val="0"/>
        <w:spacing w:line="407" w:lineRule="auto"/>
        <w:ind w:left="3845" w:right="1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招标代理机构：</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（盖单位章）</w:t>
      </w:r>
    </w:p>
    <w:p w14:paraId="3DE40137">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日</w:t>
      </w:r>
    </w:p>
    <w:p w14:paraId="550F58B0">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0912905D">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67926E2B">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3603CDEA">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0426C8C0">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3A87DE3B">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50974212">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1D2159A9">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7D46796A">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1D6DCBDC">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1630575F">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6C09E819">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384C63FC">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2F648985">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1BB41BB2">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71145AF9">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097F4F52">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68A731AE">
      <w:pPr>
        <w:pStyle w:val="19"/>
        <w:keepNext w:val="0"/>
        <w:keepLines w:val="0"/>
        <w:bidi w:val="0"/>
        <w:rPr>
          <w:rFonts w:hint="eastAsia" w:ascii="宋体" w:hAnsi="宋体" w:eastAsia="宋体" w:cs="宋体"/>
          <w:color w:val="auto"/>
          <w:highlight w:val="none"/>
        </w:rPr>
      </w:pPr>
    </w:p>
    <w:p w14:paraId="4A3DBC58">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17D6C035">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sectPr>
          <w:type w:val="continuous"/>
          <w:pgSz w:w="11907" w:h="16838"/>
          <w:pgMar w:top="1134" w:right="1134" w:bottom="1134" w:left="1134" w:header="720" w:footer="720" w:gutter="0"/>
          <w:lnNumType w:countBy="0" w:distance="360"/>
          <w:cols w:space="720" w:num="1"/>
        </w:sectPr>
      </w:pPr>
    </w:p>
    <w:p w14:paraId="22BFFB04">
      <w:pPr>
        <w:pStyle w:val="3"/>
        <w:keepNext w:val="0"/>
        <w:keepLines w:val="0"/>
        <w:kinsoku w:val="0"/>
        <w:overflowPunct w:val="0"/>
        <w:bidi w:val="0"/>
        <w:spacing w:line="340" w:lineRule="exact"/>
        <w:ind w:left="144"/>
        <w:rPr>
          <w:rFonts w:hint="eastAsia" w:ascii="宋体" w:hAnsi="宋体" w:eastAsia="宋体" w:cs="宋体"/>
          <w:color w:val="auto"/>
          <w:szCs w:val="24"/>
          <w:highlight w:val="none"/>
        </w:rPr>
      </w:pPr>
      <w:bookmarkStart w:id="262" w:name="bookmark88"/>
      <w:bookmarkEnd w:id="262"/>
      <w:bookmarkStart w:id="263" w:name="_Toc10835_WPSOffice_Level2"/>
      <w:r>
        <w:rPr>
          <w:rFonts w:hint="eastAsia" w:ascii="宋体" w:hAnsi="宋体" w:eastAsia="宋体" w:cs="宋体"/>
          <w:color w:val="auto"/>
          <w:szCs w:val="24"/>
          <w:highlight w:val="none"/>
        </w:rPr>
        <w:t>附</w:t>
      </w:r>
      <w:r>
        <w:rPr>
          <w:rFonts w:hint="eastAsia" w:ascii="宋体" w:hAnsi="宋体" w:eastAsia="宋体" w:cs="宋体"/>
          <w:color w:val="auto"/>
          <w:spacing w:val="-1"/>
          <w:szCs w:val="24"/>
          <w:highlight w:val="none"/>
        </w:rPr>
        <w:t>件</w:t>
      </w:r>
      <w:r>
        <w:rPr>
          <w:rFonts w:hint="eastAsia" w:ascii="宋体" w:hAnsi="宋体" w:eastAsia="宋体" w:cs="宋体"/>
          <w:color w:val="auto"/>
          <w:szCs w:val="24"/>
          <w:highlight w:val="none"/>
        </w:rPr>
        <w:t>六确认通知</w:t>
      </w:r>
      <w:bookmarkEnd w:id="263"/>
    </w:p>
    <w:p w14:paraId="02AC8B48">
      <w:pPr>
        <w:keepNext w:val="0"/>
        <w:keepLines w:val="0"/>
        <w:widowControl w:val="0"/>
        <w:kinsoku w:val="0"/>
        <w:overflowPunct w:val="0"/>
        <w:autoSpaceDE w:val="0"/>
        <w:autoSpaceDN w:val="0"/>
        <w:bidi w:val="0"/>
        <w:adjustRightInd w:val="0"/>
        <w:spacing w:before="5" w:line="15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br w:type="column"/>
      </w:r>
    </w:p>
    <w:p w14:paraId="2786945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EFD6924">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8"/>
          <w:highlight w:val="none"/>
        </w:rPr>
      </w:pPr>
      <w:bookmarkStart w:id="264" w:name="_Toc22476_WPSOffice_Level2"/>
    </w:p>
    <w:p w14:paraId="219E0B90">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rPr>
        <w:t>确认通知</w:t>
      </w:r>
      <w:bookmarkEnd w:id="264"/>
    </w:p>
    <w:p w14:paraId="18601016">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8"/>
          <w:highlight w:val="none"/>
        </w:rPr>
        <w:sectPr>
          <w:type w:val="continuous"/>
          <w:pgSz w:w="11907" w:h="16838"/>
          <w:pgMar w:top="1134" w:right="1134" w:bottom="1134" w:left="1134" w:header="720" w:footer="720" w:gutter="0"/>
          <w:lnNumType w:countBy="0" w:distance="360"/>
          <w:cols w:equalWidth="0" w:num="2">
            <w:col w:w="2311" w:space="1622"/>
            <w:col w:w="5706"/>
          </w:cols>
        </w:sectPr>
      </w:pPr>
    </w:p>
    <w:p w14:paraId="7E5A351C">
      <w:pPr>
        <w:keepNext w:val="0"/>
        <w:keepLines w:val="0"/>
        <w:widowControl w:val="0"/>
        <w:kinsoku w:val="0"/>
        <w:overflowPunct w:val="0"/>
        <w:autoSpaceDE w:val="0"/>
        <w:autoSpaceDN w:val="0"/>
        <w:bidi w:val="0"/>
        <w:adjustRightInd w:val="0"/>
        <w:spacing w:before="5" w:line="130" w:lineRule="exact"/>
        <w:jc w:val="left"/>
        <w:rPr>
          <w:rFonts w:hint="eastAsia" w:ascii="宋体" w:hAnsi="宋体" w:eastAsia="宋体" w:cs="宋体"/>
          <w:color w:val="auto"/>
          <w:sz w:val="13"/>
          <w:highlight w:val="none"/>
        </w:rPr>
      </w:pPr>
    </w:p>
    <w:p w14:paraId="4CD54C8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D52267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299F6F1">
      <w:pPr>
        <w:pStyle w:val="3"/>
        <w:keepNext w:val="0"/>
        <w:keepLines w:val="0"/>
        <w:tabs>
          <w:tab w:val="left" w:pos="1584"/>
        </w:tabs>
        <w:kinsoku w:val="0"/>
        <w:overflowPunct w:val="0"/>
        <w:bidi w:val="0"/>
        <w:spacing w:line="340" w:lineRule="exact"/>
        <w:ind w:left="14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（招标人名称</w:t>
      </w:r>
      <w:r>
        <w:rPr>
          <w:rFonts w:hint="eastAsia" w:ascii="宋体" w:hAnsi="宋体" w:eastAsia="宋体" w:cs="宋体"/>
          <w:color w:val="auto"/>
          <w:spacing w:val="-120"/>
          <w:sz w:val="24"/>
          <w:szCs w:val="24"/>
          <w:highlight w:val="none"/>
        </w:rPr>
        <w:t>）</w:t>
      </w:r>
    </w:p>
    <w:p w14:paraId="135FAEE2">
      <w:pPr>
        <w:keepNext w:val="0"/>
        <w:keepLines w:val="0"/>
        <w:widowControl w:val="0"/>
        <w:kinsoku w:val="0"/>
        <w:overflowPunct w:val="0"/>
        <w:autoSpaceDE w:val="0"/>
        <w:autoSpaceDN w:val="0"/>
        <w:bidi w:val="0"/>
        <w:adjustRightInd w:val="0"/>
        <w:spacing w:before="8" w:line="110" w:lineRule="exact"/>
        <w:jc w:val="left"/>
        <w:rPr>
          <w:rFonts w:hint="eastAsia" w:ascii="宋体" w:hAnsi="宋体" w:eastAsia="宋体" w:cs="宋体"/>
          <w:color w:val="auto"/>
          <w:sz w:val="24"/>
          <w:szCs w:val="24"/>
          <w:highlight w:val="none"/>
        </w:rPr>
      </w:pPr>
    </w:p>
    <w:p w14:paraId="4BBDBB1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262AA3C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5AF9DB8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24D1FD3A">
      <w:pPr>
        <w:pStyle w:val="3"/>
        <w:keepNext w:val="0"/>
        <w:keepLines w:val="0"/>
        <w:tabs>
          <w:tab w:val="left" w:pos="1584"/>
          <w:tab w:val="left" w:pos="2184"/>
          <w:tab w:val="left" w:pos="2784"/>
          <w:tab w:val="left" w:pos="5955"/>
          <w:tab w:val="left" w:pos="8341"/>
        </w:tabs>
        <w:kinsoku w:val="0"/>
        <w:overflowPunct w:val="0"/>
        <w:bidi w:val="0"/>
        <w:spacing w:line="348" w:lineRule="auto"/>
        <w:ind w:left="144" w:right="1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你方于</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月日发出的</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标段施工监理招标关于招标文件澄清/修改的通</w:t>
      </w:r>
      <w:r>
        <w:rPr>
          <w:rFonts w:hint="eastAsia" w:ascii="宋体" w:hAnsi="宋体" w:eastAsia="宋体" w:cs="宋体"/>
          <w:color w:val="auto"/>
          <w:spacing w:val="-17"/>
          <w:sz w:val="24"/>
          <w:szCs w:val="24"/>
          <w:highlight w:val="none"/>
        </w:rPr>
        <w:t>知</w:t>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号补遗书</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正文共</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页</w:t>
      </w:r>
      <w:r>
        <w:rPr>
          <w:rFonts w:hint="eastAsia" w:ascii="宋体" w:hAnsi="宋体" w:eastAsia="宋体" w:cs="宋体"/>
          <w:color w:val="auto"/>
          <w:spacing w:val="-120"/>
          <w:sz w:val="24"/>
          <w:szCs w:val="24"/>
          <w:highlight w:val="none"/>
        </w:rPr>
        <w:t>）</w:t>
      </w:r>
      <w:r>
        <w:rPr>
          <w:rFonts w:hint="eastAsia" w:ascii="宋体" w:hAnsi="宋体" w:eastAsia="宋体" w:cs="宋体"/>
          <w:color w:val="auto"/>
          <w:sz w:val="24"/>
          <w:szCs w:val="24"/>
          <w:highlight w:val="none"/>
        </w:rPr>
        <w:t>，我方已于</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日收到。</w:t>
      </w:r>
    </w:p>
    <w:p w14:paraId="5D85843B">
      <w:pPr>
        <w:pStyle w:val="3"/>
        <w:keepNext w:val="0"/>
        <w:keepLines w:val="0"/>
        <w:kinsoku w:val="0"/>
        <w:overflowPunct w:val="0"/>
        <w:bidi w:val="0"/>
        <w:spacing w:before="78"/>
        <w:ind w:left="14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特此确认。</w:t>
      </w:r>
    </w:p>
    <w:p w14:paraId="30DD954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16E2F36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77E0CDD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98694D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21B72DE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06A82A6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3124893">
      <w:pPr>
        <w:keepNext w:val="0"/>
        <w:keepLines w:val="0"/>
        <w:widowControl w:val="0"/>
        <w:kinsoku w:val="0"/>
        <w:overflowPunct w:val="0"/>
        <w:autoSpaceDE w:val="0"/>
        <w:autoSpaceDN w:val="0"/>
        <w:bidi w:val="0"/>
        <w:adjustRightInd w:val="0"/>
        <w:spacing w:before="7" w:line="220" w:lineRule="exact"/>
        <w:jc w:val="left"/>
        <w:rPr>
          <w:rFonts w:hint="eastAsia" w:ascii="宋体" w:hAnsi="宋体" w:eastAsia="宋体" w:cs="宋体"/>
          <w:color w:val="auto"/>
          <w:sz w:val="22"/>
          <w:szCs w:val="22"/>
          <w:highlight w:val="none"/>
        </w:rPr>
      </w:pPr>
    </w:p>
    <w:p w14:paraId="72960968">
      <w:pPr>
        <w:pStyle w:val="3"/>
        <w:keepNext w:val="0"/>
        <w:keepLines w:val="0"/>
        <w:tabs>
          <w:tab w:val="left" w:pos="7345"/>
        </w:tabs>
        <w:kinsoku w:val="0"/>
        <w:overflowPunct w:val="0"/>
        <w:bidi w:val="0"/>
        <w:ind w:left="37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（盖单位章）</w:t>
      </w:r>
    </w:p>
    <w:p w14:paraId="1F6B7E9A">
      <w:pPr>
        <w:keepNext w:val="0"/>
        <w:keepLines w:val="0"/>
        <w:widowControl w:val="0"/>
        <w:kinsoku w:val="0"/>
        <w:overflowPunct w:val="0"/>
        <w:autoSpaceDE w:val="0"/>
        <w:autoSpaceDN w:val="0"/>
        <w:bidi w:val="0"/>
        <w:adjustRightInd w:val="0"/>
        <w:spacing w:before="1" w:line="140" w:lineRule="exact"/>
        <w:jc w:val="left"/>
        <w:rPr>
          <w:rFonts w:hint="eastAsia" w:ascii="宋体" w:hAnsi="宋体" w:eastAsia="宋体" w:cs="宋体"/>
          <w:color w:val="auto"/>
          <w:sz w:val="22"/>
          <w:szCs w:val="22"/>
          <w:highlight w:val="none"/>
        </w:rPr>
      </w:pPr>
    </w:p>
    <w:p w14:paraId="428AC46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1EB02D0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ECBAB6D">
      <w:pPr>
        <w:pStyle w:val="3"/>
        <w:keepNext w:val="0"/>
        <w:keepLines w:val="0"/>
        <w:tabs>
          <w:tab w:val="left" w:pos="5665"/>
          <w:tab w:val="left" w:pos="6385"/>
          <w:tab w:val="left" w:pos="7105"/>
        </w:tabs>
        <w:kinsoku w:val="0"/>
        <w:overflowPunct w:val="0"/>
        <w:bidi w:val="0"/>
        <w:spacing w:line="340" w:lineRule="exact"/>
        <w:ind w:left="470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日</w:t>
      </w:r>
    </w:p>
    <w:p w14:paraId="3E3108A0">
      <w:pPr>
        <w:pStyle w:val="3"/>
        <w:keepNext w:val="0"/>
        <w:keepLines w:val="0"/>
        <w:tabs>
          <w:tab w:val="left" w:pos="5665"/>
          <w:tab w:val="left" w:pos="6385"/>
          <w:tab w:val="left" w:pos="7105"/>
        </w:tabs>
        <w:kinsoku w:val="0"/>
        <w:overflowPunct w:val="0"/>
        <w:bidi w:val="0"/>
        <w:spacing w:line="340" w:lineRule="exact"/>
        <w:ind w:left="4705"/>
        <w:rPr>
          <w:rFonts w:hint="eastAsia" w:ascii="宋体" w:hAnsi="宋体" w:eastAsia="宋体" w:cs="宋体"/>
          <w:color w:val="auto"/>
          <w:sz w:val="22"/>
          <w:szCs w:val="22"/>
          <w:highlight w:val="none"/>
        </w:rPr>
        <w:sectPr>
          <w:type w:val="continuous"/>
          <w:pgSz w:w="11907" w:h="16838"/>
          <w:pgMar w:top="1134" w:right="1134" w:bottom="1134" w:left="1134" w:header="720" w:footer="720" w:gutter="0"/>
          <w:lnNumType w:countBy="0" w:distance="360"/>
          <w:cols w:space="720" w:num="1"/>
        </w:sectPr>
      </w:pPr>
    </w:p>
    <w:p w14:paraId="2192BB0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B7B475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B31BF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E5D001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175F87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09ADB0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410863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9B1178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AE69AA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C2AD9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4C66C4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8C6FC4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A91FCB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6F54F4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A48A3E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C50BCA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8CBB80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43F9F3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89A93E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39A9C0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DC13B4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F07A8E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EBAFD2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E71D74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386A59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D8E3DB3">
      <w:pPr>
        <w:keepNext w:val="0"/>
        <w:keepLines w:val="0"/>
        <w:widowControl w:val="0"/>
        <w:kinsoku w:val="0"/>
        <w:overflowPunct w:val="0"/>
        <w:autoSpaceDE w:val="0"/>
        <w:autoSpaceDN w:val="0"/>
        <w:bidi w:val="0"/>
        <w:adjustRightInd w:val="0"/>
        <w:spacing w:before="14" w:line="240" w:lineRule="exact"/>
        <w:jc w:val="left"/>
        <w:rPr>
          <w:rFonts w:hint="eastAsia" w:ascii="宋体" w:hAnsi="宋体" w:eastAsia="宋体" w:cs="宋体"/>
          <w:color w:val="auto"/>
          <w:sz w:val="24"/>
          <w:highlight w:val="none"/>
        </w:rPr>
      </w:pPr>
    </w:p>
    <w:p w14:paraId="7C4F4A91">
      <w:pPr>
        <w:pStyle w:val="5"/>
        <w:keepNext w:val="0"/>
        <w:keepLines w:val="0"/>
        <w:bidi w:val="0"/>
        <w:rPr>
          <w:rFonts w:hint="eastAsia" w:ascii="宋体" w:hAnsi="宋体" w:eastAsia="宋体" w:cs="宋体"/>
          <w:color w:val="auto"/>
          <w:highlight w:val="none"/>
        </w:rPr>
      </w:pPr>
      <w:bookmarkStart w:id="265" w:name="_Toc25697_WPSOffice_Level1"/>
      <w:bookmarkStart w:id="266" w:name="_Toc10844"/>
      <w:r>
        <w:rPr>
          <w:rFonts w:hint="eastAsia" w:ascii="宋体" w:hAnsi="宋体" w:eastAsia="宋体" w:cs="宋体"/>
          <w:color w:val="auto"/>
          <w:highlight w:val="none"/>
        </w:rPr>
        <w:t>第三章评标办法</w:t>
      </w:r>
      <w:bookmarkEnd w:id="265"/>
      <w:bookmarkEnd w:id="266"/>
    </w:p>
    <w:p w14:paraId="74113E5E">
      <w:pPr>
        <w:keepNext w:val="0"/>
        <w:keepLines w:val="0"/>
        <w:bidi w:val="0"/>
        <w:rPr>
          <w:rFonts w:hint="eastAsia" w:ascii="宋体" w:hAnsi="宋体" w:eastAsia="宋体" w:cs="宋体"/>
          <w:color w:val="auto"/>
          <w:highlight w:val="none"/>
        </w:rPr>
        <w:sectPr>
          <w:footerReference r:id="rId13" w:type="default"/>
          <w:pgSz w:w="11907" w:h="16838"/>
          <w:pgMar w:top="1134" w:right="1134" w:bottom="1134" w:left="1134" w:header="882" w:footer="1078" w:gutter="0"/>
          <w:lnNumType w:countBy="0" w:distance="360"/>
          <w:cols w:space="720" w:num="1"/>
        </w:sectPr>
      </w:pPr>
    </w:p>
    <w:p w14:paraId="2C0B0F89">
      <w:pPr>
        <w:pStyle w:val="3"/>
        <w:keepNext w:val="0"/>
        <w:keepLines w:val="0"/>
        <w:kinsoku w:val="0"/>
        <w:overflowPunct w:val="0"/>
        <w:bidi w:val="0"/>
        <w:ind w:left="224"/>
        <w:jc w:val="center"/>
        <w:rPr>
          <w:rFonts w:hint="eastAsia" w:ascii="宋体" w:hAnsi="宋体" w:eastAsia="宋体" w:cs="宋体"/>
          <w:b/>
          <w:bCs/>
          <w:color w:val="auto"/>
          <w:sz w:val="32"/>
          <w:szCs w:val="15"/>
          <w:highlight w:val="none"/>
        </w:rPr>
      </w:pPr>
      <w:bookmarkStart w:id="267" w:name="bookmark89"/>
      <w:bookmarkEnd w:id="267"/>
      <w:bookmarkStart w:id="268" w:name="_Toc26001_WPSOffice_Level1"/>
      <w:r>
        <w:rPr>
          <w:rFonts w:hint="eastAsia" w:ascii="宋体" w:hAnsi="宋体" w:eastAsia="宋体" w:cs="宋体"/>
          <w:b/>
          <w:bCs/>
          <w:color w:val="auto"/>
          <w:sz w:val="32"/>
          <w:szCs w:val="15"/>
          <w:highlight w:val="none"/>
        </w:rPr>
        <w:t>第三章评标办法（综合评估法）</w:t>
      </w:r>
      <w:bookmarkEnd w:id="268"/>
    </w:p>
    <w:p w14:paraId="10A51A59">
      <w:pPr>
        <w:keepNext w:val="0"/>
        <w:keepLines w:val="0"/>
        <w:widowControl w:val="0"/>
        <w:kinsoku w:val="0"/>
        <w:overflowPunct w:val="0"/>
        <w:autoSpaceDE w:val="0"/>
        <w:autoSpaceDN w:val="0"/>
        <w:bidi w:val="0"/>
        <w:adjustRightInd w:val="0"/>
        <w:spacing w:before="5" w:line="130" w:lineRule="exact"/>
        <w:jc w:val="left"/>
        <w:rPr>
          <w:rFonts w:hint="eastAsia" w:ascii="宋体" w:hAnsi="宋体" w:eastAsia="宋体" w:cs="宋体"/>
          <w:color w:val="auto"/>
          <w:sz w:val="13"/>
          <w:highlight w:val="none"/>
        </w:rPr>
      </w:pPr>
    </w:p>
    <w:p w14:paraId="01AD94DB">
      <w:pPr>
        <w:pStyle w:val="3"/>
        <w:keepNext w:val="0"/>
        <w:keepLines w:val="0"/>
        <w:kinsoku w:val="0"/>
        <w:overflowPunct w:val="0"/>
        <w:bidi w:val="0"/>
        <w:ind w:left="224"/>
        <w:rPr>
          <w:rFonts w:hint="eastAsia" w:ascii="宋体" w:hAnsi="宋体" w:eastAsia="宋体" w:cs="宋体"/>
          <w:color w:val="auto"/>
          <w:spacing w:val="-1"/>
          <w:highlight w:val="none"/>
        </w:rPr>
      </w:pPr>
      <w:bookmarkStart w:id="269" w:name="bookmark90"/>
      <w:bookmarkEnd w:id="269"/>
      <w:r>
        <w:rPr>
          <w:rFonts w:hint="eastAsia" w:ascii="宋体" w:hAnsi="宋体" w:eastAsia="宋体" w:cs="宋体"/>
          <w:color w:val="auto"/>
          <w:highlight w:val="none"/>
        </w:rPr>
        <w:t>评标办法前附</w:t>
      </w:r>
      <w:r>
        <w:rPr>
          <w:rFonts w:hint="eastAsia" w:ascii="宋体" w:hAnsi="宋体" w:eastAsia="宋体" w:cs="宋体"/>
          <w:color w:val="auto"/>
          <w:spacing w:val="-1"/>
          <w:highlight w:val="none"/>
        </w:rPr>
        <w:t>表</w:t>
      </w:r>
    </w:p>
    <w:tbl>
      <w:tblPr>
        <w:tblStyle w:val="21"/>
        <w:tblpPr w:leftFromText="180" w:rightFromText="180" w:vertAnchor="text" w:horzAnchor="page" w:tblpX="1396" w:tblpY="301"/>
        <w:tblOverlap w:val="never"/>
        <w:tblW w:w="9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512"/>
        <w:gridCol w:w="347"/>
        <w:gridCol w:w="223"/>
        <w:gridCol w:w="58"/>
        <w:gridCol w:w="574"/>
        <w:gridCol w:w="479"/>
        <w:gridCol w:w="844"/>
        <w:gridCol w:w="564"/>
        <w:gridCol w:w="330"/>
        <w:gridCol w:w="114"/>
        <w:gridCol w:w="1130"/>
        <w:gridCol w:w="3894"/>
      </w:tblGrid>
      <w:tr w14:paraId="4C6D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4" w:type="dxa"/>
            <w:gridSpan w:val="5"/>
            <w:noWrap w:val="0"/>
            <w:vAlign w:val="center"/>
          </w:tcPr>
          <w:p w14:paraId="22FC0BC0">
            <w:pPr>
              <w:keepNext w:val="0"/>
              <w:keepLines w:val="0"/>
              <w:widowControl w:val="0"/>
              <w:kinsoku w:val="0"/>
              <w:overflowPunct w:val="0"/>
              <w:autoSpaceDE w:val="0"/>
              <w:autoSpaceDN w:val="0"/>
              <w:bidi w:val="0"/>
              <w:adjustRightInd w:val="0"/>
              <w:jc w:val="center"/>
              <w:rPr>
                <w:rFonts w:hint="eastAsia" w:ascii="宋体" w:hAnsi="宋体" w:eastAsia="宋体" w:cs="宋体"/>
                <w:color w:val="auto"/>
                <w:sz w:val="24"/>
                <w:szCs w:val="24"/>
                <w:highlight w:val="none"/>
              </w:rPr>
            </w:pPr>
            <w:bookmarkStart w:id="270" w:name="_Toc31590_WPSOffice_Level2"/>
            <w:r>
              <w:rPr>
                <w:rFonts w:hint="eastAsia" w:ascii="宋体" w:hAnsi="宋体" w:eastAsia="宋体" w:cs="宋体"/>
                <w:color w:val="auto"/>
                <w:sz w:val="24"/>
                <w:szCs w:val="24"/>
                <w:highlight w:val="none"/>
              </w:rPr>
              <w:t>条款号</w:t>
            </w:r>
          </w:p>
        </w:tc>
        <w:tc>
          <w:tcPr>
            <w:tcW w:w="7929" w:type="dxa"/>
            <w:gridSpan w:val="8"/>
            <w:noWrap w:val="0"/>
            <w:vAlign w:val="center"/>
          </w:tcPr>
          <w:p w14:paraId="7A2A0C90">
            <w:pPr>
              <w:keepNext w:val="0"/>
              <w:keepLines w:val="0"/>
              <w:widowControl w:val="0"/>
              <w:kinsoku w:val="0"/>
              <w:overflowPunct w:val="0"/>
              <w:autoSpaceDE w:val="0"/>
              <w:autoSpaceDN w:val="0"/>
              <w:bidi w:val="0"/>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评</w:t>
            </w:r>
            <w:r>
              <w:rPr>
                <w:rFonts w:hint="eastAsia" w:ascii="宋体" w:hAnsi="宋体" w:eastAsia="宋体" w:cs="宋体"/>
                <w:color w:val="auto"/>
                <w:spacing w:val="9"/>
                <w:sz w:val="24"/>
                <w:szCs w:val="24"/>
                <w:highlight w:val="none"/>
              </w:rPr>
              <w:t>审</w:t>
            </w:r>
            <w:r>
              <w:rPr>
                <w:rFonts w:hint="eastAsia" w:ascii="宋体" w:hAnsi="宋体" w:eastAsia="宋体" w:cs="宋体"/>
                <w:color w:val="auto"/>
                <w:spacing w:val="6"/>
                <w:sz w:val="24"/>
                <w:szCs w:val="24"/>
                <w:highlight w:val="none"/>
              </w:rPr>
              <w:t>因素与评审</w:t>
            </w:r>
            <w:r>
              <w:rPr>
                <w:rFonts w:hint="eastAsia" w:ascii="宋体" w:hAnsi="宋体" w:eastAsia="宋体" w:cs="宋体"/>
                <w:color w:val="auto"/>
                <w:spacing w:val="9"/>
                <w:sz w:val="24"/>
                <w:szCs w:val="24"/>
                <w:highlight w:val="none"/>
              </w:rPr>
              <w:t>标</w:t>
            </w:r>
            <w:r>
              <w:rPr>
                <w:rFonts w:hint="eastAsia" w:ascii="宋体" w:hAnsi="宋体" w:eastAsia="宋体" w:cs="宋体"/>
                <w:color w:val="auto"/>
                <w:sz w:val="24"/>
                <w:szCs w:val="24"/>
                <w:highlight w:val="none"/>
              </w:rPr>
              <w:t>准</w:t>
            </w:r>
          </w:p>
        </w:tc>
      </w:tr>
      <w:tr w14:paraId="351C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center"/>
          </w:tcPr>
          <w:p w14:paraId="3692DF8A">
            <w:pPr>
              <w:keepNext w:val="0"/>
              <w:keepLines w:val="0"/>
              <w:widowControl w:val="0"/>
              <w:kinsoku w:val="0"/>
              <w:overflowPunct w:val="0"/>
              <w:autoSpaceDE w:val="0"/>
              <w:autoSpaceDN w:val="0"/>
              <w:bidi w:val="0"/>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40" w:type="dxa"/>
            <w:gridSpan w:val="4"/>
            <w:noWrap w:val="0"/>
            <w:vAlign w:val="center"/>
          </w:tcPr>
          <w:p w14:paraId="6A3BBB99">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w:t>
            </w:r>
            <w:r>
              <w:rPr>
                <w:rFonts w:hint="eastAsia" w:ascii="宋体" w:hAnsi="宋体" w:eastAsia="宋体" w:cs="宋体"/>
                <w:color w:val="auto"/>
                <w:spacing w:val="-3"/>
                <w:sz w:val="24"/>
                <w:szCs w:val="24"/>
                <w:highlight w:val="none"/>
              </w:rPr>
              <w:t>方</w:t>
            </w:r>
            <w:r>
              <w:rPr>
                <w:rFonts w:hint="eastAsia" w:ascii="宋体" w:hAnsi="宋体" w:eastAsia="宋体" w:cs="宋体"/>
                <w:color w:val="auto"/>
                <w:sz w:val="24"/>
                <w:szCs w:val="24"/>
                <w:highlight w:val="none"/>
              </w:rPr>
              <w:t>法</w:t>
            </w:r>
          </w:p>
        </w:tc>
        <w:tc>
          <w:tcPr>
            <w:tcW w:w="7929" w:type="dxa"/>
            <w:gridSpan w:val="8"/>
            <w:noWrap w:val="0"/>
            <w:vAlign w:val="center"/>
          </w:tcPr>
          <w:p w14:paraId="4989E0E5">
            <w:pPr>
              <w:pStyle w:val="30"/>
              <w:keepNext w:val="0"/>
              <w:keepLines w:val="0"/>
              <w:tabs>
                <w:tab w:val="left" w:pos="1063"/>
              </w:tabs>
              <w:bidi w:val="0"/>
              <w:spacing w:before="60" w:line="290" w:lineRule="auto"/>
              <w:ind w:right="72" w:firstLine="456" w:firstLineChars="200"/>
              <w:jc w:val="both"/>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综合评分相等时，评标委员会依次按照以下优先顺序推荐中标候选人或确定中标人：</w:t>
            </w:r>
          </w:p>
          <w:p w14:paraId="6B575249">
            <w:pPr>
              <w:pStyle w:val="30"/>
              <w:keepNext w:val="0"/>
              <w:keepLines w:val="0"/>
              <w:tabs>
                <w:tab w:val="left" w:pos="1063"/>
              </w:tabs>
              <w:bidi w:val="0"/>
              <w:spacing w:before="60" w:line="290" w:lineRule="auto"/>
              <w:ind w:right="72"/>
              <w:jc w:val="both"/>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（1）评标价低的投标人优先；</w:t>
            </w:r>
          </w:p>
          <w:p w14:paraId="38791351">
            <w:pPr>
              <w:pStyle w:val="30"/>
              <w:keepNext w:val="0"/>
              <w:keepLines w:val="0"/>
              <w:tabs>
                <w:tab w:val="left" w:pos="1063"/>
              </w:tabs>
              <w:bidi w:val="0"/>
              <w:spacing w:before="60" w:line="290" w:lineRule="auto"/>
              <w:ind w:right="7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（2）按招标文件规定被认定为广东省信用等级较高的投标人优先（采用如下的优先顺序：承诺使用的AA级投标人、不承诺使用的AA级投标人、承诺使用的A</w:t>
            </w:r>
            <w:r>
              <w:rPr>
                <w:rFonts w:hint="eastAsia" w:ascii="宋体" w:hAnsi="宋体" w:eastAsia="宋体" w:cs="宋体"/>
                <w:color w:val="auto"/>
                <w:spacing w:val="-7"/>
                <w:sz w:val="24"/>
                <w:szCs w:val="24"/>
                <w:highlight w:val="none"/>
              </w:rPr>
              <w:t>级投标人、不承诺使用的</w:t>
            </w:r>
            <w:r>
              <w:rPr>
                <w:rFonts w:hint="eastAsia" w:ascii="宋体" w:hAnsi="宋体" w:eastAsia="宋体" w:cs="宋体"/>
                <w:color w:val="auto"/>
                <w:sz w:val="24"/>
                <w:szCs w:val="24"/>
                <w:highlight w:val="none"/>
              </w:rPr>
              <w:t>A</w:t>
            </w:r>
            <w:r>
              <w:rPr>
                <w:rFonts w:hint="eastAsia" w:ascii="宋体" w:hAnsi="宋体" w:eastAsia="宋体" w:cs="宋体"/>
                <w:color w:val="auto"/>
                <w:spacing w:val="-2"/>
                <w:sz w:val="24"/>
                <w:szCs w:val="24"/>
                <w:highlight w:val="none"/>
              </w:rPr>
              <w:t>级投标人、</w:t>
            </w:r>
            <w:r>
              <w:rPr>
                <w:rFonts w:hint="eastAsia" w:ascii="宋体" w:hAnsi="宋体" w:eastAsia="宋体" w:cs="宋体"/>
                <w:color w:val="auto"/>
                <w:sz w:val="24"/>
                <w:szCs w:val="24"/>
                <w:highlight w:val="none"/>
              </w:rPr>
              <w:t>B</w:t>
            </w:r>
            <w:r>
              <w:rPr>
                <w:rFonts w:hint="eastAsia" w:ascii="宋体" w:hAnsi="宋体" w:eastAsia="宋体" w:cs="宋体"/>
                <w:color w:val="auto"/>
                <w:spacing w:val="-6"/>
                <w:sz w:val="24"/>
                <w:szCs w:val="24"/>
                <w:highlight w:val="none"/>
              </w:rPr>
              <w:t>级投标人、未参评且被确定为</w:t>
            </w:r>
            <w:r>
              <w:rPr>
                <w:rFonts w:hint="eastAsia" w:ascii="宋体" w:hAnsi="宋体" w:eastAsia="宋体" w:cs="宋体"/>
                <w:color w:val="auto"/>
                <w:sz w:val="24"/>
                <w:szCs w:val="24"/>
                <w:highlight w:val="none"/>
              </w:rPr>
              <w:t>B级投标人）；</w:t>
            </w:r>
          </w:p>
          <w:p w14:paraId="627310A2">
            <w:pPr>
              <w:pStyle w:val="30"/>
              <w:keepNext w:val="0"/>
              <w:keepLines w:val="0"/>
              <w:tabs>
                <w:tab w:val="left" w:pos="1063"/>
              </w:tabs>
              <w:bidi w:val="0"/>
              <w:spacing w:before="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（3）商务和技术得分较高的投标人优先；</w:t>
            </w:r>
          </w:p>
          <w:p w14:paraId="2664D7E3">
            <w:pPr>
              <w:pStyle w:val="30"/>
              <w:keepNext w:val="0"/>
              <w:keepLines w:val="0"/>
              <w:kinsoku w:val="0"/>
              <w:overflowPunct w:val="0"/>
              <w:bidi w:val="0"/>
              <w:spacing w:line="264"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（4）由评标委员会投票确定。</w:t>
            </w:r>
          </w:p>
        </w:tc>
      </w:tr>
      <w:tr w14:paraId="2C0D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2" w:hRule="atLeast"/>
        </w:trPr>
        <w:tc>
          <w:tcPr>
            <w:tcW w:w="914" w:type="dxa"/>
            <w:noWrap w:val="0"/>
            <w:vAlign w:val="center"/>
          </w:tcPr>
          <w:p w14:paraId="75F8B34B">
            <w:pPr>
              <w:keepNext w:val="0"/>
              <w:keepLines w:val="0"/>
              <w:widowControl w:val="0"/>
              <w:kinsoku w:val="0"/>
              <w:overflowPunct w:val="0"/>
              <w:autoSpaceDE w:val="0"/>
              <w:autoSpaceDN w:val="0"/>
              <w:bidi w:val="0"/>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3DB0DE5C">
            <w:pPr>
              <w:keepNext w:val="0"/>
              <w:keepLines w:val="0"/>
              <w:widowControl w:val="0"/>
              <w:kinsoku w:val="0"/>
              <w:overflowPunct w:val="0"/>
              <w:autoSpaceDE w:val="0"/>
              <w:autoSpaceDN w:val="0"/>
              <w:bidi w:val="0"/>
              <w:adjustRightInd w:val="0"/>
              <w:spacing w:line="140" w:lineRule="exact"/>
              <w:jc w:val="center"/>
              <w:rPr>
                <w:rFonts w:hint="eastAsia" w:ascii="宋体" w:hAnsi="宋体" w:eastAsia="宋体" w:cs="宋体"/>
                <w:color w:val="auto"/>
                <w:sz w:val="24"/>
                <w:szCs w:val="24"/>
                <w:highlight w:val="none"/>
              </w:rPr>
            </w:pPr>
          </w:p>
          <w:p w14:paraId="681D3FB1">
            <w:pPr>
              <w:keepNext w:val="0"/>
              <w:keepLines w:val="0"/>
              <w:widowControl w:val="0"/>
              <w:kinsoku w:val="0"/>
              <w:overflowPunct w:val="0"/>
              <w:autoSpaceDE w:val="0"/>
              <w:autoSpaceDN w:val="0"/>
              <w:bidi w:val="0"/>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140" w:type="dxa"/>
            <w:gridSpan w:val="4"/>
            <w:noWrap w:val="0"/>
            <w:vAlign w:val="center"/>
          </w:tcPr>
          <w:p w14:paraId="3851C51F">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w:t>
            </w:r>
            <w:r>
              <w:rPr>
                <w:rFonts w:hint="eastAsia" w:ascii="宋体" w:hAnsi="宋体" w:eastAsia="宋体" w:cs="宋体"/>
                <w:color w:val="auto"/>
                <w:spacing w:val="-3"/>
                <w:sz w:val="24"/>
                <w:szCs w:val="24"/>
                <w:highlight w:val="none"/>
              </w:rPr>
              <w:t>评</w:t>
            </w:r>
            <w:r>
              <w:rPr>
                <w:rFonts w:hint="eastAsia" w:ascii="宋体" w:hAnsi="宋体" w:eastAsia="宋体" w:cs="宋体"/>
                <w:color w:val="auto"/>
                <w:sz w:val="24"/>
                <w:szCs w:val="24"/>
                <w:highlight w:val="none"/>
              </w:rPr>
              <w:t>审与响应</w:t>
            </w:r>
            <w:r>
              <w:rPr>
                <w:rFonts w:hint="eastAsia" w:ascii="宋体" w:hAnsi="宋体" w:eastAsia="宋体" w:cs="宋体"/>
                <w:color w:val="auto"/>
                <w:spacing w:val="-3"/>
                <w:sz w:val="24"/>
                <w:szCs w:val="24"/>
                <w:highlight w:val="none"/>
              </w:rPr>
              <w:t>性</w:t>
            </w:r>
            <w:r>
              <w:rPr>
                <w:rFonts w:hint="eastAsia" w:ascii="宋体" w:hAnsi="宋体" w:eastAsia="宋体" w:cs="宋体"/>
                <w:color w:val="auto"/>
                <w:sz w:val="24"/>
                <w:szCs w:val="24"/>
                <w:highlight w:val="none"/>
              </w:rPr>
              <w:t>评审标准</w:t>
            </w:r>
          </w:p>
        </w:tc>
        <w:tc>
          <w:tcPr>
            <w:tcW w:w="7929" w:type="dxa"/>
            <w:gridSpan w:val="8"/>
            <w:noWrap w:val="0"/>
            <w:vAlign w:val="center"/>
          </w:tcPr>
          <w:p w14:paraId="53446B02">
            <w:pPr>
              <w:pStyle w:val="30"/>
              <w:keepNext w:val="0"/>
              <w:keepLines w:val="0"/>
              <w:tabs>
                <w:tab w:val="left" w:pos="709"/>
              </w:tabs>
              <w:bidi w:val="0"/>
              <w:spacing w:before="9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第一个信封（商务及技术文件）评审标准：</w:t>
            </w:r>
          </w:p>
          <w:p w14:paraId="6A256319">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76784732">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a.投标函按招标文件规定填报了项目名称、标段号、补遗书编号（如有）、监理服务期限、工程质量要求及安全目标；</w:t>
            </w:r>
          </w:p>
          <w:p w14:paraId="0109C2F4">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10522687">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1EDF31E7">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w:t>
            </w:r>
          </w:p>
          <w:p w14:paraId="0101DA15">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a.投标保证金金额符合招标文件规定的金额，且投标保证金有效期不少于投标有效期；</w:t>
            </w:r>
          </w:p>
          <w:p w14:paraId="5327EBCB">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b.若投标保证金采用现金或支票形式提交，投标人应在招标文件规定的投标保证金递交截止时间之前，将投标保证金由投标人的基本账户转入招标人指定账户；</w:t>
            </w:r>
          </w:p>
          <w:p w14:paraId="4AB82678">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c.若投标保证金采用银行保函或投标人须知前附表3.4.1项规定的其他形式提交，应满足招标文件要求。</w:t>
            </w:r>
          </w:p>
          <w:p w14:paraId="213682CE">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（4）投标人法定代表人授权委托代理人签署投标文件的，需提交授权委托书，且授权人和被授权人均在授权委托书上签名，未使用印章、签名章或其他电子制版签名代替。</w:t>
            </w:r>
          </w:p>
          <w:p w14:paraId="683845E8">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（5）投标人法定代表人亲自签署投标文件的，提供了法定代表人身份证明，且法定代表人在法定代表人身份证明上签名，未使用印章、签名章或其他电子制版签名代替。</w:t>
            </w:r>
          </w:p>
          <w:p w14:paraId="3991DE16">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398AA124">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（7）同一投标人未提交两个以上不同的投标文件，但招标文件要求提交备选投标的除外。</w:t>
            </w:r>
          </w:p>
          <w:p w14:paraId="671A2463">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（8）投标文件中未出现有关投标报价的内容。</w:t>
            </w:r>
          </w:p>
          <w:p w14:paraId="2FBCB56F">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（9）投标文件载明的招标项目完成期限未超过招标文件规定的时限。</w:t>
            </w:r>
          </w:p>
          <w:p w14:paraId="51321567">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（10）投标文件对招标文件的实质性要求和条件作出响应。</w:t>
            </w:r>
          </w:p>
          <w:p w14:paraId="5466930C">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（11）权利义务符合招标文件规定：</w:t>
            </w:r>
          </w:p>
          <w:p w14:paraId="364D1A74">
            <w:pPr>
              <w:pStyle w:val="30"/>
              <w:keepNext w:val="0"/>
              <w:keepLines w:val="0"/>
              <w:tabs>
                <w:tab w:val="left" w:pos="709"/>
              </w:tabs>
              <w:bidi w:val="0"/>
              <w:spacing w:before="92"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a.投标人应接受招标文件规定的风险划分原则，未提出新的风险划分办法；</w:t>
            </w:r>
          </w:p>
          <w:p w14:paraId="03C5BE1B">
            <w:pPr>
              <w:pStyle w:val="30"/>
              <w:keepNext w:val="0"/>
              <w:keepLines w:val="0"/>
              <w:tabs>
                <w:tab w:val="left" w:pos="709"/>
              </w:tabs>
              <w:bidi w:val="0"/>
              <w:spacing w:before="92"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b.投标人未增加委托人的责任范围，或减少投标人义务；</w:t>
            </w:r>
          </w:p>
          <w:p w14:paraId="7DF1D6B2">
            <w:pPr>
              <w:pStyle w:val="30"/>
              <w:keepNext w:val="0"/>
              <w:keepLines w:val="0"/>
              <w:tabs>
                <w:tab w:val="left" w:pos="709"/>
              </w:tabs>
              <w:bidi w:val="0"/>
              <w:spacing w:before="92"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c.投标人未提出不同的支付办法；</w:t>
            </w:r>
          </w:p>
          <w:p w14:paraId="5E31EF4F">
            <w:pPr>
              <w:pStyle w:val="30"/>
              <w:keepNext w:val="0"/>
              <w:keepLines w:val="0"/>
              <w:tabs>
                <w:tab w:val="left" w:pos="709"/>
              </w:tabs>
              <w:bidi w:val="0"/>
              <w:spacing w:before="92"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d.投标人对合同纠纷、事故处理办法未提出异议；</w:t>
            </w:r>
          </w:p>
          <w:p w14:paraId="543C6E35">
            <w:pPr>
              <w:pStyle w:val="30"/>
              <w:keepNext w:val="0"/>
              <w:keepLines w:val="0"/>
              <w:tabs>
                <w:tab w:val="left" w:pos="709"/>
              </w:tabs>
              <w:bidi w:val="0"/>
              <w:spacing w:before="92"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e.投标人在投标活动中无欺诈行为；</w:t>
            </w:r>
          </w:p>
          <w:p w14:paraId="00EB3189">
            <w:pPr>
              <w:pStyle w:val="30"/>
              <w:keepNext w:val="0"/>
              <w:keepLines w:val="0"/>
              <w:tabs>
                <w:tab w:val="left" w:pos="709"/>
              </w:tabs>
              <w:bidi w:val="0"/>
              <w:spacing w:before="92"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f.投标人未对合同条款有重要保留。</w:t>
            </w:r>
          </w:p>
          <w:p w14:paraId="61B6C101">
            <w:pPr>
              <w:keepNext w:val="0"/>
              <w:keepLines w:val="0"/>
              <w:widowControl w:val="0"/>
              <w:tabs>
                <w:tab w:val="left" w:pos="709"/>
              </w:tabs>
              <w:bidi w:val="0"/>
              <w:adjustRightInd w:val="0"/>
              <w:spacing w:before="92"/>
              <w:jc w:val="left"/>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第二个信封（报价文件）评审标准：</w:t>
            </w:r>
          </w:p>
          <w:p w14:paraId="30546C7F">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（1）投标文件按照招标文件规定的格式、内容填写，字迹清晰可辨，内容齐全完整：</w:t>
            </w:r>
          </w:p>
          <w:p w14:paraId="658419F7">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a.投标函按招标文件规定填报了项目名称、标段号、补遗书编号（如有）、投标价（包括大写金额和小写金额）；</w:t>
            </w:r>
          </w:p>
          <w:p w14:paraId="422E9961">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b.已标价报价清单说明文字与招标文件规定一致，未进行实质性修改和删减；</w:t>
            </w:r>
          </w:p>
          <w:p w14:paraId="10520F29">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c.投标文件组成齐全完整，内容均按规定填写。</w:t>
            </w:r>
          </w:p>
          <w:p w14:paraId="15DC2F72">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（2）投标文件上法定代表人或其委托代理人的签字、投标人的单位章盖章齐全，符合招标文件规定。</w:t>
            </w:r>
          </w:p>
          <w:p w14:paraId="726848BF">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（3）投标报价未超过招标文件设定的最高投标限价。</w:t>
            </w:r>
          </w:p>
          <w:p w14:paraId="07655161">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（4）投标报价的大写金额能够确定具体数值。</w:t>
            </w:r>
          </w:p>
          <w:p w14:paraId="0F3F4139">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（5）同一投标人未提交两个以上不同的投标报价，但招标文件要求提交备选投标的除外。</w:t>
            </w:r>
          </w:p>
          <w:p w14:paraId="657067AB">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（6）投标文件正、副本份数符合招标文件第二章“投标人须知”第3.7.4项规定。</w:t>
            </w:r>
          </w:p>
        </w:tc>
      </w:tr>
      <w:tr w14:paraId="53C3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4" w:type="dxa"/>
            <w:noWrap w:val="0"/>
            <w:vAlign w:val="center"/>
          </w:tcPr>
          <w:p w14:paraId="38A53D2B">
            <w:pPr>
              <w:keepNext w:val="0"/>
              <w:keepLines w:val="0"/>
              <w:widowControl w:val="0"/>
              <w:kinsoku w:val="0"/>
              <w:overflowPunct w:val="0"/>
              <w:autoSpaceDE w:val="0"/>
              <w:autoSpaceDN w:val="0"/>
              <w:bidi w:val="0"/>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140" w:type="dxa"/>
            <w:gridSpan w:val="4"/>
            <w:noWrap w:val="0"/>
            <w:vAlign w:val="center"/>
          </w:tcPr>
          <w:p w14:paraId="48726903">
            <w:pPr>
              <w:keepNext w:val="0"/>
              <w:keepLines w:val="0"/>
              <w:widowControl w:val="0"/>
              <w:kinsoku w:val="0"/>
              <w:overflowPunct w:val="0"/>
              <w:autoSpaceDE w:val="0"/>
              <w:autoSpaceDN w:val="0"/>
              <w:bidi w:val="0"/>
              <w:adjustRightInd w:val="0"/>
              <w:spacing w:line="27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rPr>
              <w:t>资格评审标准</w:t>
            </w:r>
          </w:p>
        </w:tc>
        <w:tc>
          <w:tcPr>
            <w:tcW w:w="7929" w:type="dxa"/>
            <w:gridSpan w:val="8"/>
            <w:noWrap w:val="0"/>
            <w:vAlign w:val="top"/>
          </w:tcPr>
          <w:p w14:paraId="724BE1DA">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投标人具备有效的营业执照、监理资质证书和基本账户开户许可证（如企业所在地已取消企业银行账户许可而无法提供开户许可证的，则需附上开户银行盖章的“基本存款账户信息”或“人民银行账户管理系统查询的基本账户信息截图”），投标人已录入交通运输部“全国公路建设市场监督管理系统”（https://hwdms.mot.gov.cn/）”中的公路工程施工监理资质企业名录，且投标人名称和资质与该名录中的相应企业名称和资质完全一致。</w:t>
            </w:r>
          </w:p>
          <w:p w14:paraId="5A5DE600">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（2）投标人的资质等级符合招标文件规定。</w:t>
            </w:r>
          </w:p>
          <w:p w14:paraId="64D52758">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（3）投标人的类似工程业绩符合招标文件规定。</w:t>
            </w:r>
          </w:p>
          <w:p w14:paraId="773DE042">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（4）投标人的信誉符合招标文件规定。</w:t>
            </w:r>
          </w:p>
          <w:p w14:paraId="485FE7FA">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（5）投标人的总监理工程师或驻地监理工程师（含备选，如有）资格、在岗情况符合招标文件规定，并按规定在投标文件中签字确认。</w:t>
            </w:r>
          </w:p>
          <w:p w14:paraId="1BCD5F1B">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（6）投标人的其他要求符合招标文件规定。</w:t>
            </w:r>
          </w:p>
          <w:p w14:paraId="09282AD0">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（7）投标人不存在第二章“投标人须知”第1.4.3项或第1.4.4项规定的任何一种情形。</w:t>
            </w:r>
          </w:p>
          <w:p w14:paraId="559CF182">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（8）投标人符合第二章“投标人须知”第1.4.5项规定。</w:t>
            </w:r>
          </w:p>
        </w:tc>
      </w:tr>
      <w:tr w14:paraId="26CA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914" w:type="dxa"/>
            <w:noWrap w:val="0"/>
            <w:vAlign w:val="center"/>
          </w:tcPr>
          <w:p w14:paraId="6DD7B355">
            <w:pPr>
              <w:keepNext w:val="0"/>
              <w:keepLines w:val="0"/>
              <w:widowControl w:val="0"/>
              <w:autoSpaceDE w:val="0"/>
              <w:autoSpaceDN w:val="0"/>
              <w:bidi w:val="0"/>
              <w:adjustRightInd w:val="0"/>
              <w:spacing w:before="148"/>
              <w:ind w:right="107"/>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140" w:type="dxa"/>
            <w:gridSpan w:val="4"/>
            <w:noWrap w:val="0"/>
            <w:vAlign w:val="center"/>
          </w:tcPr>
          <w:p w14:paraId="104CD577">
            <w:pPr>
              <w:keepNext w:val="0"/>
              <w:keepLines w:val="0"/>
              <w:widowControl w:val="0"/>
              <w:autoSpaceDE w:val="0"/>
              <w:autoSpaceDN w:val="0"/>
              <w:bidi w:val="0"/>
              <w:adjustRightInd w:val="0"/>
              <w:spacing w:before="148"/>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929" w:type="dxa"/>
            <w:gridSpan w:val="8"/>
            <w:noWrap w:val="0"/>
            <w:vAlign w:val="center"/>
          </w:tcPr>
          <w:p w14:paraId="17A82EEC">
            <w:pPr>
              <w:keepNext w:val="0"/>
              <w:keepLines w:val="0"/>
              <w:widowControl w:val="0"/>
              <w:autoSpaceDE w:val="0"/>
              <w:autoSpaceDN w:val="0"/>
              <w:bidi w:val="0"/>
              <w:adjustRightInd w:val="0"/>
              <w:spacing w:before="148"/>
              <w:ind w:right="3099" w:firstLine="2891" w:firstLineChars="1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234F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5" w:hRule="atLeast"/>
        </w:trPr>
        <w:tc>
          <w:tcPr>
            <w:tcW w:w="914" w:type="dxa"/>
            <w:noWrap w:val="0"/>
            <w:vAlign w:val="center"/>
          </w:tcPr>
          <w:p w14:paraId="5901B79A">
            <w:pPr>
              <w:keepNext w:val="0"/>
              <w:keepLines w:val="0"/>
              <w:widowControl w:val="0"/>
              <w:autoSpaceDE w:val="0"/>
              <w:autoSpaceDN w:val="0"/>
              <w:bidi w:val="0"/>
              <w:adjustRightInd w:val="0"/>
              <w:ind w:left="126" w:right="10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140" w:type="dxa"/>
            <w:gridSpan w:val="4"/>
            <w:noWrap w:val="0"/>
            <w:vAlign w:val="center"/>
          </w:tcPr>
          <w:p w14:paraId="4B8BA32C">
            <w:pPr>
              <w:keepNext w:val="0"/>
              <w:keepLines w:val="0"/>
              <w:widowControl w:val="0"/>
              <w:autoSpaceDE w:val="0"/>
              <w:autoSpaceDN w:val="0"/>
              <w:bidi w:val="0"/>
              <w:adjustRightInd w:val="0"/>
              <w:ind w:right="7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分值构成（</w:t>
            </w:r>
            <w:r>
              <w:rPr>
                <w:rFonts w:hint="eastAsia" w:ascii="宋体" w:hAnsi="宋体" w:eastAsia="宋体" w:cs="宋体"/>
                <w:color w:val="auto"/>
                <w:spacing w:val="-19"/>
                <w:sz w:val="24"/>
                <w:szCs w:val="24"/>
                <w:highlight w:val="none"/>
              </w:rPr>
              <w:t>总分</w:t>
            </w:r>
            <w:r>
              <w:rPr>
                <w:rFonts w:hint="eastAsia" w:ascii="宋体" w:hAnsi="宋体" w:eastAsia="宋体" w:cs="宋体"/>
                <w:color w:val="auto"/>
                <w:sz w:val="24"/>
                <w:szCs w:val="24"/>
                <w:highlight w:val="none"/>
              </w:rPr>
              <w:t>100分）</w:t>
            </w:r>
          </w:p>
        </w:tc>
        <w:tc>
          <w:tcPr>
            <w:tcW w:w="7929" w:type="dxa"/>
            <w:gridSpan w:val="8"/>
            <w:noWrap w:val="0"/>
            <w:vAlign w:val="top"/>
          </w:tcPr>
          <w:p w14:paraId="33274FE9">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第一个信封（商务及技术文件）评分分值构成：</w:t>
            </w:r>
          </w:p>
          <w:p w14:paraId="128F77F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技术建议书：</w:t>
            </w: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分</w:t>
            </w:r>
          </w:p>
          <w:p w14:paraId="2C0E3CA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主要人员：</w:t>
            </w:r>
            <w:r>
              <w:rPr>
                <w:rFonts w:hint="eastAsia" w:ascii="宋体" w:hAnsi="宋体" w:eastAsia="宋体" w:cs="宋体"/>
                <w:color w:val="auto"/>
                <w:sz w:val="24"/>
                <w:szCs w:val="24"/>
                <w:lang w:val="en-US" w:eastAsia="zh-CN"/>
              </w:rPr>
              <w:t>25</w:t>
            </w:r>
            <w:r>
              <w:rPr>
                <w:rFonts w:hint="eastAsia" w:ascii="宋体" w:hAnsi="宋体" w:eastAsia="宋体" w:cs="宋体"/>
                <w:color w:val="auto"/>
                <w:sz w:val="24"/>
                <w:szCs w:val="24"/>
              </w:rPr>
              <w:t>分</w:t>
            </w:r>
          </w:p>
          <w:p w14:paraId="25816BA1">
            <w:pPr>
              <w:pStyle w:val="2"/>
              <w:ind w:left="0" w:leftChars="0" w:firstLine="0" w:firstLineChars="0"/>
              <w:rPr>
                <w:rFonts w:hint="eastAsia" w:ascii="宋体" w:hAnsi="宋体" w:eastAsia="宋体" w:cs="宋体"/>
              </w:rPr>
            </w:pPr>
            <w:r>
              <w:rPr>
                <w:rFonts w:hint="eastAsia" w:ascii="宋体" w:hAnsi="宋体" w:eastAsia="宋体" w:cs="宋体"/>
                <w:color w:val="auto"/>
                <w:sz w:val="24"/>
                <w:szCs w:val="24"/>
              </w:rPr>
              <w:t>业绩：</w:t>
            </w:r>
            <w:r>
              <w:rPr>
                <w:rFonts w:hint="eastAsia" w:ascii="宋体" w:hAnsi="宋体" w:eastAsia="宋体" w:cs="宋体"/>
                <w:color w:val="auto"/>
                <w:sz w:val="24"/>
                <w:szCs w:val="24"/>
                <w:lang w:val="en-US" w:eastAsia="zh-CN"/>
              </w:rPr>
              <w:t>25</w:t>
            </w:r>
            <w:r>
              <w:rPr>
                <w:rFonts w:hint="eastAsia" w:ascii="宋体" w:hAnsi="宋体" w:eastAsia="宋体" w:cs="宋体"/>
                <w:color w:val="auto"/>
                <w:sz w:val="24"/>
                <w:szCs w:val="24"/>
              </w:rPr>
              <w:t>分</w:t>
            </w:r>
          </w:p>
          <w:p w14:paraId="3263CD1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履约信誉</w:t>
            </w:r>
            <w:r>
              <w:rPr>
                <w:rFonts w:hint="eastAsia" w:ascii="宋体" w:hAnsi="宋体" w:eastAsia="宋体" w:cs="宋体"/>
                <w:color w:val="auto"/>
                <w:sz w:val="24"/>
                <w:szCs w:val="24"/>
              </w:rPr>
              <w:t>：10分</w:t>
            </w:r>
          </w:p>
          <w:p w14:paraId="5EF4F509">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rPr>
              <w:t>第二个信封（报价文件）评分分值构成：</w:t>
            </w:r>
            <w:r>
              <w:rPr>
                <w:rFonts w:hint="eastAsia" w:ascii="宋体" w:hAnsi="宋体" w:eastAsia="宋体" w:cs="宋体"/>
                <w:color w:val="auto"/>
                <w:sz w:val="24"/>
                <w:szCs w:val="24"/>
              </w:rPr>
              <w:t>评标价：</w:t>
            </w:r>
            <w:r>
              <w:rPr>
                <w:rFonts w:hint="eastAsia" w:ascii="宋体" w:hAnsi="宋体" w:eastAsia="宋体" w:cs="宋体"/>
                <w:color w:val="auto"/>
                <w:sz w:val="24"/>
                <w:szCs w:val="24"/>
                <w:lang w:val="en-US"/>
              </w:rPr>
              <w:t>10</w:t>
            </w:r>
            <w:r>
              <w:rPr>
                <w:rFonts w:hint="eastAsia" w:ascii="宋体" w:hAnsi="宋体" w:eastAsia="宋体" w:cs="宋体"/>
                <w:color w:val="auto"/>
                <w:sz w:val="24"/>
                <w:szCs w:val="24"/>
              </w:rPr>
              <w:t>分</w:t>
            </w:r>
          </w:p>
        </w:tc>
      </w:tr>
      <w:tr w14:paraId="2FA5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31" w:hRule="atLeast"/>
        </w:trPr>
        <w:tc>
          <w:tcPr>
            <w:tcW w:w="914" w:type="dxa"/>
            <w:noWrap w:val="0"/>
            <w:vAlign w:val="center"/>
          </w:tcPr>
          <w:p w14:paraId="75A691A1">
            <w:pPr>
              <w:keepNext w:val="0"/>
              <w:keepLines w:val="0"/>
              <w:widowControl w:val="0"/>
              <w:autoSpaceDE w:val="0"/>
              <w:autoSpaceDN w:val="0"/>
              <w:bidi w:val="0"/>
              <w:adjustRightInd w:val="0"/>
              <w:ind w:left="126" w:right="10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w:t>
            </w:r>
          </w:p>
        </w:tc>
        <w:tc>
          <w:tcPr>
            <w:tcW w:w="1140" w:type="dxa"/>
            <w:gridSpan w:val="4"/>
            <w:noWrap w:val="0"/>
            <w:vAlign w:val="center"/>
          </w:tcPr>
          <w:p w14:paraId="7C6919DF">
            <w:pPr>
              <w:keepNext w:val="0"/>
              <w:keepLines w:val="0"/>
              <w:bidi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评标基准价计算方法</w:t>
            </w:r>
          </w:p>
        </w:tc>
        <w:tc>
          <w:tcPr>
            <w:tcW w:w="7929" w:type="dxa"/>
            <w:gridSpan w:val="8"/>
            <w:noWrap w:val="0"/>
            <w:vAlign w:val="top"/>
          </w:tcPr>
          <w:p w14:paraId="06E679A8">
            <w:pPr>
              <w:pStyle w:val="30"/>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评标基准价的计算：</w:t>
            </w:r>
          </w:p>
          <w:p w14:paraId="1F22ED7A">
            <w:pPr>
              <w:pStyle w:val="30"/>
              <w:spacing w:after="0" w:line="360" w:lineRule="auto"/>
              <w:ind w:firstLine="236" w:firstLineChars="100"/>
              <w:rPr>
                <w:rFonts w:hint="eastAsia" w:ascii="宋体" w:hAnsi="宋体" w:eastAsia="宋体" w:cs="宋体"/>
                <w:color w:val="auto"/>
                <w:sz w:val="24"/>
                <w:szCs w:val="24"/>
              </w:rPr>
            </w:pPr>
            <w:r>
              <w:rPr>
                <w:rFonts w:hint="eastAsia" w:ascii="宋体" w:hAnsi="宋体" w:eastAsia="宋体" w:cs="宋体"/>
                <w:color w:val="auto"/>
                <w:spacing w:val="-2"/>
                <w:sz w:val="24"/>
                <w:szCs w:val="24"/>
              </w:rPr>
              <w:t>在开标现场，招标人将当场计算并宣布评标基准价。</w:t>
            </w:r>
          </w:p>
          <w:p w14:paraId="5E1D0F13">
            <w:pPr>
              <w:pStyle w:val="30"/>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（1）评标价的确定：</w:t>
            </w:r>
          </w:p>
          <w:p w14:paraId="567FCDB1">
            <w:pPr>
              <w:pStyle w:val="30"/>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评标价=投标函文字报价</w:t>
            </w:r>
          </w:p>
          <w:p w14:paraId="2D725F84">
            <w:pPr>
              <w:pStyle w:val="30"/>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pacing w:val="-5"/>
                <w:sz w:val="24"/>
                <w:szCs w:val="24"/>
              </w:rPr>
              <w:t>评标基准价</w:t>
            </w:r>
            <w:r>
              <w:rPr>
                <w:rFonts w:hint="eastAsia" w:ascii="宋体" w:hAnsi="宋体" w:eastAsia="宋体" w:cs="宋体"/>
                <w:color w:val="auto"/>
                <w:sz w:val="24"/>
                <w:szCs w:val="24"/>
              </w:rPr>
              <w:t>的计算：按第二章“投标人须知”第5.2.4项规定，所有投标人报价平均值作为</w:t>
            </w:r>
            <w:r>
              <w:rPr>
                <w:rFonts w:hint="eastAsia" w:ascii="宋体" w:hAnsi="宋体" w:eastAsia="宋体" w:cs="宋体"/>
                <w:color w:val="auto"/>
                <w:spacing w:val="-5"/>
                <w:sz w:val="24"/>
                <w:szCs w:val="24"/>
              </w:rPr>
              <w:t>评标基准价</w:t>
            </w:r>
            <w:r>
              <w:rPr>
                <w:rFonts w:hint="eastAsia" w:ascii="宋体" w:hAnsi="宋体" w:eastAsia="宋体" w:cs="宋体"/>
                <w:color w:val="auto"/>
                <w:sz w:val="24"/>
                <w:szCs w:val="24"/>
              </w:rPr>
              <w:t>。</w:t>
            </w:r>
          </w:p>
          <w:p w14:paraId="22BAD231">
            <w:pPr>
              <w:pStyle w:val="30"/>
              <w:spacing w:after="0" w:line="360" w:lineRule="auto"/>
              <w:ind w:firstLine="230" w:firstLineChars="100"/>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（3）评标基准价的确定：将评标价平均值直接作为评标基准价。</w:t>
            </w:r>
          </w:p>
          <w:p w14:paraId="422F2D25">
            <w:pPr>
              <w:keepNext w:val="0"/>
              <w:keepLines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10C40E08">
            <w:pPr>
              <w:keepNext w:val="0"/>
              <w:keepLines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注：评标价平均值、最高评标限价、评标基准价均四舍五入至个位整数。</w:t>
            </w:r>
          </w:p>
        </w:tc>
      </w:tr>
      <w:tr w14:paraId="4D14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5" w:hRule="atLeast"/>
        </w:trPr>
        <w:tc>
          <w:tcPr>
            <w:tcW w:w="914" w:type="dxa"/>
            <w:noWrap w:val="0"/>
            <w:vAlign w:val="center"/>
          </w:tcPr>
          <w:p w14:paraId="287D4B73">
            <w:pPr>
              <w:keepNext w:val="0"/>
              <w:keepLines w:val="0"/>
              <w:widowControl w:val="0"/>
              <w:autoSpaceDE w:val="0"/>
              <w:autoSpaceDN w:val="0"/>
              <w:bidi w:val="0"/>
              <w:adjustRightInd w:val="0"/>
              <w:ind w:right="8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en-US"/>
              </w:rPr>
              <w:t>2.2.3</w:t>
            </w:r>
          </w:p>
        </w:tc>
        <w:tc>
          <w:tcPr>
            <w:tcW w:w="1140" w:type="dxa"/>
            <w:gridSpan w:val="4"/>
            <w:noWrap w:val="0"/>
            <w:vAlign w:val="center"/>
          </w:tcPr>
          <w:p w14:paraId="576E4DB1">
            <w:pPr>
              <w:keepNext w:val="0"/>
              <w:keepLines w:val="0"/>
              <w:bidi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评标价的偏差率计算公式</w:t>
            </w:r>
          </w:p>
        </w:tc>
        <w:tc>
          <w:tcPr>
            <w:tcW w:w="7929" w:type="dxa"/>
            <w:gridSpan w:val="8"/>
            <w:noWrap w:val="0"/>
            <w:vAlign w:val="center"/>
          </w:tcPr>
          <w:p w14:paraId="452FE14E">
            <w:pPr>
              <w:keepNext w:val="0"/>
              <w:keepLines w:val="0"/>
              <w:bidi w:val="0"/>
              <w:spacing w:line="360" w:lineRule="auto"/>
              <w:ind w:firstLine="240" w:firstLineChars="1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偏差率=100%×（投标人评标价－评标基准价）/评标基准价</w:t>
            </w:r>
          </w:p>
          <w:p w14:paraId="1C057E4B">
            <w:pPr>
              <w:keepNext w:val="0"/>
              <w:keepLines w:val="0"/>
              <w:bidi w:val="0"/>
              <w:spacing w:line="360" w:lineRule="auto"/>
              <w:ind w:firstLine="240" w:firstLineChars="1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注：四舍五入保留至小数点后</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位。</w:t>
            </w:r>
          </w:p>
        </w:tc>
      </w:tr>
      <w:tr w14:paraId="04CC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trPr>
        <w:tc>
          <w:tcPr>
            <w:tcW w:w="4845" w:type="dxa"/>
            <w:gridSpan w:val="10"/>
            <w:noWrap w:val="0"/>
            <w:vAlign w:val="top"/>
          </w:tcPr>
          <w:p w14:paraId="058223BE">
            <w:pPr>
              <w:keepNext w:val="0"/>
              <w:keepLines w:val="0"/>
              <w:widowControl w:val="0"/>
              <w:autoSpaceDE w:val="0"/>
              <w:autoSpaceDN w:val="0"/>
              <w:bidi w:val="0"/>
              <w:adjustRightInd w:val="0"/>
              <w:spacing w:before="90"/>
              <w:ind w:left="1528"/>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评分因素与权重分值</w:t>
            </w:r>
          </w:p>
        </w:tc>
        <w:tc>
          <w:tcPr>
            <w:tcW w:w="5138" w:type="dxa"/>
            <w:gridSpan w:val="3"/>
            <w:vMerge w:val="restart"/>
            <w:noWrap w:val="0"/>
            <w:vAlign w:val="top"/>
          </w:tcPr>
          <w:p w14:paraId="187A9E2D">
            <w:pPr>
              <w:keepNext w:val="0"/>
              <w:keepLines w:val="0"/>
              <w:widowControl w:val="0"/>
              <w:autoSpaceDE w:val="0"/>
              <w:autoSpaceDN w:val="0"/>
              <w:bidi w:val="0"/>
              <w:adjustRightInd w:val="0"/>
              <w:jc w:val="left"/>
              <w:rPr>
                <w:rFonts w:hint="eastAsia" w:ascii="宋体" w:hAnsi="宋体" w:eastAsia="宋体" w:cs="宋体"/>
                <w:b/>
                <w:color w:val="auto"/>
                <w:sz w:val="24"/>
                <w:szCs w:val="24"/>
                <w:highlight w:val="none"/>
              </w:rPr>
            </w:pPr>
          </w:p>
          <w:p w14:paraId="499D4F57">
            <w:pPr>
              <w:keepNext w:val="0"/>
              <w:keepLines w:val="0"/>
              <w:widowControl w:val="0"/>
              <w:autoSpaceDE w:val="0"/>
              <w:autoSpaceDN w:val="0"/>
              <w:bidi w:val="0"/>
              <w:adjustRightInd w:val="0"/>
              <w:spacing w:before="146"/>
              <w:ind w:left="1878" w:right="1839"/>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评分标准</w:t>
            </w:r>
          </w:p>
        </w:tc>
      </w:tr>
      <w:tr w14:paraId="0D1B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14" w:type="dxa"/>
            <w:noWrap w:val="0"/>
            <w:vAlign w:val="top"/>
          </w:tcPr>
          <w:p w14:paraId="4DC1973A">
            <w:pPr>
              <w:keepNext w:val="0"/>
              <w:keepLines w:val="0"/>
              <w:widowControl w:val="0"/>
              <w:autoSpaceDE w:val="0"/>
              <w:autoSpaceDN w:val="0"/>
              <w:bidi w:val="0"/>
              <w:adjustRightInd w:val="0"/>
              <w:spacing w:before="34" w:line="242" w:lineRule="auto"/>
              <w:ind w:left="292" w:right="167" w:hanging="104"/>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859" w:type="dxa"/>
            <w:gridSpan w:val="2"/>
            <w:noWrap w:val="0"/>
            <w:vAlign w:val="top"/>
          </w:tcPr>
          <w:p w14:paraId="2FF24C05">
            <w:pPr>
              <w:keepNext w:val="0"/>
              <w:keepLines w:val="0"/>
              <w:widowControl w:val="0"/>
              <w:autoSpaceDE w:val="0"/>
              <w:autoSpaceDN w:val="0"/>
              <w:bidi w:val="0"/>
              <w:adjustRightInd w:val="0"/>
              <w:spacing w:before="168"/>
              <w:ind w:left="137" w:right="106"/>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w:t>
            </w:r>
          </w:p>
        </w:tc>
        <w:tc>
          <w:tcPr>
            <w:tcW w:w="855" w:type="dxa"/>
            <w:gridSpan w:val="3"/>
            <w:noWrap w:val="0"/>
            <w:vAlign w:val="top"/>
          </w:tcPr>
          <w:p w14:paraId="3497087B">
            <w:pPr>
              <w:keepNext w:val="0"/>
              <w:keepLines w:val="0"/>
              <w:widowControl w:val="0"/>
              <w:autoSpaceDE w:val="0"/>
              <w:autoSpaceDN w:val="0"/>
              <w:bidi w:val="0"/>
              <w:adjustRightInd w:val="0"/>
              <w:spacing w:before="34"/>
              <w:ind w:left="147" w:right="113"/>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评分因素权重分值</w:t>
            </w:r>
          </w:p>
        </w:tc>
        <w:tc>
          <w:tcPr>
            <w:tcW w:w="1323" w:type="dxa"/>
            <w:gridSpan w:val="2"/>
            <w:noWrap w:val="0"/>
            <w:vAlign w:val="top"/>
          </w:tcPr>
          <w:p w14:paraId="748B7591">
            <w:pPr>
              <w:keepNext w:val="0"/>
              <w:keepLines w:val="0"/>
              <w:widowControl w:val="0"/>
              <w:autoSpaceDE w:val="0"/>
              <w:autoSpaceDN w:val="0"/>
              <w:bidi w:val="0"/>
              <w:adjustRightInd w:val="0"/>
              <w:spacing w:before="34" w:line="242" w:lineRule="auto"/>
              <w:ind w:left="155" w:right="124"/>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各评分因素细分项</w:t>
            </w:r>
          </w:p>
        </w:tc>
        <w:tc>
          <w:tcPr>
            <w:tcW w:w="894" w:type="dxa"/>
            <w:gridSpan w:val="2"/>
            <w:noWrap w:val="0"/>
            <w:vAlign w:val="top"/>
          </w:tcPr>
          <w:p w14:paraId="661E4642">
            <w:pPr>
              <w:keepNext w:val="0"/>
              <w:keepLines w:val="0"/>
              <w:widowControl w:val="0"/>
              <w:autoSpaceDE w:val="0"/>
              <w:autoSpaceDN w:val="0"/>
              <w:bidi w:val="0"/>
              <w:adjustRightInd w:val="0"/>
              <w:spacing w:before="168"/>
              <w:ind w:left="132" w:right="107"/>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分值</w:t>
            </w:r>
          </w:p>
        </w:tc>
        <w:tc>
          <w:tcPr>
            <w:tcW w:w="5138" w:type="dxa"/>
            <w:gridSpan w:val="3"/>
            <w:vMerge w:val="continue"/>
            <w:noWrap w:val="0"/>
            <w:vAlign w:val="top"/>
          </w:tcPr>
          <w:p w14:paraId="7CA46882">
            <w:pPr>
              <w:keepNext w:val="0"/>
              <w:keepLines w:val="0"/>
              <w:bidi w:val="0"/>
              <w:rPr>
                <w:rFonts w:hint="eastAsia" w:ascii="宋体" w:hAnsi="宋体" w:eastAsia="宋体" w:cs="宋体"/>
                <w:color w:val="auto"/>
                <w:sz w:val="24"/>
                <w:szCs w:val="24"/>
                <w:highlight w:val="none"/>
              </w:rPr>
            </w:pPr>
          </w:p>
        </w:tc>
      </w:tr>
      <w:tr w14:paraId="10F2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3" w:hRule="atLeast"/>
        </w:trPr>
        <w:tc>
          <w:tcPr>
            <w:tcW w:w="914" w:type="dxa"/>
            <w:vMerge w:val="restart"/>
            <w:noWrap w:val="0"/>
            <w:vAlign w:val="center"/>
          </w:tcPr>
          <w:p w14:paraId="71612B83">
            <w:pPr>
              <w:pStyle w:val="30"/>
              <w:keepNext w:val="0"/>
              <w:keepLines w:val="0"/>
              <w:bidi w:val="0"/>
              <w:ind w:left="189"/>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w:t>
            </w:r>
          </w:p>
          <w:p w14:paraId="709B4ADD">
            <w:pPr>
              <w:pStyle w:val="30"/>
              <w:keepNext w:val="0"/>
              <w:keepLines w:val="0"/>
              <w:bidi w:val="0"/>
              <w:spacing w:before="1"/>
              <w:ind w:left="1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59" w:type="dxa"/>
            <w:gridSpan w:val="2"/>
            <w:vMerge w:val="restart"/>
            <w:noWrap w:val="0"/>
            <w:vAlign w:val="center"/>
          </w:tcPr>
          <w:p w14:paraId="7D2F36BB">
            <w:pPr>
              <w:pStyle w:val="30"/>
              <w:keepNext w:val="0"/>
              <w:keepLines w:val="0"/>
              <w:bidi w:val="0"/>
              <w:spacing w:before="1" w:line="242" w:lineRule="auto"/>
              <w:ind w:right="123"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技术建议书</w:t>
            </w:r>
          </w:p>
        </w:tc>
        <w:tc>
          <w:tcPr>
            <w:tcW w:w="855" w:type="dxa"/>
            <w:gridSpan w:val="3"/>
            <w:vMerge w:val="restart"/>
            <w:noWrap w:val="0"/>
            <w:vAlign w:val="center"/>
          </w:tcPr>
          <w:p w14:paraId="6D1E6E2C">
            <w:pPr>
              <w:pStyle w:val="30"/>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c>
          <w:tcPr>
            <w:tcW w:w="1323" w:type="dxa"/>
            <w:gridSpan w:val="2"/>
            <w:vMerge w:val="restart"/>
            <w:noWrap w:val="0"/>
            <w:vAlign w:val="center"/>
          </w:tcPr>
          <w:p w14:paraId="583EB85A">
            <w:pPr>
              <w:pStyle w:val="30"/>
              <w:keepNext w:val="0"/>
              <w:keepLines w:val="0"/>
              <w:bidi w:val="0"/>
              <w:ind w:left="112" w:right="8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监理大纲</w:t>
            </w:r>
          </w:p>
          <w:p w14:paraId="3210DA92">
            <w:pPr>
              <w:pStyle w:val="30"/>
              <w:keepNext w:val="0"/>
              <w:keepLines w:val="0"/>
              <w:bidi w:val="0"/>
              <w:spacing w:before="2" w:line="242" w:lineRule="auto"/>
              <w:ind w:right="12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（或监理方案）和措施</w:t>
            </w:r>
          </w:p>
        </w:tc>
        <w:tc>
          <w:tcPr>
            <w:tcW w:w="894" w:type="dxa"/>
            <w:gridSpan w:val="2"/>
            <w:vMerge w:val="restart"/>
            <w:noWrap w:val="0"/>
            <w:vAlign w:val="center"/>
          </w:tcPr>
          <w:p w14:paraId="272E25E3">
            <w:pPr>
              <w:pStyle w:val="30"/>
              <w:keepNext w:val="0"/>
              <w:keepLines w:val="0"/>
              <w:bidi w:val="0"/>
              <w:ind w:left="15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c>
          <w:tcPr>
            <w:tcW w:w="1244" w:type="dxa"/>
            <w:gridSpan w:val="2"/>
            <w:noWrap w:val="0"/>
            <w:vAlign w:val="center"/>
          </w:tcPr>
          <w:p w14:paraId="72214FDF">
            <w:pPr>
              <w:pStyle w:val="36"/>
              <w:keepNext w:val="0"/>
              <w:keepLines w:val="0"/>
              <w:bidi w:val="0"/>
              <w:spacing w:line="240"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质量和</w:t>
            </w:r>
          </w:p>
          <w:p w14:paraId="3E64E323">
            <w:pPr>
              <w:pStyle w:val="36"/>
              <w:keepNext w:val="0"/>
              <w:keepLines w:val="0"/>
              <w:bidi w:val="0"/>
              <w:spacing w:line="240"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安全监理</w:t>
            </w:r>
          </w:p>
          <w:p w14:paraId="6F2331C2">
            <w:pPr>
              <w:pStyle w:val="36"/>
              <w:keepNext w:val="0"/>
              <w:keepLines w:val="0"/>
              <w:bidi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（5分）</w:t>
            </w:r>
          </w:p>
        </w:tc>
        <w:tc>
          <w:tcPr>
            <w:tcW w:w="3894" w:type="dxa"/>
            <w:noWrap w:val="0"/>
            <w:vAlign w:val="center"/>
          </w:tcPr>
          <w:p w14:paraId="1286B4B7">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质量和安全监理目标明确，且完全响应广东省施工标准化和安全标准化指南的得</w:t>
            </w:r>
            <w:r>
              <w:rPr>
                <w:rFonts w:hint="eastAsia" w:ascii="宋体" w:hAnsi="宋体" w:eastAsia="宋体" w:cs="宋体"/>
                <w:color w:val="auto"/>
                <w:kern w:val="0"/>
                <w:sz w:val="24"/>
                <w:szCs w:val="24"/>
                <w:highlight w:val="none"/>
                <w:u w:val="single"/>
                <w:lang w:bidi="ar"/>
              </w:rPr>
              <w:t>3.0</w:t>
            </w:r>
            <w:r>
              <w:rPr>
                <w:rFonts w:hint="eastAsia" w:ascii="宋体" w:hAnsi="宋体" w:eastAsia="宋体" w:cs="宋体"/>
                <w:color w:val="auto"/>
                <w:kern w:val="0"/>
                <w:sz w:val="24"/>
                <w:szCs w:val="24"/>
                <w:highlight w:val="none"/>
                <w:lang w:bidi="ar"/>
              </w:rPr>
              <w:t>分；</w:t>
            </w:r>
          </w:p>
          <w:p w14:paraId="77C872E6">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监理措施具体且有效，对质量和安全问题所采取的对策及预控方法合理可行的，响应广东省施工标准化和安全标准化指南程度，酌情加</w:t>
            </w:r>
            <w:r>
              <w:rPr>
                <w:rFonts w:hint="eastAsia" w:ascii="宋体" w:hAnsi="宋体" w:eastAsia="宋体" w:cs="宋体"/>
                <w:color w:val="auto"/>
                <w:kern w:val="0"/>
                <w:sz w:val="24"/>
                <w:szCs w:val="24"/>
                <w:highlight w:val="none"/>
                <w:u w:val="single"/>
                <w:lang w:bidi="ar"/>
              </w:rPr>
              <w:t>0-2.0</w:t>
            </w:r>
            <w:r>
              <w:rPr>
                <w:rFonts w:hint="eastAsia" w:ascii="宋体" w:hAnsi="宋体" w:eastAsia="宋体" w:cs="宋体"/>
                <w:color w:val="auto"/>
                <w:kern w:val="0"/>
                <w:sz w:val="24"/>
                <w:szCs w:val="24"/>
                <w:highlight w:val="none"/>
                <w:lang w:bidi="ar"/>
              </w:rPr>
              <w:t>分。</w:t>
            </w:r>
          </w:p>
        </w:tc>
      </w:tr>
      <w:tr w14:paraId="65C1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8" w:hRule="atLeast"/>
        </w:trPr>
        <w:tc>
          <w:tcPr>
            <w:tcW w:w="914" w:type="dxa"/>
            <w:vMerge w:val="continue"/>
            <w:noWrap w:val="0"/>
            <w:vAlign w:val="top"/>
          </w:tcPr>
          <w:p w14:paraId="60A9CD84">
            <w:pPr>
              <w:keepNext w:val="0"/>
              <w:keepLines w:val="0"/>
              <w:bidi w:val="0"/>
              <w:rPr>
                <w:rFonts w:hint="eastAsia" w:ascii="宋体" w:hAnsi="宋体" w:eastAsia="宋体" w:cs="宋体"/>
                <w:color w:val="auto"/>
                <w:sz w:val="24"/>
                <w:szCs w:val="24"/>
                <w:highlight w:val="none"/>
              </w:rPr>
            </w:pPr>
          </w:p>
        </w:tc>
        <w:tc>
          <w:tcPr>
            <w:tcW w:w="859" w:type="dxa"/>
            <w:gridSpan w:val="2"/>
            <w:vMerge w:val="continue"/>
            <w:noWrap w:val="0"/>
            <w:vAlign w:val="top"/>
          </w:tcPr>
          <w:p w14:paraId="24860F18">
            <w:pPr>
              <w:keepNext w:val="0"/>
              <w:keepLines w:val="0"/>
              <w:bidi w:val="0"/>
              <w:rPr>
                <w:rFonts w:hint="eastAsia" w:ascii="宋体" w:hAnsi="宋体" w:eastAsia="宋体" w:cs="宋体"/>
                <w:color w:val="auto"/>
                <w:sz w:val="24"/>
                <w:szCs w:val="24"/>
                <w:highlight w:val="none"/>
              </w:rPr>
            </w:pPr>
          </w:p>
        </w:tc>
        <w:tc>
          <w:tcPr>
            <w:tcW w:w="855" w:type="dxa"/>
            <w:gridSpan w:val="3"/>
            <w:vMerge w:val="continue"/>
            <w:noWrap w:val="0"/>
            <w:vAlign w:val="top"/>
          </w:tcPr>
          <w:p w14:paraId="3AF56F72">
            <w:pPr>
              <w:keepNext w:val="0"/>
              <w:keepLines w:val="0"/>
              <w:bidi w:val="0"/>
              <w:rPr>
                <w:rFonts w:hint="eastAsia" w:ascii="宋体" w:hAnsi="宋体" w:eastAsia="宋体" w:cs="宋体"/>
                <w:color w:val="auto"/>
                <w:sz w:val="24"/>
                <w:szCs w:val="24"/>
                <w:highlight w:val="none"/>
              </w:rPr>
            </w:pPr>
          </w:p>
        </w:tc>
        <w:tc>
          <w:tcPr>
            <w:tcW w:w="1323" w:type="dxa"/>
            <w:gridSpan w:val="2"/>
            <w:vMerge w:val="continue"/>
            <w:noWrap w:val="0"/>
            <w:vAlign w:val="top"/>
          </w:tcPr>
          <w:p w14:paraId="11E3A5C6">
            <w:pPr>
              <w:keepNext w:val="0"/>
              <w:keepLines w:val="0"/>
              <w:bidi w:val="0"/>
              <w:rPr>
                <w:rFonts w:hint="eastAsia" w:ascii="宋体" w:hAnsi="宋体" w:eastAsia="宋体" w:cs="宋体"/>
                <w:color w:val="auto"/>
                <w:sz w:val="24"/>
                <w:szCs w:val="24"/>
                <w:highlight w:val="none"/>
              </w:rPr>
            </w:pPr>
          </w:p>
        </w:tc>
        <w:tc>
          <w:tcPr>
            <w:tcW w:w="894" w:type="dxa"/>
            <w:gridSpan w:val="2"/>
            <w:vMerge w:val="continue"/>
            <w:noWrap w:val="0"/>
            <w:vAlign w:val="top"/>
          </w:tcPr>
          <w:p w14:paraId="384EDB9F">
            <w:pPr>
              <w:keepNext w:val="0"/>
              <w:keepLines w:val="0"/>
              <w:bidi w:val="0"/>
              <w:rPr>
                <w:rFonts w:hint="eastAsia" w:ascii="宋体" w:hAnsi="宋体" w:eastAsia="宋体" w:cs="宋体"/>
                <w:color w:val="auto"/>
                <w:sz w:val="24"/>
                <w:szCs w:val="24"/>
                <w:highlight w:val="none"/>
              </w:rPr>
            </w:pPr>
          </w:p>
        </w:tc>
        <w:tc>
          <w:tcPr>
            <w:tcW w:w="1244" w:type="dxa"/>
            <w:gridSpan w:val="2"/>
            <w:noWrap w:val="0"/>
            <w:vAlign w:val="center"/>
          </w:tcPr>
          <w:p w14:paraId="402BAB3F">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进度监理</w:t>
            </w:r>
          </w:p>
          <w:p w14:paraId="7CB31B5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（5分）</w:t>
            </w:r>
          </w:p>
        </w:tc>
        <w:tc>
          <w:tcPr>
            <w:tcW w:w="3894" w:type="dxa"/>
            <w:noWrap w:val="0"/>
            <w:vAlign w:val="center"/>
          </w:tcPr>
          <w:p w14:paraId="0B0F6922">
            <w:pPr>
              <w:keepNext w:val="0"/>
              <w:keepLines w:val="0"/>
              <w:bidi w:val="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进度监理目标明确并满足招标文件的要求得</w:t>
            </w:r>
            <w:r>
              <w:rPr>
                <w:rFonts w:hint="eastAsia" w:ascii="宋体" w:hAnsi="宋体" w:eastAsia="宋体" w:cs="宋体"/>
                <w:color w:val="auto"/>
                <w:kern w:val="0"/>
                <w:sz w:val="24"/>
                <w:szCs w:val="24"/>
                <w:highlight w:val="none"/>
                <w:u w:val="single"/>
                <w:lang w:bidi="ar"/>
              </w:rPr>
              <w:t>3.0</w:t>
            </w:r>
            <w:r>
              <w:rPr>
                <w:rFonts w:hint="eastAsia" w:ascii="宋体" w:hAnsi="宋体" w:eastAsia="宋体" w:cs="宋体"/>
                <w:color w:val="auto"/>
                <w:kern w:val="0"/>
                <w:sz w:val="24"/>
                <w:szCs w:val="24"/>
                <w:highlight w:val="none"/>
                <w:lang w:bidi="ar"/>
              </w:rPr>
              <w:t>分；</w:t>
            </w:r>
          </w:p>
          <w:p w14:paraId="5264258E">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监理措施具体且有效，对保证工期所采取的对策及预控方法合理可行的，酌情加</w:t>
            </w:r>
            <w:r>
              <w:rPr>
                <w:rFonts w:hint="eastAsia" w:ascii="宋体" w:hAnsi="宋体" w:eastAsia="宋体" w:cs="宋体"/>
                <w:color w:val="auto"/>
                <w:kern w:val="0"/>
                <w:sz w:val="24"/>
                <w:szCs w:val="24"/>
                <w:highlight w:val="none"/>
                <w:u w:val="single"/>
                <w:lang w:bidi="ar"/>
              </w:rPr>
              <w:t>0-2.0</w:t>
            </w:r>
            <w:r>
              <w:rPr>
                <w:rFonts w:hint="eastAsia" w:ascii="宋体" w:hAnsi="宋体" w:eastAsia="宋体" w:cs="宋体"/>
                <w:color w:val="auto"/>
                <w:kern w:val="0"/>
                <w:sz w:val="24"/>
                <w:szCs w:val="24"/>
                <w:highlight w:val="none"/>
                <w:lang w:bidi="ar"/>
              </w:rPr>
              <w:t>分。</w:t>
            </w:r>
          </w:p>
        </w:tc>
      </w:tr>
      <w:tr w14:paraId="3D77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8" w:hRule="atLeast"/>
        </w:trPr>
        <w:tc>
          <w:tcPr>
            <w:tcW w:w="914" w:type="dxa"/>
            <w:vMerge w:val="continue"/>
            <w:noWrap w:val="0"/>
            <w:vAlign w:val="top"/>
          </w:tcPr>
          <w:p w14:paraId="7DF4D06A">
            <w:pPr>
              <w:keepNext w:val="0"/>
              <w:keepLines w:val="0"/>
              <w:bidi w:val="0"/>
              <w:rPr>
                <w:rFonts w:hint="eastAsia" w:ascii="宋体" w:hAnsi="宋体" w:eastAsia="宋体" w:cs="宋体"/>
                <w:color w:val="auto"/>
                <w:sz w:val="24"/>
                <w:szCs w:val="24"/>
                <w:highlight w:val="none"/>
              </w:rPr>
            </w:pPr>
          </w:p>
        </w:tc>
        <w:tc>
          <w:tcPr>
            <w:tcW w:w="859" w:type="dxa"/>
            <w:gridSpan w:val="2"/>
            <w:vMerge w:val="continue"/>
            <w:noWrap w:val="0"/>
            <w:vAlign w:val="top"/>
          </w:tcPr>
          <w:p w14:paraId="5A437B9B">
            <w:pPr>
              <w:keepNext w:val="0"/>
              <w:keepLines w:val="0"/>
              <w:bidi w:val="0"/>
              <w:rPr>
                <w:rFonts w:hint="eastAsia" w:ascii="宋体" w:hAnsi="宋体" w:eastAsia="宋体" w:cs="宋体"/>
                <w:color w:val="auto"/>
                <w:sz w:val="24"/>
                <w:szCs w:val="24"/>
                <w:highlight w:val="none"/>
              </w:rPr>
            </w:pPr>
          </w:p>
        </w:tc>
        <w:tc>
          <w:tcPr>
            <w:tcW w:w="855" w:type="dxa"/>
            <w:gridSpan w:val="3"/>
            <w:vMerge w:val="continue"/>
            <w:noWrap w:val="0"/>
            <w:vAlign w:val="top"/>
          </w:tcPr>
          <w:p w14:paraId="709B1B6B">
            <w:pPr>
              <w:keepNext w:val="0"/>
              <w:keepLines w:val="0"/>
              <w:bidi w:val="0"/>
              <w:rPr>
                <w:rFonts w:hint="eastAsia" w:ascii="宋体" w:hAnsi="宋体" w:eastAsia="宋体" w:cs="宋体"/>
                <w:color w:val="auto"/>
                <w:sz w:val="24"/>
                <w:szCs w:val="24"/>
                <w:highlight w:val="none"/>
              </w:rPr>
            </w:pPr>
          </w:p>
        </w:tc>
        <w:tc>
          <w:tcPr>
            <w:tcW w:w="1323" w:type="dxa"/>
            <w:gridSpan w:val="2"/>
            <w:vMerge w:val="continue"/>
            <w:noWrap w:val="0"/>
            <w:vAlign w:val="top"/>
          </w:tcPr>
          <w:p w14:paraId="0E1FA863">
            <w:pPr>
              <w:keepNext w:val="0"/>
              <w:keepLines w:val="0"/>
              <w:bidi w:val="0"/>
              <w:rPr>
                <w:rFonts w:hint="eastAsia" w:ascii="宋体" w:hAnsi="宋体" w:eastAsia="宋体" w:cs="宋体"/>
                <w:color w:val="auto"/>
                <w:sz w:val="24"/>
                <w:szCs w:val="24"/>
                <w:highlight w:val="none"/>
              </w:rPr>
            </w:pPr>
          </w:p>
        </w:tc>
        <w:tc>
          <w:tcPr>
            <w:tcW w:w="894" w:type="dxa"/>
            <w:gridSpan w:val="2"/>
            <w:vMerge w:val="continue"/>
            <w:noWrap w:val="0"/>
            <w:vAlign w:val="top"/>
          </w:tcPr>
          <w:p w14:paraId="0D202F44">
            <w:pPr>
              <w:keepNext w:val="0"/>
              <w:keepLines w:val="0"/>
              <w:bidi w:val="0"/>
              <w:rPr>
                <w:rFonts w:hint="eastAsia" w:ascii="宋体" w:hAnsi="宋体" w:eastAsia="宋体" w:cs="宋体"/>
                <w:color w:val="auto"/>
                <w:sz w:val="24"/>
                <w:szCs w:val="24"/>
                <w:highlight w:val="none"/>
              </w:rPr>
            </w:pPr>
          </w:p>
        </w:tc>
        <w:tc>
          <w:tcPr>
            <w:tcW w:w="1244" w:type="dxa"/>
            <w:gridSpan w:val="2"/>
            <w:noWrap w:val="0"/>
            <w:vAlign w:val="center"/>
          </w:tcPr>
          <w:p w14:paraId="0870C676">
            <w:pPr>
              <w:keepNext w:val="0"/>
              <w:keepLines w:val="0"/>
              <w:bidi w:val="0"/>
              <w:spacing w:line="360" w:lineRule="auto"/>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费用和合同监理</w:t>
            </w:r>
          </w:p>
          <w:p w14:paraId="7022CFF1">
            <w:pPr>
              <w:keepNext w:val="0"/>
              <w:keepLines w:val="0"/>
              <w:bidi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w:t>
            </w:r>
            <w:r>
              <w:rPr>
                <w:rFonts w:hint="eastAsia" w:ascii="宋体" w:hAnsi="宋体" w:eastAsia="宋体" w:cs="宋体"/>
                <w:color w:val="auto"/>
                <w:kern w:val="21"/>
                <w:sz w:val="24"/>
                <w:szCs w:val="24"/>
                <w:highlight w:val="none"/>
                <w:lang w:val="en-US" w:eastAsia="zh-CN"/>
              </w:rPr>
              <w:t>3</w:t>
            </w:r>
            <w:r>
              <w:rPr>
                <w:rFonts w:hint="eastAsia" w:ascii="宋体" w:hAnsi="宋体" w:eastAsia="宋体" w:cs="宋体"/>
                <w:color w:val="auto"/>
                <w:kern w:val="21"/>
                <w:sz w:val="24"/>
                <w:szCs w:val="24"/>
                <w:highlight w:val="none"/>
              </w:rPr>
              <w:t>分）</w:t>
            </w:r>
          </w:p>
        </w:tc>
        <w:tc>
          <w:tcPr>
            <w:tcW w:w="3894" w:type="dxa"/>
            <w:noWrap w:val="0"/>
            <w:vAlign w:val="top"/>
          </w:tcPr>
          <w:p w14:paraId="60421E3D">
            <w:pPr>
              <w:keepNext w:val="0"/>
              <w:keepLines w:val="0"/>
              <w:bidi w:val="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有工程计量与支付监理方面的具体管理方法和措施具体且有效，有明确的变更管理、预防索赔、减少合同纠纷的管理和控制措施得</w:t>
            </w:r>
            <w:r>
              <w:rPr>
                <w:rFonts w:hint="eastAsia" w:ascii="宋体" w:hAnsi="宋体" w:eastAsia="宋体" w:cs="宋体"/>
                <w:color w:val="auto"/>
                <w:kern w:val="0"/>
                <w:sz w:val="24"/>
                <w:szCs w:val="24"/>
                <w:highlight w:val="none"/>
                <w:u w:val="single"/>
                <w:lang w:val="en-US" w:eastAsia="zh-CN" w:bidi="ar"/>
              </w:rPr>
              <w:t>1.8</w:t>
            </w:r>
            <w:r>
              <w:rPr>
                <w:rFonts w:hint="eastAsia" w:ascii="宋体" w:hAnsi="宋体" w:eastAsia="宋体" w:cs="宋体"/>
                <w:color w:val="auto"/>
                <w:kern w:val="0"/>
                <w:sz w:val="24"/>
                <w:szCs w:val="24"/>
                <w:highlight w:val="none"/>
                <w:lang w:bidi="ar"/>
              </w:rPr>
              <w:t>分；</w:t>
            </w:r>
          </w:p>
          <w:p w14:paraId="61998015">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有合理可行的控制超计量支付及提前计量支付的预控方法的，酌情加</w:t>
            </w:r>
            <w:r>
              <w:rPr>
                <w:rFonts w:hint="eastAsia" w:ascii="宋体" w:hAnsi="宋体" w:eastAsia="宋体" w:cs="宋体"/>
                <w:color w:val="auto"/>
                <w:kern w:val="0"/>
                <w:sz w:val="24"/>
                <w:szCs w:val="24"/>
                <w:highlight w:val="none"/>
                <w:u w:val="single"/>
                <w:lang w:bidi="ar"/>
              </w:rPr>
              <w:t>0-</w:t>
            </w:r>
            <w:r>
              <w:rPr>
                <w:rFonts w:hint="eastAsia" w:ascii="宋体" w:hAnsi="宋体" w:eastAsia="宋体" w:cs="宋体"/>
                <w:color w:val="auto"/>
                <w:kern w:val="0"/>
                <w:sz w:val="24"/>
                <w:szCs w:val="24"/>
                <w:highlight w:val="none"/>
                <w:u w:val="single"/>
                <w:lang w:val="en-US" w:eastAsia="zh-CN" w:bidi="ar"/>
              </w:rPr>
              <w:t>1.2</w:t>
            </w:r>
            <w:r>
              <w:rPr>
                <w:rFonts w:hint="eastAsia" w:ascii="宋体" w:hAnsi="宋体" w:eastAsia="宋体" w:cs="宋体"/>
                <w:color w:val="auto"/>
                <w:kern w:val="0"/>
                <w:sz w:val="24"/>
                <w:szCs w:val="24"/>
                <w:highlight w:val="none"/>
                <w:lang w:bidi="ar"/>
              </w:rPr>
              <w:t>分。</w:t>
            </w:r>
          </w:p>
        </w:tc>
      </w:tr>
      <w:tr w14:paraId="32BC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9" w:hRule="atLeast"/>
        </w:trPr>
        <w:tc>
          <w:tcPr>
            <w:tcW w:w="914" w:type="dxa"/>
            <w:vMerge w:val="continue"/>
            <w:noWrap w:val="0"/>
            <w:vAlign w:val="top"/>
          </w:tcPr>
          <w:p w14:paraId="179A99E1">
            <w:pPr>
              <w:keepNext w:val="0"/>
              <w:keepLines w:val="0"/>
              <w:bidi w:val="0"/>
              <w:rPr>
                <w:rFonts w:hint="eastAsia" w:ascii="宋体" w:hAnsi="宋体" w:eastAsia="宋体" w:cs="宋体"/>
                <w:color w:val="auto"/>
                <w:sz w:val="24"/>
                <w:szCs w:val="24"/>
                <w:highlight w:val="none"/>
              </w:rPr>
            </w:pPr>
          </w:p>
        </w:tc>
        <w:tc>
          <w:tcPr>
            <w:tcW w:w="859" w:type="dxa"/>
            <w:gridSpan w:val="2"/>
            <w:vMerge w:val="continue"/>
            <w:noWrap w:val="0"/>
            <w:vAlign w:val="top"/>
          </w:tcPr>
          <w:p w14:paraId="3BA260C7">
            <w:pPr>
              <w:keepNext w:val="0"/>
              <w:keepLines w:val="0"/>
              <w:bidi w:val="0"/>
              <w:rPr>
                <w:rFonts w:hint="eastAsia" w:ascii="宋体" w:hAnsi="宋体" w:eastAsia="宋体" w:cs="宋体"/>
                <w:color w:val="auto"/>
                <w:sz w:val="24"/>
                <w:szCs w:val="24"/>
                <w:highlight w:val="none"/>
              </w:rPr>
            </w:pPr>
          </w:p>
        </w:tc>
        <w:tc>
          <w:tcPr>
            <w:tcW w:w="855" w:type="dxa"/>
            <w:gridSpan w:val="3"/>
            <w:vMerge w:val="continue"/>
            <w:noWrap w:val="0"/>
            <w:vAlign w:val="top"/>
          </w:tcPr>
          <w:p w14:paraId="07415AB2">
            <w:pPr>
              <w:keepNext w:val="0"/>
              <w:keepLines w:val="0"/>
              <w:bidi w:val="0"/>
              <w:rPr>
                <w:rFonts w:hint="eastAsia" w:ascii="宋体" w:hAnsi="宋体" w:eastAsia="宋体" w:cs="宋体"/>
                <w:color w:val="auto"/>
                <w:sz w:val="24"/>
                <w:szCs w:val="24"/>
                <w:highlight w:val="none"/>
              </w:rPr>
            </w:pPr>
          </w:p>
        </w:tc>
        <w:tc>
          <w:tcPr>
            <w:tcW w:w="1323" w:type="dxa"/>
            <w:gridSpan w:val="2"/>
            <w:vMerge w:val="continue"/>
            <w:noWrap w:val="0"/>
            <w:vAlign w:val="top"/>
          </w:tcPr>
          <w:p w14:paraId="03C62968">
            <w:pPr>
              <w:keepNext w:val="0"/>
              <w:keepLines w:val="0"/>
              <w:bidi w:val="0"/>
              <w:rPr>
                <w:rFonts w:hint="eastAsia" w:ascii="宋体" w:hAnsi="宋体" w:eastAsia="宋体" w:cs="宋体"/>
                <w:color w:val="auto"/>
                <w:sz w:val="24"/>
                <w:szCs w:val="24"/>
                <w:highlight w:val="none"/>
              </w:rPr>
            </w:pPr>
          </w:p>
        </w:tc>
        <w:tc>
          <w:tcPr>
            <w:tcW w:w="894" w:type="dxa"/>
            <w:gridSpan w:val="2"/>
            <w:vMerge w:val="continue"/>
            <w:noWrap w:val="0"/>
            <w:vAlign w:val="top"/>
          </w:tcPr>
          <w:p w14:paraId="0D969575">
            <w:pPr>
              <w:keepNext w:val="0"/>
              <w:keepLines w:val="0"/>
              <w:bidi w:val="0"/>
              <w:rPr>
                <w:rFonts w:hint="eastAsia" w:ascii="宋体" w:hAnsi="宋体" w:eastAsia="宋体" w:cs="宋体"/>
                <w:color w:val="auto"/>
                <w:sz w:val="24"/>
                <w:szCs w:val="24"/>
                <w:highlight w:val="none"/>
              </w:rPr>
            </w:pPr>
          </w:p>
        </w:tc>
        <w:tc>
          <w:tcPr>
            <w:tcW w:w="1244" w:type="dxa"/>
            <w:gridSpan w:val="2"/>
            <w:noWrap w:val="0"/>
            <w:vAlign w:val="center"/>
          </w:tcPr>
          <w:p w14:paraId="5C8E8A8A">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施工环境</w:t>
            </w:r>
          </w:p>
          <w:p w14:paraId="52B01FDA">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保护管理</w:t>
            </w:r>
          </w:p>
          <w:p w14:paraId="5FD7730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w:t>
            </w:r>
            <w:r>
              <w:rPr>
                <w:rFonts w:hint="eastAsia" w:ascii="宋体" w:hAnsi="宋体" w:eastAsia="宋体" w:cs="宋体"/>
                <w:color w:val="auto"/>
                <w:kern w:val="21"/>
                <w:sz w:val="24"/>
                <w:szCs w:val="24"/>
                <w:highlight w:val="none"/>
                <w:lang w:val="en-US" w:eastAsia="zh-CN"/>
              </w:rPr>
              <w:t>2</w:t>
            </w:r>
            <w:r>
              <w:rPr>
                <w:rFonts w:hint="eastAsia" w:ascii="宋体" w:hAnsi="宋体" w:eastAsia="宋体" w:cs="宋体"/>
                <w:color w:val="auto"/>
                <w:kern w:val="21"/>
                <w:sz w:val="24"/>
                <w:szCs w:val="24"/>
                <w:highlight w:val="none"/>
              </w:rPr>
              <w:t>分）</w:t>
            </w:r>
          </w:p>
        </w:tc>
        <w:tc>
          <w:tcPr>
            <w:tcW w:w="3894" w:type="dxa"/>
            <w:noWrap w:val="0"/>
            <w:vAlign w:val="center"/>
          </w:tcPr>
          <w:p w14:paraId="62BF6BBA">
            <w:pPr>
              <w:keepNext w:val="0"/>
              <w:keepLines w:val="0"/>
              <w:bidi w:val="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有环保监理措施，且完全响应广东省施工标准化和安全标准化指南的</w:t>
            </w:r>
            <w:r>
              <w:rPr>
                <w:rFonts w:hint="eastAsia" w:ascii="宋体" w:hAnsi="宋体" w:eastAsia="宋体" w:cs="宋体"/>
                <w:color w:val="auto"/>
                <w:kern w:val="0"/>
                <w:sz w:val="24"/>
                <w:szCs w:val="24"/>
                <w:highlight w:val="none"/>
                <w:lang w:eastAsia="zh-CN" w:bidi="ar"/>
              </w:rPr>
              <w:t>得</w:t>
            </w:r>
            <w:r>
              <w:rPr>
                <w:rFonts w:hint="eastAsia" w:ascii="宋体" w:hAnsi="宋体" w:eastAsia="宋体" w:cs="宋体"/>
                <w:color w:val="auto"/>
                <w:kern w:val="0"/>
                <w:sz w:val="24"/>
                <w:szCs w:val="24"/>
                <w:highlight w:val="none"/>
                <w:u w:val="single"/>
                <w:lang w:val="en-US" w:eastAsia="zh-CN" w:bidi="ar"/>
              </w:rPr>
              <w:t>1.2</w:t>
            </w:r>
            <w:r>
              <w:rPr>
                <w:rFonts w:hint="eastAsia" w:ascii="宋体" w:hAnsi="宋体" w:eastAsia="宋体" w:cs="宋体"/>
                <w:color w:val="auto"/>
                <w:kern w:val="0"/>
                <w:sz w:val="24"/>
                <w:szCs w:val="24"/>
                <w:highlight w:val="none"/>
                <w:lang w:bidi="ar"/>
              </w:rPr>
              <w:t>分；</w:t>
            </w:r>
          </w:p>
          <w:p w14:paraId="54D46CC3">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环保监理措施和方法具体且有效的，响应广东省施工标准化和安全标准化指南程度，酌情</w:t>
            </w:r>
            <w:r>
              <w:rPr>
                <w:rFonts w:hint="eastAsia" w:ascii="宋体" w:hAnsi="宋体" w:eastAsia="宋体" w:cs="宋体"/>
                <w:color w:val="auto"/>
                <w:kern w:val="0"/>
                <w:sz w:val="24"/>
                <w:szCs w:val="24"/>
                <w:highlight w:val="none"/>
                <w:u w:val="single"/>
                <w:lang w:bidi="ar"/>
              </w:rPr>
              <w:t>0-</w:t>
            </w:r>
            <w:r>
              <w:rPr>
                <w:rFonts w:hint="eastAsia" w:ascii="宋体" w:hAnsi="宋体" w:eastAsia="宋体" w:cs="宋体"/>
                <w:color w:val="auto"/>
                <w:kern w:val="0"/>
                <w:sz w:val="24"/>
                <w:szCs w:val="24"/>
                <w:highlight w:val="none"/>
                <w:u w:val="single"/>
                <w:lang w:val="en-US" w:eastAsia="zh-CN" w:bidi="ar"/>
              </w:rPr>
              <w:t>0.8</w:t>
            </w:r>
            <w:r>
              <w:rPr>
                <w:rFonts w:hint="eastAsia" w:ascii="宋体" w:hAnsi="宋体" w:eastAsia="宋体" w:cs="宋体"/>
                <w:color w:val="auto"/>
                <w:sz w:val="24"/>
                <w:szCs w:val="24"/>
                <w:highlight w:val="none"/>
              </w:rPr>
              <w:t>分。</w:t>
            </w:r>
          </w:p>
        </w:tc>
      </w:tr>
      <w:tr w14:paraId="2033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914" w:type="dxa"/>
            <w:vMerge w:val="continue"/>
            <w:noWrap w:val="0"/>
            <w:vAlign w:val="top"/>
          </w:tcPr>
          <w:p w14:paraId="2DF257C8">
            <w:pPr>
              <w:keepNext w:val="0"/>
              <w:keepLines w:val="0"/>
              <w:bidi w:val="0"/>
              <w:rPr>
                <w:rFonts w:hint="eastAsia" w:ascii="宋体" w:hAnsi="宋体" w:eastAsia="宋体" w:cs="宋体"/>
                <w:color w:val="auto"/>
                <w:sz w:val="24"/>
                <w:szCs w:val="24"/>
                <w:highlight w:val="none"/>
              </w:rPr>
            </w:pPr>
          </w:p>
        </w:tc>
        <w:tc>
          <w:tcPr>
            <w:tcW w:w="859" w:type="dxa"/>
            <w:gridSpan w:val="2"/>
            <w:vMerge w:val="continue"/>
            <w:noWrap w:val="0"/>
            <w:vAlign w:val="top"/>
          </w:tcPr>
          <w:p w14:paraId="79EE68C5">
            <w:pPr>
              <w:keepNext w:val="0"/>
              <w:keepLines w:val="0"/>
              <w:bidi w:val="0"/>
              <w:rPr>
                <w:rFonts w:hint="eastAsia" w:ascii="宋体" w:hAnsi="宋体" w:eastAsia="宋体" w:cs="宋体"/>
                <w:color w:val="auto"/>
                <w:sz w:val="24"/>
                <w:szCs w:val="24"/>
                <w:highlight w:val="none"/>
              </w:rPr>
            </w:pPr>
          </w:p>
        </w:tc>
        <w:tc>
          <w:tcPr>
            <w:tcW w:w="855" w:type="dxa"/>
            <w:gridSpan w:val="3"/>
            <w:vMerge w:val="continue"/>
            <w:noWrap w:val="0"/>
            <w:vAlign w:val="top"/>
          </w:tcPr>
          <w:p w14:paraId="3A35053B">
            <w:pPr>
              <w:keepNext w:val="0"/>
              <w:keepLines w:val="0"/>
              <w:bidi w:val="0"/>
              <w:rPr>
                <w:rFonts w:hint="eastAsia" w:ascii="宋体" w:hAnsi="宋体" w:eastAsia="宋体" w:cs="宋体"/>
                <w:color w:val="auto"/>
                <w:sz w:val="24"/>
                <w:szCs w:val="24"/>
                <w:highlight w:val="none"/>
              </w:rPr>
            </w:pPr>
          </w:p>
        </w:tc>
        <w:tc>
          <w:tcPr>
            <w:tcW w:w="1323" w:type="dxa"/>
            <w:gridSpan w:val="2"/>
            <w:noWrap w:val="0"/>
            <w:vAlign w:val="center"/>
          </w:tcPr>
          <w:p w14:paraId="55C1F2B5">
            <w:pPr>
              <w:keepNext w:val="0"/>
              <w:keepLines w:val="0"/>
              <w:bidi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本工程监理工作的重点与难点分析</w:t>
            </w:r>
          </w:p>
        </w:tc>
        <w:tc>
          <w:tcPr>
            <w:tcW w:w="894" w:type="dxa"/>
            <w:gridSpan w:val="2"/>
            <w:noWrap w:val="0"/>
            <w:vAlign w:val="center"/>
          </w:tcPr>
          <w:p w14:paraId="50130368">
            <w:pPr>
              <w:keepNext w:val="0"/>
              <w:keepLines w:val="0"/>
              <w:bidi w:val="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分</w:t>
            </w:r>
          </w:p>
        </w:tc>
        <w:tc>
          <w:tcPr>
            <w:tcW w:w="5138" w:type="dxa"/>
            <w:gridSpan w:val="3"/>
            <w:noWrap w:val="0"/>
            <w:vAlign w:val="center"/>
          </w:tcPr>
          <w:p w14:paraId="3D0F72A8">
            <w:pPr>
              <w:keepNext w:val="0"/>
              <w:keepLines w:val="0"/>
              <w:bidi w:val="0"/>
              <w:rPr>
                <w:rFonts w:hint="eastAsia" w:ascii="宋体" w:hAnsi="宋体" w:eastAsia="宋体" w:cs="宋体"/>
                <w:color w:val="auto"/>
                <w:sz w:val="24"/>
                <w:szCs w:val="24"/>
              </w:rPr>
            </w:pPr>
            <w:r>
              <w:rPr>
                <w:rFonts w:hint="eastAsia" w:ascii="宋体" w:hAnsi="宋体" w:eastAsia="宋体" w:cs="宋体"/>
                <w:color w:val="auto"/>
                <w:sz w:val="24"/>
                <w:szCs w:val="24"/>
              </w:rPr>
              <w:t>有对工程重点、难点的分析得</w:t>
            </w:r>
            <w:r>
              <w:rPr>
                <w:rFonts w:hint="eastAsia" w:ascii="宋体" w:hAnsi="宋体" w:eastAsia="宋体" w:cs="宋体"/>
                <w:color w:val="auto"/>
                <w:sz w:val="24"/>
                <w:szCs w:val="24"/>
                <w:u w:val="single"/>
                <w:lang w:val="en-US" w:eastAsia="zh-CN"/>
              </w:rPr>
              <w:t>6</w:t>
            </w:r>
            <w:r>
              <w:rPr>
                <w:rFonts w:hint="eastAsia" w:ascii="宋体" w:hAnsi="宋体" w:eastAsia="宋体" w:cs="宋体"/>
                <w:color w:val="auto"/>
                <w:sz w:val="24"/>
                <w:szCs w:val="24"/>
                <w:u w:val="single"/>
              </w:rPr>
              <w:t>.0</w:t>
            </w:r>
            <w:r>
              <w:rPr>
                <w:rFonts w:hint="eastAsia" w:ascii="宋体" w:hAnsi="宋体" w:eastAsia="宋体" w:cs="宋体"/>
                <w:color w:val="auto"/>
                <w:sz w:val="24"/>
                <w:szCs w:val="24"/>
              </w:rPr>
              <w:t>分；分析准确，且有合理可行的应对措施的，酌情加</w:t>
            </w:r>
            <w:r>
              <w:rPr>
                <w:rFonts w:hint="eastAsia" w:ascii="宋体" w:hAnsi="宋体" w:eastAsia="宋体" w:cs="宋体"/>
                <w:color w:val="auto"/>
                <w:sz w:val="24"/>
                <w:szCs w:val="24"/>
                <w:u w:val="single"/>
              </w:rPr>
              <w:t>0-</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u w:val="single"/>
              </w:rPr>
              <w:t>.0</w:t>
            </w:r>
            <w:r>
              <w:rPr>
                <w:rFonts w:hint="eastAsia" w:ascii="宋体" w:hAnsi="宋体" w:eastAsia="宋体" w:cs="宋体"/>
                <w:color w:val="auto"/>
                <w:sz w:val="24"/>
                <w:szCs w:val="24"/>
              </w:rPr>
              <w:t>分。</w:t>
            </w:r>
          </w:p>
        </w:tc>
      </w:tr>
      <w:tr w14:paraId="7DB8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6" w:hRule="atLeast"/>
        </w:trPr>
        <w:tc>
          <w:tcPr>
            <w:tcW w:w="914" w:type="dxa"/>
            <w:vMerge w:val="continue"/>
            <w:noWrap w:val="0"/>
            <w:vAlign w:val="top"/>
          </w:tcPr>
          <w:p w14:paraId="79102392">
            <w:pPr>
              <w:keepNext w:val="0"/>
              <w:keepLines w:val="0"/>
              <w:bidi w:val="0"/>
              <w:rPr>
                <w:rFonts w:hint="eastAsia" w:ascii="宋体" w:hAnsi="宋体" w:eastAsia="宋体" w:cs="宋体"/>
                <w:color w:val="auto"/>
                <w:sz w:val="24"/>
                <w:szCs w:val="24"/>
                <w:highlight w:val="none"/>
              </w:rPr>
            </w:pPr>
          </w:p>
        </w:tc>
        <w:tc>
          <w:tcPr>
            <w:tcW w:w="859" w:type="dxa"/>
            <w:gridSpan w:val="2"/>
            <w:vMerge w:val="continue"/>
            <w:noWrap w:val="0"/>
            <w:vAlign w:val="top"/>
          </w:tcPr>
          <w:p w14:paraId="38DF7181">
            <w:pPr>
              <w:keepNext w:val="0"/>
              <w:keepLines w:val="0"/>
              <w:bidi w:val="0"/>
              <w:rPr>
                <w:rFonts w:hint="eastAsia" w:ascii="宋体" w:hAnsi="宋体" w:eastAsia="宋体" w:cs="宋体"/>
                <w:color w:val="auto"/>
                <w:sz w:val="24"/>
                <w:szCs w:val="24"/>
                <w:highlight w:val="none"/>
              </w:rPr>
            </w:pPr>
          </w:p>
        </w:tc>
        <w:tc>
          <w:tcPr>
            <w:tcW w:w="855" w:type="dxa"/>
            <w:gridSpan w:val="3"/>
            <w:vMerge w:val="continue"/>
            <w:noWrap w:val="0"/>
            <w:vAlign w:val="top"/>
          </w:tcPr>
          <w:p w14:paraId="0AA441E0">
            <w:pPr>
              <w:keepNext w:val="0"/>
              <w:keepLines w:val="0"/>
              <w:bidi w:val="0"/>
              <w:rPr>
                <w:rFonts w:hint="eastAsia" w:ascii="宋体" w:hAnsi="宋体" w:eastAsia="宋体" w:cs="宋体"/>
                <w:color w:val="auto"/>
                <w:sz w:val="24"/>
                <w:szCs w:val="24"/>
                <w:highlight w:val="none"/>
              </w:rPr>
            </w:pPr>
          </w:p>
        </w:tc>
        <w:tc>
          <w:tcPr>
            <w:tcW w:w="1323" w:type="dxa"/>
            <w:gridSpan w:val="2"/>
            <w:noWrap w:val="0"/>
            <w:vAlign w:val="center"/>
          </w:tcPr>
          <w:p w14:paraId="7C1FF9BD">
            <w:pPr>
              <w:keepNext w:val="0"/>
              <w:keepLines w:val="0"/>
              <w:bidi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对本工程的建议</w:t>
            </w:r>
          </w:p>
        </w:tc>
        <w:tc>
          <w:tcPr>
            <w:tcW w:w="894" w:type="dxa"/>
            <w:gridSpan w:val="2"/>
            <w:noWrap w:val="0"/>
            <w:vAlign w:val="center"/>
          </w:tcPr>
          <w:p w14:paraId="2449D598">
            <w:pPr>
              <w:keepNext w:val="0"/>
              <w:keepLines w:val="0"/>
              <w:bidi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5分</w:t>
            </w:r>
          </w:p>
        </w:tc>
        <w:tc>
          <w:tcPr>
            <w:tcW w:w="5138" w:type="dxa"/>
            <w:gridSpan w:val="3"/>
            <w:noWrap w:val="0"/>
            <w:vAlign w:val="center"/>
          </w:tcPr>
          <w:p w14:paraId="482D0F5C">
            <w:pPr>
              <w:keepNext w:val="0"/>
              <w:keepLines w:val="0"/>
              <w:bidi w:val="0"/>
              <w:rPr>
                <w:rFonts w:hint="eastAsia" w:ascii="宋体" w:hAnsi="宋体" w:eastAsia="宋体" w:cs="宋体"/>
                <w:color w:val="auto"/>
                <w:sz w:val="24"/>
                <w:szCs w:val="24"/>
              </w:rPr>
            </w:pPr>
            <w:r>
              <w:rPr>
                <w:rFonts w:hint="eastAsia" w:ascii="宋体" w:hAnsi="宋体" w:eastAsia="宋体" w:cs="宋体"/>
                <w:color w:val="auto"/>
                <w:sz w:val="24"/>
                <w:szCs w:val="24"/>
              </w:rPr>
              <w:t>有对本工程的建议的</w:t>
            </w:r>
            <w:r>
              <w:rPr>
                <w:rFonts w:hint="eastAsia" w:ascii="宋体" w:hAnsi="宋体" w:eastAsia="宋体" w:cs="宋体"/>
                <w:color w:val="auto"/>
                <w:sz w:val="24"/>
                <w:szCs w:val="24"/>
                <w:u w:val="single"/>
              </w:rPr>
              <w:t>3.0</w:t>
            </w:r>
            <w:r>
              <w:rPr>
                <w:rFonts w:hint="eastAsia" w:ascii="宋体" w:hAnsi="宋体" w:eastAsia="宋体" w:cs="宋体"/>
                <w:color w:val="auto"/>
                <w:sz w:val="24"/>
                <w:szCs w:val="24"/>
              </w:rPr>
              <w:t>分；对管理模式、工程质量、进度、投资控制、合同管理等方面均提出合理可行的建议的，酌情加0-2.0分。</w:t>
            </w:r>
          </w:p>
        </w:tc>
      </w:tr>
      <w:tr w14:paraId="6162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3" w:hRule="atLeast"/>
        </w:trPr>
        <w:tc>
          <w:tcPr>
            <w:tcW w:w="914" w:type="dxa"/>
            <w:noWrap w:val="0"/>
            <w:vAlign w:val="center"/>
          </w:tcPr>
          <w:p w14:paraId="24CFF365">
            <w:pPr>
              <w:pStyle w:val="30"/>
              <w:keepNext w:val="0"/>
              <w:keepLines w:val="0"/>
              <w:bidi w:val="0"/>
              <w:ind w:left="189"/>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w:t>
            </w:r>
          </w:p>
          <w:p w14:paraId="3EE6FBE1">
            <w:pPr>
              <w:pStyle w:val="30"/>
              <w:keepNext w:val="0"/>
              <w:keepLines w:val="0"/>
              <w:bidi w:val="0"/>
              <w:spacing w:before="1"/>
              <w:ind w:left="1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859" w:type="dxa"/>
            <w:gridSpan w:val="2"/>
            <w:noWrap w:val="0"/>
            <w:vAlign w:val="center"/>
          </w:tcPr>
          <w:p w14:paraId="639D1071">
            <w:pPr>
              <w:pStyle w:val="30"/>
              <w:keepNext w:val="0"/>
              <w:keepLines w:val="0"/>
              <w:bidi w:val="0"/>
              <w:ind w:left="133" w:right="10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主要人员</w:t>
            </w:r>
          </w:p>
        </w:tc>
        <w:tc>
          <w:tcPr>
            <w:tcW w:w="855" w:type="dxa"/>
            <w:gridSpan w:val="3"/>
            <w:noWrap w:val="0"/>
            <w:vAlign w:val="center"/>
          </w:tcPr>
          <w:p w14:paraId="63A55745">
            <w:pPr>
              <w:pStyle w:val="30"/>
              <w:keepNext w:val="0"/>
              <w:keepLines w:val="0"/>
              <w:bidi w:val="0"/>
              <w:ind w:right="28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25</w:t>
            </w:r>
            <w:r>
              <w:rPr>
                <w:rFonts w:hint="eastAsia" w:ascii="宋体" w:hAnsi="宋体" w:eastAsia="宋体" w:cs="宋体"/>
                <w:color w:val="auto"/>
                <w:sz w:val="24"/>
                <w:szCs w:val="24"/>
                <w:highlight w:val="none"/>
              </w:rPr>
              <w:t>分</w:t>
            </w:r>
          </w:p>
        </w:tc>
        <w:tc>
          <w:tcPr>
            <w:tcW w:w="1323" w:type="dxa"/>
            <w:gridSpan w:val="2"/>
            <w:noWrap w:val="0"/>
            <w:vAlign w:val="center"/>
          </w:tcPr>
          <w:p w14:paraId="433B58FC">
            <w:pPr>
              <w:keepNext w:val="0"/>
              <w:keepLines w:val="0"/>
              <w:bidi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总监理工程师或驻地监理工程师任职资格与业绩</w:t>
            </w:r>
          </w:p>
        </w:tc>
        <w:tc>
          <w:tcPr>
            <w:tcW w:w="894" w:type="dxa"/>
            <w:gridSpan w:val="2"/>
            <w:noWrap w:val="0"/>
            <w:vAlign w:val="center"/>
          </w:tcPr>
          <w:p w14:paraId="0EA189D4">
            <w:pPr>
              <w:keepNext w:val="0"/>
              <w:keepLines w:val="0"/>
              <w:bidi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25分</w:t>
            </w:r>
          </w:p>
        </w:tc>
        <w:tc>
          <w:tcPr>
            <w:tcW w:w="5138" w:type="dxa"/>
            <w:gridSpan w:val="3"/>
            <w:noWrap w:val="0"/>
            <w:vAlign w:val="center"/>
          </w:tcPr>
          <w:p w14:paraId="7B920391">
            <w:pPr>
              <w:keepNext w:val="0"/>
              <w:keepLines w:val="0"/>
              <w:bidi w:val="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监理人员符合资格审查要求的，得25分。</w:t>
            </w:r>
          </w:p>
        </w:tc>
      </w:tr>
      <w:tr w14:paraId="4CF1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4" w:hRule="atLeast"/>
        </w:trPr>
        <w:tc>
          <w:tcPr>
            <w:tcW w:w="914" w:type="dxa"/>
            <w:noWrap w:val="0"/>
            <w:vAlign w:val="center"/>
          </w:tcPr>
          <w:p w14:paraId="56B68969">
            <w:pPr>
              <w:pStyle w:val="30"/>
              <w:keepNext w:val="0"/>
              <w:keepLines w:val="0"/>
              <w:bidi w:val="0"/>
              <w:spacing w:before="161"/>
              <w:ind w:left="189"/>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w:t>
            </w:r>
          </w:p>
          <w:p w14:paraId="6ADE4AA3">
            <w:pPr>
              <w:pStyle w:val="30"/>
              <w:keepNext w:val="0"/>
              <w:keepLines w:val="0"/>
              <w:bidi w:val="0"/>
              <w:spacing w:before="2"/>
              <w:ind w:left="1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859" w:type="dxa"/>
            <w:gridSpan w:val="2"/>
            <w:noWrap w:val="0"/>
            <w:vAlign w:val="center"/>
          </w:tcPr>
          <w:p w14:paraId="1643A01B">
            <w:pPr>
              <w:pStyle w:val="30"/>
              <w:keepNext w:val="0"/>
              <w:keepLines w:val="0"/>
              <w:bidi w:val="0"/>
              <w:ind w:left="135" w:right="10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w:t>
            </w:r>
          </w:p>
        </w:tc>
        <w:tc>
          <w:tcPr>
            <w:tcW w:w="855" w:type="dxa"/>
            <w:gridSpan w:val="3"/>
            <w:noWrap w:val="0"/>
            <w:vAlign w:val="center"/>
          </w:tcPr>
          <w:p w14:paraId="16A6AC85">
            <w:pPr>
              <w:pStyle w:val="30"/>
              <w:keepNext w:val="0"/>
              <w:keepLines w:val="0"/>
              <w:bidi w:val="0"/>
              <w:ind w:right="28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10</w:t>
            </w:r>
            <w:r>
              <w:rPr>
                <w:rFonts w:hint="eastAsia" w:ascii="宋体" w:hAnsi="宋体" w:eastAsia="宋体" w:cs="宋体"/>
                <w:color w:val="auto"/>
                <w:sz w:val="24"/>
                <w:szCs w:val="24"/>
                <w:highlight w:val="none"/>
              </w:rPr>
              <w:t>分</w:t>
            </w:r>
          </w:p>
        </w:tc>
        <w:tc>
          <w:tcPr>
            <w:tcW w:w="7355" w:type="dxa"/>
            <w:gridSpan w:val="7"/>
            <w:noWrap w:val="0"/>
            <w:vAlign w:val="center"/>
          </w:tcPr>
          <w:p w14:paraId="5E09244A">
            <w:pPr>
              <w:pStyle w:val="30"/>
              <w:keepNext w:val="0"/>
              <w:keepLines w:val="0"/>
              <w:bidi w:val="0"/>
              <w:ind w:left="107"/>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评标价得分计算公式示例：</w:t>
            </w:r>
          </w:p>
          <w:p w14:paraId="3A8076A1">
            <w:pPr>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（1）如果投标人的评标价＞评标基准价，则评标价得分＝F－偏差率×100×E</w:t>
            </w:r>
            <w:r>
              <w:rPr>
                <w:rFonts w:hint="eastAsia" w:ascii="宋体" w:hAnsi="宋体" w:eastAsia="宋体" w:cs="宋体"/>
                <w:color w:val="auto"/>
                <w:kern w:val="21"/>
                <w:sz w:val="24"/>
                <w:szCs w:val="24"/>
                <w:highlight w:val="none"/>
                <w:vertAlign w:val="subscript"/>
              </w:rPr>
              <w:t>1</w:t>
            </w:r>
            <w:r>
              <w:rPr>
                <w:rFonts w:hint="eastAsia" w:ascii="宋体" w:hAnsi="宋体" w:eastAsia="宋体" w:cs="宋体"/>
                <w:color w:val="auto"/>
                <w:kern w:val="21"/>
                <w:sz w:val="24"/>
                <w:szCs w:val="24"/>
                <w:highlight w:val="none"/>
              </w:rPr>
              <w:t>；</w:t>
            </w:r>
          </w:p>
          <w:p w14:paraId="05364CDE">
            <w:pPr>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（2）如果投标人的评标价≤评标基准价，则评标价得分＝F＋偏差率×100×E</w:t>
            </w:r>
            <w:r>
              <w:rPr>
                <w:rFonts w:hint="eastAsia" w:ascii="宋体" w:hAnsi="宋体" w:eastAsia="宋体" w:cs="宋体"/>
                <w:color w:val="auto"/>
                <w:kern w:val="21"/>
                <w:sz w:val="24"/>
                <w:szCs w:val="24"/>
                <w:highlight w:val="none"/>
                <w:vertAlign w:val="subscript"/>
              </w:rPr>
              <w:t>2</w:t>
            </w:r>
            <w:r>
              <w:rPr>
                <w:rFonts w:hint="eastAsia" w:ascii="宋体" w:hAnsi="宋体" w:eastAsia="宋体" w:cs="宋体"/>
                <w:color w:val="auto"/>
                <w:kern w:val="21"/>
                <w:sz w:val="24"/>
                <w:szCs w:val="24"/>
                <w:highlight w:val="none"/>
              </w:rPr>
              <w:t>；</w:t>
            </w:r>
          </w:p>
          <w:p w14:paraId="7DA2C022">
            <w:pPr>
              <w:pStyle w:val="30"/>
              <w:keepNext w:val="0"/>
              <w:keepLines w:val="0"/>
              <w:bidi w:val="0"/>
              <w:spacing w:before="51"/>
              <w:ind w:left="116"/>
              <w:jc w:val="both"/>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其中：F=10，一般原则上E</w:t>
            </w:r>
            <w:r>
              <w:rPr>
                <w:rFonts w:hint="eastAsia" w:ascii="宋体" w:hAnsi="宋体" w:eastAsia="宋体" w:cs="宋体"/>
                <w:color w:val="auto"/>
                <w:kern w:val="21"/>
                <w:sz w:val="24"/>
                <w:szCs w:val="24"/>
                <w:highlight w:val="none"/>
                <w:vertAlign w:val="subscript"/>
              </w:rPr>
              <w:t>1</w:t>
            </w:r>
            <w:r>
              <w:rPr>
                <w:rFonts w:hint="eastAsia" w:ascii="宋体" w:hAnsi="宋体" w:eastAsia="宋体" w:cs="宋体"/>
                <w:color w:val="auto"/>
                <w:kern w:val="21"/>
                <w:sz w:val="24"/>
                <w:szCs w:val="24"/>
                <w:highlight w:val="none"/>
              </w:rPr>
              <w:t>=1.0，E</w:t>
            </w:r>
            <w:r>
              <w:rPr>
                <w:rFonts w:hint="eastAsia" w:ascii="宋体" w:hAnsi="宋体" w:eastAsia="宋体" w:cs="宋体"/>
                <w:color w:val="auto"/>
                <w:kern w:val="21"/>
                <w:sz w:val="24"/>
                <w:szCs w:val="24"/>
                <w:highlight w:val="none"/>
                <w:vertAlign w:val="subscript"/>
              </w:rPr>
              <w:t>2</w:t>
            </w:r>
            <w:r>
              <w:rPr>
                <w:rFonts w:hint="eastAsia" w:ascii="宋体" w:hAnsi="宋体" w:eastAsia="宋体" w:cs="宋体"/>
                <w:color w:val="auto"/>
                <w:kern w:val="21"/>
                <w:sz w:val="24"/>
                <w:szCs w:val="24"/>
                <w:highlight w:val="none"/>
              </w:rPr>
              <w:t>=0.5</w:t>
            </w:r>
            <w:r>
              <w:rPr>
                <w:rFonts w:hint="eastAsia" w:ascii="宋体" w:hAnsi="宋体" w:eastAsia="宋体" w:cs="宋体"/>
                <w:color w:val="auto"/>
                <w:sz w:val="24"/>
                <w:szCs w:val="24"/>
                <w:highlight w:val="none"/>
              </w:rPr>
              <w:t>，评标价得分保留保留小数点后三位，小数点后第四位“四舍五入”。</w:t>
            </w:r>
          </w:p>
        </w:tc>
      </w:tr>
      <w:tr w14:paraId="409E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959" w:type="dxa"/>
            <w:gridSpan w:val="11"/>
            <w:noWrap w:val="0"/>
            <w:vAlign w:val="top"/>
          </w:tcPr>
          <w:p w14:paraId="00DB654B">
            <w:pPr>
              <w:keepNext w:val="0"/>
              <w:keepLines w:val="0"/>
              <w:widowControl w:val="0"/>
              <w:autoSpaceDE w:val="0"/>
              <w:autoSpaceDN w:val="0"/>
              <w:bidi w:val="0"/>
              <w:adjustRightInd w:val="0"/>
              <w:spacing w:before="91"/>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评分因素与权重分值</w:t>
            </w:r>
          </w:p>
        </w:tc>
        <w:tc>
          <w:tcPr>
            <w:tcW w:w="5024" w:type="dxa"/>
            <w:gridSpan w:val="2"/>
            <w:vMerge w:val="restart"/>
            <w:noWrap w:val="0"/>
            <w:vAlign w:val="top"/>
          </w:tcPr>
          <w:p w14:paraId="2553023D">
            <w:pPr>
              <w:keepNext w:val="0"/>
              <w:keepLines w:val="0"/>
              <w:widowControl w:val="0"/>
              <w:autoSpaceDE w:val="0"/>
              <w:autoSpaceDN w:val="0"/>
              <w:bidi w:val="0"/>
              <w:adjustRightInd w:val="0"/>
              <w:jc w:val="center"/>
              <w:rPr>
                <w:rFonts w:hint="eastAsia" w:ascii="宋体" w:hAnsi="宋体" w:eastAsia="宋体" w:cs="宋体"/>
                <w:b/>
                <w:color w:val="auto"/>
                <w:sz w:val="24"/>
                <w:szCs w:val="24"/>
                <w:highlight w:val="none"/>
              </w:rPr>
            </w:pPr>
          </w:p>
          <w:p w14:paraId="22EF385E">
            <w:pPr>
              <w:keepNext w:val="0"/>
              <w:keepLines w:val="0"/>
              <w:widowControl w:val="0"/>
              <w:autoSpaceDE w:val="0"/>
              <w:autoSpaceDN w:val="0"/>
              <w:bidi w:val="0"/>
              <w:adjustRightInd w:val="0"/>
              <w:spacing w:before="145"/>
              <w:ind w:right="-78"/>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评分标准</w:t>
            </w:r>
          </w:p>
        </w:tc>
      </w:tr>
      <w:tr w14:paraId="64AA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14" w:type="dxa"/>
            <w:noWrap w:val="0"/>
            <w:vAlign w:val="top"/>
          </w:tcPr>
          <w:p w14:paraId="5D16B019">
            <w:pPr>
              <w:keepNext w:val="0"/>
              <w:keepLines w:val="0"/>
              <w:widowControl w:val="0"/>
              <w:autoSpaceDE w:val="0"/>
              <w:autoSpaceDN w:val="0"/>
              <w:bidi w:val="0"/>
              <w:adjustRightInd w:val="0"/>
              <w:spacing w:before="33" w:line="242" w:lineRule="auto"/>
              <w:ind w:left="292" w:right="167" w:hanging="104"/>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082" w:type="dxa"/>
            <w:gridSpan w:val="3"/>
            <w:noWrap w:val="0"/>
            <w:vAlign w:val="top"/>
          </w:tcPr>
          <w:p w14:paraId="3108BAC6">
            <w:pPr>
              <w:keepNext w:val="0"/>
              <w:keepLines w:val="0"/>
              <w:widowControl w:val="0"/>
              <w:autoSpaceDE w:val="0"/>
              <w:autoSpaceDN w:val="0"/>
              <w:bidi w:val="0"/>
              <w:adjustRightInd w:val="0"/>
              <w:spacing w:before="170"/>
              <w:ind w:left="158"/>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w:t>
            </w:r>
          </w:p>
        </w:tc>
        <w:tc>
          <w:tcPr>
            <w:tcW w:w="1111" w:type="dxa"/>
            <w:gridSpan w:val="3"/>
            <w:noWrap w:val="0"/>
            <w:vAlign w:val="top"/>
          </w:tcPr>
          <w:p w14:paraId="3A6854AB">
            <w:pPr>
              <w:keepNext w:val="0"/>
              <w:keepLines w:val="0"/>
              <w:widowControl w:val="0"/>
              <w:autoSpaceDE w:val="0"/>
              <w:autoSpaceDN w:val="0"/>
              <w:bidi w:val="0"/>
              <w:adjustRightInd w:val="0"/>
              <w:spacing w:before="33" w:line="242" w:lineRule="auto"/>
              <w:ind w:left="145" w:right="111"/>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评分因素权重分值</w:t>
            </w:r>
          </w:p>
        </w:tc>
        <w:tc>
          <w:tcPr>
            <w:tcW w:w="844" w:type="dxa"/>
            <w:noWrap w:val="0"/>
            <w:vAlign w:val="top"/>
          </w:tcPr>
          <w:p w14:paraId="70D795A5">
            <w:pPr>
              <w:keepNext w:val="0"/>
              <w:keepLines w:val="0"/>
              <w:widowControl w:val="0"/>
              <w:autoSpaceDE w:val="0"/>
              <w:autoSpaceDN w:val="0"/>
              <w:bidi w:val="0"/>
              <w:adjustRightInd w:val="0"/>
              <w:spacing w:before="33" w:line="242" w:lineRule="auto"/>
              <w:ind w:left="155" w:right="124"/>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各评分因素细分项</w:t>
            </w:r>
          </w:p>
        </w:tc>
        <w:tc>
          <w:tcPr>
            <w:tcW w:w="1008" w:type="dxa"/>
            <w:gridSpan w:val="3"/>
            <w:noWrap w:val="0"/>
            <w:vAlign w:val="top"/>
          </w:tcPr>
          <w:p w14:paraId="3751A7E5">
            <w:pPr>
              <w:keepNext w:val="0"/>
              <w:keepLines w:val="0"/>
              <w:widowControl w:val="0"/>
              <w:autoSpaceDE w:val="0"/>
              <w:autoSpaceDN w:val="0"/>
              <w:bidi w:val="0"/>
              <w:adjustRightInd w:val="0"/>
              <w:spacing w:before="170"/>
              <w:ind w:right="152"/>
              <w:jc w:val="center"/>
              <w:rPr>
                <w:rFonts w:hint="eastAsia" w:ascii="宋体" w:hAnsi="宋体" w:eastAsia="宋体" w:cs="宋体"/>
                <w:b/>
                <w:color w:val="auto"/>
                <w:sz w:val="24"/>
                <w:szCs w:val="24"/>
                <w:highlight w:val="none"/>
              </w:rPr>
            </w:pPr>
            <w:r>
              <w:rPr>
                <w:rFonts w:hint="eastAsia" w:ascii="宋体" w:hAnsi="宋体" w:eastAsia="宋体" w:cs="宋体"/>
                <w:b/>
                <w:color w:val="auto"/>
                <w:w w:val="95"/>
                <w:sz w:val="24"/>
                <w:szCs w:val="24"/>
                <w:highlight w:val="none"/>
              </w:rPr>
              <w:t>分值</w:t>
            </w:r>
          </w:p>
        </w:tc>
        <w:tc>
          <w:tcPr>
            <w:tcW w:w="5024" w:type="dxa"/>
            <w:gridSpan w:val="2"/>
            <w:vMerge w:val="continue"/>
            <w:noWrap w:val="0"/>
            <w:vAlign w:val="top"/>
          </w:tcPr>
          <w:p w14:paraId="0DA16A84">
            <w:pPr>
              <w:keepNext w:val="0"/>
              <w:keepLines w:val="0"/>
              <w:bidi w:val="0"/>
              <w:jc w:val="center"/>
              <w:rPr>
                <w:rFonts w:hint="eastAsia" w:ascii="宋体" w:hAnsi="宋体" w:eastAsia="宋体" w:cs="宋体"/>
                <w:color w:val="auto"/>
                <w:sz w:val="24"/>
                <w:szCs w:val="24"/>
                <w:highlight w:val="none"/>
              </w:rPr>
            </w:pPr>
          </w:p>
        </w:tc>
      </w:tr>
      <w:tr w14:paraId="40F9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0" w:hRule="atLeast"/>
        </w:trPr>
        <w:tc>
          <w:tcPr>
            <w:tcW w:w="914" w:type="dxa"/>
            <w:vMerge w:val="restart"/>
            <w:noWrap w:val="0"/>
            <w:vAlign w:val="center"/>
          </w:tcPr>
          <w:p w14:paraId="6C3B0384">
            <w:pPr>
              <w:pStyle w:val="30"/>
              <w:keepNext w:val="0"/>
              <w:keepLines w:val="0"/>
              <w:bidi w:val="0"/>
              <w:spacing w:line="269" w:lineRule="exact"/>
              <w:ind w:left="136"/>
              <w:jc w:val="center"/>
              <w:rPr>
                <w:rFonts w:hint="eastAsia" w:ascii="宋体" w:hAnsi="宋体" w:eastAsia="宋体" w:cs="宋体"/>
                <w:color w:val="auto"/>
                <w:sz w:val="24"/>
                <w:szCs w:val="24"/>
                <w:highlight w:val="none"/>
              </w:rPr>
            </w:pPr>
          </w:p>
        </w:tc>
        <w:tc>
          <w:tcPr>
            <w:tcW w:w="512" w:type="dxa"/>
            <w:vMerge w:val="restart"/>
            <w:noWrap w:val="0"/>
            <w:vAlign w:val="center"/>
          </w:tcPr>
          <w:p w14:paraId="30A918D2">
            <w:pPr>
              <w:pStyle w:val="30"/>
              <w:keepNext w:val="0"/>
              <w:keepLines w:val="0"/>
              <w:bidi w:val="0"/>
              <w:spacing w:before="139" w:line="242" w:lineRule="auto"/>
              <w:ind w:left="187" w:right="160"/>
              <w:jc w:val="center"/>
              <w:rPr>
                <w:rFonts w:hint="eastAsia" w:ascii="宋体" w:hAnsi="宋体" w:eastAsia="宋体" w:cs="宋体"/>
                <w:color w:val="auto"/>
                <w:sz w:val="24"/>
                <w:szCs w:val="24"/>
                <w:highlight w:val="none"/>
              </w:rPr>
            </w:pPr>
          </w:p>
        </w:tc>
        <w:tc>
          <w:tcPr>
            <w:tcW w:w="570" w:type="dxa"/>
            <w:gridSpan w:val="2"/>
            <w:vMerge w:val="restart"/>
            <w:noWrap w:val="0"/>
            <w:vAlign w:val="center"/>
          </w:tcPr>
          <w:p w14:paraId="6605F173">
            <w:pPr>
              <w:pStyle w:val="30"/>
              <w:keepNext w:val="0"/>
              <w:keepLines w:val="0"/>
              <w:bidi w:val="0"/>
              <w:spacing w:line="242" w:lineRule="auto"/>
              <w:ind w:left="189" w:right="159"/>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1111" w:type="dxa"/>
            <w:gridSpan w:val="3"/>
            <w:vMerge w:val="restart"/>
            <w:noWrap w:val="0"/>
            <w:vAlign w:val="center"/>
          </w:tcPr>
          <w:p w14:paraId="1116F7E4">
            <w:pPr>
              <w:pStyle w:val="30"/>
              <w:keepNext w:val="0"/>
              <w:keepLines w:val="0"/>
              <w:bidi w:val="0"/>
              <w:ind w:left="306" w:right="28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25</w:t>
            </w:r>
            <w:r>
              <w:rPr>
                <w:rFonts w:hint="eastAsia" w:ascii="宋体" w:hAnsi="宋体" w:eastAsia="宋体" w:cs="宋体"/>
                <w:color w:val="auto"/>
                <w:sz w:val="24"/>
                <w:szCs w:val="24"/>
                <w:highlight w:val="none"/>
              </w:rPr>
              <w:t>分</w:t>
            </w:r>
          </w:p>
        </w:tc>
        <w:tc>
          <w:tcPr>
            <w:tcW w:w="844" w:type="dxa"/>
            <w:noWrap w:val="0"/>
            <w:vAlign w:val="center"/>
          </w:tcPr>
          <w:p w14:paraId="1B9517E3">
            <w:pPr>
              <w:pStyle w:val="30"/>
              <w:keepNext w:val="0"/>
              <w:keepLines w:val="0"/>
              <w:bidi w:val="0"/>
              <w:spacing w:before="45"/>
              <w:ind w:left="116" w:right="-2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w:t>
            </w:r>
          </w:p>
          <w:p w14:paraId="3F7DDA60">
            <w:pPr>
              <w:pStyle w:val="30"/>
              <w:keepNext w:val="0"/>
              <w:keepLines w:val="0"/>
              <w:bidi w:val="0"/>
              <w:spacing w:before="45"/>
              <w:ind w:left="116" w:right="-29"/>
              <w:jc w:val="both"/>
              <w:rPr>
                <w:rFonts w:hint="eastAsia" w:ascii="宋体" w:hAnsi="宋体" w:eastAsia="宋体" w:cs="宋体"/>
                <w:color w:val="auto"/>
                <w:spacing w:val="-7"/>
                <w:sz w:val="24"/>
                <w:szCs w:val="24"/>
                <w:highlight w:val="none"/>
              </w:rPr>
            </w:pPr>
            <w:r>
              <w:rPr>
                <w:rFonts w:hint="eastAsia" w:ascii="宋体" w:hAnsi="宋体" w:eastAsia="宋体" w:cs="宋体"/>
                <w:color w:val="auto"/>
                <w:sz w:val="24"/>
                <w:szCs w:val="24"/>
                <w:highlight w:val="none"/>
              </w:rPr>
              <w:t>要求</w:t>
            </w:r>
          </w:p>
        </w:tc>
        <w:tc>
          <w:tcPr>
            <w:tcW w:w="1008" w:type="dxa"/>
            <w:gridSpan w:val="3"/>
            <w:noWrap w:val="0"/>
            <w:vAlign w:val="center"/>
          </w:tcPr>
          <w:p w14:paraId="63EE2FC3">
            <w:pPr>
              <w:pStyle w:val="30"/>
              <w:keepNext w:val="0"/>
              <w:keepLines w:val="0"/>
              <w:bidi w:val="0"/>
              <w:spacing w:before="45"/>
              <w:ind w:left="116" w:right="-29"/>
              <w:jc w:val="center"/>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15分</w:t>
            </w:r>
          </w:p>
        </w:tc>
        <w:tc>
          <w:tcPr>
            <w:tcW w:w="5024" w:type="dxa"/>
            <w:gridSpan w:val="2"/>
            <w:noWrap w:val="0"/>
            <w:vAlign w:val="center"/>
          </w:tcPr>
          <w:p w14:paraId="2ACFA2B1">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满足招标文件附录2业绩最低要求的，得</w:t>
            </w:r>
            <w:r>
              <w:rPr>
                <w:rFonts w:hint="eastAsia" w:ascii="宋体" w:hAnsi="宋体" w:eastAsia="宋体" w:cs="宋体"/>
                <w:color w:val="auto"/>
                <w:kern w:val="0"/>
                <w:sz w:val="24"/>
                <w:szCs w:val="24"/>
                <w:highlight w:val="none"/>
                <w:u w:val="single"/>
                <w:lang w:bidi="ar"/>
              </w:rPr>
              <w:t>15</w:t>
            </w:r>
            <w:r>
              <w:rPr>
                <w:rFonts w:hint="eastAsia" w:ascii="宋体" w:hAnsi="宋体" w:eastAsia="宋体" w:cs="宋体"/>
                <w:color w:val="auto"/>
                <w:kern w:val="0"/>
                <w:sz w:val="24"/>
                <w:szCs w:val="24"/>
                <w:highlight w:val="none"/>
                <w:lang w:bidi="ar"/>
              </w:rPr>
              <w:t>分。</w:t>
            </w:r>
          </w:p>
        </w:tc>
      </w:tr>
      <w:tr w14:paraId="6FE7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trPr>
        <w:tc>
          <w:tcPr>
            <w:tcW w:w="914" w:type="dxa"/>
            <w:vMerge w:val="continue"/>
            <w:noWrap w:val="0"/>
            <w:vAlign w:val="center"/>
          </w:tcPr>
          <w:p w14:paraId="02CDD19D">
            <w:pPr>
              <w:pStyle w:val="30"/>
              <w:keepNext w:val="0"/>
              <w:keepLines w:val="0"/>
              <w:bidi w:val="0"/>
              <w:spacing w:line="269" w:lineRule="exact"/>
              <w:ind w:left="136"/>
              <w:jc w:val="center"/>
              <w:rPr>
                <w:rFonts w:hint="eastAsia" w:ascii="宋体" w:hAnsi="宋体" w:eastAsia="宋体" w:cs="宋体"/>
                <w:color w:val="auto"/>
                <w:sz w:val="24"/>
                <w:szCs w:val="24"/>
                <w:highlight w:val="none"/>
              </w:rPr>
            </w:pPr>
          </w:p>
        </w:tc>
        <w:tc>
          <w:tcPr>
            <w:tcW w:w="512" w:type="dxa"/>
            <w:vMerge w:val="continue"/>
            <w:noWrap w:val="0"/>
            <w:vAlign w:val="center"/>
          </w:tcPr>
          <w:p w14:paraId="5DF20A97">
            <w:pPr>
              <w:pStyle w:val="30"/>
              <w:keepNext w:val="0"/>
              <w:keepLines w:val="0"/>
              <w:bidi w:val="0"/>
              <w:spacing w:before="139" w:line="242" w:lineRule="auto"/>
              <w:ind w:left="187" w:right="160"/>
              <w:jc w:val="center"/>
              <w:rPr>
                <w:rFonts w:hint="eastAsia" w:ascii="宋体" w:hAnsi="宋体" w:eastAsia="宋体" w:cs="宋体"/>
                <w:color w:val="auto"/>
                <w:sz w:val="24"/>
                <w:szCs w:val="24"/>
                <w:highlight w:val="none"/>
              </w:rPr>
            </w:pPr>
          </w:p>
        </w:tc>
        <w:tc>
          <w:tcPr>
            <w:tcW w:w="570" w:type="dxa"/>
            <w:gridSpan w:val="2"/>
            <w:vMerge w:val="continue"/>
            <w:noWrap w:val="0"/>
            <w:vAlign w:val="center"/>
          </w:tcPr>
          <w:p w14:paraId="1AEB2880">
            <w:pPr>
              <w:pStyle w:val="30"/>
              <w:keepNext w:val="0"/>
              <w:keepLines w:val="0"/>
              <w:bidi w:val="0"/>
              <w:spacing w:line="242" w:lineRule="auto"/>
              <w:ind w:left="189" w:right="159"/>
              <w:jc w:val="center"/>
              <w:rPr>
                <w:rFonts w:hint="eastAsia" w:ascii="宋体" w:hAnsi="宋体" w:eastAsia="宋体" w:cs="宋体"/>
                <w:color w:val="auto"/>
                <w:sz w:val="24"/>
                <w:szCs w:val="24"/>
                <w:highlight w:val="none"/>
              </w:rPr>
            </w:pPr>
          </w:p>
        </w:tc>
        <w:tc>
          <w:tcPr>
            <w:tcW w:w="1111" w:type="dxa"/>
            <w:gridSpan w:val="3"/>
            <w:vMerge w:val="continue"/>
            <w:noWrap w:val="0"/>
            <w:vAlign w:val="center"/>
          </w:tcPr>
          <w:p w14:paraId="7BC65675">
            <w:pPr>
              <w:pStyle w:val="30"/>
              <w:keepNext w:val="0"/>
              <w:keepLines w:val="0"/>
              <w:bidi w:val="0"/>
              <w:ind w:left="306" w:right="281"/>
              <w:jc w:val="center"/>
              <w:rPr>
                <w:rFonts w:hint="eastAsia" w:ascii="宋体" w:hAnsi="宋体" w:eastAsia="宋体" w:cs="宋体"/>
                <w:color w:val="auto"/>
                <w:sz w:val="24"/>
                <w:szCs w:val="24"/>
                <w:highlight w:val="none"/>
                <w:u w:val="single"/>
              </w:rPr>
            </w:pPr>
          </w:p>
        </w:tc>
        <w:tc>
          <w:tcPr>
            <w:tcW w:w="844" w:type="dxa"/>
            <w:noWrap w:val="0"/>
            <w:vAlign w:val="center"/>
          </w:tcPr>
          <w:p w14:paraId="5CFEA748">
            <w:pPr>
              <w:pStyle w:val="30"/>
              <w:keepNext w:val="0"/>
              <w:keepLines w:val="0"/>
              <w:bidi w:val="0"/>
              <w:spacing w:before="45"/>
              <w:ind w:left="116" w:leftChars="0" w:right="-29" w:rightChars="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路</w:t>
            </w:r>
            <w:r>
              <w:rPr>
                <w:rFonts w:hint="eastAsia" w:ascii="宋体" w:hAnsi="宋体" w:eastAsia="宋体" w:cs="宋体"/>
                <w:color w:val="auto"/>
                <w:sz w:val="24"/>
                <w:szCs w:val="24"/>
                <w:highlight w:val="none"/>
                <w:lang w:val="en-US" w:eastAsia="zh-CN"/>
              </w:rPr>
              <w:t>基</w:t>
            </w:r>
          </w:p>
          <w:p w14:paraId="051E6614">
            <w:pPr>
              <w:pStyle w:val="30"/>
              <w:keepNext w:val="0"/>
              <w:keepLines w:val="0"/>
              <w:bidi w:val="0"/>
              <w:spacing w:before="45"/>
              <w:ind w:left="116" w:leftChars="0" w:right="-29"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w:t>
            </w:r>
          </w:p>
        </w:tc>
        <w:tc>
          <w:tcPr>
            <w:tcW w:w="1008" w:type="dxa"/>
            <w:gridSpan w:val="3"/>
            <w:noWrap w:val="0"/>
            <w:vAlign w:val="center"/>
          </w:tcPr>
          <w:p w14:paraId="7973E851">
            <w:pPr>
              <w:pStyle w:val="30"/>
              <w:keepNext w:val="0"/>
              <w:keepLines w:val="0"/>
              <w:bidi w:val="0"/>
              <w:spacing w:before="45"/>
              <w:ind w:left="116" w:leftChars="0" w:right="-29" w:rightChars="0"/>
              <w:jc w:val="center"/>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lang w:val="en-US" w:eastAsia="zh-CN"/>
              </w:rPr>
              <w:t>5</w:t>
            </w:r>
            <w:r>
              <w:rPr>
                <w:rFonts w:hint="eastAsia" w:ascii="宋体" w:hAnsi="宋体" w:eastAsia="宋体" w:cs="宋体"/>
                <w:color w:val="auto"/>
                <w:spacing w:val="-7"/>
                <w:sz w:val="24"/>
                <w:szCs w:val="24"/>
                <w:highlight w:val="none"/>
              </w:rPr>
              <w:t>分</w:t>
            </w:r>
          </w:p>
        </w:tc>
        <w:tc>
          <w:tcPr>
            <w:tcW w:w="5024" w:type="dxa"/>
            <w:gridSpan w:val="2"/>
            <w:noWrap w:val="0"/>
            <w:vAlign w:val="top"/>
          </w:tcPr>
          <w:p w14:paraId="3613037A">
            <w:pPr>
              <w:keepNext w:val="0"/>
              <w:keepLines w:val="0"/>
              <w:bidi w:val="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spacing w:val="8"/>
                <w:sz w:val="24"/>
                <w:szCs w:val="24"/>
                <w:highlight w:val="none"/>
              </w:rPr>
              <w:t>在满足业绩最低要求的基础上，每增加</w:t>
            </w:r>
            <w:r>
              <w:rPr>
                <w:rFonts w:hint="eastAsia" w:ascii="宋体" w:hAnsi="宋体" w:eastAsia="宋体" w:cs="宋体"/>
                <w:color w:val="auto"/>
                <w:spacing w:val="8"/>
                <w:sz w:val="24"/>
                <w:szCs w:val="24"/>
                <w:highlight w:val="none"/>
                <w:u w:val="single"/>
                <w:lang w:val="en-US" w:eastAsia="zh-CN"/>
              </w:rPr>
              <w:t>2</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z w:val="24"/>
                <w:szCs w:val="24"/>
                <w:highlight w:val="none"/>
              </w:rPr>
              <w:t>km</w:t>
            </w:r>
            <w:r>
              <w:rPr>
                <w:rFonts w:hint="eastAsia" w:ascii="宋体" w:hAnsi="宋体" w:eastAsia="宋体" w:cs="宋体"/>
                <w:color w:val="auto"/>
                <w:spacing w:val="7"/>
                <w:sz w:val="24"/>
                <w:szCs w:val="24"/>
                <w:highlight w:val="none"/>
              </w:rPr>
              <w:t>（尾数不计）加</w:t>
            </w:r>
            <w:r>
              <w:rPr>
                <w:rFonts w:hint="eastAsia" w:ascii="宋体" w:hAnsi="宋体" w:eastAsia="宋体" w:cs="宋体"/>
                <w:color w:val="auto"/>
                <w:spacing w:val="7"/>
                <w:sz w:val="24"/>
                <w:szCs w:val="24"/>
                <w:highlight w:val="none"/>
                <w:u w:val="single"/>
                <w:lang w:val="en-US" w:eastAsia="zh-CN"/>
              </w:rPr>
              <w:t>2.5</w:t>
            </w:r>
            <w:r>
              <w:rPr>
                <w:rFonts w:hint="eastAsia" w:ascii="宋体" w:hAnsi="宋体" w:eastAsia="宋体" w:cs="宋体"/>
                <w:color w:val="auto"/>
                <w:spacing w:val="7"/>
                <w:sz w:val="24"/>
                <w:szCs w:val="24"/>
                <w:highlight w:val="none"/>
              </w:rPr>
              <w:t>分，最多加</w:t>
            </w:r>
            <w:r>
              <w:rPr>
                <w:rFonts w:hint="eastAsia" w:ascii="宋体" w:hAnsi="宋体" w:eastAsia="宋体" w:cs="宋体"/>
                <w:color w:val="auto"/>
                <w:spacing w:val="7"/>
                <w:sz w:val="24"/>
                <w:szCs w:val="24"/>
                <w:highlight w:val="none"/>
                <w:u w:val="single"/>
                <w:lang w:val="en-US" w:eastAsia="zh-CN"/>
              </w:rPr>
              <w:t>5</w:t>
            </w:r>
            <w:r>
              <w:rPr>
                <w:rFonts w:hint="eastAsia" w:ascii="宋体" w:hAnsi="宋体" w:eastAsia="宋体" w:cs="宋体"/>
                <w:color w:val="auto"/>
                <w:spacing w:val="7"/>
                <w:sz w:val="24"/>
                <w:szCs w:val="24"/>
                <w:highlight w:val="none"/>
              </w:rPr>
              <w:t>分。</w:t>
            </w:r>
          </w:p>
        </w:tc>
      </w:tr>
      <w:tr w14:paraId="5F1C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trPr>
        <w:tc>
          <w:tcPr>
            <w:tcW w:w="914" w:type="dxa"/>
            <w:vMerge w:val="continue"/>
            <w:noWrap w:val="0"/>
            <w:vAlign w:val="center"/>
          </w:tcPr>
          <w:p w14:paraId="582FE740">
            <w:pPr>
              <w:pStyle w:val="30"/>
              <w:keepNext w:val="0"/>
              <w:keepLines w:val="0"/>
              <w:bidi w:val="0"/>
              <w:spacing w:line="269" w:lineRule="exact"/>
              <w:ind w:left="136"/>
              <w:jc w:val="center"/>
              <w:rPr>
                <w:rFonts w:hint="eastAsia" w:ascii="宋体" w:hAnsi="宋体" w:eastAsia="宋体" w:cs="宋体"/>
                <w:color w:val="auto"/>
                <w:sz w:val="24"/>
                <w:szCs w:val="24"/>
                <w:highlight w:val="none"/>
              </w:rPr>
            </w:pPr>
          </w:p>
        </w:tc>
        <w:tc>
          <w:tcPr>
            <w:tcW w:w="512" w:type="dxa"/>
            <w:vMerge w:val="continue"/>
            <w:noWrap w:val="0"/>
            <w:vAlign w:val="center"/>
          </w:tcPr>
          <w:p w14:paraId="42FF9E18">
            <w:pPr>
              <w:pStyle w:val="30"/>
              <w:keepNext w:val="0"/>
              <w:keepLines w:val="0"/>
              <w:bidi w:val="0"/>
              <w:spacing w:before="139" w:line="242" w:lineRule="auto"/>
              <w:ind w:left="187" w:right="160"/>
              <w:jc w:val="center"/>
              <w:rPr>
                <w:rFonts w:hint="eastAsia" w:ascii="宋体" w:hAnsi="宋体" w:eastAsia="宋体" w:cs="宋体"/>
                <w:color w:val="auto"/>
                <w:sz w:val="24"/>
                <w:szCs w:val="24"/>
                <w:highlight w:val="none"/>
              </w:rPr>
            </w:pPr>
          </w:p>
        </w:tc>
        <w:tc>
          <w:tcPr>
            <w:tcW w:w="570" w:type="dxa"/>
            <w:gridSpan w:val="2"/>
            <w:vMerge w:val="continue"/>
            <w:noWrap w:val="0"/>
            <w:vAlign w:val="center"/>
          </w:tcPr>
          <w:p w14:paraId="275E452F">
            <w:pPr>
              <w:pStyle w:val="30"/>
              <w:keepNext w:val="0"/>
              <w:keepLines w:val="0"/>
              <w:bidi w:val="0"/>
              <w:spacing w:line="242" w:lineRule="auto"/>
              <w:ind w:left="189" w:right="159"/>
              <w:jc w:val="center"/>
              <w:rPr>
                <w:rFonts w:hint="eastAsia" w:ascii="宋体" w:hAnsi="宋体" w:eastAsia="宋体" w:cs="宋体"/>
                <w:color w:val="auto"/>
                <w:sz w:val="24"/>
                <w:szCs w:val="24"/>
                <w:highlight w:val="none"/>
              </w:rPr>
            </w:pPr>
          </w:p>
        </w:tc>
        <w:tc>
          <w:tcPr>
            <w:tcW w:w="1111" w:type="dxa"/>
            <w:gridSpan w:val="3"/>
            <w:vMerge w:val="continue"/>
            <w:noWrap w:val="0"/>
            <w:vAlign w:val="center"/>
          </w:tcPr>
          <w:p w14:paraId="00EAFAF4">
            <w:pPr>
              <w:pStyle w:val="30"/>
              <w:keepNext w:val="0"/>
              <w:keepLines w:val="0"/>
              <w:bidi w:val="0"/>
              <w:ind w:left="306" w:right="281"/>
              <w:jc w:val="center"/>
              <w:rPr>
                <w:rFonts w:hint="eastAsia" w:ascii="宋体" w:hAnsi="宋体" w:eastAsia="宋体" w:cs="宋体"/>
                <w:color w:val="auto"/>
                <w:sz w:val="24"/>
                <w:szCs w:val="24"/>
                <w:highlight w:val="none"/>
                <w:u w:val="single"/>
              </w:rPr>
            </w:pPr>
          </w:p>
        </w:tc>
        <w:tc>
          <w:tcPr>
            <w:tcW w:w="844" w:type="dxa"/>
            <w:noWrap w:val="0"/>
            <w:vAlign w:val="center"/>
          </w:tcPr>
          <w:p w14:paraId="68E31500">
            <w:pPr>
              <w:pStyle w:val="30"/>
              <w:keepNext w:val="0"/>
              <w:keepLines w:val="0"/>
              <w:bidi w:val="0"/>
              <w:spacing w:before="45"/>
              <w:ind w:left="116" w:leftChars="0" w:right="-29"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路面</w:t>
            </w:r>
          </w:p>
          <w:p w14:paraId="24A25E97">
            <w:pPr>
              <w:pStyle w:val="30"/>
              <w:keepNext w:val="0"/>
              <w:keepLines w:val="0"/>
              <w:bidi w:val="0"/>
              <w:spacing w:before="45"/>
              <w:ind w:left="116" w:leftChars="0" w:right="-29" w:right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工程</w:t>
            </w:r>
          </w:p>
        </w:tc>
        <w:tc>
          <w:tcPr>
            <w:tcW w:w="1008" w:type="dxa"/>
            <w:gridSpan w:val="3"/>
            <w:noWrap w:val="0"/>
            <w:vAlign w:val="center"/>
          </w:tcPr>
          <w:p w14:paraId="0DDC1DF2">
            <w:pPr>
              <w:pStyle w:val="30"/>
              <w:keepNext w:val="0"/>
              <w:keepLines w:val="0"/>
              <w:bidi w:val="0"/>
              <w:spacing w:before="45"/>
              <w:ind w:left="116" w:leftChars="0" w:right="-29" w:rightChars="0"/>
              <w:jc w:val="center"/>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sz w:val="24"/>
                <w:szCs w:val="24"/>
                <w:highlight w:val="none"/>
                <w:lang w:val="en-US" w:eastAsia="zh-CN"/>
              </w:rPr>
              <w:t>5</w:t>
            </w:r>
            <w:r>
              <w:rPr>
                <w:rFonts w:hint="eastAsia" w:ascii="宋体" w:hAnsi="宋体" w:eastAsia="宋体" w:cs="宋体"/>
                <w:color w:val="auto"/>
                <w:spacing w:val="-7"/>
                <w:sz w:val="24"/>
                <w:szCs w:val="24"/>
                <w:highlight w:val="none"/>
              </w:rPr>
              <w:t>分</w:t>
            </w:r>
          </w:p>
        </w:tc>
        <w:tc>
          <w:tcPr>
            <w:tcW w:w="5024" w:type="dxa"/>
            <w:gridSpan w:val="2"/>
            <w:noWrap w:val="0"/>
            <w:vAlign w:val="top"/>
          </w:tcPr>
          <w:p w14:paraId="37A75628">
            <w:pPr>
              <w:keepNext w:val="0"/>
              <w:keepLines w:val="0"/>
              <w:bidi w:val="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8"/>
                <w:sz w:val="24"/>
                <w:szCs w:val="24"/>
                <w:highlight w:val="none"/>
              </w:rPr>
              <w:t>在满足业绩最低要求的基础上，每增加</w:t>
            </w:r>
            <w:r>
              <w:rPr>
                <w:rFonts w:hint="eastAsia" w:ascii="宋体" w:hAnsi="宋体" w:eastAsia="宋体" w:cs="宋体"/>
                <w:color w:val="auto"/>
                <w:spacing w:val="8"/>
                <w:sz w:val="24"/>
                <w:szCs w:val="24"/>
                <w:highlight w:val="none"/>
                <w:u w:val="single"/>
                <w:lang w:val="en-US" w:eastAsia="zh-CN"/>
              </w:rPr>
              <w:t>2</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z w:val="24"/>
                <w:szCs w:val="24"/>
                <w:highlight w:val="none"/>
              </w:rPr>
              <w:t>km</w:t>
            </w:r>
            <w:r>
              <w:rPr>
                <w:rFonts w:hint="eastAsia" w:ascii="宋体" w:hAnsi="宋体" w:eastAsia="宋体" w:cs="宋体"/>
                <w:color w:val="auto"/>
                <w:spacing w:val="7"/>
                <w:sz w:val="24"/>
                <w:szCs w:val="24"/>
                <w:highlight w:val="none"/>
              </w:rPr>
              <w:t>（尾数不计）加</w:t>
            </w:r>
            <w:r>
              <w:rPr>
                <w:rFonts w:hint="eastAsia" w:ascii="宋体" w:hAnsi="宋体" w:eastAsia="宋体" w:cs="宋体"/>
                <w:color w:val="auto"/>
                <w:spacing w:val="7"/>
                <w:sz w:val="24"/>
                <w:szCs w:val="24"/>
                <w:highlight w:val="none"/>
                <w:u w:val="single"/>
                <w:lang w:val="en-US" w:eastAsia="zh-CN"/>
              </w:rPr>
              <w:t>2.5</w:t>
            </w:r>
            <w:r>
              <w:rPr>
                <w:rFonts w:hint="eastAsia" w:ascii="宋体" w:hAnsi="宋体" w:eastAsia="宋体" w:cs="宋体"/>
                <w:color w:val="auto"/>
                <w:spacing w:val="7"/>
                <w:sz w:val="24"/>
                <w:szCs w:val="24"/>
                <w:highlight w:val="none"/>
              </w:rPr>
              <w:t>分，最多加</w:t>
            </w:r>
            <w:r>
              <w:rPr>
                <w:rFonts w:hint="eastAsia" w:ascii="宋体" w:hAnsi="宋体" w:eastAsia="宋体" w:cs="宋体"/>
                <w:color w:val="auto"/>
                <w:spacing w:val="7"/>
                <w:sz w:val="24"/>
                <w:szCs w:val="24"/>
                <w:highlight w:val="none"/>
                <w:u w:val="single"/>
                <w:lang w:val="en-US" w:eastAsia="zh-CN"/>
              </w:rPr>
              <w:t>5</w:t>
            </w:r>
            <w:r>
              <w:rPr>
                <w:rFonts w:hint="eastAsia" w:ascii="宋体" w:hAnsi="宋体" w:eastAsia="宋体" w:cs="宋体"/>
                <w:color w:val="auto"/>
                <w:spacing w:val="7"/>
                <w:sz w:val="24"/>
                <w:szCs w:val="24"/>
                <w:highlight w:val="none"/>
              </w:rPr>
              <w:t>分。</w:t>
            </w:r>
          </w:p>
        </w:tc>
      </w:tr>
      <w:tr w14:paraId="7342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14" w:type="dxa"/>
            <w:vMerge w:val="continue"/>
            <w:noWrap w:val="0"/>
            <w:vAlign w:val="top"/>
          </w:tcPr>
          <w:p w14:paraId="3E5CD48B">
            <w:pPr>
              <w:pStyle w:val="30"/>
              <w:keepNext w:val="0"/>
              <w:keepLines w:val="0"/>
              <w:bidi w:val="0"/>
              <w:rPr>
                <w:rFonts w:hint="eastAsia" w:ascii="宋体" w:hAnsi="宋体" w:eastAsia="宋体" w:cs="宋体"/>
                <w:color w:val="auto"/>
                <w:sz w:val="24"/>
                <w:szCs w:val="24"/>
                <w:highlight w:val="none"/>
              </w:rPr>
            </w:pPr>
          </w:p>
        </w:tc>
        <w:tc>
          <w:tcPr>
            <w:tcW w:w="512" w:type="dxa"/>
            <w:vMerge w:val="continue"/>
            <w:noWrap w:val="0"/>
            <w:vAlign w:val="top"/>
          </w:tcPr>
          <w:p w14:paraId="4F6DDD97">
            <w:pPr>
              <w:pStyle w:val="30"/>
              <w:keepNext w:val="0"/>
              <w:keepLines w:val="0"/>
              <w:bidi w:val="0"/>
              <w:rPr>
                <w:rFonts w:hint="eastAsia" w:ascii="宋体" w:hAnsi="宋体" w:eastAsia="宋体" w:cs="宋体"/>
                <w:color w:val="auto"/>
                <w:sz w:val="24"/>
                <w:szCs w:val="24"/>
                <w:highlight w:val="none"/>
              </w:rPr>
            </w:pPr>
          </w:p>
        </w:tc>
        <w:tc>
          <w:tcPr>
            <w:tcW w:w="1202" w:type="dxa"/>
            <w:gridSpan w:val="4"/>
            <w:noWrap w:val="0"/>
            <w:vAlign w:val="center"/>
          </w:tcPr>
          <w:p w14:paraId="1EADBDD3">
            <w:pPr>
              <w:pStyle w:val="30"/>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履约信誉</w:t>
            </w:r>
          </w:p>
        </w:tc>
        <w:tc>
          <w:tcPr>
            <w:tcW w:w="1323" w:type="dxa"/>
            <w:gridSpan w:val="2"/>
            <w:noWrap w:val="0"/>
            <w:vAlign w:val="center"/>
          </w:tcPr>
          <w:p w14:paraId="568EDA6F">
            <w:pPr>
              <w:pStyle w:val="30"/>
              <w:keepNext w:val="0"/>
              <w:keepLines w:val="0"/>
              <w:bidi w:val="0"/>
              <w:spacing w:before="51" w:line="248" w:lineRule="exact"/>
              <w:ind w:left="306" w:right="281"/>
              <w:jc w:val="center"/>
              <w:rPr>
                <w:rFonts w:hint="eastAsia" w:ascii="宋体" w:hAnsi="宋体" w:eastAsia="宋体" w:cs="宋体"/>
                <w:color w:val="auto"/>
                <w:sz w:val="24"/>
                <w:szCs w:val="24"/>
                <w:highlight w:val="none"/>
                <w:lang w:val="zh-CN" w:bidi="zh-CN"/>
              </w:rPr>
            </w:pPr>
            <w:r>
              <w:rPr>
                <w:rFonts w:hint="eastAsia" w:ascii="宋体" w:hAnsi="宋体" w:eastAsia="宋体" w:cs="宋体"/>
                <w:color w:val="auto"/>
                <w:sz w:val="24"/>
                <w:szCs w:val="24"/>
                <w:highlight w:val="none"/>
                <w:u w:val="single"/>
              </w:rPr>
              <w:t>10</w:t>
            </w:r>
            <w:r>
              <w:rPr>
                <w:rFonts w:hint="eastAsia" w:ascii="宋体" w:hAnsi="宋体" w:eastAsia="宋体" w:cs="宋体"/>
                <w:color w:val="auto"/>
                <w:sz w:val="24"/>
                <w:szCs w:val="24"/>
                <w:highlight w:val="none"/>
              </w:rPr>
              <w:t>分</w:t>
            </w:r>
          </w:p>
        </w:tc>
        <w:tc>
          <w:tcPr>
            <w:tcW w:w="564" w:type="dxa"/>
            <w:noWrap w:val="0"/>
            <w:vAlign w:val="center"/>
          </w:tcPr>
          <w:p w14:paraId="1DEB713D">
            <w:pPr>
              <w:pStyle w:val="30"/>
              <w:keepNext w:val="0"/>
              <w:keepLines w:val="0"/>
              <w:bidi w:val="0"/>
              <w:spacing w:before="45"/>
              <w:ind w:left="116" w:right="-29"/>
              <w:jc w:val="center"/>
              <w:rPr>
                <w:rFonts w:hint="eastAsia" w:ascii="宋体" w:hAnsi="宋体" w:eastAsia="宋体" w:cs="宋体"/>
                <w:color w:val="auto"/>
                <w:spacing w:val="-7"/>
                <w:sz w:val="24"/>
                <w:szCs w:val="24"/>
                <w:highlight w:val="none"/>
                <w:lang w:val="zh-CN" w:bidi="zh-CN"/>
              </w:rPr>
            </w:pPr>
            <w:r>
              <w:rPr>
                <w:rFonts w:hint="eastAsia" w:ascii="宋体" w:hAnsi="宋体" w:eastAsia="宋体" w:cs="宋体"/>
                <w:color w:val="auto"/>
                <w:spacing w:val="-7"/>
                <w:sz w:val="24"/>
                <w:szCs w:val="24"/>
                <w:highlight w:val="none"/>
              </w:rPr>
              <w:t>履约信誉</w:t>
            </w:r>
          </w:p>
        </w:tc>
        <w:tc>
          <w:tcPr>
            <w:tcW w:w="444" w:type="dxa"/>
            <w:gridSpan w:val="2"/>
            <w:noWrap w:val="0"/>
            <w:vAlign w:val="center"/>
          </w:tcPr>
          <w:p w14:paraId="7D276351">
            <w:pPr>
              <w:pStyle w:val="30"/>
              <w:keepNext w:val="0"/>
              <w:keepLines w:val="0"/>
              <w:bidi w:val="0"/>
              <w:spacing w:before="45"/>
              <w:ind w:left="116" w:right="-29"/>
              <w:jc w:val="center"/>
              <w:rPr>
                <w:rFonts w:hint="eastAsia" w:ascii="宋体" w:hAnsi="宋体" w:eastAsia="宋体" w:cs="宋体"/>
                <w:color w:val="auto"/>
                <w:spacing w:val="-7"/>
                <w:sz w:val="24"/>
                <w:szCs w:val="24"/>
                <w:highlight w:val="none"/>
                <w:lang w:val="zh-CN" w:bidi="zh-CN"/>
              </w:rPr>
            </w:pPr>
            <w:r>
              <w:rPr>
                <w:rFonts w:hint="eastAsia" w:ascii="宋体" w:hAnsi="宋体" w:eastAsia="宋体" w:cs="宋体"/>
                <w:color w:val="auto"/>
                <w:spacing w:val="-7"/>
                <w:sz w:val="24"/>
                <w:szCs w:val="24"/>
                <w:highlight w:val="none"/>
              </w:rPr>
              <w:t>10分</w:t>
            </w:r>
          </w:p>
        </w:tc>
        <w:tc>
          <w:tcPr>
            <w:tcW w:w="5024" w:type="dxa"/>
            <w:gridSpan w:val="2"/>
            <w:noWrap w:val="0"/>
            <w:vAlign w:val="top"/>
          </w:tcPr>
          <w:p w14:paraId="3C0BB727">
            <w:pPr>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1、信用等级分值（5分）</w:t>
            </w:r>
          </w:p>
          <w:p w14:paraId="71915E83">
            <w:pPr>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AA、A、B、C级单位的信用等级分得分分别为5.00、4.75、4.45、3.65分。</w:t>
            </w:r>
          </w:p>
          <w:p w14:paraId="16B4EA0D">
            <w:pPr>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注：信用等级的确定原则遵循投标人须知前附表10.2款的规定。</w:t>
            </w:r>
          </w:p>
          <w:p w14:paraId="25197346">
            <w:pPr>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2、履约情况（5分）</w:t>
            </w:r>
          </w:p>
          <w:p w14:paraId="5B4C23E0">
            <w:pPr>
              <w:pStyle w:val="14"/>
              <w:keepNext w:val="0"/>
              <w:keepLines w:val="0"/>
              <w:bidi w:val="0"/>
              <w:spacing w:line="360"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若没出现下述情形得满分；</w:t>
            </w:r>
          </w:p>
          <w:p w14:paraId="1AC25BC6">
            <w:pPr>
              <w:keepNext w:val="0"/>
              <w:keepLines w:val="0"/>
              <w:bidi w:val="0"/>
              <w:spacing w:line="360" w:lineRule="auto"/>
              <w:jc w:val="left"/>
              <w:rPr>
                <w:rFonts w:hint="eastAsia" w:ascii="宋体" w:hAnsi="宋体" w:eastAsia="宋体" w:cs="宋体"/>
                <w:color w:val="auto"/>
                <w:kern w:val="21"/>
                <w:sz w:val="24"/>
                <w:szCs w:val="24"/>
                <w:highlight w:val="none"/>
              </w:rPr>
            </w:pPr>
            <w:r>
              <w:rPr>
                <w:rFonts w:hint="eastAsia" w:ascii="宋体" w:hAnsi="宋体" w:eastAsia="宋体" w:cs="宋体"/>
                <w:color w:val="auto"/>
                <w:kern w:val="0"/>
                <w:sz w:val="24"/>
                <w:szCs w:val="24"/>
                <w:highlight w:val="none"/>
                <w:lang w:bidi="ar"/>
              </w:rPr>
              <w:t>投标文件递交截止日前1年内</w:t>
            </w:r>
            <w:r>
              <w:rPr>
                <w:rFonts w:hint="eastAsia" w:ascii="宋体" w:hAnsi="宋体" w:eastAsia="宋体" w:cs="宋体"/>
                <w:color w:val="auto"/>
                <w:kern w:val="21"/>
                <w:sz w:val="24"/>
                <w:szCs w:val="24"/>
                <w:highlight w:val="none"/>
              </w:rPr>
              <w:t>，投标人因公路工程（含附属设施）质量、安全、履约或招标投标问题等原因被：</w:t>
            </w:r>
          </w:p>
          <w:p w14:paraId="14A45834">
            <w:pPr>
              <w:pStyle w:val="14"/>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（1）交通运输部行政处罚的，扣5分/次。</w:t>
            </w:r>
          </w:p>
          <w:p w14:paraId="0C54456B">
            <w:pPr>
              <w:pStyle w:val="14"/>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（2）广东省交通运输厅行政处罚的，扣3分/次。</w:t>
            </w:r>
          </w:p>
          <w:p w14:paraId="0A850DAD">
            <w:pPr>
              <w:pStyle w:val="14"/>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w:t>
            </w:r>
            <w:r>
              <w:rPr>
                <w:rFonts w:hint="eastAsia" w:ascii="宋体" w:hAnsi="宋体" w:eastAsia="宋体" w:cs="宋体"/>
                <w:color w:val="auto"/>
                <w:kern w:val="21"/>
                <w:sz w:val="24"/>
                <w:szCs w:val="24"/>
                <w:highlight w:val="none"/>
                <w:u w:val="single"/>
              </w:rPr>
              <w:t>项目所在地地级以上市交通运输局行政处罚的，扣1.5分/次</w:t>
            </w:r>
            <w:r>
              <w:rPr>
                <w:rFonts w:hint="eastAsia" w:ascii="宋体" w:hAnsi="宋体" w:eastAsia="宋体" w:cs="宋体"/>
                <w:color w:val="auto"/>
                <w:kern w:val="21"/>
                <w:sz w:val="24"/>
                <w:szCs w:val="24"/>
                <w:highlight w:val="none"/>
              </w:rPr>
              <w:t>。</w:t>
            </w:r>
          </w:p>
          <w:p w14:paraId="2C3262C2">
            <w:pPr>
              <w:pStyle w:val="14"/>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（4）广东省交通运输厅正式约谈的，扣0.1分/次。</w:t>
            </w:r>
          </w:p>
          <w:p w14:paraId="4B403A8B">
            <w:pPr>
              <w:pStyle w:val="14"/>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注：同一事项同时被多个部门行政处罚或正式约谈只按最高的扣分计算1次。如果扣完本项分值，可以从总分中扣。</w:t>
            </w:r>
          </w:p>
          <w:p w14:paraId="749A14E6">
            <w:pPr>
              <w:pStyle w:val="14"/>
              <w:keepNext w:val="0"/>
              <w:keepLines w:val="0"/>
              <w:bidi w:val="0"/>
              <w:spacing w:line="360" w:lineRule="auto"/>
              <w:rPr>
                <w:rFonts w:hint="eastAsia" w:ascii="宋体" w:hAnsi="宋体" w:eastAsia="宋体" w:cs="宋体"/>
                <w:color w:val="auto"/>
                <w:spacing w:val="-7"/>
                <w:sz w:val="24"/>
                <w:szCs w:val="24"/>
                <w:highlight w:val="none"/>
              </w:rPr>
            </w:pPr>
            <w:r>
              <w:rPr>
                <w:rFonts w:hint="eastAsia" w:ascii="宋体" w:hAnsi="宋体" w:eastAsia="宋体" w:cs="宋体"/>
                <w:color w:val="auto"/>
                <w:kern w:val="21"/>
                <w:sz w:val="24"/>
                <w:szCs w:val="24"/>
                <w:highlight w:val="none"/>
              </w:rPr>
              <w:t>补充说明：本条内容所指的行政处罚和正式约谈是指本范本施行之日起发生的行政处罚和正式约谈。</w:t>
            </w:r>
          </w:p>
        </w:tc>
      </w:tr>
    </w:tbl>
    <w:p w14:paraId="06C8D378">
      <w:pPr>
        <w:keepNext w:val="0"/>
        <w:keepLines w:val="0"/>
        <w:pageBreakBefore/>
        <w:widowControl w:val="0"/>
        <w:autoSpaceDE w:val="0"/>
        <w:autoSpaceDN w:val="0"/>
        <w:bidi w:val="0"/>
        <w:adjustRightInd w:val="0"/>
        <w:outlineLvl w:val="3"/>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补充的其他内容</w:t>
      </w:r>
      <w:bookmarkEnd w:id="270"/>
    </w:p>
    <w:tbl>
      <w:tblPr>
        <w:tblStyle w:val="21"/>
        <w:tblW w:w="102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9132"/>
      </w:tblGrid>
      <w:tr w14:paraId="1353C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107" w:type="dxa"/>
            <w:noWrap w:val="0"/>
            <w:vAlign w:val="center"/>
          </w:tcPr>
          <w:p w14:paraId="68BD4A2F">
            <w:pPr>
              <w:keepNext w:val="0"/>
              <w:keepLines w:val="0"/>
              <w:bidi w:val="0"/>
              <w:jc w:val="center"/>
              <w:rPr>
                <w:rFonts w:hint="eastAsia" w:ascii="宋体" w:hAnsi="宋体" w:eastAsia="宋体" w:cs="宋体"/>
                <w:b/>
                <w:bCs/>
                <w:color w:val="auto"/>
                <w:kern w:val="21"/>
                <w:sz w:val="24"/>
                <w:szCs w:val="24"/>
                <w:highlight w:val="none"/>
              </w:rPr>
            </w:pPr>
            <w:bookmarkStart w:id="271" w:name="bookmark91"/>
            <w:bookmarkEnd w:id="271"/>
            <w:r>
              <w:rPr>
                <w:rFonts w:hint="eastAsia" w:ascii="宋体" w:hAnsi="宋体" w:eastAsia="宋体" w:cs="宋体"/>
                <w:b/>
                <w:bCs/>
                <w:color w:val="auto"/>
                <w:kern w:val="21"/>
                <w:sz w:val="24"/>
                <w:szCs w:val="24"/>
                <w:highlight w:val="none"/>
              </w:rPr>
              <w:t>条款号</w:t>
            </w:r>
          </w:p>
        </w:tc>
        <w:tc>
          <w:tcPr>
            <w:tcW w:w="9132" w:type="dxa"/>
            <w:noWrap w:val="0"/>
            <w:vAlign w:val="center"/>
          </w:tcPr>
          <w:p w14:paraId="40DEDBDD">
            <w:pPr>
              <w:keepNext w:val="0"/>
              <w:keepLines w:val="0"/>
              <w:bidi w:val="0"/>
              <w:jc w:val="center"/>
              <w:rPr>
                <w:rFonts w:hint="eastAsia" w:ascii="宋体" w:hAnsi="宋体" w:eastAsia="宋体" w:cs="宋体"/>
                <w:b/>
                <w:bCs/>
                <w:color w:val="auto"/>
                <w:kern w:val="21"/>
                <w:sz w:val="24"/>
                <w:szCs w:val="24"/>
                <w:highlight w:val="none"/>
              </w:rPr>
            </w:pPr>
            <w:r>
              <w:rPr>
                <w:rFonts w:hint="eastAsia" w:ascii="宋体" w:hAnsi="宋体" w:eastAsia="宋体" w:cs="宋体"/>
                <w:b/>
                <w:bCs/>
                <w:color w:val="auto"/>
                <w:kern w:val="21"/>
                <w:sz w:val="24"/>
                <w:szCs w:val="24"/>
                <w:highlight w:val="none"/>
              </w:rPr>
              <w:t>补充或修改的内容</w:t>
            </w:r>
          </w:p>
        </w:tc>
      </w:tr>
      <w:tr w14:paraId="07F88E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noWrap w:val="0"/>
            <w:vAlign w:val="center"/>
          </w:tcPr>
          <w:p w14:paraId="1C3CC9C2">
            <w:pPr>
              <w:keepNext w:val="0"/>
              <w:keepLines w:val="0"/>
              <w:bidi w:val="0"/>
              <w:spacing w:line="288" w:lineRule="auto"/>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w:t>
            </w:r>
          </w:p>
        </w:tc>
        <w:tc>
          <w:tcPr>
            <w:tcW w:w="9132" w:type="dxa"/>
            <w:noWrap w:val="0"/>
            <w:vAlign w:val="center"/>
          </w:tcPr>
          <w:p w14:paraId="73BB61C5">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1.1评标方法</w:t>
            </w:r>
          </w:p>
          <w:p w14:paraId="4869E443">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本次评标采用双信封的综合评估法。评标委员会对满足招标文件实质性要求的投标文件，按照本章第2.2款规定的评分标准进行打分，并按得分由高到低顺序推荐中标候选人，但投标报价低于其成本的除外。综合评分相等时，评标委员会应按照评标办法前附表规定的优先次序推荐中标候选人或确定中标人。</w:t>
            </w:r>
          </w:p>
          <w:p w14:paraId="4D4EEF55">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1.2评标组织</w:t>
            </w:r>
          </w:p>
          <w:p w14:paraId="33FC2141">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1.2.1协助工作组</w:t>
            </w:r>
          </w:p>
          <w:p w14:paraId="641F1D0C">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招标人可在评标工作开始前成立协助工作组，选派熟悉招标工作、政治素质高的人员组成，协助评标委员会工作。协助工作组人员的具体数量由招标人视评标工作量确定。</w:t>
            </w:r>
          </w:p>
          <w:p w14:paraId="1516CF81">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招标人可以协助评标委员会开展下列工作并提供相关信息：</w:t>
            </w:r>
          </w:p>
          <w:p w14:paraId="214D1FAA">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（1）根据招标文件，编制评标使用的相应表格；</w:t>
            </w:r>
          </w:p>
          <w:p w14:paraId="7EF2C455">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（2）对投标报价进行算术性校核；</w:t>
            </w:r>
          </w:p>
          <w:p w14:paraId="18B8BB14">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（3）以评标标准和方法为依据，列出投标文件相对于招标文件的所有偏差，并进行归类汇总；</w:t>
            </w:r>
          </w:p>
          <w:p w14:paraId="35CC7F3D">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（4）查询公路建设市场信用信息管理系统，对投标人的资质、业绩、主要人员资历和目前在岗情况、信用等级进行核实（如有）。</w:t>
            </w:r>
          </w:p>
          <w:p w14:paraId="5985123E">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招标人不得对投标文件作出任何评价，不得故意遗漏或者片面摘录，不得在评标委员会对所有偏差定性之前透露存有偏差的投标人名称。</w:t>
            </w:r>
          </w:p>
          <w:p w14:paraId="2835FCA9">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1.2.2评标委员会</w:t>
            </w:r>
          </w:p>
          <w:p w14:paraId="4D14DCF7">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评标委员会由招标人按国家、广东省等的有关规定依法组建。评标委员人数参见本招标文件“投标人须知前附表第6.1.1”。评标委员会的主要工作内容包括：</w:t>
            </w:r>
          </w:p>
          <w:p w14:paraId="703251AF">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（1）评标委员会开始评标工作之前，首先听取招标人、协助工作组关于工程情况和辅助工作的说明，并认真研读招标文件，获取评标所需的重要信息和数据；</w:t>
            </w:r>
          </w:p>
          <w:p w14:paraId="2CD842F2">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（2）对协助工作组提供的评标工作用表和评标内容进行核查。</w:t>
            </w:r>
          </w:p>
          <w:p w14:paraId="0C53D847">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（3）按照以下1.3款程序进行各项评审工作。</w:t>
            </w:r>
          </w:p>
          <w:p w14:paraId="667EDE3C">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1.3评审工作程序</w:t>
            </w:r>
          </w:p>
          <w:p w14:paraId="1FF5E3F5">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（一）第一信封（商务及技术文件）：</w:t>
            </w:r>
          </w:p>
          <w:p w14:paraId="0B69A6C5">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l、初步评审：包括形式评审与响应性评审、资格评审；</w:t>
            </w:r>
          </w:p>
          <w:p w14:paraId="4F0A967F">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2、详细评审（评审打分）：评标委员会首先对通过初步评审的投标文件第一个信封（商务及技术文件）进行详细评审，对投标人的监理实施方案、主要人员、其他因素等分别评审打分。</w:t>
            </w:r>
          </w:p>
          <w:p w14:paraId="6AF293C8">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（二）第二信封（报价文件）：</w:t>
            </w:r>
          </w:p>
          <w:p w14:paraId="472348FC">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1、初步评审：</w:t>
            </w:r>
          </w:p>
          <w:p w14:paraId="5B3631B1">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（1）只有投标文件第一个信封通过详细评审的投标人才能继续参加第二信封报价文件的形式评审与响应性评审；</w:t>
            </w:r>
          </w:p>
          <w:p w14:paraId="68E2D114">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（2）报价算术性修正；</w:t>
            </w:r>
          </w:p>
          <w:p w14:paraId="4102D7AB">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2、详细评审：计算评标基准价、评标价得分及综合得分；</w:t>
            </w:r>
          </w:p>
          <w:p w14:paraId="6E810CFA">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（三）投标文件相关信息的核查。</w:t>
            </w:r>
          </w:p>
          <w:p w14:paraId="36CEFE33">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（四）投标文件的澄清和说明（如有）</w:t>
            </w:r>
          </w:p>
          <w:p w14:paraId="38CB1734">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（五）按评标办法规定推荐中标候选人，编写评标报告。</w:t>
            </w:r>
          </w:p>
        </w:tc>
      </w:tr>
      <w:tr w14:paraId="523FE1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noWrap w:val="0"/>
            <w:vAlign w:val="center"/>
          </w:tcPr>
          <w:p w14:paraId="29FD1DCB">
            <w:pPr>
              <w:keepNext w:val="0"/>
              <w:keepLines w:val="0"/>
              <w:bidi w:val="0"/>
              <w:spacing w:line="288" w:lineRule="auto"/>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3.2.2</w:t>
            </w:r>
          </w:p>
        </w:tc>
        <w:tc>
          <w:tcPr>
            <w:tcW w:w="9132" w:type="dxa"/>
            <w:noWrap w:val="0"/>
            <w:vAlign w:val="center"/>
          </w:tcPr>
          <w:p w14:paraId="2F265A57">
            <w:pPr>
              <w:keepNext w:val="0"/>
              <w:keepLines w:val="0"/>
              <w:bidi w:val="0"/>
              <w:spacing w:before="48" w:beforeLines="20" w:after="48" w:afterLines="2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将评标办法原文第3.2.2款修改细化如下：</w:t>
            </w:r>
          </w:p>
          <w:p w14:paraId="43E5070A">
            <w:pPr>
              <w:keepNext w:val="0"/>
              <w:keepLines w:val="0"/>
              <w:bidi w:val="0"/>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评标委员会在第一个信封详细评审时，各评分因素（主要人员、技术能力（如有）、履约信誉除外）得分一般不得低于该权重分值的60%，评标委员会成员对某一项评分因素的评分低于权重值60%的，应当在评标报告中作出说明。</w:t>
            </w:r>
          </w:p>
          <w:p w14:paraId="1721A09B">
            <w:pPr>
              <w:keepNext w:val="0"/>
              <w:keepLines w:val="0"/>
              <w:bidi w:val="0"/>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商务评分（主要人员、其他因素）得分应以评标委员会各成员的算术平均值确定。</w:t>
            </w:r>
          </w:p>
          <w:p w14:paraId="18634074">
            <w:pPr>
              <w:keepNext w:val="0"/>
              <w:keepLines w:val="0"/>
              <w:bidi w:val="0"/>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评标委员会人数为</w:t>
            </w:r>
            <w:r>
              <w:rPr>
                <w:rFonts w:hint="eastAsia" w:ascii="宋体" w:hAnsi="宋体" w:eastAsia="宋体" w:cs="宋体"/>
                <w:color w:val="auto"/>
                <w:kern w:val="0"/>
                <w:sz w:val="24"/>
                <w:szCs w:val="24"/>
                <w:highlight w:val="none"/>
                <w:lang w:val="en-US" w:eastAsia="zh-CN" w:bidi="ar"/>
              </w:rPr>
              <w:t>7</w:t>
            </w:r>
            <w:r>
              <w:rPr>
                <w:rFonts w:hint="eastAsia" w:ascii="宋体" w:hAnsi="宋体" w:eastAsia="宋体" w:cs="宋体"/>
                <w:color w:val="auto"/>
                <w:kern w:val="0"/>
                <w:sz w:val="24"/>
                <w:szCs w:val="24"/>
                <w:highlight w:val="none"/>
                <w:lang w:bidi="ar"/>
              </w:rPr>
              <w:t>人时，计算投标人技术得分时:各评分因素细分项中取消一个最高、一个最低分后计算算术平均值的和为投标人的最终技术得分，平均值计算保留小数点后三位，小数点后第四位“四舍五入”。</w:t>
            </w:r>
          </w:p>
          <w:p w14:paraId="573F3E23">
            <w:pPr>
              <w:keepNext w:val="0"/>
              <w:keepLines w:val="0"/>
              <w:bidi w:val="0"/>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以上评标委员会人数以实际参与评审的评标委员会人数数量为准。</w:t>
            </w:r>
          </w:p>
          <w:p w14:paraId="3D710F2A">
            <w:pPr>
              <w:keepNext w:val="0"/>
              <w:keepLines w:val="0"/>
              <w:bidi w:val="0"/>
              <w:ind w:firstLine="480" w:firstLineChars="200"/>
              <w:jc w:val="left"/>
              <w:rPr>
                <w:rFonts w:hint="eastAsia" w:ascii="宋体" w:hAnsi="宋体" w:eastAsia="宋体" w:cs="宋体"/>
                <w:color w:val="auto"/>
                <w:kern w:val="21"/>
                <w:sz w:val="24"/>
                <w:szCs w:val="24"/>
                <w:highlight w:val="none"/>
              </w:rPr>
            </w:pPr>
            <w:r>
              <w:rPr>
                <w:rFonts w:hint="eastAsia" w:ascii="宋体" w:hAnsi="宋体" w:eastAsia="宋体" w:cs="宋体"/>
                <w:color w:val="auto"/>
                <w:kern w:val="0"/>
                <w:sz w:val="24"/>
                <w:szCs w:val="24"/>
                <w:highlight w:val="none"/>
                <w:lang w:bidi="ar"/>
              </w:rPr>
              <w:t>投标人的商务得分保留小数点后三位，小数点后第四位“四舍五入”。</w:t>
            </w:r>
          </w:p>
        </w:tc>
      </w:tr>
      <w:tr w14:paraId="02DDDA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noWrap w:val="0"/>
            <w:vAlign w:val="center"/>
          </w:tcPr>
          <w:p w14:paraId="7C0B0217">
            <w:pPr>
              <w:keepNext w:val="0"/>
              <w:keepLines w:val="0"/>
              <w:bidi w:val="0"/>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9132" w:type="dxa"/>
            <w:noWrap w:val="0"/>
            <w:vAlign w:val="center"/>
          </w:tcPr>
          <w:p w14:paraId="7F561448">
            <w:pPr>
              <w:keepNext w:val="0"/>
              <w:keepLines w:val="0"/>
              <w:bidi w:val="0"/>
              <w:spacing w:line="288"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3.6.1项（2）目末增加以下条款：</w:t>
            </w:r>
          </w:p>
          <w:p w14:paraId="63EC76FF">
            <w:pPr>
              <w:keepNext w:val="0"/>
              <w:keepLines w:val="0"/>
              <w:bidi w:val="0"/>
              <w:spacing w:line="288"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g.广东省实施《中华人民共和国招标投标法》办法第十六条规定的情形。</w:t>
            </w:r>
          </w:p>
        </w:tc>
      </w:tr>
      <w:tr w14:paraId="19B5D7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1107" w:type="dxa"/>
            <w:noWrap w:val="0"/>
            <w:vAlign w:val="center"/>
          </w:tcPr>
          <w:p w14:paraId="14F3E3A6">
            <w:pPr>
              <w:keepNext w:val="0"/>
              <w:keepLines w:val="0"/>
              <w:bidi w:val="0"/>
              <w:spacing w:line="288" w:lineRule="auto"/>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3.6.3</w:t>
            </w:r>
          </w:p>
        </w:tc>
        <w:tc>
          <w:tcPr>
            <w:tcW w:w="9132" w:type="dxa"/>
            <w:noWrap w:val="0"/>
            <w:vAlign w:val="center"/>
          </w:tcPr>
          <w:p w14:paraId="053B0A88">
            <w:pPr>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增加3.6.3项：</w:t>
            </w:r>
          </w:p>
          <w:p w14:paraId="27831C61">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3.6.3依法必须进行招标的项目，除第一中标候选人或者中标人，其他投标人存在串通投标、弄虚作假、行贿情形且在评标过程中未被发现的，视为对中标结果没有造成实质性影响，招标人可以依法继续开展招标活动。投标人的违法行为由行政监督部门依法处理。</w:t>
            </w:r>
          </w:p>
        </w:tc>
      </w:tr>
      <w:tr w14:paraId="247AED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107" w:type="dxa"/>
            <w:noWrap w:val="0"/>
            <w:vAlign w:val="center"/>
          </w:tcPr>
          <w:p w14:paraId="69A802E6">
            <w:pPr>
              <w:keepNext w:val="0"/>
              <w:keepLines w:val="0"/>
              <w:bidi w:val="0"/>
              <w:ind w:firstLine="240" w:firstLineChars="10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3.9</w:t>
            </w:r>
          </w:p>
        </w:tc>
        <w:tc>
          <w:tcPr>
            <w:tcW w:w="9132" w:type="dxa"/>
            <w:noWrap w:val="0"/>
            <w:vAlign w:val="top"/>
          </w:tcPr>
          <w:p w14:paraId="0FB24795">
            <w:pPr>
              <w:keepNext w:val="0"/>
              <w:keepLines w:val="0"/>
              <w:bidi w:val="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增加3.9.3、3.9.4、3.9.5、3.9.6、3.6.7条款后增加：</w:t>
            </w:r>
          </w:p>
          <w:p w14:paraId="2969FCB4">
            <w:pPr>
              <w:keepNext w:val="0"/>
              <w:keepLines w:val="0"/>
              <w:bidi w:val="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3.9.3推荐中标候选人方式：按各合同段最高投标限价高低顺序依次选定中标候选人，如果出现投标人在多个合同段都排名第一，将确定该投标人为最高投标限价较高的合同段的第一中标候选人，同时该投标人自动失去在本次招标中其他合同段的中标候选人资格，其他合同段的综合排名名次高者自动上升为中标候选人，如此类推。</w:t>
            </w:r>
          </w:p>
          <w:p w14:paraId="2014C701">
            <w:pPr>
              <w:keepNext w:val="0"/>
              <w:keepLines w:val="0"/>
              <w:bidi w:val="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3.9.4通过第一个信封商务和技术文件评审的投标人少于3个的，评标委员会可以否决全部投标；未否决全部投标的，评标委员会应当在评标报告中阐明理由，招标人应当按照招标文件规定的程序进行第二个信封报价开标，但评标委员会在进行报价评审时仍有权否决全部投标；评标委员会未在报价文件评审时否决全部投标的，应当在评标报告中阐明理由并推荐中标候选人.</w:t>
            </w:r>
          </w:p>
          <w:p w14:paraId="75AE58BC">
            <w:pPr>
              <w:keepNext w:val="0"/>
              <w:keepLines w:val="0"/>
              <w:bidi w:val="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3.9.5通过第一个信封商务和技术文件评审的投标人在3个及以上的，招标人应当按照招标文件规定的程序进行第二个信封报价文件开标；在对报价文件进行评审后，有效投标不足3个的，评标委员会可以否决全部投标。未否决全部投标的，评标委员会应当在评标报告中阐明理由并推荐中标候选人。</w:t>
            </w:r>
          </w:p>
          <w:p w14:paraId="5C1FA56A">
            <w:pPr>
              <w:keepNext w:val="0"/>
              <w:keepLines w:val="0"/>
              <w:bidi w:val="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3.9.6如果发生无法确定推荐中标候选人的其它意外情况，评标委员会可建议招标人重新招标。</w:t>
            </w:r>
          </w:p>
          <w:p w14:paraId="771D7683">
            <w:pPr>
              <w:keepNext w:val="0"/>
              <w:keepLines w:val="0"/>
              <w:bidi w:val="0"/>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3.9.7本招标文件规定的否决投标条款包含在以下条款：</w:t>
            </w:r>
          </w:p>
          <w:p w14:paraId="6087C655">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（1）招标公告第3点投标人资格要求；</w:t>
            </w:r>
          </w:p>
          <w:p w14:paraId="408682F0">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w:t>
            </w:r>
            <w:r>
              <w:rPr>
                <w:rFonts w:hint="eastAsia" w:ascii="宋体" w:hAnsi="宋体" w:eastAsia="宋体" w:cs="宋体"/>
                <w:color w:val="auto"/>
                <w:kern w:val="0"/>
                <w:sz w:val="24"/>
                <w:szCs w:val="24"/>
                <w:highlight w:val="none"/>
                <w:u w:val="single"/>
                <w:lang w:bidi="ar"/>
              </w:rPr>
              <w:t>投标人须知1.4.3项、1.4.4项、1.4.5项、1.12项、3.4项、3.5项</w:t>
            </w:r>
            <w:r>
              <w:rPr>
                <w:rFonts w:hint="eastAsia" w:ascii="宋体" w:hAnsi="宋体" w:eastAsia="宋体" w:cs="宋体"/>
                <w:color w:val="auto"/>
                <w:kern w:val="0"/>
                <w:sz w:val="24"/>
                <w:szCs w:val="24"/>
                <w:highlight w:val="none"/>
                <w:lang w:bidi="ar"/>
              </w:rPr>
              <w:t>；</w:t>
            </w:r>
          </w:p>
          <w:p w14:paraId="1D737C47">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（3）本评标办法的否决条款。</w:t>
            </w:r>
          </w:p>
        </w:tc>
      </w:tr>
    </w:tbl>
    <w:p w14:paraId="10123077">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r>
        <w:rPr>
          <w:rFonts w:hint="eastAsia" w:ascii="宋体" w:hAnsi="宋体" w:eastAsia="宋体" w:cs="宋体"/>
          <w:color w:val="auto"/>
          <w:sz w:val="28"/>
          <w:highlight w:val="none"/>
        </w:rPr>
        <w:br w:type="page"/>
      </w:r>
      <w:bookmarkStart w:id="272" w:name="_Toc503517985"/>
      <w:bookmarkStart w:id="273" w:name="_Toc804_WPSOffice_Level2"/>
      <w:r>
        <w:rPr>
          <w:rFonts w:hint="eastAsia" w:ascii="宋体" w:hAnsi="宋体" w:eastAsia="宋体" w:cs="宋体"/>
          <w:b/>
          <w:color w:val="auto"/>
          <w:kern w:val="21"/>
          <w:sz w:val="28"/>
          <w:highlight w:val="none"/>
        </w:rPr>
        <w:t>1.评标方法</w:t>
      </w:r>
      <w:bookmarkEnd w:id="272"/>
      <w:bookmarkEnd w:id="273"/>
    </w:p>
    <w:p w14:paraId="2D7C55F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bookmarkStart w:id="274" w:name="_Toc503235808"/>
      <w:bookmarkStart w:id="275" w:name="_Toc503517986"/>
      <w:r>
        <w:rPr>
          <w:rFonts w:hint="eastAsia" w:ascii="宋体" w:hAnsi="宋体" w:eastAsia="宋体" w:cs="宋体"/>
          <w:color w:val="auto"/>
          <w:kern w:val="21"/>
          <w:sz w:val="24"/>
          <w:highlight w:val="none"/>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评标委员会应按照评标办法前附表规定的优先次序推荐中标候选人或确定中标人。</w:t>
      </w:r>
    </w:p>
    <w:p w14:paraId="412AAC9A">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276" w:name="_Toc4071_WPSOffice_Level2"/>
      <w:r>
        <w:rPr>
          <w:rFonts w:hint="eastAsia" w:ascii="宋体" w:hAnsi="宋体" w:eastAsia="宋体" w:cs="宋体"/>
          <w:b/>
          <w:color w:val="auto"/>
          <w:kern w:val="21"/>
          <w:sz w:val="28"/>
          <w:highlight w:val="none"/>
        </w:rPr>
        <w:t>2.评审标准</w:t>
      </w:r>
      <w:bookmarkEnd w:id="274"/>
      <w:bookmarkEnd w:id="275"/>
      <w:bookmarkEnd w:id="276"/>
    </w:p>
    <w:p w14:paraId="3F46501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77" w:name="_Toc503517987"/>
      <w:bookmarkStart w:id="278" w:name="_Toc503235809"/>
      <w:r>
        <w:rPr>
          <w:rFonts w:hint="eastAsia" w:ascii="宋体" w:hAnsi="宋体" w:eastAsia="宋体" w:cs="宋体"/>
          <w:b/>
          <w:color w:val="auto"/>
          <w:kern w:val="21"/>
          <w:sz w:val="24"/>
          <w:highlight w:val="none"/>
        </w:rPr>
        <w:t>2.1初步评审标准</w:t>
      </w:r>
      <w:bookmarkEnd w:id="277"/>
      <w:bookmarkEnd w:id="278"/>
    </w:p>
    <w:p w14:paraId="746B882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2.1.1形式评审标准：见评标办法前附表。</w:t>
      </w:r>
    </w:p>
    <w:p w14:paraId="2116C87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2.1.2资格评审标准：见评标办法前附表（适用于未进行资格预审的）。</w:t>
      </w:r>
    </w:p>
    <w:p w14:paraId="69639B8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2.1.2资格评审标准：见资格预审文件第三章“资格审查办法”详细审查标准（适用于已进行资格预审的）。</w:t>
      </w:r>
    </w:p>
    <w:p w14:paraId="417B647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2.1.3响应性评审标准：见评标办法前附表。</w:t>
      </w:r>
    </w:p>
    <w:p w14:paraId="58C4E9A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79" w:name="_Toc503235810"/>
      <w:bookmarkStart w:id="280" w:name="_Toc503517988"/>
      <w:r>
        <w:rPr>
          <w:rFonts w:hint="eastAsia" w:ascii="宋体" w:hAnsi="宋体" w:eastAsia="宋体" w:cs="宋体"/>
          <w:b/>
          <w:color w:val="auto"/>
          <w:kern w:val="21"/>
          <w:sz w:val="24"/>
          <w:highlight w:val="none"/>
        </w:rPr>
        <w:t>2.2分值构成与评分标准</w:t>
      </w:r>
      <w:bookmarkEnd w:id="279"/>
      <w:bookmarkEnd w:id="280"/>
    </w:p>
    <w:p w14:paraId="1E3C915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2.2.1分值构成</w:t>
      </w:r>
    </w:p>
    <w:p w14:paraId="0F05F27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（1）技术建议书：见评标办法前附表；</w:t>
      </w:r>
    </w:p>
    <w:p w14:paraId="284A77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（2）主要人员：见评标办法前附表；</w:t>
      </w:r>
    </w:p>
    <w:p w14:paraId="4709A9A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（3）评标价：见评标办法前附表；</w:t>
      </w:r>
    </w:p>
    <w:p w14:paraId="311775F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（4）其他评分因素：见评标办法前附表。</w:t>
      </w:r>
    </w:p>
    <w:p w14:paraId="4AB59DF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2.2.2评标基准价计算</w:t>
      </w:r>
    </w:p>
    <w:p w14:paraId="3D90804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评标基准价计算方法：见评标办法前附表。</w:t>
      </w:r>
    </w:p>
    <w:p w14:paraId="08750B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2.2.3评标价的偏差率计算</w:t>
      </w:r>
    </w:p>
    <w:p w14:paraId="37373EE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评标价的偏差率计算公式：见评标办法前附表。</w:t>
      </w:r>
    </w:p>
    <w:p w14:paraId="154375F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2.2.4评分标准</w:t>
      </w:r>
    </w:p>
    <w:p w14:paraId="6118AF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（1）技术建议书评分标准：见评标办法前附表；</w:t>
      </w:r>
    </w:p>
    <w:p w14:paraId="3823019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（2）主要人员评分标准：见评标办法前附表；</w:t>
      </w:r>
    </w:p>
    <w:p w14:paraId="22D4903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（3）评标价评分标准：见评标办法前附表；</w:t>
      </w:r>
    </w:p>
    <w:p w14:paraId="141BD69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（4）其他因素评分标准：见评标办法前附表。</w:t>
      </w:r>
    </w:p>
    <w:p w14:paraId="7C657A0D">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281" w:name="_Toc503517989"/>
      <w:bookmarkStart w:id="282" w:name="_Toc503235811"/>
      <w:bookmarkStart w:id="283" w:name="_Toc16027_WPSOffice_Level2"/>
      <w:r>
        <w:rPr>
          <w:rFonts w:hint="eastAsia" w:ascii="宋体" w:hAnsi="宋体" w:eastAsia="宋体" w:cs="宋体"/>
          <w:b/>
          <w:color w:val="auto"/>
          <w:kern w:val="21"/>
          <w:sz w:val="28"/>
          <w:highlight w:val="none"/>
        </w:rPr>
        <w:t>3.评标程序</w:t>
      </w:r>
      <w:bookmarkEnd w:id="281"/>
      <w:bookmarkEnd w:id="282"/>
      <w:bookmarkEnd w:id="283"/>
    </w:p>
    <w:p w14:paraId="378FC20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84" w:name="_Toc503235812"/>
      <w:bookmarkStart w:id="285" w:name="_Toc503517990"/>
      <w:r>
        <w:rPr>
          <w:rFonts w:hint="eastAsia" w:ascii="宋体" w:hAnsi="宋体" w:eastAsia="宋体" w:cs="宋体"/>
          <w:b/>
          <w:color w:val="auto"/>
          <w:kern w:val="21"/>
          <w:sz w:val="24"/>
          <w:highlight w:val="none"/>
        </w:rPr>
        <w:t>3.1第一个信封初步评审</w:t>
      </w:r>
      <w:bookmarkEnd w:id="284"/>
      <w:bookmarkEnd w:id="285"/>
    </w:p>
    <w:p w14:paraId="5240A78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3.1.1评标委员会可以要求投标人提交第二章“投标人须知”第3.5.1项至第3.5.</w:t>
      </w:r>
      <w:r>
        <w:rPr>
          <w:rFonts w:hint="eastAsia" w:ascii="宋体" w:hAnsi="宋体" w:eastAsia="宋体" w:cs="宋体"/>
          <w:color w:val="auto"/>
          <w:kern w:val="21"/>
          <w:sz w:val="24"/>
          <w:highlight w:val="none"/>
          <w:lang w:val="en-US" w:eastAsia="zh-CN"/>
        </w:rPr>
        <w:t>4</w:t>
      </w:r>
      <w:r>
        <w:rPr>
          <w:rFonts w:hint="eastAsia" w:ascii="宋体" w:hAnsi="宋体" w:eastAsia="宋体" w:cs="宋体"/>
          <w:color w:val="auto"/>
          <w:kern w:val="21"/>
          <w:sz w:val="24"/>
          <w:highlight w:val="none"/>
        </w:rPr>
        <w:t>项规定的有关证明和证件的原件，以便核验。评标委员会依据本章第2.1款规定的标准对投标文件第一个信封（商务及技术文件）进行初步评审。有一项不符合评审标准的，评标委员会应否决其投标。（适用于未进行资格预审的）</w:t>
      </w:r>
    </w:p>
    <w:p w14:paraId="63CA78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3.1.1评标委员会依据本章第2.1.1项、第2.1.3项规定的评审标准对投标文件第一个信封（商务及技术文件）进行初步评审。有一项不符合评审标准的，评标委员会应否决其投标。当投标人资格预审申请文件的内容发生重大变化时，评标委员会依据本章第2.1.2项规定的标准对其更新资料进行评审。（适用于已进行资格预审的）</w:t>
      </w:r>
    </w:p>
    <w:p w14:paraId="7130F4B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86" w:name="_Toc503235813"/>
      <w:bookmarkStart w:id="287" w:name="_Toc503517991"/>
      <w:r>
        <w:rPr>
          <w:rFonts w:hint="eastAsia" w:ascii="宋体" w:hAnsi="宋体" w:eastAsia="宋体" w:cs="宋体"/>
          <w:b/>
          <w:color w:val="auto"/>
          <w:kern w:val="21"/>
          <w:sz w:val="24"/>
          <w:highlight w:val="none"/>
        </w:rPr>
        <w:t>3.2第一个信封详细评审</w:t>
      </w:r>
      <w:bookmarkEnd w:id="286"/>
      <w:bookmarkEnd w:id="287"/>
    </w:p>
    <w:p w14:paraId="63D02F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3.2.1评标委员会按本章第2.2款规定的量化因素和分值进行打分，并计算出各投标人的商务和技术得分。</w:t>
      </w:r>
    </w:p>
    <w:p w14:paraId="7B0375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（1）按本章第2.2.4项（1）目规定的评审因素和分值对技术建议书部分计算出得分A；</w:t>
      </w:r>
    </w:p>
    <w:p w14:paraId="27BF47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（2）按本章第2.2.4项（2）目规定的评审因素和分值对主要人员部分计算出得分B；</w:t>
      </w:r>
    </w:p>
    <w:p w14:paraId="64C32AB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（3）按本章第2.2.4项（4）目规定的评审因素和分值对其他部分计算出得分D。</w:t>
      </w:r>
    </w:p>
    <w:p w14:paraId="25CE90E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3.2.2投标人的商务和技术得分分值计算保留小数点后三位，小数点后第四位“四舍五入”。</w:t>
      </w:r>
    </w:p>
    <w:p w14:paraId="42D78CE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3.2.3投标人的商务和技术得分＝A＋B＋D。</w:t>
      </w:r>
    </w:p>
    <w:p w14:paraId="3231B07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88" w:name="_Toc503517992"/>
      <w:bookmarkStart w:id="289" w:name="_Toc503235814"/>
      <w:r>
        <w:rPr>
          <w:rFonts w:hint="eastAsia" w:ascii="宋体" w:hAnsi="宋体" w:eastAsia="宋体" w:cs="宋体"/>
          <w:b/>
          <w:color w:val="auto"/>
          <w:kern w:val="21"/>
          <w:sz w:val="24"/>
          <w:highlight w:val="none"/>
        </w:rPr>
        <w:t>3.3第二个信封开标</w:t>
      </w:r>
      <w:bookmarkEnd w:id="288"/>
      <w:bookmarkEnd w:id="289"/>
    </w:p>
    <w:p w14:paraId="4E0E354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第一个信封（商务及技术文件）评审结束后，招标人将按照第二章“投标人须知”第5.1款规定的时间和地点对通过投标文件第一个信封（商务及技术文件）评审的投标文件第二个信封（报价文件）进行开标。</w:t>
      </w:r>
    </w:p>
    <w:p w14:paraId="4EA6918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90" w:name="_Toc503235815"/>
      <w:bookmarkStart w:id="291" w:name="_Toc503517993"/>
      <w:r>
        <w:rPr>
          <w:rFonts w:hint="eastAsia" w:ascii="宋体" w:hAnsi="宋体" w:eastAsia="宋体" w:cs="宋体"/>
          <w:b/>
          <w:color w:val="auto"/>
          <w:kern w:val="21"/>
          <w:sz w:val="24"/>
          <w:highlight w:val="none"/>
        </w:rPr>
        <w:t>3.4第二个信封初步评审</w:t>
      </w:r>
      <w:bookmarkEnd w:id="290"/>
      <w:bookmarkEnd w:id="291"/>
    </w:p>
    <w:p w14:paraId="040C7EB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3.4.1评标委员会依据本章第2.1.1项、第2.1.3项规定的评审标准对投标文件第二个信封（报价文件）进行初步评审。有一项不符合评审标准的，评标委员会应否决其投标。</w:t>
      </w:r>
    </w:p>
    <w:p w14:paraId="0EEB06F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3.4.2投标报价有算术错误的，评标委员会按以下原则对投标报价进行修正，修正的价格经投标人书面确认后具有约束力。投标人不接受修正价格的，评标委员会应否决其投标。</w:t>
      </w:r>
    </w:p>
    <w:p w14:paraId="7B36249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（1）投标文件中的大写金额与小写金额不一致的，以大写金额为准；</w:t>
      </w:r>
    </w:p>
    <w:p w14:paraId="68B8478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（2）总价金额与依据单价计算出的结果不一致的，以单价金额为准修正总价，但单价金额小数点有明显错误的除外；</w:t>
      </w:r>
    </w:p>
    <w:p w14:paraId="05444E5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（3）当单价与数量相乘不等于合价时，以单价计算为准，如果单价有明显的小数点位置差错，应以标出的合价为准，同时对单价予以修正；</w:t>
      </w:r>
    </w:p>
    <w:p w14:paraId="2C35963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（4）当各子目的合价累计不等于总价时，应以各子目合价累计数为准，修正总价。</w:t>
      </w:r>
    </w:p>
    <w:p w14:paraId="558DDE3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3.4.3修正后的最终投标报价若超过最高投标限价（如有），评标委员会应否决其投标。</w:t>
      </w:r>
    </w:p>
    <w:p w14:paraId="4FD6CA8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3.4.4修正后的最终投标报价仅作为签订合同的一个依据，不参与评标价得分的计算。</w:t>
      </w:r>
    </w:p>
    <w:p w14:paraId="0F0E121E">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92" w:name="_Toc503235816"/>
      <w:bookmarkStart w:id="293" w:name="_Toc503517994"/>
      <w:r>
        <w:rPr>
          <w:rFonts w:hint="eastAsia" w:ascii="宋体" w:hAnsi="宋体" w:eastAsia="宋体" w:cs="宋体"/>
          <w:b/>
          <w:color w:val="auto"/>
          <w:kern w:val="21"/>
          <w:sz w:val="24"/>
          <w:highlight w:val="none"/>
        </w:rPr>
        <w:t>3.5第二个信封详细评审</w:t>
      </w:r>
      <w:bookmarkEnd w:id="292"/>
      <w:bookmarkEnd w:id="293"/>
    </w:p>
    <w:p w14:paraId="48A65A6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3.5.1评标委员会按本章第2.2.4项（3）目规定的评审因素和分值对评标价计算出得分C。评标价得分分值计算保留小数点后三位，小数点后第四位“四舍五入”。</w:t>
      </w:r>
    </w:p>
    <w:p w14:paraId="3A43072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3.5.2投标人综合得分=投标人的商务和技术得分+C。</w:t>
      </w:r>
    </w:p>
    <w:p w14:paraId="2D3905A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3.5.3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t>
      </w:r>
    </w:p>
    <w:p w14:paraId="2EB4FB4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94" w:name="_Toc503517995"/>
      <w:bookmarkStart w:id="295" w:name="_Toc503235817"/>
      <w:r>
        <w:rPr>
          <w:rFonts w:hint="eastAsia" w:ascii="宋体" w:hAnsi="宋体" w:eastAsia="宋体" w:cs="宋体"/>
          <w:b/>
          <w:color w:val="auto"/>
          <w:kern w:val="21"/>
          <w:sz w:val="24"/>
          <w:highlight w:val="none"/>
        </w:rPr>
        <w:t>3.6投标文件相关信息的核查</w:t>
      </w:r>
      <w:bookmarkEnd w:id="294"/>
      <w:bookmarkEnd w:id="295"/>
    </w:p>
    <w:p w14:paraId="7471B73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3.6.1在评标过程中，评标委员会应查询交通运输主管部门“公路建设市场信用信息管理系统”，对投标人的资质、业绩、主要人员资历和目前在岗情况、信用等级等信息进行核实。若投标文件载明的信息与交通运输主管部门“公路建设市场信用信息管理系统”发布的信息不符，使得投标人的资格条件不符合招标文件规定的，评标委员会应否决其投标。</w:t>
      </w:r>
    </w:p>
    <w:p w14:paraId="693773A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3.6.2评标委员会应对在评标过程中发现的投标人与投标人之间、投标人与招标人之间存在的串通投标的情形进行评审和认定。投标人存在串通投标、弄虚作假、行贿等违法行为的，评标委员会应否决其投标。</w:t>
      </w:r>
    </w:p>
    <w:p w14:paraId="2B6E7D9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（1）有下列情形之一的，属于投标人相互串通投标：</w:t>
      </w:r>
    </w:p>
    <w:p w14:paraId="045962B8">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a.投标人之间协商投标报价等投标文件的实质性内容；</w:t>
      </w:r>
    </w:p>
    <w:p w14:paraId="32C220E2">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b.投标人之间约定中标人；</w:t>
      </w:r>
    </w:p>
    <w:p w14:paraId="4B5BFA33">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c.投标人之间约定部分投标人放弃投标或中标；</w:t>
      </w:r>
    </w:p>
    <w:p w14:paraId="33356A88">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d.属于同一集团、协会、商会等组织成员的投标人按照该组织要求协同投标；</w:t>
      </w:r>
    </w:p>
    <w:p w14:paraId="5CE94147">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e.投标人之间为谋取中标或排斥特定投标人而采取的其他联合行动。</w:t>
      </w:r>
    </w:p>
    <w:p w14:paraId="4068F73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（2）有下列情形之一的，视为投标人相互串通投标：</w:t>
      </w:r>
    </w:p>
    <w:p w14:paraId="19FA755F">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a.不同投标人的投标文件由同一单位或个人编制；</w:t>
      </w:r>
    </w:p>
    <w:p w14:paraId="03ED08EB">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b.不同投标人委托同一单位或个人办理投标事宜；</w:t>
      </w:r>
    </w:p>
    <w:p w14:paraId="26C54712">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c.不同投标人的投标文件载明的项目管理成员为同一人；</w:t>
      </w:r>
    </w:p>
    <w:p w14:paraId="60E3F49F">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d.不同投标人的投标文件异常一致或投标报价呈规律性差异；</w:t>
      </w:r>
    </w:p>
    <w:p w14:paraId="66BE7D9A">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e.不同投标人的投标文件相互混装；</w:t>
      </w:r>
    </w:p>
    <w:p w14:paraId="1D83F497">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f.不同投标人的投标保证金从同一单位或个人的账户转出。</w:t>
      </w:r>
    </w:p>
    <w:p w14:paraId="07EA913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（3）有下列情形之一的，属于招标人与投标人串通投标：</w:t>
      </w:r>
    </w:p>
    <w:p w14:paraId="4647CCBF">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lang w:eastAsia="zh-CN"/>
        </w:rPr>
      </w:pPr>
      <w:r>
        <w:rPr>
          <w:rFonts w:hint="eastAsia" w:ascii="宋体" w:hAnsi="宋体" w:eastAsia="宋体" w:cs="宋体"/>
          <w:color w:val="auto"/>
          <w:kern w:val="21"/>
          <w:sz w:val="24"/>
          <w:highlight w:val="none"/>
        </w:rPr>
        <w:t>a.招标人在开标前开启投标文件并将有关信息泄露给其他投标人</w:t>
      </w:r>
      <w:r>
        <w:rPr>
          <w:rFonts w:hint="eastAsia" w:ascii="宋体" w:hAnsi="宋体" w:eastAsia="宋体" w:cs="宋体"/>
          <w:color w:val="auto"/>
          <w:kern w:val="21"/>
          <w:sz w:val="24"/>
          <w:highlight w:val="none"/>
          <w:lang w:eastAsia="zh-CN"/>
        </w:rPr>
        <w:t>；</w:t>
      </w:r>
    </w:p>
    <w:p w14:paraId="4F38295C">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b.招标人直接或间接向投标人泄露标底、评标委员会成员等信息；</w:t>
      </w:r>
    </w:p>
    <w:p w14:paraId="07431374">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c.招标人明示或暗示投标人压低或抬高投标报价；</w:t>
      </w:r>
    </w:p>
    <w:p w14:paraId="30B48081">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d.招标人授意投标人撤换、修改投标文件；</w:t>
      </w:r>
    </w:p>
    <w:p w14:paraId="6F66D60D">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e.招标人明示或暗示投标人为特定投标人中标提供方便；</w:t>
      </w:r>
    </w:p>
    <w:p w14:paraId="026F977E">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f.招标人与投标人为谋求特定投标人中标而采取的其他串通行为。</w:t>
      </w:r>
    </w:p>
    <w:p w14:paraId="32983D1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（4）投标人有下列情形之一的，属于弄虚作假的行为：</w:t>
      </w:r>
    </w:p>
    <w:p w14:paraId="1A8C4E69">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a.使用通过受让或租借等方式获取的资格、资质证书投标；</w:t>
      </w:r>
    </w:p>
    <w:p w14:paraId="1B471903">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b.使用伪造、变造的许可证件；</w:t>
      </w:r>
    </w:p>
    <w:p w14:paraId="7649C2C8">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c.提供虚假的业绩；</w:t>
      </w:r>
    </w:p>
    <w:p w14:paraId="7503842D">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d.提供虚假的项目负责人或主要技术人员简历、劳动关系证明；</w:t>
      </w:r>
    </w:p>
    <w:p w14:paraId="4799B772">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e.提供虚假的信用状况；</w:t>
      </w:r>
    </w:p>
    <w:p w14:paraId="46D21FA2">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f.其他弄虚作假的行为。</w:t>
      </w:r>
    </w:p>
    <w:p w14:paraId="62F8E31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96" w:name="_Toc503235818"/>
      <w:bookmarkStart w:id="297" w:name="_Toc503517996"/>
      <w:r>
        <w:rPr>
          <w:rFonts w:hint="eastAsia" w:ascii="宋体" w:hAnsi="宋体" w:eastAsia="宋体" w:cs="宋体"/>
          <w:b/>
          <w:color w:val="auto"/>
          <w:kern w:val="21"/>
          <w:sz w:val="24"/>
          <w:highlight w:val="none"/>
        </w:rPr>
        <w:t>3.7投标文件的澄清和说明</w:t>
      </w:r>
      <w:bookmarkEnd w:id="296"/>
      <w:bookmarkEnd w:id="297"/>
    </w:p>
    <w:p w14:paraId="04F0C65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3.7.1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14AC5BA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3.7.2澄清和说明不得超出投标文件的范围或改变投标文件的实质性内容（算术性错误的修正除外）。投标人的书面澄清、说明属于投标文件的组成部分。</w:t>
      </w:r>
    </w:p>
    <w:p w14:paraId="1FBBA37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3.7.3评标委员会不得暗示或诱导投标人作出澄清、说明，对投标人提交的澄清、说明有疑问的，可以要求投标人进一步澄清或说明，直至满足评标委员会的要求。</w:t>
      </w:r>
    </w:p>
    <w:p w14:paraId="383A059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3.7.4凡超出招标文件规定的或给委托人带来未曾要求的利益的变化、偏差或其他因素在评标时不予考虑。</w:t>
      </w:r>
    </w:p>
    <w:p w14:paraId="239E942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98" w:name="_Toc503235819"/>
      <w:bookmarkStart w:id="299" w:name="_Toc503517997"/>
      <w:bookmarkStart w:id="300" w:name="_Toc501257170"/>
      <w:r>
        <w:rPr>
          <w:rFonts w:hint="eastAsia" w:ascii="宋体" w:hAnsi="宋体" w:eastAsia="宋体" w:cs="宋体"/>
          <w:b/>
          <w:color w:val="auto"/>
          <w:kern w:val="21"/>
          <w:sz w:val="24"/>
          <w:highlight w:val="none"/>
        </w:rPr>
        <w:t>3.8不得否决投标的情形</w:t>
      </w:r>
      <w:bookmarkEnd w:id="298"/>
      <w:bookmarkEnd w:id="299"/>
      <w:bookmarkEnd w:id="300"/>
    </w:p>
    <w:p w14:paraId="59AA9AA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投标文件存在第二章“投标人须知”第1.12.3项所列情形的，均视为细微偏差，评标委员会不得否决投标人的投标，应按照第二章“投标人须知”第1.12.4项规定的原则处理。</w:t>
      </w:r>
    </w:p>
    <w:p w14:paraId="1B59DDD4">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01" w:name="_Toc503517998"/>
      <w:bookmarkStart w:id="302" w:name="_Toc503235820"/>
      <w:r>
        <w:rPr>
          <w:rFonts w:hint="eastAsia" w:ascii="宋体" w:hAnsi="宋体" w:eastAsia="宋体" w:cs="宋体"/>
          <w:b/>
          <w:color w:val="auto"/>
          <w:kern w:val="21"/>
          <w:sz w:val="24"/>
          <w:highlight w:val="none"/>
        </w:rPr>
        <w:t>3.9评标结果</w:t>
      </w:r>
      <w:bookmarkEnd w:id="301"/>
      <w:bookmarkEnd w:id="302"/>
    </w:p>
    <w:p w14:paraId="115453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3.9.1除第二章“投标人须知”前附表授权直接确定中标人外，评标委员会按照得分由高到低的顺序推荐中标候选人，并标明排序。</w:t>
      </w:r>
    </w:p>
    <w:p w14:paraId="485CC29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3.9.2评标委员会完成评标后，应向招标人提交书面评标报告。</w:t>
      </w:r>
    </w:p>
    <w:p w14:paraId="0EE1F29C">
      <w:pPr>
        <w:pStyle w:val="3"/>
        <w:keepNext w:val="0"/>
        <w:keepLines w:val="0"/>
        <w:kinsoku w:val="0"/>
        <w:overflowPunct w:val="0"/>
        <w:bidi w:val="0"/>
        <w:spacing w:before="26"/>
        <w:ind w:left="624"/>
        <w:rPr>
          <w:rFonts w:hint="eastAsia" w:ascii="宋体" w:hAnsi="宋体" w:eastAsia="宋体" w:cs="宋体"/>
          <w:color w:val="auto"/>
          <w:highlight w:val="none"/>
        </w:rPr>
      </w:pPr>
      <w:bookmarkStart w:id="303" w:name="bookmark96"/>
      <w:bookmarkEnd w:id="303"/>
      <w:bookmarkStart w:id="304" w:name="bookmark99"/>
      <w:bookmarkEnd w:id="304"/>
      <w:bookmarkStart w:id="305" w:name="bookmark93"/>
      <w:bookmarkEnd w:id="305"/>
      <w:bookmarkStart w:id="306" w:name="bookmark94"/>
      <w:bookmarkEnd w:id="306"/>
      <w:bookmarkStart w:id="307" w:name="bookmark100"/>
      <w:bookmarkEnd w:id="307"/>
      <w:bookmarkStart w:id="308" w:name="bookmark104"/>
      <w:bookmarkEnd w:id="308"/>
      <w:bookmarkStart w:id="309" w:name="bookmark102"/>
      <w:bookmarkEnd w:id="309"/>
      <w:bookmarkStart w:id="310" w:name="bookmark95"/>
      <w:bookmarkEnd w:id="310"/>
      <w:bookmarkStart w:id="311" w:name="bookmark97"/>
      <w:bookmarkEnd w:id="311"/>
      <w:bookmarkStart w:id="312" w:name="bookmark103"/>
      <w:bookmarkEnd w:id="312"/>
      <w:bookmarkStart w:id="313" w:name="bookmark92"/>
      <w:bookmarkEnd w:id="313"/>
      <w:bookmarkStart w:id="314" w:name="bookmark98"/>
      <w:bookmarkEnd w:id="314"/>
      <w:bookmarkStart w:id="315" w:name="bookmark101"/>
      <w:bookmarkEnd w:id="315"/>
    </w:p>
    <w:p w14:paraId="349ABB78">
      <w:pPr>
        <w:pStyle w:val="3"/>
        <w:keepNext w:val="0"/>
        <w:keepLines w:val="0"/>
        <w:kinsoku w:val="0"/>
        <w:overflowPunct w:val="0"/>
        <w:bidi w:val="0"/>
        <w:spacing w:before="26"/>
        <w:ind w:left="624"/>
        <w:rPr>
          <w:rFonts w:hint="eastAsia" w:ascii="宋体" w:hAnsi="宋体" w:eastAsia="宋体" w:cs="宋体"/>
          <w:color w:val="auto"/>
          <w:highlight w:val="none"/>
        </w:rPr>
        <w:sectPr>
          <w:pgSz w:w="11907" w:h="16838"/>
          <w:pgMar w:top="1134" w:right="1134" w:bottom="1134" w:left="1134" w:header="882" w:footer="1078" w:gutter="0"/>
          <w:lnNumType w:countBy="0" w:distance="360"/>
          <w:cols w:space="720" w:num="1"/>
        </w:sectPr>
      </w:pPr>
    </w:p>
    <w:p w14:paraId="3E06D14B">
      <w:pPr>
        <w:keepNext w:val="0"/>
        <w:keepLines w:val="0"/>
        <w:widowControl w:val="0"/>
        <w:kinsoku w:val="0"/>
        <w:overflowPunct w:val="0"/>
        <w:autoSpaceDE w:val="0"/>
        <w:autoSpaceDN w:val="0"/>
        <w:bidi w:val="0"/>
        <w:adjustRightInd w:val="0"/>
        <w:spacing w:before="4" w:line="150" w:lineRule="exact"/>
        <w:jc w:val="left"/>
        <w:rPr>
          <w:rFonts w:hint="eastAsia" w:ascii="宋体" w:hAnsi="宋体" w:eastAsia="宋体" w:cs="宋体"/>
          <w:color w:val="auto"/>
          <w:sz w:val="15"/>
          <w:highlight w:val="none"/>
        </w:rPr>
      </w:pPr>
    </w:p>
    <w:p w14:paraId="660173B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B2BF35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F5C152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D365A0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31D2C8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97AF3E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939086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8C753B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55284C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A5FD20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D23356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165907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9D3C2E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4EFA4B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3BBEB1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0DEF58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32FB8E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A8F08C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5E0652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A5283B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FFD451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A8FCA6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83AB18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904086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8BA841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E8788E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2891AB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92F5F1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59F188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2A1DC9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20A5200">
      <w:pPr>
        <w:pStyle w:val="5"/>
        <w:keepNext w:val="0"/>
        <w:keepLines w:val="0"/>
        <w:tabs>
          <w:tab w:val="left" w:pos="3641"/>
        </w:tabs>
        <w:kinsoku w:val="0"/>
        <w:overflowPunct w:val="0"/>
        <w:bidi w:val="0"/>
        <w:spacing w:line="659" w:lineRule="exact"/>
        <w:ind w:left="1402"/>
        <w:jc w:val="left"/>
        <w:rPr>
          <w:rFonts w:hint="eastAsia" w:ascii="宋体" w:hAnsi="宋体" w:eastAsia="宋体" w:cs="宋体"/>
          <w:color w:val="auto"/>
          <w:highlight w:val="none"/>
        </w:rPr>
      </w:pPr>
      <w:bookmarkStart w:id="316" w:name="bookmark105"/>
      <w:bookmarkEnd w:id="316"/>
      <w:bookmarkStart w:id="317" w:name="_Toc22669"/>
      <w:bookmarkStart w:id="318" w:name="_Toc12470_WPSOffice_Level1"/>
      <w:r>
        <w:rPr>
          <w:rFonts w:hint="eastAsia" w:ascii="宋体" w:hAnsi="宋体" w:eastAsia="宋体" w:cs="宋体"/>
          <w:color w:val="auto"/>
          <w:spacing w:val="1"/>
          <w:highlight w:val="none"/>
        </w:rPr>
        <w:t>第</w:t>
      </w:r>
      <w:r>
        <w:rPr>
          <w:rFonts w:hint="eastAsia" w:ascii="宋体" w:hAnsi="宋体" w:eastAsia="宋体" w:cs="宋体"/>
          <w:color w:val="auto"/>
          <w:highlight w:val="none"/>
        </w:rPr>
        <w:t>四章</w:t>
      </w:r>
      <w:r>
        <w:rPr>
          <w:rFonts w:hint="eastAsia" w:ascii="宋体" w:hAnsi="宋体" w:eastAsia="宋体" w:cs="宋体"/>
          <w:color w:val="auto"/>
          <w:spacing w:val="1"/>
          <w:highlight w:val="none"/>
        </w:rPr>
        <w:t>合</w:t>
      </w:r>
      <w:r>
        <w:rPr>
          <w:rFonts w:hint="eastAsia" w:ascii="宋体" w:hAnsi="宋体" w:eastAsia="宋体" w:cs="宋体"/>
          <w:color w:val="auto"/>
          <w:highlight w:val="none"/>
        </w:rPr>
        <w:t>同条款</w:t>
      </w:r>
      <w:r>
        <w:rPr>
          <w:rFonts w:hint="eastAsia" w:ascii="宋体" w:hAnsi="宋体" w:eastAsia="宋体" w:cs="宋体"/>
          <w:color w:val="auto"/>
          <w:spacing w:val="1"/>
          <w:highlight w:val="none"/>
        </w:rPr>
        <w:t>及</w:t>
      </w:r>
      <w:r>
        <w:rPr>
          <w:rFonts w:hint="eastAsia" w:ascii="宋体" w:hAnsi="宋体" w:eastAsia="宋体" w:cs="宋体"/>
          <w:color w:val="auto"/>
          <w:highlight w:val="none"/>
        </w:rPr>
        <w:t>格式</w:t>
      </w:r>
      <w:bookmarkEnd w:id="317"/>
      <w:bookmarkEnd w:id="318"/>
    </w:p>
    <w:p w14:paraId="04CDBEEA">
      <w:pPr>
        <w:pStyle w:val="5"/>
        <w:keepNext w:val="0"/>
        <w:keepLines w:val="0"/>
        <w:tabs>
          <w:tab w:val="left" w:pos="3641"/>
        </w:tabs>
        <w:kinsoku w:val="0"/>
        <w:overflowPunct w:val="0"/>
        <w:bidi w:val="0"/>
        <w:spacing w:line="659" w:lineRule="exact"/>
        <w:ind w:left="1402"/>
        <w:rPr>
          <w:rFonts w:hint="eastAsia" w:ascii="宋体" w:hAnsi="宋体" w:eastAsia="宋体" w:cs="宋体"/>
          <w:color w:val="auto"/>
          <w:highlight w:val="none"/>
        </w:rPr>
        <w:sectPr>
          <w:pgSz w:w="11907" w:h="16838"/>
          <w:pgMar w:top="1134" w:right="1134" w:bottom="1134" w:left="1134" w:header="882" w:footer="1078" w:gutter="0"/>
          <w:lnNumType w:countBy="0" w:distance="360"/>
          <w:cols w:space="720" w:num="1"/>
        </w:sectPr>
      </w:pPr>
    </w:p>
    <w:p w14:paraId="50970807">
      <w:pPr>
        <w:pStyle w:val="7"/>
        <w:keepNext w:val="0"/>
        <w:keepLines w:val="0"/>
        <w:tabs>
          <w:tab w:val="left" w:pos="4083"/>
        </w:tabs>
        <w:kinsoku w:val="0"/>
        <w:overflowPunct w:val="0"/>
        <w:bidi w:val="0"/>
        <w:spacing w:line="501" w:lineRule="exact"/>
        <w:ind w:left="2475"/>
        <w:rPr>
          <w:rFonts w:hint="eastAsia" w:ascii="宋体" w:hAnsi="宋体" w:eastAsia="宋体" w:cs="宋体"/>
          <w:color w:val="auto"/>
          <w:highlight w:val="none"/>
        </w:rPr>
      </w:pPr>
      <w:bookmarkStart w:id="319" w:name="bookmark106"/>
      <w:bookmarkEnd w:id="319"/>
      <w:bookmarkStart w:id="320" w:name="_Toc10287_WPSOffice_Level2"/>
      <w:r>
        <w:rPr>
          <w:rFonts w:hint="eastAsia" w:ascii="宋体" w:hAnsi="宋体" w:eastAsia="宋体" w:cs="宋体"/>
          <w:b/>
          <w:bCs/>
          <w:color w:val="auto"/>
          <w:spacing w:val="2"/>
          <w:highlight w:val="none"/>
        </w:rPr>
        <w:t>第</w:t>
      </w:r>
      <w:r>
        <w:rPr>
          <w:rFonts w:hint="eastAsia" w:ascii="宋体" w:hAnsi="宋体" w:eastAsia="宋体" w:cs="宋体"/>
          <w:b/>
          <w:bCs/>
          <w:color w:val="auto"/>
          <w:highlight w:val="none"/>
        </w:rPr>
        <w:t>一节</w:t>
      </w:r>
      <w:r>
        <w:rPr>
          <w:rFonts w:hint="eastAsia" w:ascii="宋体" w:hAnsi="宋体" w:eastAsia="宋体" w:cs="宋体"/>
          <w:b/>
          <w:bCs/>
          <w:color w:val="auto"/>
          <w:highlight w:val="none"/>
        </w:rPr>
        <w:tab/>
      </w:r>
      <w:r>
        <w:rPr>
          <w:rFonts w:hint="eastAsia" w:ascii="宋体" w:hAnsi="宋体" w:eastAsia="宋体" w:cs="宋体"/>
          <w:b/>
          <w:bCs/>
          <w:color w:val="auto"/>
          <w:highlight w:val="none"/>
        </w:rPr>
        <w:t>通用</w:t>
      </w:r>
      <w:r>
        <w:rPr>
          <w:rFonts w:hint="eastAsia" w:ascii="宋体" w:hAnsi="宋体" w:eastAsia="宋体" w:cs="宋体"/>
          <w:b/>
          <w:bCs/>
          <w:color w:val="auto"/>
          <w:spacing w:val="2"/>
          <w:highlight w:val="none"/>
        </w:rPr>
        <w:t>合</w:t>
      </w:r>
      <w:r>
        <w:rPr>
          <w:rFonts w:hint="eastAsia" w:ascii="宋体" w:hAnsi="宋体" w:eastAsia="宋体" w:cs="宋体"/>
          <w:b/>
          <w:bCs/>
          <w:color w:val="auto"/>
          <w:highlight w:val="none"/>
        </w:rPr>
        <w:t>同条款</w:t>
      </w:r>
      <w:bookmarkEnd w:id="320"/>
    </w:p>
    <w:p w14:paraId="5C47C4BD">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321" w:name="bookmark107"/>
      <w:bookmarkEnd w:id="321"/>
      <w:bookmarkStart w:id="322" w:name="_Toc482188546"/>
      <w:bookmarkStart w:id="323" w:name="_Toc503518000"/>
      <w:bookmarkStart w:id="324" w:name="_Toc492300639"/>
      <w:r>
        <w:rPr>
          <w:rFonts w:hint="eastAsia" w:ascii="宋体" w:hAnsi="宋体" w:eastAsia="宋体" w:cs="宋体"/>
          <w:b/>
          <w:color w:val="auto"/>
          <w:kern w:val="21"/>
          <w:sz w:val="28"/>
          <w:highlight w:val="none"/>
        </w:rPr>
        <w:t>1.一般约定</w:t>
      </w:r>
      <w:bookmarkEnd w:id="322"/>
      <w:bookmarkEnd w:id="323"/>
      <w:bookmarkEnd w:id="324"/>
    </w:p>
    <w:p w14:paraId="2EA2F11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25" w:name="_Toc482188547"/>
      <w:bookmarkStart w:id="326" w:name="_Toc492300640"/>
      <w:r>
        <w:rPr>
          <w:rFonts w:hint="eastAsia" w:ascii="宋体" w:hAnsi="宋体" w:eastAsia="宋体" w:cs="宋体"/>
          <w:b/>
          <w:color w:val="auto"/>
          <w:kern w:val="21"/>
          <w:sz w:val="24"/>
          <w:highlight w:val="none"/>
        </w:rPr>
        <w:t>1.1词语定义</w:t>
      </w:r>
      <w:bookmarkEnd w:id="325"/>
      <w:bookmarkEnd w:id="326"/>
    </w:p>
    <w:p w14:paraId="392CBFD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通用合同条款、专用合同条款中的下列词语应具有本款所赋予的含义。</w:t>
      </w:r>
    </w:p>
    <w:p w14:paraId="65CE79A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1.1.1合同</w:t>
      </w:r>
    </w:p>
    <w:p w14:paraId="2FBFEA6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1.1.1.1合同文件（或称合同）：指合同协议书、中标通知书、投标函和投标函附录、专用合同条款、通用合同条款、委托人要求、监理报酬清单、监理大纲，以及其他构成合同组成部分的文件。</w:t>
      </w:r>
    </w:p>
    <w:p w14:paraId="48F211F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1.1.1.2合同协议书：指委托人和监理人共同签署的合同协议书。</w:t>
      </w:r>
    </w:p>
    <w:p w14:paraId="0524561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1.1.1.3中标通知书：指委托人通知监理人中标的函件。</w:t>
      </w:r>
    </w:p>
    <w:p w14:paraId="1BA093E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1.1.1.4投标函：指由监理人填写并签署的，名为“投标函”的函件。</w:t>
      </w:r>
    </w:p>
    <w:p w14:paraId="418AD46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1.1.1.5投标函附录：指由监理人填写并签署的、附在投标函后，名为“投标函附录”的函件。</w:t>
      </w:r>
    </w:p>
    <w:p w14:paraId="11412F1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1.1.1.6委托人要求：指合同文件中名为“委托人要求”的文件。</w:t>
      </w:r>
    </w:p>
    <w:p w14:paraId="75C4635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1.1.1.7监理大纲：指监理人在投标文件中的监理大纲。</w:t>
      </w:r>
    </w:p>
    <w:p w14:paraId="7BA88C1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1.1.1.8监理报酬清单：指监理人投标文件中的监理报酬清单。</w:t>
      </w:r>
    </w:p>
    <w:p w14:paraId="1AC6C1B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1.1.1.9其他合同文件：指经合同双方当事人确认构成合同文件的其他文件。</w:t>
      </w:r>
    </w:p>
    <w:p w14:paraId="390BEBB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1.1.2合同当事人和人员</w:t>
      </w:r>
    </w:p>
    <w:p w14:paraId="0A454EF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1.1.2.1合同当事人：指委托人和（或）监理人。</w:t>
      </w:r>
    </w:p>
    <w:p w14:paraId="0E7F7B8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1.1.2.2委托人：指与监理人签订合同协议书的当事人，及其合法继承人。</w:t>
      </w:r>
    </w:p>
    <w:p w14:paraId="3B5E96D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1.1.2.3监理人：指与委托人签订合同协议书的当事人，及其合法继承人。</w:t>
      </w:r>
    </w:p>
    <w:p w14:paraId="2DB3775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1.1.2.4委托人代表：指由委托人任命，并在授权范围和期限内代表委托人行使权利和履行义务的全权负责人。</w:t>
      </w:r>
    </w:p>
    <w:p w14:paraId="67BFF72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1.1.2.5总监理工程师：指由监理人任命，代表监理人行使权利和履行义务的全权负责人。</w:t>
      </w:r>
    </w:p>
    <w:p w14:paraId="2440E96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1.1.2.6承包人：指在本工程监理范围内，与委托人签订勘察、设计、施工承包合同的当事人。</w:t>
      </w:r>
    </w:p>
    <w:p w14:paraId="45D981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1.1.3工程和监理</w:t>
      </w:r>
    </w:p>
    <w:p w14:paraId="04B31C9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1.1.3.1工程：指永久工程和（或）临时工程。</w:t>
      </w:r>
    </w:p>
    <w:p w14:paraId="31A5F2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1.1.3.2监理服务：指监理人接受委托人的委托，依照法律、规范标准和监理合同等，对建设工程勘察、设计或施工等阶段进行质量控制、进度控制、投资控制、合同管理、信息管理、组织协调和安全监理、环保监理的服务活动。</w:t>
      </w:r>
    </w:p>
    <w:p w14:paraId="0738271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1.1.3.3监理资料：是委托人按合同约定向监理人提供的，用于完成监理范围与内容所需要的资料。</w:t>
      </w:r>
    </w:p>
    <w:p w14:paraId="5B9302B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1.1.3.4监理文件：指监理人按合同约定向委托人提交的监理大纲、监理规划、监理实施细则、监理日志、监理报告、工程质量评估报告、事故处理文件、监理工作总结和其他文件等，包括阶段性文件和最终文件，且应当采用合同中双方约定的格式和载体。</w:t>
      </w:r>
    </w:p>
    <w:p w14:paraId="7217A3A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1.1.4日期</w:t>
      </w:r>
    </w:p>
    <w:p w14:paraId="3CF58E8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1.1.4.1开始监理通知：指委托人按第6.1款通知监理人开始监理的函件。</w:t>
      </w:r>
    </w:p>
    <w:p w14:paraId="044AB4E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1.1.4.2开始监理日期：指委托人按第6.1款发出的开始监理通知中写明的开始监理日期。</w:t>
      </w:r>
    </w:p>
    <w:p w14:paraId="7B539F8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1.1.4.3监理服务期限：指监理人在投标函中承诺的完成合同监理服务所需的期限，包括按第6.2款约定所作的调整。</w:t>
      </w:r>
    </w:p>
    <w:p w14:paraId="7A7B5D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1.1.4.4完成监理日期：指第1.1.4.3目约定监理服务期限届满时的日期。</w:t>
      </w:r>
    </w:p>
    <w:p w14:paraId="04C6BD3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1.1.4.5基准日：指投标截止时间前28天的日期。</w:t>
      </w:r>
    </w:p>
    <w:p w14:paraId="63829AF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1.1.4.6天：除特别指明外，指日历天。合同中按天计算时间的，开始当天不计入，从次日开始计算。期限最后一天的截止时间为当天24:00。</w:t>
      </w:r>
    </w:p>
    <w:p w14:paraId="2A0435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1.1.5合同价格和费用</w:t>
      </w:r>
    </w:p>
    <w:p w14:paraId="70B833D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1.1.5.1签约合同价：指签订合同时合同协议书中写明的监理报酬总金额。</w:t>
      </w:r>
    </w:p>
    <w:p w14:paraId="70B13A0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1.1.5.2合同价格：指监理人按合同约定完成了全部监理工作后，委托人应付给监理人的金额，包括在履行合同过程中按合同约定进行的变更和调整。</w:t>
      </w:r>
    </w:p>
    <w:p w14:paraId="5A09660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1.1.5.3费用：指为履行合同所发生的或将要发生的所有合理开支，包括管理费和应分摊的其他费用，但不包括利润。</w:t>
      </w:r>
    </w:p>
    <w:p w14:paraId="38A13B8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1.1.6其他</w:t>
      </w:r>
    </w:p>
    <w:p w14:paraId="47B41ED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1.1.6.1书面形式：指合同文件、信件和数据电文（包括电报、电传、传真、电子数据交换和电子邮件）等可以有形地表现所载内容的形式。</w:t>
      </w:r>
    </w:p>
    <w:p w14:paraId="44E6743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27" w:name="_Toc492300641"/>
      <w:bookmarkStart w:id="328" w:name="_Toc482188548"/>
      <w:r>
        <w:rPr>
          <w:rFonts w:hint="eastAsia" w:ascii="宋体" w:hAnsi="宋体" w:eastAsia="宋体" w:cs="宋体"/>
          <w:b/>
          <w:color w:val="auto"/>
          <w:kern w:val="21"/>
          <w:sz w:val="24"/>
          <w:highlight w:val="none"/>
        </w:rPr>
        <w:t>1.2语言文字</w:t>
      </w:r>
      <w:bookmarkEnd w:id="327"/>
      <w:bookmarkEnd w:id="328"/>
    </w:p>
    <w:p w14:paraId="34FC337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合同使用的语言文字为中文。专用术语使用外文的，应附有中文注释。</w:t>
      </w:r>
    </w:p>
    <w:p w14:paraId="67D59E8F">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29" w:name="_Toc482188549"/>
      <w:bookmarkStart w:id="330" w:name="_Toc492300642"/>
      <w:r>
        <w:rPr>
          <w:rFonts w:hint="eastAsia" w:ascii="宋体" w:hAnsi="宋体" w:eastAsia="宋体" w:cs="宋体"/>
          <w:b/>
          <w:color w:val="auto"/>
          <w:kern w:val="21"/>
          <w:sz w:val="24"/>
          <w:highlight w:val="none"/>
        </w:rPr>
        <w:t>1.3适用法律</w:t>
      </w:r>
      <w:bookmarkEnd w:id="329"/>
      <w:bookmarkEnd w:id="330"/>
    </w:p>
    <w:p w14:paraId="632EA4A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适用于合同的法律包括中华人民共和国法律、行政法规、部门规章，以及工程所在地的地方法规、自治条例、单行条例和地方政府规章。</w:t>
      </w:r>
    </w:p>
    <w:p w14:paraId="02D8B80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本合同适用的其他规范性文件，可在专用合同条款中约定。</w:t>
      </w:r>
    </w:p>
    <w:p w14:paraId="0673426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31" w:name="_Toc492300643"/>
      <w:bookmarkStart w:id="332" w:name="_Toc482188550"/>
      <w:r>
        <w:rPr>
          <w:rFonts w:hint="eastAsia" w:ascii="宋体" w:hAnsi="宋体" w:eastAsia="宋体" w:cs="宋体"/>
          <w:b/>
          <w:color w:val="auto"/>
          <w:kern w:val="21"/>
          <w:sz w:val="24"/>
          <w:highlight w:val="none"/>
        </w:rPr>
        <w:t>1.4合同文件的优先顺序</w:t>
      </w:r>
      <w:bookmarkEnd w:id="331"/>
      <w:bookmarkEnd w:id="332"/>
    </w:p>
    <w:p w14:paraId="30A5AD3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组成合同的各项文件应互相解释，互为说明。除专用合同条款另有约定外，解释合同文件的优先顺序如下：</w:t>
      </w:r>
    </w:p>
    <w:p w14:paraId="7D2B3F7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（1）合同协议书；</w:t>
      </w:r>
    </w:p>
    <w:p w14:paraId="5F5F051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（2）中标通知书；</w:t>
      </w:r>
    </w:p>
    <w:p w14:paraId="451DC6F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（3）投标函及投标函附录；</w:t>
      </w:r>
    </w:p>
    <w:p w14:paraId="679C383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（4）专用合同条款；</w:t>
      </w:r>
    </w:p>
    <w:p w14:paraId="61F4984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（5）通用合同条款；</w:t>
      </w:r>
    </w:p>
    <w:p w14:paraId="5EE1019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（6）委托人要求；</w:t>
      </w:r>
    </w:p>
    <w:p w14:paraId="7FC6C8F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（7）监理报酬清单；</w:t>
      </w:r>
    </w:p>
    <w:p w14:paraId="7BB97E9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（8）监理大纲；</w:t>
      </w:r>
    </w:p>
    <w:p w14:paraId="10E724A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（9）其他合同文件。</w:t>
      </w:r>
    </w:p>
    <w:p w14:paraId="3DCB727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33" w:name="_Toc492300644"/>
      <w:bookmarkStart w:id="334" w:name="_Toc482188551"/>
      <w:r>
        <w:rPr>
          <w:rFonts w:hint="eastAsia" w:ascii="宋体" w:hAnsi="宋体" w:eastAsia="宋体" w:cs="宋体"/>
          <w:b/>
          <w:color w:val="auto"/>
          <w:kern w:val="21"/>
          <w:sz w:val="24"/>
          <w:highlight w:val="none"/>
        </w:rPr>
        <w:t>1.5合同协议书</w:t>
      </w:r>
      <w:bookmarkEnd w:id="333"/>
      <w:bookmarkEnd w:id="334"/>
    </w:p>
    <w:p w14:paraId="1646A48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监理人按中标通知书规定的时间与委托人签订合同协议书。除法律另有规定或合同另有约定外，委托人和监理人的法定代表人或其委托代理人在合同协议书上签字并盖单位章后，合同生效。</w:t>
      </w:r>
    </w:p>
    <w:p w14:paraId="4598D0D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35" w:name="_Toc482188552"/>
      <w:bookmarkStart w:id="336" w:name="_Toc492300645"/>
      <w:r>
        <w:rPr>
          <w:rFonts w:hint="eastAsia" w:ascii="宋体" w:hAnsi="宋体" w:eastAsia="宋体" w:cs="宋体"/>
          <w:b/>
          <w:color w:val="auto"/>
          <w:kern w:val="21"/>
          <w:sz w:val="24"/>
          <w:highlight w:val="none"/>
        </w:rPr>
        <w:t>1.6文件的提供和照管</w:t>
      </w:r>
      <w:bookmarkEnd w:id="335"/>
      <w:bookmarkEnd w:id="336"/>
    </w:p>
    <w:p w14:paraId="5EDFCE7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1.6.1监理文件的提供</w:t>
      </w:r>
    </w:p>
    <w:p w14:paraId="42BD2F0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除专用合同条款另有约定外，监理人应在合理的期限内按照合同约定的数量向委托人提供监理文件。合同约定监理文件应经委托人批复的，委托人应当在合同约定的期限内批复或提出修改意见。</w:t>
      </w:r>
    </w:p>
    <w:p w14:paraId="50A26B8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1.6.2委托人提供的文件</w:t>
      </w:r>
    </w:p>
    <w:p w14:paraId="2810BB0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按专用合同条款约定由委托人提供的文件，包括规范标准、承包合同、勘察文件、设计文件等，委托人应按约定的数量和期限交给监理人。由于委托人未按时提供文件造成监理服务期限延误的，按第6.2款约定执行。</w:t>
      </w:r>
    </w:p>
    <w:p w14:paraId="3893252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1.6.3文件错误的通知</w:t>
      </w:r>
    </w:p>
    <w:p w14:paraId="4E91E8E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任何一方当事人发现文件中存在的明显错误或疏忽，均应及时通知对方当事人，并应立即采取适当的措施防止损失扩大。</w:t>
      </w:r>
    </w:p>
    <w:p w14:paraId="78B4409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1.6.4文件的照管</w:t>
      </w:r>
    </w:p>
    <w:p w14:paraId="136D3B1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监理人应在现场保留一份合同文件、监理文件、委托人要求中的所列文件、以及其他根据合同收发的往来信函，以备委托人和行政管理部门查阅使用。</w:t>
      </w:r>
    </w:p>
    <w:p w14:paraId="5259BF9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37" w:name="_Toc492300646"/>
      <w:bookmarkStart w:id="338" w:name="_Toc482188553"/>
      <w:r>
        <w:rPr>
          <w:rFonts w:hint="eastAsia" w:ascii="宋体" w:hAnsi="宋体" w:eastAsia="宋体" w:cs="宋体"/>
          <w:b/>
          <w:color w:val="auto"/>
          <w:kern w:val="21"/>
          <w:sz w:val="24"/>
          <w:highlight w:val="none"/>
        </w:rPr>
        <w:t>1.7联络</w:t>
      </w:r>
      <w:bookmarkEnd w:id="337"/>
      <w:bookmarkEnd w:id="338"/>
    </w:p>
    <w:p w14:paraId="386D418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1.7.1与合同有关的通知、批准、证明、证书、指示、要求、请求、同意、意见、确定和决定等，均应采用书面形式。</w:t>
      </w:r>
    </w:p>
    <w:p w14:paraId="066AA3B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1.7.2上述通知、批准、证明、证书、指示、要求、请求、同意、意见、确定和决定等来往函件，均应在合同约定的期限内送达指定的地点和指定的接收人，并办理签收手续。</w:t>
      </w:r>
    </w:p>
    <w:p w14:paraId="6FC5B0F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39" w:name="_Toc492300647"/>
      <w:bookmarkStart w:id="340" w:name="_Toc482188554"/>
      <w:r>
        <w:rPr>
          <w:rFonts w:hint="eastAsia" w:ascii="宋体" w:hAnsi="宋体" w:eastAsia="宋体" w:cs="宋体"/>
          <w:b/>
          <w:color w:val="auto"/>
          <w:kern w:val="21"/>
          <w:sz w:val="24"/>
          <w:highlight w:val="none"/>
        </w:rPr>
        <w:t>1.8转让</w:t>
      </w:r>
      <w:bookmarkEnd w:id="339"/>
      <w:bookmarkEnd w:id="340"/>
    </w:p>
    <w:p w14:paraId="5A7606B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除专用合同条款另有约定外，未经对方当事人同意，一方当事人不得将合同权利全部或部分转让给第三人，也不得全部或部分转移合同义务。</w:t>
      </w:r>
    </w:p>
    <w:p w14:paraId="013B2A7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41" w:name="_Toc482188555"/>
      <w:bookmarkStart w:id="342" w:name="_Toc492300648"/>
      <w:r>
        <w:rPr>
          <w:rFonts w:hint="eastAsia" w:ascii="宋体" w:hAnsi="宋体" w:eastAsia="宋体" w:cs="宋体"/>
          <w:b/>
          <w:color w:val="auto"/>
          <w:kern w:val="21"/>
          <w:sz w:val="24"/>
          <w:highlight w:val="none"/>
        </w:rPr>
        <w:t>1.9严禁贿赂</w:t>
      </w:r>
      <w:bookmarkEnd w:id="341"/>
      <w:bookmarkEnd w:id="342"/>
    </w:p>
    <w:p w14:paraId="3C0BC18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合同双方当事人不得以贿赂或变相贿赂的方式，谋取不当利益或损害对方权益。因贿赂造成对方当事人损失的，行为人应当赔偿损失，并承担相应的法律责任。</w:t>
      </w:r>
    </w:p>
    <w:p w14:paraId="6BBC3B0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43" w:name="_Toc492300649"/>
      <w:bookmarkStart w:id="344" w:name="_Toc482188556"/>
      <w:r>
        <w:rPr>
          <w:rFonts w:hint="eastAsia" w:ascii="宋体" w:hAnsi="宋体" w:eastAsia="宋体" w:cs="宋体"/>
          <w:b/>
          <w:color w:val="auto"/>
          <w:kern w:val="21"/>
          <w:sz w:val="24"/>
          <w:highlight w:val="none"/>
        </w:rPr>
        <w:t>1.10知识产权</w:t>
      </w:r>
      <w:bookmarkEnd w:id="343"/>
      <w:bookmarkEnd w:id="344"/>
    </w:p>
    <w:p w14:paraId="12AA27B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1.10.1除专用合同条款另有约定外，监理人完成的监理工作成果，除署名权以外的著作权和其他知识产权均归委托人享有。</w:t>
      </w:r>
    </w:p>
    <w:p w14:paraId="2B181D8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1.10.2监理人从事监理活动时不得侵犯他人的知识产权。因侵犯专利权或其他知识产权所引起的责任，由监理人自行承担。因委托人提供的监理资料导致侵权的，由委托人承担责任。</w:t>
      </w:r>
    </w:p>
    <w:p w14:paraId="0FE8B3A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1.10.3监理人在投标文件中采用专利技术、专有技术的，相应的使用费视为已包含在投标报价之中。</w:t>
      </w:r>
    </w:p>
    <w:p w14:paraId="30DFD47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45" w:name="_Toc482188557"/>
      <w:bookmarkStart w:id="346" w:name="_Toc492300650"/>
      <w:r>
        <w:rPr>
          <w:rFonts w:hint="eastAsia" w:ascii="宋体" w:hAnsi="宋体" w:eastAsia="宋体" w:cs="宋体"/>
          <w:b/>
          <w:color w:val="auto"/>
          <w:kern w:val="21"/>
          <w:sz w:val="24"/>
          <w:highlight w:val="none"/>
        </w:rPr>
        <w:t>1.11文件及信息的保密</w:t>
      </w:r>
      <w:bookmarkEnd w:id="345"/>
      <w:bookmarkEnd w:id="346"/>
    </w:p>
    <w:p w14:paraId="51A56C8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未经对方同意，任何一方当事人不得将有关文件、技术秘密、需要保密的资料和信息泄露给他人或公开发表与引用。</w:t>
      </w:r>
    </w:p>
    <w:p w14:paraId="76FF33CD">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47" w:name="_Toc482188558"/>
      <w:bookmarkStart w:id="348" w:name="_Toc492300651"/>
      <w:r>
        <w:rPr>
          <w:rFonts w:hint="eastAsia" w:ascii="宋体" w:hAnsi="宋体" w:eastAsia="宋体" w:cs="宋体"/>
          <w:b/>
          <w:color w:val="auto"/>
          <w:kern w:val="21"/>
          <w:sz w:val="24"/>
          <w:highlight w:val="none"/>
        </w:rPr>
        <w:t>1.12</w:t>
      </w:r>
      <w:bookmarkEnd w:id="347"/>
      <w:r>
        <w:rPr>
          <w:rFonts w:hint="eastAsia" w:ascii="宋体" w:hAnsi="宋体" w:eastAsia="宋体" w:cs="宋体"/>
          <w:b/>
          <w:color w:val="auto"/>
          <w:kern w:val="21"/>
          <w:sz w:val="24"/>
          <w:highlight w:val="none"/>
        </w:rPr>
        <w:t>委托人要求</w:t>
      </w:r>
      <w:bookmarkEnd w:id="348"/>
    </w:p>
    <w:p w14:paraId="4F256E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1.12.1监理人应认真阅读、复核委托人要求，发现错误的，应及时书面通知委托人。无论是否存在错误，委托人均有权修改委托人要求，并在修改后3天内通知监理人。除专用合同</w:t>
      </w:r>
      <w:bookmarkStart w:id="349" w:name="_Toc247514048"/>
      <w:bookmarkStart w:id="350" w:name="_Toc300835045"/>
      <w:bookmarkStart w:id="351" w:name="_Toc265955390"/>
      <w:bookmarkStart w:id="352" w:name="_Toc247527649"/>
      <w:r>
        <w:rPr>
          <w:rFonts w:hint="eastAsia" w:ascii="宋体" w:hAnsi="宋体" w:eastAsia="宋体" w:cs="宋体"/>
          <w:color w:val="auto"/>
          <w:kern w:val="21"/>
          <w:sz w:val="24"/>
          <w:highlight w:val="none"/>
        </w:rPr>
        <w:t>条款另有约定外，由此</w:t>
      </w:r>
      <w:bookmarkEnd w:id="349"/>
      <w:bookmarkEnd w:id="350"/>
      <w:bookmarkEnd w:id="351"/>
      <w:bookmarkEnd w:id="352"/>
      <w:r>
        <w:rPr>
          <w:rFonts w:hint="eastAsia" w:ascii="宋体" w:hAnsi="宋体" w:eastAsia="宋体" w:cs="宋体"/>
          <w:color w:val="auto"/>
          <w:kern w:val="21"/>
          <w:sz w:val="24"/>
          <w:highlight w:val="none"/>
        </w:rPr>
        <w:t>导致监理人费用增加和（或）周期延误的，委托人应当相应地增加费用和（或）延长周期。</w:t>
      </w:r>
    </w:p>
    <w:p w14:paraId="44353A2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1.12.2如果委托人要求违反法律规定，监理人应在发现后及时书面通知委托人，要求其改正。委托人收到通知书后不予改正或不予答复的，监理人有权拒绝履行合同义务，直至解除合同；由此引起的监理人的全部损失由委托人承担。</w:t>
      </w:r>
    </w:p>
    <w:p w14:paraId="2808365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1.12.3委托人要求采用国外规范和标准进行监理时，应由委托人负责提供该规范和标准的外国文本和中文译本，提供的时间、份数和其他要求在专用合同条款中约定。</w:t>
      </w:r>
    </w:p>
    <w:p w14:paraId="487BD370">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353" w:name="_Toc482188559"/>
      <w:bookmarkStart w:id="354" w:name="_Toc492300652"/>
      <w:bookmarkStart w:id="355" w:name="_Toc503518001"/>
      <w:r>
        <w:rPr>
          <w:rFonts w:hint="eastAsia" w:ascii="宋体" w:hAnsi="宋体" w:eastAsia="宋体" w:cs="宋体"/>
          <w:b/>
          <w:color w:val="auto"/>
          <w:kern w:val="21"/>
          <w:sz w:val="28"/>
          <w:highlight w:val="none"/>
        </w:rPr>
        <w:t>2.委托人义务</w:t>
      </w:r>
      <w:bookmarkEnd w:id="353"/>
      <w:bookmarkEnd w:id="354"/>
      <w:bookmarkEnd w:id="355"/>
    </w:p>
    <w:p w14:paraId="67ED1A5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56" w:name="_Toc482188560"/>
      <w:bookmarkStart w:id="357" w:name="_Toc492300653"/>
      <w:r>
        <w:rPr>
          <w:rFonts w:hint="eastAsia" w:ascii="宋体" w:hAnsi="宋体" w:eastAsia="宋体" w:cs="宋体"/>
          <w:b/>
          <w:color w:val="auto"/>
          <w:kern w:val="21"/>
          <w:sz w:val="24"/>
          <w:highlight w:val="none"/>
        </w:rPr>
        <w:t>2.1遵守法律</w:t>
      </w:r>
      <w:bookmarkEnd w:id="356"/>
      <w:bookmarkEnd w:id="357"/>
    </w:p>
    <w:p w14:paraId="2DE913B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委托人在履行合同过程中应遵守法律，并保证监理人免于承担因委托人违反法律而引起的</w:t>
      </w:r>
      <w:bookmarkStart w:id="358" w:name="_Toc184635099"/>
      <w:bookmarkStart w:id="359" w:name="_Toc370281722"/>
      <w:bookmarkStart w:id="360" w:name="_Toc247527650"/>
      <w:bookmarkStart w:id="361" w:name="_Toc300835048"/>
      <w:bookmarkStart w:id="362" w:name="_Toc247514049"/>
      <w:bookmarkStart w:id="363" w:name="_Toc385942918"/>
      <w:bookmarkStart w:id="364" w:name="_Toc385592087"/>
      <w:r>
        <w:rPr>
          <w:rFonts w:hint="eastAsia" w:ascii="宋体" w:hAnsi="宋体" w:eastAsia="宋体" w:cs="宋体"/>
          <w:color w:val="auto"/>
          <w:kern w:val="21"/>
          <w:sz w:val="24"/>
          <w:highlight w:val="none"/>
        </w:rPr>
        <w:t>任何责任。</w:t>
      </w:r>
    </w:p>
    <w:p w14:paraId="6B5B175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65" w:name="_Toc492300654"/>
      <w:bookmarkStart w:id="366" w:name="_Toc482188561"/>
      <w:r>
        <w:rPr>
          <w:rFonts w:hint="eastAsia" w:ascii="宋体" w:hAnsi="宋体" w:eastAsia="宋体" w:cs="宋体"/>
          <w:b/>
          <w:color w:val="auto"/>
          <w:kern w:val="21"/>
          <w:sz w:val="24"/>
          <w:highlight w:val="none"/>
        </w:rPr>
        <w:t>2</w:t>
      </w:r>
      <w:bookmarkEnd w:id="358"/>
      <w:bookmarkEnd w:id="359"/>
      <w:bookmarkEnd w:id="360"/>
      <w:bookmarkEnd w:id="361"/>
      <w:bookmarkEnd w:id="362"/>
      <w:bookmarkEnd w:id="363"/>
      <w:bookmarkEnd w:id="364"/>
      <w:r>
        <w:rPr>
          <w:rFonts w:hint="eastAsia" w:ascii="宋体" w:hAnsi="宋体" w:eastAsia="宋体" w:cs="宋体"/>
          <w:b/>
          <w:color w:val="auto"/>
          <w:kern w:val="21"/>
          <w:sz w:val="24"/>
          <w:highlight w:val="none"/>
        </w:rPr>
        <w:t>.2</w:t>
      </w:r>
      <w:bookmarkStart w:id="367" w:name="_Toc247514050"/>
      <w:bookmarkStart w:id="368" w:name="_Toc300835049"/>
      <w:bookmarkStart w:id="369" w:name="_Toc247527651"/>
      <w:bookmarkStart w:id="370" w:name="_Toc370281723"/>
      <w:bookmarkStart w:id="371" w:name="_Toc385942919"/>
      <w:bookmarkStart w:id="372" w:name="_Toc247514053"/>
      <w:bookmarkStart w:id="373" w:name="_Toc247527654"/>
      <w:bookmarkStart w:id="374" w:name="_Toc300835052"/>
      <w:r>
        <w:rPr>
          <w:rFonts w:hint="eastAsia" w:ascii="宋体" w:hAnsi="宋体" w:eastAsia="宋体" w:cs="宋体"/>
          <w:b/>
          <w:color w:val="auto"/>
          <w:kern w:val="21"/>
          <w:sz w:val="24"/>
          <w:highlight w:val="none"/>
        </w:rPr>
        <w:t>发出开始监理通</w:t>
      </w:r>
      <w:bookmarkEnd w:id="367"/>
      <w:bookmarkEnd w:id="368"/>
      <w:bookmarkEnd w:id="369"/>
      <w:r>
        <w:rPr>
          <w:rFonts w:hint="eastAsia" w:ascii="宋体" w:hAnsi="宋体" w:eastAsia="宋体" w:cs="宋体"/>
          <w:b/>
          <w:color w:val="auto"/>
          <w:kern w:val="21"/>
          <w:sz w:val="24"/>
          <w:highlight w:val="none"/>
        </w:rPr>
        <w:t>知</w:t>
      </w:r>
      <w:bookmarkEnd w:id="365"/>
      <w:bookmarkEnd w:id="366"/>
    </w:p>
    <w:p w14:paraId="6B1F691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委托人应按第6.1款的约定向监理人发出开始监理通知。</w:t>
      </w:r>
    </w:p>
    <w:p w14:paraId="2DC5CEE1">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2.3提供设备、设施</w:t>
      </w:r>
    </w:p>
    <w:p w14:paraId="0E350B8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除专用合同条款另有约定外，委托人应为监理人的现场人员，在监理期间提供办公房间、办公桌椅、互联网接口、冷暖设施、生活设施、进出现场交通服务和其他便利条件。</w:t>
      </w:r>
    </w:p>
    <w:p w14:paraId="0437DEE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75" w:name="_Toc492300655"/>
      <w:bookmarkStart w:id="376" w:name="_Toc482188562"/>
      <w:r>
        <w:rPr>
          <w:rFonts w:hint="eastAsia" w:ascii="宋体" w:hAnsi="宋体" w:eastAsia="宋体" w:cs="宋体"/>
          <w:b/>
          <w:color w:val="auto"/>
          <w:kern w:val="21"/>
          <w:sz w:val="24"/>
          <w:highlight w:val="none"/>
        </w:rPr>
        <w:t>2.</w:t>
      </w:r>
      <w:bookmarkStart w:id="377" w:name="_Toc247527653"/>
      <w:bookmarkStart w:id="378" w:name="_Toc247514052"/>
      <w:bookmarkStart w:id="379" w:name="_Toc300835051"/>
      <w:r>
        <w:rPr>
          <w:rFonts w:hint="eastAsia" w:ascii="宋体" w:hAnsi="宋体" w:eastAsia="宋体" w:cs="宋体"/>
          <w:b/>
          <w:color w:val="auto"/>
          <w:kern w:val="21"/>
          <w:sz w:val="24"/>
          <w:highlight w:val="none"/>
        </w:rPr>
        <w:t>4办理证件</w:t>
      </w:r>
      <w:bookmarkEnd w:id="377"/>
      <w:bookmarkEnd w:id="378"/>
      <w:bookmarkEnd w:id="379"/>
      <w:r>
        <w:rPr>
          <w:rFonts w:hint="eastAsia" w:ascii="宋体" w:hAnsi="宋体" w:eastAsia="宋体" w:cs="宋体"/>
          <w:b/>
          <w:color w:val="auto"/>
          <w:kern w:val="21"/>
          <w:sz w:val="24"/>
          <w:highlight w:val="none"/>
        </w:rPr>
        <w:t>和批件</w:t>
      </w:r>
      <w:bookmarkEnd w:id="375"/>
      <w:bookmarkEnd w:id="376"/>
    </w:p>
    <w:p w14:paraId="2476421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法律规定和（或）合同约定由委托人负责办理的工程建设项目必须履行的各类审批、核准或备案手续，委托人应当按时办理，监理人应给予必要的协助。</w:t>
      </w:r>
    </w:p>
    <w:p w14:paraId="77AD242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法律规定和（或）合同约定由监理人负责办理的监理所需的证件和批件，委托人应给予必要的协助。</w:t>
      </w:r>
    </w:p>
    <w:p w14:paraId="339E9D5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80" w:name="_Toc482188563"/>
      <w:bookmarkStart w:id="381" w:name="_Toc492300656"/>
      <w:r>
        <w:rPr>
          <w:rFonts w:hint="eastAsia" w:ascii="宋体" w:hAnsi="宋体" w:eastAsia="宋体" w:cs="宋体"/>
          <w:b/>
          <w:color w:val="auto"/>
          <w:kern w:val="21"/>
          <w:sz w:val="24"/>
          <w:highlight w:val="none"/>
        </w:rPr>
        <w:t>2.5支付合同价款</w:t>
      </w:r>
      <w:bookmarkEnd w:id="380"/>
      <w:bookmarkEnd w:id="381"/>
    </w:p>
    <w:p w14:paraId="7F89477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委托人应按合同约定向监理人及时支付合同价款。</w:t>
      </w:r>
    </w:p>
    <w:p w14:paraId="15D2DC3D">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82" w:name="_Toc474833987"/>
      <w:bookmarkStart w:id="383" w:name="_Toc482188564"/>
      <w:bookmarkStart w:id="384" w:name="_Toc492300657"/>
      <w:r>
        <w:rPr>
          <w:rFonts w:hint="eastAsia" w:ascii="宋体" w:hAnsi="宋体" w:eastAsia="宋体" w:cs="宋体"/>
          <w:b/>
          <w:color w:val="auto"/>
          <w:kern w:val="21"/>
          <w:sz w:val="24"/>
          <w:highlight w:val="none"/>
        </w:rPr>
        <w:t>2.6提供监理资料</w:t>
      </w:r>
      <w:bookmarkEnd w:id="382"/>
      <w:bookmarkEnd w:id="383"/>
      <w:bookmarkEnd w:id="384"/>
    </w:p>
    <w:p w14:paraId="3299D40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委托人应按第1.6.2项的约定向监理人提供监理资料。</w:t>
      </w:r>
    </w:p>
    <w:bookmarkEnd w:id="370"/>
    <w:bookmarkEnd w:id="371"/>
    <w:bookmarkEnd w:id="372"/>
    <w:bookmarkEnd w:id="373"/>
    <w:bookmarkEnd w:id="374"/>
    <w:p w14:paraId="01AE72A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85" w:name="_Toc482188565"/>
      <w:bookmarkStart w:id="386" w:name="_Toc492300658"/>
      <w:r>
        <w:rPr>
          <w:rFonts w:hint="eastAsia" w:ascii="宋体" w:hAnsi="宋体" w:eastAsia="宋体" w:cs="宋体"/>
          <w:b/>
          <w:color w:val="auto"/>
          <w:kern w:val="21"/>
          <w:sz w:val="24"/>
          <w:highlight w:val="none"/>
        </w:rPr>
        <w:t>2.7其他义务</w:t>
      </w:r>
      <w:bookmarkEnd w:id="385"/>
      <w:bookmarkEnd w:id="386"/>
    </w:p>
    <w:p w14:paraId="550B3F2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委托人应履行合同约定的其他义务</w:t>
      </w:r>
      <w:bookmarkStart w:id="387" w:name="_Toc385942924"/>
      <w:bookmarkStart w:id="388" w:name="_Toc370281728"/>
      <w:r>
        <w:rPr>
          <w:rFonts w:hint="eastAsia" w:ascii="宋体" w:hAnsi="宋体" w:eastAsia="宋体" w:cs="宋体"/>
          <w:color w:val="auto"/>
          <w:kern w:val="21"/>
          <w:sz w:val="24"/>
          <w:highlight w:val="none"/>
        </w:rPr>
        <w:t>。</w:t>
      </w:r>
    </w:p>
    <w:p w14:paraId="586ED12E">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389" w:name="_Toc482188566"/>
      <w:bookmarkStart w:id="390" w:name="_Toc503518002"/>
      <w:bookmarkStart w:id="391" w:name="_Toc492300659"/>
      <w:r>
        <w:rPr>
          <w:rFonts w:hint="eastAsia" w:ascii="宋体" w:hAnsi="宋体" w:eastAsia="宋体" w:cs="宋体"/>
          <w:b/>
          <w:color w:val="auto"/>
          <w:kern w:val="21"/>
          <w:sz w:val="28"/>
          <w:highlight w:val="none"/>
        </w:rPr>
        <w:t>3.委托人管</w:t>
      </w:r>
      <w:bookmarkEnd w:id="387"/>
      <w:bookmarkEnd w:id="388"/>
      <w:r>
        <w:rPr>
          <w:rFonts w:hint="eastAsia" w:ascii="宋体" w:hAnsi="宋体" w:eastAsia="宋体" w:cs="宋体"/>
          <w:b/>
          <w:color w:val="auto"/>
          <w:kern w:val="21"/>
          <w:sz w:val="28"/>
          <w:highlight w:val="none"/>
        </w:rPr>
        <w:t>理</w:t>
      </w:r>
      <w:bookmarkEnd w:id="389"/>
      <w:bookmarkEnd w:id="390"/>
      <w:bookmarkEnd w:id="391"/>
    </w:p>
    <w:p w14:paraId="2AC3DF1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92" w:name="_Toc482188567"/>
      <w:bookmarkStart w:id="393" w:name="_Toc492300660"/>
      <w:r>
        <w:rPr>
          <w:rFonts w:hint="eastAsia" w:ascii="宋体" w:hAnsi="宋体" w:eastAsia="宋体" w:cs="宋体"/>
          <w:b/>
          <w:color w:val="auto"/>
          <w:kern w:val="21"/>
          <w:sz w:val="24"/>
          <w:highlight w:val="none"/>
        </w:rPr>
        <w:t>3.1委托人代表</w:t>
      </w:r>
      <w:bookmarkEnd w:id="392"/>
      <w:bookmarkEnd w:id="393"/>
    </w:p>
    <w:p w14:paraId="13758A2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3.1.1除专用合同条款</w:t>
      </w:r>
      <w:bookmarkStart w:id="394" w:name="_Toc247514057"/>
      <w:bookmarkStart w:id="395" w:name="_Toc385942925"/>
      <w:bookmarkStart w:id="396" w:name="_Toc300835055"/>
      <w:bookmarkStart w:id="397" w:name="_Toc247527658"/>
      <w:bookmarkStart w:id="398" w:name="_Toc370281729"/>
      <w:r>
        <w:rPr>
          <w:rFonts w:hint="eastAsia" w:ascii="宋体" w:hAnsi="宋体" w:eastAsia="宋体" w:cs="宋体"/>
          <w:color w:val="auto"/>
          <w:kern w:val="21"/>
          <w:sz w:val="24"/>
          <w:highlight w:val="none"/>
        </w:rPr>
        <w:t>另有约定外，</w:t>
      </w:r>
      <w:bookmarkEnd w:id="394"/>
      <w:bookmarkEnd w:id="395"/>
      <w:bookmarkEnd w:id="396"/>
      <w:bookmarkEnd w:id="397"/>
      <w:bookmarkEnd w:id="398"/>
      <w:r>
        <w:rPr>
          <w:rFonts w:hint="eastAsia" w:ascii="宋体" w:hAnsi="宋体" w:eastAsia="宋体" w:cs="宋体"/>
          <w:color w:val="auto"/>
          <w:kern w:val="21"/>
          <w:sz w:val="24"/>
          <w:highlight w:val="none"/>
        </w:rPr>
        <w:t>委托人应在合同签订后14天内，将委托人代</w:t>
      </w:r>
      <w:bookmarkStart w:id="399" w:name="_Toc184635100"/>
      <w:bookmarkStart w:id="400" w:name="_Toc247514058"/>
      <w:bookmarkStart w:id="401" w:name="_Toc247527659"/>
      <w:bookmarkStart w:id="402" w:name="_Toc300835056"/>
      <w:r>
        <w:rPr>
          <w:rFonts w:hint="eastAsia" w:ascii="宋体" w:hAnsi="宋体" w:eastAsia="宋体" w:cs="宋体"/>
          <w:color w:val="auto"/>
          <w:kern w:val="21"/>
          <w:sz w:val="24"/>
          <w:highlight w:val="none"/>
        </w:rPr>
        <w:t>表的姓名、职</w:t>
      </w:r>
      <w:bookmarkEnd w:id="399"/>
      <w:bookmarkEnd w:id="400"/>
      <w:bookmarkEnd w:id="401"/>
      <w:bookmarkEnd w:id="402"/>
      <w:r>
        <w:rPr>
          <w:rFonts w:hint="eastAsia" w:ascii="宋体" w:hAnsi="宋体" w:eastAsia="宋体" w:cs="宋体"/>
          <w:color w:val="auto"/>
          <w:kern w:val="21"/>
          <w:sz w:val="24"/>
          <w:highlight w:val="none"/>
        </w:rPr>
        <w:t>务、联</w:t>
      </w:r>
      <w:bookmarkStart w:id="403" w:name="_Toc351203511"/>
      <w:r>
        <w:rPr>
          <w:rFonts w:hint="eastAsia" w:ascii="宋体" w:hAnsi="宋体" w:eastAsia="宋体" w:cs="宋体"/>
          <w:color w:val="auto"/>
          <w:kern w:val="21"/>
          <w:sz w:val="24"/>
          <w:highlight w:val="none"/>
        </w:rPr>
        <w:t>系方式、授权范围和</w:t>
      </w:r>
      <w:bookmarkEnd w:id="403"/>
      <w:r>
        <w:rPr>
          <w:rFonts w:hint="eastAsia" w:ascii="宋体" w:hAnsi="宋体" w:eastAsia="宋体" w:cs="宋体"/>
          <w:color w:val="auto"/>
          <w:kern w:val="21"/>
          <w:sz w:val="24"/>
          <w:highlight w:val="none"/>
        </w:rPr>
        <w:t>授权期限书面通知监理人，由委托人代表在其授权范围和授权期限内，代表委托人行使权利、履行义务和处理合同履行中的具体事宜。委托人代表在授权范围内的行为由委托人承担法律责任。</w:t>
      </w:r>
    </w:p>
    <w:p w14:paraId="6A737BA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3.1.2委托人代表违反法律法规、违背职业道德守则或者不按合同约定履行职责及义务，导致合同无法继续正常履行的，监理人有权通知委托人更换委托人代表。委托人收到通知后7天内，应当核实完毕并将处理结果通知监理人。</w:t>
      </w:r>
    </w:p>
    <w:p w14:paraId="5D46043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3.1.3委托人更换委托人代表的，应提前14天将更换人员的姓名、职务、联系方式、授权范围和授权期限书面通知监理人。委托人代表超过2天不能履行职责的，应委派代表代行其职责，并通知监理人。</w:t>
      </w:r>
    </w:p>
    <w:p w14:paraId="1172674F">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04" w:name="_Toc482188569"/>
      <w:bookmarkStart w:id="405" w:name="_Toc492300661"/>
      <w:r>
        <w:rPr>
          <w:rFonts w:hint="eastAsia" w:ascii="宋体" w:hAnsi="宋体" w:eastAsia="宋体" w:cs="宋体"/>
          <w:b/>
          <w:color w:val="auto"/>
          <w:kern w:val="21"/>
          <w:sz w:val="24"/>
          <w:highlight w:val="none"/>
        </w:rPr>
        <w:t>3.2委托人的指示</w:t>
      </w:r>
      <w:bookmarkEnd w:id="404"/>
      <w:bookmarkEnd w:id="405"/>
    </w:p>
    <w:p w14:paraId="74BEE9F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3.2.1委托人应按合同约定向监理人发出指示，委托人的指示应盖有委托人单位章</w:t>
      </w:r>
      <w:bookmarkStart w:id="406" w:name="_Toc300835060"/>
      <w:bookmarkStart w:id="407" w:name="_Toc247527663"/>
      <w:bookmarkStart w:id="408" w:name="_Toc247514062"/>
      <w:r>
        <w:rPr>
          <w:rFonts w:hint="eastAsia" w:ascii="宋体" w:hAnsi="宋体" w:eastAsia="宋体" w:cs="宋体"/>
          <w:color w:val="auto"/>
          <w:kern w:val="21"/>
          <w:sz w:val="24"/>
          <w:highlight w:val="none"/>
        </w:rPr>
        <w:t>，并由</w:t>
      </w:r>
      <w:bookmarkEnd w:id="406"/>
      <w:bookmarkEnd w:id="407"/>
      <w:bookmarkEnd w:id="408"/>
      <w:r>
        <w:rPr>
          <w:rFonts w:hint="eastAsia" w:ascii="宋体" w:hAnsi="宋体" w:eastAsia="宋体" w:cs="宋体"/>
          <w:color w:val="auto"/>
          <w:kern w:val="21"/>
          <w:sz w:val="24"/>
          <w:highlight w:val="none"/>
        </w:rPr>
        <w:t>委托人代表签字确认。</w:t>
      </w:r>
    </w:p>
    <w:p w14:paraId="3EC5C9D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3.2.2监理人收到委托人作出的指示后应遵照执行。指示构成变更的，应按第8条执行。</w:t>
      </w:r>
    </w:p>
    <w:p w14:paraId="2B8EC48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3.2.3在紧急情况下，委托人代表或其授权人员可以当场签发临时书面指示，监理人应遵照执行。委托人代表应在临时书面指示发出后24小时内发出书面确认函，逾期未发出书面确认函的，该临时书面指示应被视为委托人的正式指示。</w:t>
      </w:r>
    </w:p>
    <w:p w14:paraId="0F4B02D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3.2.4由于委托人未能按合同约定发出指示、指示延误或指示错误而导致监理人费用增加和（或）周期延误的，委托人应承担由此增加的费用和（或）周期延误。</w:t>
      </w:r>
    </w:p>
    <w:p w14:paraId="1187CF0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09" w:name="_Toc482188570"/>
      <w:bookmarkStart w:id="410" w:name="_Toc492300662"/>
      <w:r>
        <w:rPr>
          <w:rFonts w:hint="eastAsia" w:ascii="宋体" w:hAnsi="宋体" w:eastAsia="宋体" w:cs="宋体"/>
          <w:b/>
          <w:color w:val="auto"/>
          <w:kern w:val="21"/>
          <w:sz w:val="24"/>
          <w:highlight w:val="none"/>
        </w:rPr>
        <w:t>3.3决定或答复</w:t>
      </w:r>
      <w:bookmarkEnd w:id="409"/>
      <w:bookmarkEnd w:id="410"/>
    </w:p>
    <w:p w14:paraId="4873006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3.3.1委托人在法律允许的范围内有权对监理人的监理工作和（或）监理文件作出处理决定</w:t>
      </w:r>
      <w:bookmarkStart w:id="411" w:name="_Toc385592088"/>
      <w:bookmarkStart w:id="412" w:name="_Toc247527665"/>
      <w:bookmarkStart w:id="413" w:name="_Toc370281730"/>
      <w:bookmarkStart w:id="414" w:name="_Toc247514064"/>
      <w:bookmarkStart w:id="415" w:name="_Toc385942926"/>
      <w:bookmarkStart w:id="416" w:name="_Toc300835062"/>
      <w:bookmarkStart w:id="417" w:name="_Toc184635101"/>
      <w:r>
        <w:rPr>
          <w:rFonts w:hint="eastAsia" w:ascii="宋体" w:hAnsi="宋体" w:eastAsia="宋体" w:cs="宋体"/>
          <w:color w:val="auto"/>
          <w:kern w:val="21"/>
          <w:sz w:val="24"/>
          <w:highlight w:val="none"/>
        </w:rPr>
        <w:t>，监理人应按照委托人的决定执行，涉及监理服务期限或监理报酬等问题按第8条的约定处理。</w:t>
      </w:r>
    </w:p>
    <w:p w14:paraId="3979C2D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3.3.2委托人应在专用合同条款约定的时间之内，对监理人书面提出的事项作出书面答复；逾期没有作出答复的，视为已获得委托人的批准。</w:t>
      </w:r>
    </w:p>
    <w:p w14:paraId="31AF9443">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418" w:name="_Toc482188571"/>
      <w:bookmarkStart w:id="419" w:name="_Toc492300663"/>
      <w:bookmarkStart w:id="420" w:name="_Toc503518003"/>
      <w:r>
        <w:rPr>
          <w:rFonts w:hint="eastAsia" w:ascii="宋体" w:hAnsi="宋体" w:eastAsia="宋体" w:cs="宋体"/>
          <w:b/>
          <w:color w:val="auto"/>
          <w:kern w:val="21"/>
          <w:sz w:val="28"/>
          <w:highlight w:val="none"/>
        </w:rPr>
        <w:t>4.监理人义务</w:t>
      </w:r>
      <w:bookmarkEnd w:id="418"/>
      <w:bookmarkEnd w:id="419"/>
      <w:bookmarkEnd w:id="420"/>
    </w:p>
    <w:p w14:paraId="59C98E5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21" w:name="_Toc492300664"/>
      <w:bookmarkStart w:id="422" w:name="_Toc482188572"/>
      <w:r>
        <w:rPr>
          <w:rFonts w:hint="eastAsia" w:ascii="宋体" w:hAnsi="宋体" w:eastAsia="宋体" w:cs="宋体"/>
          <w:b/>
          <w:color w:val="auto"/>
          <w:kern w:val="21"/>
          <w:sz w:val="24"/>
          <w:highlight w:val="none"/>
        </w:rPr>
        <w:t>4.1监理人的一般义务</w:t>
      </w:r>
      <w:bookmarkEnd w:id="421"/>
      <w:bookmarkEnd w:id="422"/>
    </w:p>
    <w:p w14:paraId="2F754F7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4.1.1遵守法律</w:t>
      </w:r>
    </w:p>
    <w:p w14:paraId="77CE7DE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监理人在履行合同过程中应遵守法律，并保证委托人免于承担因</w:t>
      </w:r>
      <w:bookmarkEnd w:id="411"/>
      <w:bookmarkEnd w:id="412"/>
      <w:bookmarkEnd w:id="413"/>
      <w:bookmarkEnd w:id="414"/>
      <w:bookmarkEnd w:id="415"/>
      <w:bookmarkEnd w:id="416"/>
      <w:bookmarkEnd w:id="417"/>
      <w:r>
        <w:rPr>
          <w:rFonts w:hint="eastAsia" w:ascii="宋体" w:hAnsi="宋体" w:eastAsia="宋体" w:cs="宋体"/>
          <w:color w:val="auto"/>
          <w:kern w:val="21"/>
          <w:sz w:val="24"/>
          <w:highlight w:val="none"/>
        </w:rPr>
        <w:t>监理人</w:t>
      </w:r>
      <w:bookmarkStart w:id="423" w:name="_Toc300835063"/>
      <w:bookmarkStart w:id="424" w:name="_Toc385942927"/>
      <w:bookmarkStart w:id="425" w:name="_Toc247527666"/>
      <w:bookmarkStart w:id="426" w:name="_Toc370281731"/>
      <w:bookmarkStart w:id="427" w:name="_Toc247514065"/>
      <w:r>
        <w:rPr>
          <w:rFonts w:hint="eastAsia" w:ascii="宋体" w:hAnsi="宋体" w:eastAsia="宋体" w:cs="宋体"/>
          <w:color w:val="auto"/>
          <w:kern w:val="21"/>
          <w:sz w:val="24"/>
          <w:highlight w:val="none"/>
        </w:rPr>
        <w:t>违反法律而引起的任何责任。</w:t>
      </w:r>
    </w:p>
    <w:bookmarkEnd w:id="423"/>
    <w:bookmarkEnd w:id="424"/>
    <w:bookmarkEnd w:id="425"/>
    <w:bookmarkEnd w:id="426"/>
    <w:bookmarkEnd w:id="427"/>
    <w:p w14:paraId="1BB2EC8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4.1.2依法纳税</w:t>
      </w:r>
    </w:p>
    <w:p w14:paraId="35B94E0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监理人应按有关法律规定纳税，应缴纳的税金（含增值税）包括在合同价格之中。</w:t>
      </w:r>
    </w:p>
    <w:p w14:paraId="746F7F6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4.1.3完成全部监理工作</w:t>
      </w:r>
    </w:p>
    <w:p w14:paraId="066948D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监理人应按合同约定以及委托人要求，完成合同约定的全部工作，并对工作中的任何缺陷进行整改，使其满足合同约定的目的。</w:t>
      </w:r>
    </w:p>
    <w:p w14:paraId="65438F0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4.1.4其他义务</w:t>
      </w:r>
    </w:p>
    <w:p w14:paraId="7EBE824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监理人应履行合同约定的其他义务。</w:t>
      </w:r>
    </w:p>
    <w:p w14:paraId="507475C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28" w:name="_Toc13239"/>
      <w:bookmarkStart w:id="429" w:name="_Toc485303383"/>
      <w:bookmarkStart w:id="430" w:name="_Toc492300665"/>
      <w:bookmarkStart w:id="431" w:name="_Toc382920065"/>
      <w:bookmarkStart w:id="432" w:name="_Toc482188573"/>
      <w:bookmarkStart w:id="433" w:name="_Toc247514076"/>
      <w:bookmarkStart w:id="434" w:name="_Toc247527677"/>
      <w:bookmarkStart w:id="435" w:name="_Toc300835075"/>
      <w:bookmarkStart w:id="436" w:name="_Toc300835076"/>
      <w:r>
        <w:rPr>
          <w:rFonts w:hint="eastAsia" w:ascii="宋体" w:hAnsi="宋体" w:eastAsia="宋体" w:cs="宋体"/>
          <w:b/>
          <w:color w:val="auto"/>
          <w:kern w:val="21"/>
          <w:sz w:val="24"/>
          <w:highlight w:val="none"/>
        </w:rPr>
        <w:t>4.2履约保证金</w:t>
      </w:r>
      <w:bookmarkEnd w:id="428"/>
      <w:bookmarkEnd w:id="429"/>
      <w:bookmarkEnd w:id="430"/>
      <w:bookmarkEnd w:id="431"/>
    </w:p>
    <w:p w14:paraId="117613E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专用合同条款另有约定外，履约保证金自合同生效之日起生效，在委托人签发竣工验收证书之日起28天后失效。如果监理人不履行合同约定的义务或其履行不符合合同的约定，委托人有权扣划相应金额的履约保证金。</w:t>
      </w:r>
    </w:p>
    <w:bookmarkEnd w:id="432"/>
    <w:p w14:paraId="5886CD2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37" w:name="_Toc482188574"/>
      <w:bookmarkStart w:id="438" w:name="_Toc492300666"/>
      <w:r>
        <w:rPr>
          <w:rFonts w:hint="eastAsia" w:ascii="宋体" w:hAnsi="宋体" w:eastAsia="宋体" w:cs="宋体"/>
          <w:b/>
          <w:color w:val="auto"/>
          <w:kern w:val="21"/>
          <w:sz w:val="24"/>
          <w:highlight w:val="none"/>
        </w:rPr>
        <w:t>4.3联合体</w:t>
      </w:r>
      <w:bookmarkEnd w:id="437"/>
      <w:bookmarkEnd w:id="438"/>
    </w:p>
    <w:p w14:paraId="2B9A149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4.3.1联合体各方应共同与委托人签订合同。联合体各方应为履行合同承担连带责任。</w:t>
      </w:r>
    </w:p>
    <w:p w14:paraId="70C5552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4.3.2联合体协议经委托人确认后作为合同附件。在履行合同过程中，未经委托人同意，不得修改联合体协议。</w:t>
      </w:r>
    </w:p>
    <w:p w14:paraId="1C9D7E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4.3.3联合体牵头人负责与委托人联系，并接受指示，负责组织联合体各成员全面履行合同。</w:t>
      </w:r>
    </w:p>
    <w:p w14:paraId="21C5B4F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39" w:name="_Toc482188575"/>
      <w:bookmarkStart w:id="440" w:name="_Toc492300667"/>
      <w:r>
        <w:rPr>
          <w:rFonts w:hint="eastAsia" w:ascii="宋体" w:hAnsi="宋体" w:eastAsia="宋体" w:cs="宋体"/>
          <w:b/>
          <w:color w:val="auto"/>
          <w:kern w:val="21"/>
          <w:sz w:val="24"/>
          <w:highlight w:val="none"/>
        </w:rPr>
        <w:t>4.4</w:t>
      </w:r>
      <w:bookmarkEnd w:id="439"/>
      <w:r>
        <w:rPr>
          <w:rFonts w:hint="eastAsia" w:ascii="宋体" w:hAnsi="宋体" w:eastAsia="宋体" w:cs="宋体"/>
          <w:b/>
          <w:color w:val="auto"/>
          <w:kern w:val="21"/>
          <w:sz w:val="24"/>
          <w:highlight w:val="none"/>
        </w:rPr>
        <w:t>总监理工程师</w:t>
      </w:r>
      <w:bookmarkEnd w:id="440"/>
    </w:p>
    <w:p w14:paraId="0745685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4.4.1监理人应按合同协议书的约定指派总监理工程师，并在约定的期限内到职。监理人更换</w:t>
      </w:r>
      <w:bookmarkStart w:id="441" w:name="_Toc300835067"/>
      <w:bookmarkStart w:id="442" w:name="_Toc247514069"/>
      <w:bookmarkStart w:id="443" w:name="_Toc247527670"/>
      <w:r>
        <w:rPr>
          <w:rFonts w:hint="eastAsia" w:ascii="宋体" w:hAnsi="宋体" w:eastAsia="宋体" w:cs="宋体"/>
          <w:color w:val="auto"/>
          <w:kern w:val="21"/>
          <w:sz w:val="24"/>
          <w:highlight w:val="none"/>
        </w:rPr>
        <w:t>总监理工程师应事先征得</w:t>
      </w:r>
      <w:bookmarkEnd w:id="441"/>
      <w:bookmarkEnd w:id="442"/>
      <w:bookmarkEnd w:id="443"/>
      <w:r>
        <w:rPr>
          <w:rFonts w:hint="eastAsia" w:ascii="宋体" w:hAnsi="宋体" w:eastAsia="宋体" w:cs="宋体"/>
          <w:color w:val="auto"/>
          <w:kern w:val="21"/>
          <w:sz w:val="24"/>
          <w:highlight w:val="none"/>
        </w:rPr>
        <w:t>委托人同意，并应在更换14天前将拟更换的总监理工程师的姓名和详细资料提交委托人。总监理工程师2天内不能履行职责的，应事先征得委托人同意，并委派代表代行其职责。</w:t>
      </w:r>
    </w:p>
    <w:p w14:paraId="056A537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4.4.2总监理工程师应按合同约定以及委托人要求，负责组织合同工作的实施。在情况紧急且无法与委托人取得联系时，可采取保证工程和人员生命财产安全的紧急措施，并在采取措施后24小时内向委托人提交书面报告。</w:t>
      </w:r>
    </w:p>
    <w:p w14:paraId="3929043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4.4.3监理人为履行合同发出的一切函件均应盖有监理人单位章或由监理人授权的项目机构章，并由监理人的总监理工程师签字确认。</w:t>
      </w:r>
    </w:p>
    <w:p w14:paraId="09BB7FA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4.4.4按照专用合同条款约定，总监理工程师可以授权其下属人员履行其某项职责，但事先应将这些人员的姓名和授权范围书面通知委托人和承包人。</w:t>
      </w:r>
    </w:p>
    <w:p w14:paraId="655A9BF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44" w:name="_Toc492300668"/>
      <w:bookmarkStart w:id="445" w:name="_Toc482188576"/>
      <w:r>
        <w:rPr>
          <w:rFonts w:hint="eastAsia" w:ascii="宋体" w:hAnsi="宋体" w:eastAsia="宋体" w:cs="宋体"/>
          <w:b/>
          <w:color w:val="auto"/>
          <w:kern w:val="21"/>
          <w:sz w:val="24"/>
          <w:highlight w:val="none"/>
        </w:rPr>
        <w:t>4.5监理人员的管理</w:t>
      </w:r>
      <w:bookmarkEnd w:id="444"/>
      <w:bookmarkEnd w:id="445"/>
    </w:p>
    <w:p w14:paraId="2466BB0C">
      <w:pPr>
        <w:keepNext w:val="0"/>
        <w:keepLines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4.5.1监理人应在接到开始监理通知之日起7天内，向委托人提交监理项目机构以及人员安排的报告，其内容应包括项目机构设置、主要监理人员和其他人员的名单及资格条件。主要监理人员应相对稳定，更换主要监理人员的，应取得委托人的同意，并向委托人提交继任人员的资格、管理经验等资料。总监理工程师的更换，应按照本章第4.4.1项规定执行。</w:t>
      </w:r>
    </w:p>
    <w:p w14:paraId="731D4DCA">
      <w:pPr>
        <w:keepNext w:val="0"/>
        <w:keepLines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4.5.2除专用合同条款另有约定外，主要监理人员包括总监理工程师、专业监理工程师等；其他人员包括各专业的监理员、资料员等。</w:t>
      </w:r>
    </w:p>
    <w:p w14:paraId="49175172">
      <w:pPr>
        <w:keepNext w:val="0"/>
        <w:keepLines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4.5.3监理人应保证其主要监理人员在合同期限内的任何时候，都能按时参加委托人组织的工作会议。</w:t>
      </w:r>
    </w:p>
    <w:p w14:paraId="52E2379B">
      <w:pPr>
        <w:keepNext w:val="0"/>
        <w:keepLines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4.5.4国家规定应当持证上岗的工作人员均应持有相应的资格证明，委托人有权随时检查。委托人认为有必要时，可以进行现场考核。</w:t>
      </w:r>
    </w:p>
    <w:p w14:paraId="35C2CFCC">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46" w:name="_Toc482188577"/>
      <w:bookmarkStart w:id="447" w:name="_Toc492300669"/>
      <w:r>
        <w:rPr>
          <w:rFonts w:hint="eastAsia" w:ascii="宋体" w:hAnsi="宋体" w:eastAsia="宋体" w:cs="宋体"/>
          <w:b/>
          <w:color w:val="auto"/>
          <w:kern w:val="21"/>
          <w:sz w:val="24"/>
          <w:highlight w:val="none"/>
        </w:rPr>
        <w:t>4.6撤换总监理工程师和其他人员</w:t>
      </w:r>
      <w:bookmarkEnd w:id="446"/>
      <w:bookmarkEnd w:id="447"/>
    </w:p>
    <w:p w14:paraId="2D09447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监理人应对其总监理工程师和其他人员进行有效管理。委托人要求撤换不能胜任本职工作、行</w:t>
      </w:r>
      <w:bookmarkStart w:id="448" w:name="_Toc300835069"/>
      <w:bookmarkStart w:id="449" w:name="_Toc247514071"/>
      <w:bookmarkStart w:id="450" w:name="_Toc247527672"/>
      <w:r>
        <w:rPr>
          <w:rFonts w:hint="eastAsia" w:ascii="宋体" w:hAnsi="宋体" w:eastAsia="宋体" w:cs="宋体"/>
          <w:color w:val="auto"/>
          <w:kern w:val="21"/>
          <w:sz w:val="24"/>
          <w:highlight w:val="none"/>
        </w:rPr>
        <w:t>为不端或玩忽职守的总监理工程师和其</w:t>
      </w:r>
      <w:bookmarkEnd w:id="448"/>
      <w:bookmarkEnd w:id="449"/>
      <w:bookmarkEnd w:id="450"/>
      <w:r>
        <w:rPr>
          <w:rFonts w:hint="eastAsia" w:ascii="宋体" w:hAnsi="宋体" w:eastAsia="宋体" w:cs="宋体"/>
          <w:color w:val="auto"/>
          <w:kern w:val="21"/>
          <w:sz w:val="24"/>
          <w:highlight w:val="none"/>
        </w:rPr>
        <w:t>他人员的，监理人应予以撤换。</w:t>
      </w:r>
    </w:p>
    <w:p w14:paraId="645EA80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51" w:name="_Toc492300670"/>
      <w:bookmarkStart w:id="452" w:name="_Toc482188578"/>
      <w:r>
        <w:rPr>
          <w:rFonts w:hint="eastAsia" w:ascii="宋体" w:hAnsi="宋体" w:eastAsia="宋体" w:cs="宋体"/>
          <w:b/>
          <w:color w:val="auto"/>
          <w:kern w:val="21"/>
          <w:sz w:val="24"/>
          <w:highlight w:val="none"/>
        </w:rPr>
        <w:t>4.7保障人员的合法权益</w:t>
      </w:r>
      <w:bookmarkEnd w:id="451"/>
      <w:bookmarkEnd w:id="452"/>
    </w:p>
    <w:p w14:paraId="3FD340C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4.7.1监理人应与其雇用的人员签订劳动合同，并按时发放工资。</w:t>
      </w:r>
    </w:p>
    <w:p w14:paraId="7E45282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4.7.2监理人应</w:t>
      </w:r>
      <w:bookmarkStart w:id="453" w:name="_Toc300835070"/>
      <w:bookmarkStart w:id="454" w:name="_Toc247527673"/>
      <w:bookmarkStart w:id="455" w:name="_Toc247514072"/>
      <w:r>
        <w:rPr>
          <w:rFonts w:hint="eastAsia" w:ascii="宋体" w:hAnsi="宋体" w:eastAsia="宋体" w:cs="宋体"/>
          <w:color w:val="auto"/>
          <w:kern w:val="21"/>
          <w:sz w:val="24"/>
          <w:highlight w:val="none"/>
        </w:rPr>
        <w:t>按劳动法的规定安排工作时间</w:t>
      </w:r>
      <w:bookmarkEnd w:id="453"/>
      <w:bookmarkEnd w:id="454"/>
      <w:bookmarkEnd w:id="455"/>
      <w:r>
        <w:rPr>
          <w:rFonts w:hint="eastAsia" w:ascii="宋体" w:hAnsi="宋体" w:eastAsia="宋体" w:cs="宋体"/>
          <w:color w:val="auto"/>
          <w:kern w:val="21"/>
          <w:sz w:val="24"/>
          <w:highlight w:val="none"/>
        </w:rPr>
        <w:t>，保证其雇用人员享有休息和休假的权利。因监理需要占用休假日或延长工作时间的，应不超过法律规定的限度，并按法律规定给予补休或付酬。</w:t>
      </w:r>
    </w:p>
    <w:p w14:paraId="7B1CBB1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4.7.3监理人应按有关法律规定和合同约定，为其雇用人员办理保险。</w:t>
      </w:r>
    </w:p>
    <w:p w14:paraId="0BBA2DF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56" w:name="_Toc482188579"/>
      <w:bookmarkStart w:id="457" w:name="_Toc492300671"/>
      <w:r>
        <w:rPr>
          <w:rFonts w:hint="eastAsia" w:ascii="宋体" w:hAnsi="宋体" w:eastAsia="宋体" w:cs="宋体"/>
          <w:b/>
          <w:color w:val="auto"/>
          <w:kern w:val="21"/>
          <w:sz w:val="24"/>
          <w:highlight w:val="none"/>
        </w:rPr>
        <w:t>4.8合同价款应专款专用</w:t>
      </w:r>
      <w:bookmarkEnd w:id="456"/>
      <w:bookmarkEnd w:id="457"/>
    </w:p>
    <w:p w14:paraId="709DB00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委托人按合同约定支付给监理人的各项价款，应专用于合同监理工作。</w:t>
      </w:r>
    </w:p>
    <w:bookmarkEnd w:id="433"/>
    <w:bookmarkEnd w:id="434"/>
    <w:bookmarkEnd w:id="435"/>
    <w:p w14:paraId="19B37AA0">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458" w:name="_Toc503518004"/>
      <w:bookmarkStart w:id="459" w:name="_Toc482188580"/>
      <w:bookmarkStart w:id="460" w:name="_Toc492300672"/>
      <w:r>
        <w:rPr>
          <w:rFonts w:hint="eastAsia" w:ascii="宋体" w:hAnsi="宋体" w:eastAsia="宋体" w:cs="宋体"/>
          <w:b/>
          <w:color w:val="auto"/>
          <w:kern w:val="21"/>
          <w:sz w:val="28"/>
          <w:highlight w:val="none"/>
        </w:rPr>
        <w:t>5.监理要求</w:t>
      </w:r>
      <w:bookmarkEnd w:id="458"/>
      <w:bookmarkEnd w:id="459"/>
      <w:bookmarkEnd w:id="460"/>
    </w:p>
    <w:p w14:paraId="0159D69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61" w:name="_Toc492300673"/>
      <w:bookmarkStart w:id="462" w:name="_Toc482188581"/>
      <w:r>
        <w:rPr>
          <w:rFonts w:hint="eastAsia" w:ascii="宋体" w:hAnsi="宋体" w:eastAsia="宋体" w:cs="宋体"/>
          <w:b/>
          <w:color w:val="auto"/>
          <w:kern w:val="21"/>
          <w:sz w:val="24"/>
          <w:highlight w:val="none"/>
        </w:rPr>
        <w:t>5.1监理范围</w:t>
      </w:r>
      <w:bookmarkEnd w:id="461"/>
    </w:p>
    <w:p w14:paraId="57F108F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5.1.1本合同的监理范围包括工程范围、阶段范围和工作范围，具体监理范围应当根据三者之间的关联内容进行确定。</w:t>
      </w:r>
    </w:p>
    <w:p w14:paraId="4271946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5.1.2工程范围指所监理工程的建设内容，具体范围在专用合同条款中约定。</w:t>
      </w:r>
    </w:p>
    <w:p w14:paraId="584B0C9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5.1.3阶段范围指工程建设程序中的勘察阶段、设计阶段、施工阶段、缺陷责任期及保修阶段中的一个或者多个阶段，具体范围在专用合同条款中约定。</w:t>
      </w:r>
    </w:p>
    <w:p w14:paraId="56E15B4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5.1.4工作范围指监理工作中的质量控制、进度控制、投资控制、合同管理、信息管理、组织协调和安全监理、环保监理中的一项或者多项工作，具体范围在专用合同条款中约定。</w:t>
      </w:r>
    </w:p>
    <w:bookmarkEnd w:id="462"/>
    <w:p w14:paraId="7437989F">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63" w:name="_Toc492300674"/>
      <w:bookmarkStart w:id="464" w:name="_Toc482188582"/>
      <w:r>
        <w:rPr>
          <w:rFonts w:hint="eastAsia" w:ascii="宋体" w:hAnsi="宋体" w:eastAsia="宋体" w:cs="宋体"/>
          <w:b/>
          <w:color w:val="auto"/>
          <w:kern w:val="21"/>
          <w:sz w:val="24"/>
          <w:highlight w:val="none"/>
        </w:rPr>
        <w:t>5.2监理依据</w:t>
      </w:r>
      <w:bookmarkEnd w:id="463"/>
      <w:bookmarkEnd w:id="464"/>
    </w:p>
    <w:p w14:paraId="2C7DC58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除专用合同条款另有约定外，本工程的监理依据如下：</w:t>
      </w:r>
    </w:p>
    <w:p w14:paraId="57270AF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（1）适用的法律、行政法规及部门规章；</w:t>
      </w:r>
    </w:p>
    <w:p w14:paraId="646EA2C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（2）与工程有关的规范、标准、规程；</w:t>
      </w:r>
    </w:p>
    <w:p w14:paraId="0CE83B7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（3）工程勘察文件、设计文件及其他文件；</w:t>
      </w:r>
    </w:p>
    <w:p w14:paraId="3F498E5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（4）本工程监理的委托合同及补充合同；</w:t>
      </w:r>
    </w:p>
    <w:p w14:paraId="3B78D5D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（5）委托人签订的勘察、设计和施工承包合同；</w:t>
      </w:r>
    </w:p>
    <w:p w14:paraId="075435F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（6）合同履行中与监理服务有关的来往函件；</w:t>
      </w:r>
    </w:p>
    <w:p w14:paraId="4C68F6D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（7）其他监理依据。</w:t>
      </w:r>
    </w:p>
    <w:p w14:paraId="755AF56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65" w:name="_Toc482188583"/>
      <w:bookmarkStart w:id="466" w:name="_Toc492300675"/>
      <w:r>
        <w:rPr>
          <w:rFonts w:hint="eastAsia" w:ascii="宋体" w:hAnsi="宋体" w:eastAsia="宋体" w:cs="宋体"/>
          <w:b/>
          <w:color w:val="auto"/>
          <w:kern w:val="21"/>
          <w:sz w:val="24"/>
          <w:highlight w:val="none"/>
        </w:rPr>
        <w:t>5.3监理内容</w:t>
      </w:r>
      <w:bookmarkEnd w:id="465"/>
      <w:bookmarkEnd w:id="466"/>
    </w:p>
    <w:p w14:paraId="1D61941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除专用合同条款另有约定外，监理工作内容包括：</w:t>
      </w:r>
    </w:p>
    <w:p w14:paraId="666100F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（1）收到工程设计文件后编制监理规划，并在第一次工地会议7天前报委托人。根据有关规定和监理工作需要，编制监理实施细则；</w:t>
      </w:r>
    </w:p>
    <w:p w14:paraId="7019F70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（2）熟悉工程设计文件，并参加由委托人主持的图纸会审和设计交底会议；</w:t>
      </w:r>
    </w:p>
    <w:p w14:paraId="73F41D0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（3）参加由委托人主持的第一次工地会议；主持监理例会并根据工程需要主持或参加专题会议；</w:t>
      </w:r>
    </w:p>
    <w:p w14:paraId="6F41F78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（4）审查施工承包人提交的施工组织设计，重点审查其中的质量安全技术措施、专项施工方案与工程建设强制性标准的符合性；</w:t>
      </w:r>
    </w:p>
    <w:p w14:paraId="48AB76F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（5）检查施工承包人工程质量、安全生产管理制度及组织机构和人员资格；</w:t>
      </w:r>
    </w:p>
    <w:p w14:paraId="1816132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（6）检查施工承包人专职安全生产管理人员的配备情况；</w:t>
      </w:r>
    </w:p>
    <w:p w14:paraId="4DBD5A9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（7）审查施工承包人提交的施工进度计划，核查承包人对施工进度计划的调整；</w:t>
      </w:r>
    </w:p>
    <w:p w14:paraId="5B005F0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（8）检查施工承包人的试验室；</w:t>
      </w:r>
    </w:p>
    <w:p w14:paraId="023619B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（9）审核施工分包人资质条件；</w:t>
      </w:r>
    </w:p>
    <w:p w14:paraId="181D99C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（10）查验施工承包人的施工测量放线成果；</w:t>
      </w:r>
    </w:p>
    <w:p w14:paraId="284B590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（11）审查工程开工条件，对条件具备的签发开工令；</w:t>
      </w:r>
    </w:p>
    <w:p w14:paraId="18B9691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（12）审查施工承包人报送的工程材料、构配件、设备质量证明文件的有效性和符合性，并按规定对用于工程的材料采取平行检验或见证取样方式进行抽检；</w:t>
      </w:r>
    </w:p>
    <w:p w14:paraId="6D4102F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（13）审核施工承包人提交的工程款支付申请，签发或出具工程款支付证书，并报委托人审核、批准；</w:t>
      </w:r>
    </w:p>
    <w:p w14:paraId="1DEE6C8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（14）在巡视、旁站和检验过程中，发现工程质量、施工安全存在事故隐患的，要求施工承包人整改并报委托人；</w:t>
      </w:r>
    </w:p>
    <w:p w14:paraId="36D0DA5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（15）经委托人同意，签发工程暂停令和复工令；</w:t>
      </w:r>
    </w:p>
    <w:p w14:paraId="0549BF4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（16）审查施工承包人提交的采用新材料、新工艺、新技术、新设备的论证材料及相关验收标准；</w:t>
      </w:r>
    </w:p>
    <w:p w14:paraId="2162965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（17）验收隐蔽工程、分部分项工程；</w:t>
      </w:r>
    </w:p>
    <w:p w14:paraId="5A52102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（18）审查施工承包人提交的工程变更申请，协调处理施工进度调整、费用索赔、合同争议等事项；</w:t>
      </w:r>
    </w:p>
    <w:p w14:paraId="2F984F4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（19）审查施工承包人提交的竣工验收申请，编写工程质量评估报告；</w:t>
      </w:r>
    </w:p>
    <w:p w14:paraId="54F37A6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（20）参加工程竣工验收，签署竣工验收意见；</w:t>
      </w:r>
    </w:p>
    <w:p w14:paraId="6B4EA5F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（21）审查施工承包人提交的竣工结算申请并报委托人；</w:t>
      </w:r>
    </w:p>
    <w:p w14:paraId="2320F7D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（22）编制、整理工程监理归档文件并报委托人。</w:t>
      </w:r>
    </w:p>
    <w:p w14:paraId="585DEF4E">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67" w:name="_Toc492300676"/>
      <w:r>
        <w:rPr>
          <w:rFonts w:hint="eastAsia" w:ascii="宋体" w:hAnsi="宋体" w:eastAsia="宋体" w:cs="宋体"/>
          <w:b/>
          <w:color w:val="auto"/>
          <w:kern w:val="21"/>
          <w:sz w:val="24"/>
          <w:highlight w:val="none"/>
        </w:rPr>
        <w:t>5.4监理文件要求</w:t>
      </w:r>
      <w:bookmarkEnd w:id="467"/>
    </w:p>
    <w:p w14:paraId="16B7EAE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5.4.1监理文件的编制应符合法律、规范标准的强制性规定和委托人要求，相关的监理依据应当完整准确，文件内容和相应数据应当真实可靠。</w:t>
      </w:r>
    </w:p>
    <w:p w14:paraId="6E84B9A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5.4.2监理文件的深度应满足本阶段相应监理工作的规定要求，满足委托人的下步工作需要，并应符合国家和行业现行规定。</w:t>
      </w:r>
    </w:p>
    <w:p w14:paraId="11F848C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5.4.3本工程监理文件的具体类别、编制要求、编制内容和提交时间等，在专用合同条款中约定。</w:t>
      </w:r>
    </w:p>
    <w:bookmarkEnd w:id="436"/>
    <w:p w14:paraId="10182184">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468" w:name="_Toc482188591"/>
      <w:bookmarkStart w:id="469" w:name="_Toc492300677"/>
      <w:bookmarkStart w:id="470" w:name="_Toc503518005"/>
      <w:r>
        <w:rPr>
          <w:rFonts w:hint="eastAsia" w:ascii="宋体" w:hAnsi="宋体" w:eastAsia="宋体" w:cs="宋体"/>
          <w:b/>
          <w:color w:val="auto"/>
          <w:kern w:val="21"/>
          <w:sz w:val="28"/>
          <w:highlight w:val="none"/>
        </w:rPr>
        <w:t>6.开始监理和完成</w:t>
      </w:r>
      <w:bookmarkEnd w:id="468"/>
      <w:r>
        <w:rPr>
          <w:rFonts w:hint="eastAsia" w:ascii="宋体" w:hAnsi="宋体" w:eastAsia="宋体" w:cs="宋体"/>
          <w:b/>
          <w:color w:val="auto"/>
          <w:kern w:val="21"/>
          <w:sz w:val="28"/>
          <w:highlight w:val="none"/>
        </w:rPr>
        <w:t>监理</w:t>
      </w:r>
      <w:bookmarkEnd w:id="469"/>
      <w:bookmarkEnd w:id="470"/>
    </w:p>
    <w:p w14:paraId="01F18F01">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71" w:name="_Toc482188592"/>
      <w:bookmarkStart w:id="472" w:name="_Toc492300678"/>
      <w:r>
        <w:rPr>
          <w:rFonts w:hint="eastAsia" w:ascii="宋体" w:hAnsi="宋体" w:eastAsia="宋体" w:cs="宋体"/>
          <w:b/>
          <w:color w:val="auto"/>
          <w:kern w:val="21"/>
          <w:sz w:val="24"/>
          <w:highlight w:val="none"/>
        </w:rPr>
        <w:t>6.1开始</w:t>
      </w:r>
      <w:bookmarkEnd w:id="471"/>
      <w:r>
        <w:rPr>
          <w:rFonts w:hint="eastAsia" w:ascii="宋体" w:hAnsi="宋体" w:eastAsia="宋体" w:cs="宋体"/>
          <w:b/>
          <w:color w:val="auto"/>
          <w:kern w:val="21"/>
          <w:sz w:val="24"/>
          <w:highlight w:val="none"/>
        </w:rPr>
        <w:t>监理</w:t>
      </w:r>
      <w:bookmarkEnd w:id="472"/>
    </w:p>
    <w:p w14:paraId="427DE1E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6.1.1符合专用合同条款约定的开始监理条件的，委托人应提前7</w:t>
      </w:r>
      <w:bookmarkStart w:id="473" w:name="_Toc300835117"/>
      <w:bookmarkStart w:id="474" w:name="_Toc247514114"/>
      <w:bookmarkStart w:id="475" w:name="_Toc247527715"/>
      <w:bookmarkStart w:id="476" w:name="_Toc184635108"/>
      <w:r>
        <w:rPr>
          <w:rFonts w:hint="eastAsia" w:ascii="宋体" w:hAnsi="宋体" w:eastAsia="宋体" w:cs="宋体"/>
          <w:color w:val="auto"/>
          <w:kern w:val="21"/>
          <w:sz w:val="24"/>
          <w:highlight w:val="none"/>
        </w:rPr>
        <w:t>天向监理人发出开始</w:t>
      </w:r>
      <w:bookmarkEnd w:id="473"/>
      <w:bookmarkEnd w:id="474"/>
      <w:bookmarkEnd w:id="475"/>
      <w:bookmarkEnd w:id="476"/>
      <w:r>
        <w:rPr>
          <w:rFonts w:hint="eastAsia" w:ascii="宋体" w:hAnsi="宋体" w:eastAsia="宋体" w:cs="宋体"/>
          <w:color w:val="auto"/>
          <w:kern w:val="21"/>
          <w:sz w:val="24"/>
          <w:highlight w:val="none"/>
        </w:rPr>
        <w:t>监理通知。</w:t>
      </w:r>
      <w:bookmarkStart w:id="477" w:name="_Toc247527716"/>
      <w:bookmarkStart w:id="478" w:name="_Toc300835118"/>
      <w:bookmarkStart w:id="479" w:name="_Toc247514115"/>
      <w:bookmarkStart w:id="480" w:name="_Toc247527718"/>
      <w:bookmarkStart w:id="481" w:name="_Toc300835120"/>
      <w:bookmarkStart w:id="482" w:name="_Toc247514117"/>
      <w:r>
        <w:rPr>
          <w:rFonts w:hint="eastAsia" w:ascii="宋体" w:hAnsi="宋体" w:eastAsia="宋体" w:cs="宋体"/>
          <w:color w:val="auto"/>
          <w:kern w:val="21"/>
          <w:sz w:val="24"/>
          <w:highlight w:val="none"/>
        </w:rPr>
        <w:t>监理服务期限自开始</w:t>
      </w:r>
      <w:bookmarkEnd w:id="477"/>
      <w:bookmarkEnd w:id="478"/>
      <w:bookmarkEnd w:id="479"/>
      <w:r>
        <w:rPr>
          <w:rFonts w:hint="eastAsia" w:ascii="宋体" w:hAnsi="宋体" w:eastAsia="宋体" w:cs="宋体"/>
          <w:color w:val="auto"/>
          <w:kern w:val="21"/>
          <w:sz w:val="24"/>
          <w:highlight w:val="none"/>
        </w:rPr>
        <w:t>监理通知中载明的开始监理日期起计算。</w:t>
      </w:r>
    </w:p>
    <w:p w14:paraId="6978932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6.1.2除专用合同条款另有约定外，因委托人原因造成合同签订之日起90天内未能发出开始监理通知的，监理人有权提出价格调整要求，或者解除合同。委托人应当承担由此增加的费用和（或）周期延误。</w:t>
      </w:r>
    </w:p>
    <w:p w14:paraId="40E7E7EE">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83" w:name="_Toc482188593"/>
      <w:bookmarkStart w:id="484" w:name="_Toc492300679"/>
      <w:r>
        <w:rPr>
          <w:rFonts w:hint="eastAsia" w:ascii="宋体" w:hAnsi="宋体" w:eastAsia="宋体" w:cs="宋体"/>
          <w:b/>
          <w:color w:val="auto"/>
          <w:kern w:val="21"/>
          <w:sz w:val="24"/>
          <w:highlight w:val="none"/>
        </w:rPr>
        <w:t>6.2监理周期延误</w:t>
      </w:r>
      <w:bookmarkEnd w:id="483"/>
      <w:bookmarkEnd w:id="484"/>
    </w:p>
    <w:p w14:paraId="35E6BB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在履行合同过程中，由于下列原因造成监理服务期限延误且属于非监理人责任的，委托人应当延长监理服务期限并增加监理报酬，具体方法在专用合同条款中约定。</w:t>
      </w:r>
      <w:bookmarkEnd w:id="480"/>
      <w:bookmarkEnd w:id="481"/>
      <w:bookmarkEnd w:id="482"/>
    </w:p>
    <w:p w14:paraId="4335549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（1）合同变更；</w:t>
      </w:r>
    </w:p>
    <w:p w14:paraId="2FED2B3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（2）因委托人原因导致的监理工作暂停；</w:t>
      </w:r>
    </w:p>
    <w:p w14:paraId="0859B57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（3）未按合同约定及时支付监理报酬；</w:t>
      </w:r>
    </w:p>
    <w:p w14:paraId="701120C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（4）未及时履行合同约定的相关义务；</w:t>
      </w:r>
    </w:p>
    <w:p w14:paraId="32AE238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（5）由于承包人延误、行政管理造成的监理服务期延误；</w:t>
      </w:r>
    </w:p>
    <w:p w14:paraId="36D3CA1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（6）造成监理服务期限延误的其他原因。</w:t>
      </w:r>
    </w:p>
    <w:p w14:paraId="2BD9EDD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85" w:name="_Toc492300680"/>
      <w:bookmarkStart w:id="486" w:name="_Toc482188601"/>
      <w:bookmarkStart w:id="487" w:name="_Toc467651004"/>
      <w:r>
        <w:rPr>
          <w:rFonts w:hint="eastAsia" w:ascii="宋体" w:hAnsi="宋体" w:eastAsia="宋体" w:cs="宋体"/>
          <w:b/>
          <w:color w:val="auto"/>
          <w:kern w:val="21"/>
          <w:sz w:val="24"/>
          <w:highlight w:val="none"/>
        </w:rPr>
        <w:t>6.3完成监理</w:t>
      </w:r>
      <w:bookmarkEnd w:id="485"/>
    </w:p>
    <w:p w14:paraId="1F56632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6.3.1监理人应当根据法律、规范标准、合同约定和委托人要求实施和完成监理，并编制和移交监理文件。</w:t>
      </w:r>
    </w:p>
    <w:p w14:paraId="375DD27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6.3.2缺陷修复监理指缺陷责任期间，监理人对承包人修复质量缺陷进行的监理。缺陷修复监理的责任由监理人负责。</w:t>
      </w:r>
    </w:p>
    <w:p w14:paraId="1E230BB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6.3.3委托人应当及时接收监理人提交的监理文件。如无正当理由拒收的，视为委托人已经接收监理文件。接收监理文件时，委托人应向监理人出具文件签收凭证，凭证内容包括文件名称、文件内容、文件形式、份数、提交和接收日期、提交人与接收人的亲笔签名等。</w:t>
      </w:r>
    </w:p>
    <w:p w14:paraId="2C0EE83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6.3.4除专用合同条款另有约定外，监理文件包括纸质文件和电子文件两种形式，两者若有不一致时，应以纸质文件为准。纸质文件应当加盖单位章和总监理工程师的注册执业印章，具体份数、纸幅、装订格式等要求，应在专用合同条款中约定；电子文件应使用光盘和U盘分别贮存。</w:t>
      </w:r>
    </w:p>
    <w:bookmarkEnd w:id="486"/>
    <w:bookmarkEnd w:id="487"/>
    <w:p w14:paraId="20E62A9F">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488" w:name="_Toc503518006"/>
      <w:bookmarkStart w:id="489" w:name="_Toc492300681"/>
      <w:bookmarkStart w:id="490" w:name="_Toc482188607"/>
      <w:bookmarkStart w:id="491" w:name="_Toc247527728"/>
      <w:bookmarkStart w:id="492" w:name="_Toc247514127"/>
      <w:bookmarkStart w:id="493" w:name="_Toc184635110"/>
      <w:r>
        <w:rPr>
          <w:rFonts w:hint="eastAsia" w:ascii="宋体" w:hAnsi="宋体" w:eastAsia="宋体" w:cs="宋体"/>
          <w:b/>
          <w:color w:val="auto"/>
          <w:kern w:val="21"/>
          <w:sz w:val="28"/>
          <w:highlight w:val="none"/>
        </w:rPr>
        <w:t>7.监理责任与保险</w:t>
      </w:r>
      <w:bookmarkEnd w:id="488"/>
      <w:bookmarkEnd w:id="489"/>
      <w:bookmarkEnd w:id="490"/>
    </w:p>
    <w:bookmarkEnd w:id="491"/>
    <w:bookmarkEnd w:id="492"/>
    <w:bookmarkEnd w:id="493"/>
    <w:p w14:paraId="6DA88AE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94" w:name="_Toc492300682"/>
      <w:bookmarkStart w:id="495" w:name="_Toc482188610"/>
      <w:r>
        <w:rPr>
          <w:rFonts w:hint="eastAsia" w:ascii="宋体" w:hAnsi="宋体" w:eastAsia="宋体" w:cs="宋体"/>
          <w:b/>
          <w:color w:val="auto"/>
          <w:kern w:val="21"/>
          <w:sz w:val="24"/>
          <w:highlight w:val="none"/>
        </w:rPr>
        <w:t>7.1监理责任主体</w:t>
      </w:r>
      <w:bookmarkEnd w:id="494"/>
      <w:bookmarkEnd w:id="495"/>
    </w:p>
    <w:p w14:paraId="2C0F894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7.1.1监理人应运用一切合理的专业技术、知识技能和项目经验，按照职业道德准则和行业公认标准尽其全部职责，勤勉、谨慎、公正地履行其在本合同项下的责任和义务。</w:t>
      </w:r>
    </w:p>
    <w:p w14:paraId="5153FB6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7.1.2监理责任为监理单位项目负责人终身责任制。总监理工程师应当按照法律法规、有关技术标准、设计文件和工程承包合同进行监理，对施工质量承担监理责任。</w:t>
      </w:r>
    </w:p>
    <w:p w14:paraId="209ABE5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7.1.3总监理工程师应当按照有关规定在办理工程质量监督手续前签署工程质量终身责任承诺书，连同法定代表人出具的授权书，报工程质量监督机构备案。</w:t>
      </w:r>
    </w:p>
    <w:p w14:paraId="3584AE1F">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96" w:name="_Toc492300683"/>
      <w:bookmarkStart w:id="497" w:name="_Toc482188611"/>
      <w:r>
        <w:rPr>
          <w:rFonts w:hint="eastAsia" w:ascii="宋体" w:hAnsi="宋体" w:eastAsia="宋体" w:cs="宋体"/>
          <w:b/>
          <w:color w:val="auto"/>
          <w:kern w:val="21"/>
          <w:sz w:val="24"/>
          <w:highlight w:val="none"/>
        </w:rPr>
        <w:t>7.2监理责任保险</w:t>
      </w:r>
      <w:bookmarkEnd w:id="496"/>
      <w:bookmarkEnd w:id="497"/>
    </w:p>
    <w:p w14:paraId="45BF6D3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除专用合同条款另有约定外，监理人应根据工程情况对监理责任进行保险，并在合同履行期间保持足额、有效。</w:t>
      </w:r>
    </w:p>
    <w:p w14:paraId="43E0666F">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498" w:name="_Toc503518007"/>
      <w:bookmarkStart w:id="499" w:name="_Toc482188615"/>
      <w:bookmarkStart w:id="500" w:name="_Toc492300684"/>
      <w:r>
        <w:rPr>
          <w:rFonts w:hint="eastAsia" w:ascii="宋体" w:hAnsi="宋体" w:eastAsia="宋体" w:cs="宋体"/>
          <w:b/>
          <w:color w:val="auto"/>
          <w:kern w:val="21"/>
          <w:sz w:val="28"/>
          <w:highlight w:val="none"/>
        </w:rPr>
        <w:t>8.合同变更</w:t>
      </w:r>
      <w:bookmarkEnd w:id="498"/>
      <w:bookmarkEnd w:id="499"/>
      <w:bookmarkEnd w:id="500"/>
    </w:p>
    <w:p w14:paraId="56E21F04">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01" w:name="_Toc482188616"/>
      <w:bookmarkStart w:id="502" w:name="_Toc492300685"/>
      <w:bookmarkStart w:id="503" w:name="_Toc467651025"/>
      <w:r>
        <w:rPr>
          <w:rFonts w:hint="eastAsia" w:ascii="宋体" w:hAnsi="宋体" w:eastAsia="宋体" w:cs="宋体"/>
          <w:b/>
          <w:color w:val="auto"/>
          <w:kern w:val="21"/>
          <w:sz w:val="24"/>
          <w:highlight w:val="none"/>
        </w:rPr>
        <w:t>8.1变更情形</w:t>
      </w:r>
      <w:bookmarkEnd w:id="501"/>
      <w:bookmarkEnd w:id="502"/>
      <w:bookmarkEnd w:id="503"/>
    </w:p>
    <w:p w14:paraId="0077BA2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8.1.1合同履行中发生下述情形时，合同一方均可向对方提出变更请求，经双方协商一致后进行变更，监理服务期限和监理报酬的调整方法在专用合同条款中约定。</w:t>
      </w:r>
    </w:p>
    <w:p w14:paraId="03DFFB2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（1）监理范围发生变化；</w:t>
      </w:r>
    </w:p>
    <w:p w14:paraId="15D4448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（2）除不可抗力外，非监理人的原因引起的周期延误；</w:t>
      </w:r>
    </w:p>
    <w:p w14:paraId="5F95A82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（3）非监理人的原因，对工程同一部分重复进行监理；</w:t>
      </w:r>
    </w:p>
    <w:p w14:paraId="2699AAC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（4）非监理人的原因，对工程暂停监理及恢复监理。</w:t>
      </w:r>
    </w:p>
    <w:p w14:paraId="1DC4600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8.1.2基准日后，因颁布新的或修订原有法律、法规、规范和标准等引发合同变更情形的，按照上述约定进行调整。</w:t>
      </w:r>
    </w:p>
    <w:p w14:paraId="57CB31C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04" w:name="_Toc482188617"/>
      <w:bookmarkStart w:id="505" w:name="_Toc492300686"/>
      <w:bookmarkStart w:id="506" w:name="_Toc467651026"/>
      <w:r>
        <w:rPr>
          <w:rFonts w:hint="eastAsia" w:ascii="宋体" w:hAnsi="宋体" w:eastAsia="宋体" w:cs="宋体"/>
          <w:b/>
          <w:color w:val="auto"/>
          <w:kern w:val="21"/>
          <w:sz w:val="24"/>
          <w:highlight w:val="none"/>
        </w:rPr>
        <w:t>8.2合理化建议</w:t>
      </w:r>
      <w:bookmarkEnd w:id="504"/>
      <w:bookmarkEnd w:id="505"/>
      <w:bookmarkEnd w:id="506"/>
    </w:p>
    <w:p w14:paraId="632C01B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8.2.1合同履行中，监理人可对委托人要求提出合理化建议。合理化建议应以书面形式提交委托人，被委托人采纳并构成变更的，执行第8.1款约定。</w:t>
      </w:r>
    </w:p>
    <w:p w14:paraId="16DA764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8.2.2监理人提出的合理化建议降低了工程投资、缩短了施工期限或者提高了工程经济效益的，委托人应按专用合同条款中的约定给予奖励。</w:t>
      </w:r>
    </w:p>
    <w:p w14:paraId="5EAC0FAE">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07" w:name="_Toc482188618"/>
      <w:bookmarkStart w:id="508" w:name="_Toc492300687"/>
      <w:bookmarkStart w:id="509" w:name="_Toc503518008"/>
      <w:r>
        <w:rPr>
          <w:rFonts w:hint="eastAsia" w:ascii="宋体" w:hAnsi="宋体" w:eastAsia="宋体" w:cs="宋体"/>
          <w:b/>
          <w:color w:val="auto"/>
          <w:kern w:val="21"/>
          <w:sz w:val="28"/>
          <w:highlight w:val="none"/>
        </w:rPr>
        <w:t>9.合同价格与支付</w:t>
      </w:r>
      <w:bookmarkEnd w:id="507"/>
      <w:bookmarkEnd w:id="508"/>
      <w:bookmarkEnd w:id="509"/>
    </w:p>
    <w:p w14:paraId="48C246E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10" w:name="_Toc492300688"/>
      <w:bookmarkStart w:id="511" w:name="_Toc482188619"/>
      <w:r>
        <w:rPr>
          <w:rFonts w:hint="eastAsia" w:ascii="宋体" w:hAnsi="宋体" w:eastAsia="宋体" w:cs="宋体"/>
          <w:b/>
          <w:color w:val="auto"/>
          <w:kern w:val="21"/>
          <w:sz w:val="24"/>
          <w:highlight w:val="none"/>
        </w:rPr>
        <w:t>9.1合同价格</w:t>
      </w:r>
      <w:bookmarkEnd w:id="510"/>
      <w:bookmarkEnd w:id="511"/>
    </w:p>
    <w:p w14:paraId="7C070A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9.1.1本合同的价款确定方式、调整方式和风险范围划分，在专用合同条款中约定。</w:t>
      </w:r>
    </w:p>
    <w:p w14:paraId="1510DDA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9.1.2除专用合同条款另有约定外，合同价格应当包括收集资料、踏勘现场、制订纲要、实施监理、编制监理文件等全部费用和国家规定的增值税税金。</w:t>
      </w:r>
    </w:p>
    <w:p w14:paraId="2EDF5D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9.1.3委托人要求监理人进行外出考察、试验检测、专项咨询或专家评审时，相应费用不含在合同价格之中，由委托人另行支付。</w:t>
      </w:r>
    </w:p>
    <w:p w14:paraId="1BC8BB2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12" w:name="_Toc482188620"/>
      <w:bookmarkStart w:id="513" w:name="_Toc492300689"/>
      <w:r>
        <w:rPr>
          <w:rFonts w:hint="eastAsia" w:ascii="宋体" w:hAnsi="宋体" w:eastAsia="宋体" w:cs="宋体"/>
          <w:b/>
          <w:color w:val="auto"/>
          <w:kern w:val="21"/>
          <w:sz w:val="24"/>
          <w:highlight w:val="none"/>
        </w:rPr>
        <w:t>9.2</w:t>
      </w:r>
      <w:bookmarkEnd w:id="512"/>
      <w:r>
        <w:rPr>
          <w:rFonts w:hint="eastAsia" w:ascii="宋体" w:hAnsi="宋体" w:eastAsia="宋体" w:cs="宋体"/>
          <w:b/>
          <w:color w:val="auto"/>
          <w:kern w:val="21"/>
          <w:sz w:val="24"/>
          <w:highlight w:val="none"/>
        </w:rPr>
        <w:t>预付款</w:t>
      </w:r>
      <w:bookmarkEnd w:id="513"/>
    </w:p>
    <w:p w14:paraId="5825278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9.2.1预付款应专用于本工程的监理。预付款的额度、支付方式及抵扣方式在专用合同条款中约定。</w:t>
      </w:r>
    </w:p>
    <w:p w14:paraId="7A0DC9D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9.2.2委托人应在收到预付款支付申请后28天内，将预付款支付给监理人；监理人应当提供等额的增值税发票。</w:t>
      </w:r>
    </w:p>
    <w:p w14:paraId="256FF52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14" w:name="_Toc492300690"/>
      <w:bookmarkStart w:id="515" w:name="_Toc467651035"/>
      <w:bookmarkStart w:id="516" w:name="_Toc482188621"/>
      <w:r>
        <w:rPr>
          <w:rFonts w:hint="eastAsia" w:ascii="宋体" w:hAnsi="宋体" w:eastAsia="宋体" w:cs="宋体"/>
          <w:b/>
          <w:color w:val="auto"/>
          <w:kern w:val="21"/>
          <w:sz w:val="24"/>
          <w:highlight w:val="none"/>
        </w:rPr>
        <w:t>9.3中期支付</w:t>
      </w:r>
      <w:bookmarkEnd w:id="514"/>
      <w:bookmarkEnd w:id="515"/>
      <w:bookmarkEnd w:id="516"/>
    </w:p>
    <w:p w14:paraId="0294C33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9.3.1监理人应按委托人批准或专用合同条款约定的格式及份数，向委托人提交中期支付申请，并附相应的支持性证明文件。</w:t>
      </w:r>
    </w:p>
    <w:p w14:paraId="7BABDDF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9.3.2委托人应在收到中期支付申请后的28天内，将应付款项支付给监理人；监理人应当提供等额的增值税发票。委托人未能在前述时间内完成审批或不予答复的，视为委托人同意中期支付申请。委托人不按期支付的，按专用合同条款的约定支付逾期付款违约金。</w:t>
      </w:r>
    </w:p>
    <w:p w14:paraId="3C121F3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9.3.3中期支付涉及政府投资资金的，按照国库集中支付等国家相关规定和专用合同条款的约定执行。</w:t>
      </w:r>
    </w:p>
    <w:p w14:paraId="616C9FB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17" w:name="_Toc467651036"/>
      <w:bookmarkStart w:id="518" w:name="_Toc492300691"/>
      <w:bookmarkStart w:id="519" w:name="_Toc482188622"/>
      <w:r>
        <w:rPr>
          <w:rFonts w:hint="eastAsia" w:ascii="宋体" w:hAnsi="宋体" w:eastAsia="宋体" w:cs="宋体"/>
          <w:b/>
          <w:color w:val="auto"/>
          <w:kern w:val="21"/>
          <w:sz w:val="24"/>
          <w:highlight w:val="none"/>
        </w:rPr>
        <w:t>9.4费用结算</w:t>
      </w:r>
      <w:bookmarkEnd w:id="517"/>
      <w:bookmarkEnd w:id="518"/>
      <w:bookmarkEnd w:id="519"/>
    </w:p>
    <w:p w14:paraId="1D8ABA4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9.4.1合同工作完成后，监理人可按专用合同条款约定的份数和期限，向委托人提交监理费用结算申请，并提供相关证明材料。</w:t>
      </w:r>
    </w:p>
    <w:p w14:paraId="64E7BF4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9.4.2委托人应在收到费用结算申请后的28天内，将应付款项支付给监理人；监理人应当提供等额的增值税发票。委托人未能在前述时间内完成审批或不予答复的，视为委托人同意费用结算申请。委托人不按期支付的，按专用合同条款的约定支付逾期付款违约金。</w:t>
      </w:r>
    </w:p>
    <w:p w14:paraId="574F188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9.4.3委托人对费用结算申请内容有异议的，有权要求监理人进行修正和提供补充资料，由监理人重新提交。监理人对此有异议的，按第12条的约定执行。</w:t>
      </w:r>
    </w:p>
    <w:p w14:paraId="7FDC0B3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9.4.4最终结清付款涉及政府投资资金的，按第9.3.3项的约定执行。</w:t>
      </w:r>
    </w:p>
    <w:p w14:paraId="08551A97">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20" w:name="_Toc492300692"/>
      <w:bookmarkStart w:id="521" w:name="_Toc482188623"/>
      <w:bookmarkStart w:id="522" w:name="_Toc503518009"/>
      <w:r>
        <w:rPr>
          <w:rFonts w:hint="eastAsia" w:ascii="宋体" w:hAnsi="宋体" w:eastAsia="宋体" w:cs="宋体"/>
          <w:b/>
          <w:color w:val="auto"/>
          <w:kern w:val="21"/>
          <w:sz w:val="28"/>
          <w:highlight w:val="none"/>
        </w:rPr>
        <w:t>10.不可抗力</w:t>
      </w:r>
      <w:bookmarkEnd w:id="520"/>
      <w:bookmarkEnd w:id="521"/>
      <w:bookmarkEnd w:id="522"/>
    </w:p>
    <w:p w14:paraId="6804102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23" w:name="_Toc492300693"/>
      <w:bookmarkStart w:id="524" w:name="_Toc482188624"/>
      <w:r>
        <w:rPr>
          <w:rFonts w:hint="eastAsia" w:ascii="宋体" w:hAnsi="宋体" w:eastAsia="宋体" w:cs="宋体"/>
          <w:b/>
          <w:color w:val="auto"/>
          <w:kern w:val="21"/>
          <w:sz w:val="24"/>
          <w:highlight w:val="none"/>
        </w:rPr>
        <w:t>10.1不可抗力的确认</w:t>
      </w:r>
      <w:bookmarkEnd w:id="523"/>
      <w:bookmarkEnd w:id="524"/>
    </w:p>
    <w:p w14:paraId="2207132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10.1.1不可抗力是指监理人和委托人在订立合同时不可预见，在履行合</w:t>
      </w:r>
      <w:bookmarkStart w:id="525" w:name="_Toc300835182"/>
      <w:bookmarkStart w:id="526" w:name="_Toc247514180"/>
      <w:bookmarkStart w:id="527" w:name="_Toc184635118"/>
      <w:bookmarkStart w:id="528" w:name="_Toc247527781"/>
      <w:r>
        <w:rPr>
          <w:rFonts w:hint="eastAsia" w:ascii="宋体" w:hAnsi="宋体" w:eastAsia="宋体" w:cs="宋体"/>
          <w:color w:val="auto"/>
          <w:kern w:val="21"/>
          <w:sz w:val="24"/>
          <w:highlight w:val="none"/>
        </w:rPr>
        <w:t>同过程中不可避免</w:t>
      </w:r>
      <w:bookmarkEnd w:id="525"/>
      <w:bookmarkEnd w:id="526"/>
      <w:bookmarkEnd w:id="527"/>
      <w:bookmarkEnd w:id="528"/>
      <w:r>
        <w:rPr>
          <w:rFonts w:hint="eastAsia" w:ascii="宋体" w:hAnsi="宋体" w:eastAsia="宋体" w:cs="宋体"/>
          <w:color w:val="auto"/>
          <w:kern w:val="21"/>
          <w:sz w:val="24"/>
          <w:highlight w:val="none"/>
        </w:rPr>
        <w:t>发</w:t>
      </w:r>
      <w:bookmarkStart w:id="529" w:name="_Toc247527782"/>
      <w:bookmarkStart w:id="530" w:name="_Toc300835183"/>
      <w:bookmarkStart w:id="531" w:name="_Toc247514181"/>
      <w:r>
        <w:rPr>
          <w:rFonts w:hint="eastAsia" w:ascii="宋体" w:hAnsi="宋体" w:eastAsia="宋体" w:cs="宋体"/>
          <w:color w:val="auto"/>
          <w:kern w:val="21"/>
          <w:sz w:val="24"/>
          <w:highlight w:val="none"/>
        </w:rPr>
        <w:t>生并不能克服的自然灾害和</w:t>
      </w:r>
      <w:bookmarkEnd w:id="529"/>
      <w:bookmarkEnd w:id="530"/>
      <w:bookmarkEnd w:id="531"/>
      <w:r>
        <w:rPr>
          <w:rFonts w:hint="eastAsia" w:ascii="宋体" w:hAnsi="宋体" w:eastAsia="宋体" w:cs="宋体"/>
          <w:color w:val="auto"/>
          <w:kern w:val="21"/>
          <w:sz w:val="24"/>
          <w:highlight w:val="none"/>
        </w:rPr>
        <w:t>社会性突发事件，如地震、海啸、瘟疫、水灾、骚乱、暴动、战争和专用合同条款约定的其他情形。</w:t>
      </w:r>
    </w:p>
    <w:p w14:paraId="2865FF0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10.1.2不可抗力发生后，委托人和监理人应及时认真统计所造成的损失，收集不可抗力造成损失的证据。合同双方对是否属于不可抗力或其损失的意见不一致的，由合同双方协商确定。</w:t>
      </w:r>
    </w:p>
    <w:p w14:paraId="6BDAA25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32" w:name="_Toc492300694"/>
      <w:bookmarkStart w:id="533" w:name="_Toc482188625"/>
      <w:r>
        <w:rPr>
          <w:rFonts w:hint="eastAsia" w:ascii="宋体" w:hAnsi="宋体" w:eastAsia="宋体" w:cs="宋体"/>
          <w:b/>
          <w:color w:val="auto"/>
          <w:kern w:val="21"/>
          <w:sz w:val="24"/>
          <w:highlight w:val="none"/>
        </w:rPr>
        <w:t>10.2不可抗力的通知</w:t>
      </w:r>
      <w:bookmarkEnd w:id="532"/>
      <w:bookmarkEnd w:id="533"/>
    </w:p>
    <w:p w14:paraId="62021DE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10.2.1合同一方当事人遇到不可抗力事件，使其履行合同义务受到阻碍时，应立即通知合同</w:t>
      </w:r>
      <w:bookmarkStart w:id="534" w:name="_Toc300835184"/>
      <w:bookmarkStart w:id="535" w:name="_Toc247527783"/>
      <w:bookmarkStart w:id="536" w:name="_Toc247514182"/>
      <w:r>
        <w:rPr>
          <w:rFonts w:hint="eastAsia" w:ascii="宋体" w:hAnsi="宋体" w:eastAsia="宋体" w:cs="宋体"/>
          <w:color w:val="auto"/>
          <w:kern w:val="21"/>
          <w:sz w:val="24"/>
          <w:highlight w:val="none"/>
        </w:rPr>
        <w:t>另一方当事人，书面说明不</w:t>
      </w:r>
      <w:bookmarkEnd w:id="534"/>
      <w:bookmarkEnd w:id="535"/>
      <w:bookmarkEnd w:id="536"/>
      <w:r>
        <w:rPr>
          <w:rFonts w:hint="eastAsia" w:ascii="宋体" w:hAnsi="宋体" w:eastAsia="宋体" w:cs="宋体"/>
          <w:color w:val="auto"/>
          <w:kern w:val="21"/>
          <w:sz w:val="24"/>
          <w:highlight w:val="none"/>
        </w:rPr>
        <w:t>可抗力和受阻碍的详细情况，并提供必要的证明。</w:t>
      </w:r>
    </w:p>
    <w:p w14:paraId="1FCEEB9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10.2.2如不可抗力持续发生，合同一方当事人应及时向合同另一方当事人提交中间报告，说明不可抗力和履行合同受阻的情况，并于不可抗力事件结束后28天内提交最终报告及有关资料。</w:t>
      </w:r>
    </w:p>
    <w:p w14:paraId="66A7F10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37" w:name="_Toc482188626"/>
      <w:bookmarkStart w:id="538" w:name="_Toc492300695"/>
      <w:r>
        <w:rPr>
          <w:rFonts w:hint="eastAsia" w:ascii="宋体" w:hAnsi="宋体" w:eastAsia="宋体" w:cs="宋体"/>
          <w:b/>
          <w:color w:val="auto"/>
          <w:kern w:val="21"/>
          <w:sz w:val="24"/>
          <w:highlight w:val="none"/>
        </w:rPr>
        <w:t>10.3不可抗力后果及其处理</w:t>
      </w:r>
      <w:bookmarkEnd w:id="537"/>
      <w:bookmarkEnd w:id="538"/>
    </w:p>
    <w:p w14:paraId="499FE9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10.3.1不可抗力引起的后果及其损失，应由合同当事人依据法律规定各自承担。不可抗力发生前已完成的监理工作，应当按照合同约定进行支付。</w:t>
      </w:r>
    </w:p>
    <w:p w14:paraId="104AA45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10.3.2不可抗力发生后，合同当事人应当采取有效措施避免损失进一步扩大，如未采取有效措施致使损失扩大的，应当自行承担扩大部分的损失。</w:t>
      </w:r>
    </w:p>
    <w:p w14:paraId="06FD634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10.3.3因一方当事人迟延履行合同义务，致使迟延履行期间遭遇不可抗力的，应由该当事人承担全部损失。</w:t>
      </w:r>
    </w:p>
    <w:p w14:paraId="601DA293">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39" w:name="_Toc503518010"/>
      <w:bookmarkStart w:id="540" w:name="_Toc492300696"/>
      <w:bookmarkStart w:id="541" w:name="_Toc482188627"/>
      <w:r>
        <w:rPr>
          <w:rFonts w:hint="eastAsia" w:ascii="宋体" w:hAnsi="宋体" w:eastAsia="宋体" w:cs="宋体"/>
          <w:b/>
          <w:color w:val="auto"/>
          <w:kern w:val="21"/>
          <w:sz w:val="28"/>
          <w:highlight w:val="none"/>
        </w:rPr>
        <w:t>11.违约</w:t>
      </w:r>
      <w:bookmarkEnd w:id="539"/>
      <w:bookmarkEnd w:id="540"/>
      <w:bookmarkEnd w:id="541"/>
    </w:p>
    <w:p w14:paraId="5EF9A21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42" w:name="_Toc482188628"/>
      <w:bookmarkStart w:id="543" w:name="_Toc492300697"/>
      <w:r>
        <w:rPr>
          <w:rFonts w:hint="eastAsia" w:ascii="宋体" w:hAnsi="宋体" w:eastAsia="宋体" w:cs="宋体"/>
          <w:b/>
          <w:color w:val="auto"/>
          <w:kern w:val="21"/>
          <w:sz w:val="24"/>
          <w:highlight w:val="none"/>
        </w:rPr>
        <w:t>11.1监理人违约</w:t>
      </w:r>
      <w:bookmarkEnd w:id="542"/>
      <w:bookmarkEnd w:id="543"/>
    </w:p>
    <w:p w14:paraId="6796684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11.1.1合同履行中发生下列情况之一的，属监理人违约：</w:t>
      </w:r>
    </w:p>
    <w:p w14:paraId="484228E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（1）监理文件不符合规范标准以及合同约定；</w:t>
      </w:r>
    </w:p>
    <w:p w14:paraId="5A59EBA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（2）监理人转让监理工作；</w:t>
      </w:r>
    </w:p>
    <w:p w14:paraId="3D4D3EA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（3）监理人未按合同约定实施监理并造成工程损失；</w:t>
      </w:r>
    </w:p>
    <w:p w14:paraId="1218876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（4）监理人无法履行或停止履行合同；</w:t>
      </w:r>
    </w:p>
    <w:p w14:paraId="118DECE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（5）监理人不履行合同约定的其他义务。</w:t>
      </w:r>
    </w:p>
    <w:p w14:paraId="63AAD3E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11.1.2监理人发生违约情况时，委托人可向监理人发出整改通知，要求其在限定期限内纠正；逾期仍不纠正的，委托人有权解除合同并向监理人发出解除合同通知。监理人应当承担由于违约所造成的费用增加、周期延误和委托人损失等。</w:t>
      </w:r>
    </w:p>
    <w:p w14:paraId="07F1665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44" w:name="_Toc492300698"/>
      <w:bookmarkStart w:id="545" w:name="_Toc482188629"/>
      <w:r>
        <w:rPr>
          <w:rFonts w:hint="eastAsia" w:ascii="宋体" w:hAnsi="宋体" w:eastAsia="宋体" w:cs="宋体"/>
          <w:b/>
          <w:color w:val="auto"/>
          <w:kern w:val="21"/>
          <w:sz w:val="24"/>
          <w:highlight w:val="none"/>
        </w:rPr>
        <w:t>11.2委托人违约</w:t>
      </w:r>
      <w:bookmarkEnd w:id="544"/>
      <w:bookmarkEnd w:id="545"/>
    </w:p>
    <w:p w14:paraId="0E1CC52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11.2.1合同履行中发生下列情况之一的，属委托人违约：</w:t>
      </w:r>
    </w:p>
    <w:p w14:paraId="69A227D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w:t>
      </w:r>
      <w:bookmarkStart w:id="546" w:name="_Toc247527787"/>
      <w:bookmarkStart w:id="547" w:name="_Toc247514186"/>
      <w:bookmarkStart w:id="548" w:name="_Toc300835188"/>
      <w:r>
        <w:rPr>
          <w:rFonts w:hint="eastAsia" w:ascii="宋体" w:hAnsi="宋体" w:eastAsia="宋体" w:cs="宋体"/>
          <w:color w:val="auto"/>
          <w:kern w:val="21"/>
          <w:sz w:val="24"/>
          <w:highlight w:val="none"/>
        </w:rPr>
        <w:t>委托人未按合同约定支</w:t>
      </w:r>
      <w:bookmarkEnd w:id="546"/>
      <w:bookmarkEnd w:id="547"/>
      <w:bookmarkEnd w:id="548"/>
      <w:r>
        <w:rPr>
          <w:rFonts w:hint="eastAsia" w:ascii="宋体" w:hAnsi="宋体" w:eastAsia="宋体" w:cs="宋体"/>
          <w:color w:val="auto"/>
          <w:kern w:val="21"/>
          <w:sz w:val="24"/>
          <w:highlight w:val="none"/>
        </w:rPr>
        <w:t>付监理报酬；</w:t>
      </w:r>
    </w:p>
    <w:p w14:paraId="5EED677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（2）委托人原因造成监理停止；</w:t>
      </w:r>
    </w:p>
    <w:p w14:paraId="75597F0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（3）委托人无法履行或停止履行合同；</w:t>
      </w:r>
    </w:p>
    <w:p w14:paraId="2C5F12C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（4）委托人不履行合同约定的其他义务。</w:t>
      </w:r>
    </w:p>
    <w:p w14:paraId="7571D23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11.2.2委托人发生违约情况时，监理人可向委托人发出暂停监理通知，要求其在限定期限内纠正；逾期仍不纠正的，监理人有权解除合同并向委托人发出解除合同通知。委托人应当承担由于违约所造成的费用增加、周期延误和监理人损失等。</w:t>
      </w:r>
    </w:p>
    <w:p w14:paraId="2F1E088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49" w:name="_Toc482188630"/>
      <w:bookmarkStart w:id="550" w:name="_Toc492300699"/>
      <w:r>
        <w:rPr>
          <w:rFonts w:hint="eastAsia" w:ascii="宋体" w:hAnsi="宋体" w:eastAsia="宋体" w:cs="宋体"/>
          <w:b/>
          <w:color w:val="auto"/>
          <w:kern w:val="21"/>
          <w:sz w:val="24"/>
          <w:highlight w:val="none"/>
        </w:rPr>
        <w:t>11.3第三人造成的违约</w:t>
      </w:r>
      <w:bookmarkEnd w:id="549"/>
      <w:bookmarkEnd w:id="550"/>
    </w:p>
    <w:p w14:paraId="56B3448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在履行合同过程中，一方当事人因第三人的原因造成违约的，应当向对方当事人承担违约责任。一</w:t>
      </w:r>
      <w:bookmarkStart w:id="551" w:name="_Toc247514187"/>
      <w:bookmarkStart w:id="552" w:name="_Toc247527788"/>
      <w:bookmarkStart w:id="553" w:name="_Toc300835189"/>
      <w:r>
        <w:rPr>
          <w:rFonts w:hint="eastAsia" w:ascii="宋体" w:hAnsi="宋体" w:eastAsia="宋体" w:cs="宋体"/>
          <w:color w:val="auto"/>
          <w:kern w:val="21"/>
          <w:sz w:val="24"/>
          <w:highlight w:val="none"/>
        </w:rPr>
        <w:t>方当事人和第三人之间的纠纷</w:t>
      </w:r>
      <w:bookmarkEnd w:id="551"/>
      <w:bookmarkEnd w:id="552"/>
      <w:bookmarkEnd w:id="553"/>
      <w:r>
        <w:rPr>
          <w:rFonts w:hint="eastAsia" w:ascii="宋体" w:hAnsi="宋体" w:eastAsia="宋体" w:cs="宋体"/>
          <w:color w:val="auto"/>
          <w:kern w:val="21"/>
          <w:sz w:val="24"/>
          <w:highlight w:val="none"/>
        </w:rPr>
        <w:t>，依照法律规定或者按照约定解决。</w:t>
      </w:r>
    </w:p>
    <w:p w14:paraId="268A4EF0">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54" w:name="_Toc503518011"/>
      <w:bookmarkStart w:id="555" w:name="_Toc482188631"/>
      <w:bookmarkStart w:id="556" w:name="_Toc492300700"/>
      <w:r>
        <w:rPr>
          <w:rFonts w:hint="eastAsia" w:ascii="宋体" w:hAnsi="宋体" w:eastAsia="宋体" w:cs="宋体"/>
          <w:b/>
          <w:color w:val="auto"/>
          <w:kern w:val="21"/>
          <w:sz w:val="28"/>
          <w:highlight w:val="none"/>
        </w:rPr>
        <w:t>12.争议的解决</w:t>
      </w:r>
      <w:bookmarkEnd w:id="554"/>
      <w:bookmarkEnd w:id="555"/>
      <w:bookmarkEnd w:id="556"/>
    </w:p>
    <w:p w14:paraId="077884E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委托人和监理人在履行合同中发生争议的，可以友好协商解决</w:t>
      </w:r>
      <w:bookmarkStart w:id="557" w:name="_Toc247514193"/>
      <w:bookmarkStart w:id="558" w:name="_Toc184635121"/>
      <w:bookmarkStart w:id="559" w:name="_Toc300835195"/>
      <w:bookmarkStart w:id="560" w:name="_Toc247527794"/>
      <w:r>
        <w:rPr>
          <w:rFonts w:hint="eastAsia" w:ascii="宋体" w:hAnsi="宋体" w:eastAsia="宋体" w:cs="宋体"/>
          <w:color w:val="auto"/>
          <w:kern w:val="21"/>
          <w:sz w:val="24"/>
          <w:highlight w:val="none"/>
        </w:rPr>
        <w:t>。合同当事</w:t>
      </w:r>
      <w:bookmarkEnd w:id="557"/>
      <w:bookmarkEnd w:id="558"/>
      <w:bookmarkEnd w:id="559"/>
      <w:bookmarkEnd w:id="560"/>
      <w:r>
        <w:rPr>
          <w:rFonts w:hint="eastAsia" w:ascii="宋体" w:hAnsi="宋体" w:eastAsia="宋体" w:cs="宋体"/>
          <w:color w:val="auto"/>
          <w:kern w:val="21"/>
          <w:sz w:val="24"/>
          <w:highlight w:val="none"/>
        </w:rPr>
        <w:t>人</w:t>
      </w:r>
      <w:bookmarkStart w:id="561" w:name="_Toc300835196"/>
      <w:bookmarkStart w:id="562" w:name="_Toc247514194"/>
      <w:bookmarkStart w:id="563" w:name="_Toc247527795"/>
      <w:r>
        <w:rPr>
          <w:rFonts w:hint="eastAsia" w:ascii="宋体" w:hAnsi="宋体" w:eastAsia="宋体" w:cs="宋体"/>
          <w:color w:val="auto"/>
          <w:kern w:val="21"/>
          <w:sz w:val="24"/>
          <w:highlight w:val="none"/>
        </w:rPr>
        <w:t>友好协商解决不成</w:t>
      </w:r>
      <w:bookmarkEnd w:id="561"/>
      <w:bookmarkEnd w:id="562"/>
      <w:bookmarkEnd w:id="563"/>
      <w:r>
        <w:rPr>
          <w:rFonts w:hint="eastAsia" w:ascii="宋体" w:hAnsi="宋体" w:eastAsia="宋体" w:cs="宋体"/>
          <w:color w:val="auto"/>
          <w:kern w:val="21"/>
          <w:sz w:val="24"/>
          <w:highlight w:val="none"/>
        </w:rPr>
        <w:t>的，可在专用合同条款中约定下列一种方式解决：</w:t>
      </w:r>
    </w:p>
    <w:p w14:paraId="60FD06D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（1）向约定的仲裁委员会申请仲裁；</w:t>
      </w:r>
    </w:p>
    <w:p w14:paraId="7FEF074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（2）向有管辖权的人民法院提起诉讼。</w:t>
      </w:r>
    </w:p>
    <w:p w14:paraId="47F60D8B">
      <w:pPr>
        <w:keepNext w:val="0"/>
        <w:keepLines w:val="0"/>
        <w:widowControl w:val="0"/>
        <w:kinsoku w:val="0"/>
        <w:overflowPunct w:val="0"/>
        <w:autoSpaceDE w:val="0"/>
        <w:autoSpaceDN w:val="0"/>
        <w:bidi w:val="0"/>
        <w:adjustRightInd w:val="0"/>
        <w:spacing w:before="79"/>
        <w:ind w:left="583"/>
        <w:jc w:val="left"/>
        <w:rPr>
          <w:rFonts w:hint="eastAsia" w:ascii="宋体" w:hAnsi="宋体" w:eastAsia="宋体" w:cs="宋体"/>
          <w:color w:val="auto"/>
          <w:sz w:val="22"/>
          <w:highlight w:val="none"/>
        </w:rPr>
        <w:sectPr>
          <w:pgSz w:w="11907" w:h="16838"/>
          <w:pgMar w:top="1134" w:right="1134" w:bottom="1134" w:left="1134" w:header="964" w:footer="1077" w:gutter="0"/>
          <w:lnNumType w:countBy="0" w:distance="360"/>
          <w:cols w:space="720" w:num="1"/>
        </w:sectPr>
      </w:pPr>
      <w:bookmarkStart w:id="564" w:name="bookmark117"/>
      <w:bookmarkEnd w:id="564"/>
      <w:bookmarkStart w:id="565" w:name="bookmark112"/>
      <w:bookmarkEnd w:id="565"/>
      <w:bookmarkStart w:id="566" w:name="bookmark116"/>
      <w:bookmarkEnd w:id="566"/>
      <w:bookmarkStart w:id="567" w:name="bookmark118"/>
      <w:bookmarkEnd w:id="567"/>
      <w:bookmarkStart w:id="568" w:name="bookmark109"/>
      <w:bookmarkEnd w:id="568"/>
      <w:bookmarkStart w:id="569" w:name="bookmark108"/>
      <w:bookmarkEnd w:id="569"/>
      <w:bookmarkStart w:id="570" w:name="bookmark114"/>
      <w:bookmarkEnd w:id="570"/>
      <w:bookmarkStart w:id="571" w:name="bookmark110"/>
      <w:bookmarkEnd w:id="571"/>
      <w:bookmarkStart w:id="572" w:name="bookmark111"/>
      <w:bookmarkEnd w:id="572"/>
      <w:bookmarkStart w:id="573" w:name="bookmark115"/>
      <w:bookmarkEnd w:id="573"/>
      <w:bookmarkStart w:id="574" w:name="bookmark113"/>
      <w:bookmarkEnd w:id="574"/>
    </w:p>
    <w:p w14:paraId="27513E7C">
      <w:pPr>
        <w:keepNext w:val="0"/>
        <w:keepLines w:val="0"/>
        <w:widowControl w:val="0"/>
        <w:kinsoku w:val="0"/>
        <w:overflowPunct w:val="0"/>
        <w:autoSpaceDE w:val="0"/>
        <w:autoSpaceDN w:val="0"/>
        <w:bidi w:val="0"/>
        <w:adjustRightInd w:val="0"/>
        <w:spacing w:before="16" w:line="260" w:lineRule="exact"/>
        <w:jc w:val="left"/>
        <w:rPr>
          <w:rFonts w:hint="eastAsia" w:ascii="宋体" w:hAnsi="宋体" w:eastAsia="宋体" w:cs="宋体"/>
          <w:color w:val="auto"/>
          <w:sz w:val="26"/>
          <w:highlight w:val="none"/>
        </w:rPr>
      </w:pPr>
    </w:p>
    <w:p w14:paraId="25B238B9">
      <w:pPr>
        <w:pStyle w:val="7"/>
        <w:keepNext w:val="0"/>
        <w:keepLines w:val="0"/>
        <w:tabs>
          <w:tab w:val="left" w:pos="4083"/>
        </w:tabs>
        <w:kinsoku w:val="0"/>
        <w:overflowPunct w:val="0"/>
        <w:bidi w:val="0"/>
        <w:spacing w:line="501" w:lineRule="exact"/>
        <w:ind w:left="2482"/>
        <w:rPr>
          <w:rFonts w:hint="eastAsia" w:ascii="宋体" w:hAnsi="宋体" w:eastAsia="宋体" w:cs="宋体"/>
          <w:b/>
          <w:bCs/>
          <w:color w:val="auto"/>
          <w:highlight w:val="none"/>
        </w:rPr>
      </w:pPr>
      <w:bookmarkStart w:id="575" w:name="bookmark119"/>
      <w:bookmarkEnd w:id="575"/>
      <w:bookmarkStart w:id="576" w:name="_Toc16152_WPSOffice_Level2"/>
      <w:r>
        <w:rPr>
          <w:rFonts w:hint="eastAsia" w:ascii="宋体" w:hAnsi="宋体" w:eastAsia="宋体" w:cs="宋体"/>
          <w:b/>
          <w:bCs/>
          <w:color w:val="auto"/>
          <w:highlight w:val="none"/>
        </w:rPr>
        <w:t>第二节</w:t>
      </w:r>
      <w:r>
        <w:rPr>
          <w:rFonts w:hint="eastAsia" w:ascii="宋体" w:hAnsi="宋体" w:eastAsia="宋体" w:cs="宋体"/>
          <w:b/>
          <w:bCs/>
          <w:color w:val="auto"/>
          <w:highlight w:val="none"/>
        </w:rPr>
        <w:tab/>
      </w:r>
      <w:r>
        <w:rPr>
          <w:rFonts w:hint="eastAsia" w:ascii="宋体" w:hAnsi="宋体" w:eastAsia="宋体" w:cs="宋体"/>
          <w:b/>
          <w:bCs/>
          <w:color w:val="auto"/>
          <w:highlight w:val="none"/>
        </w:rPr>
        <w:t>专</w:t>
      </w:r>
      <w:r>
        <w:rPr>
          <w:rFonts w:hint="eastAsia" w:ascii="宋体" w:hAnsi="宋体" w:eastAsia="宋体" w:cs="宋体"/>
          <w:b/>
          <w:bCs/>
          <w:color w:val="auto"/>
          <w:spacing w:val="-3"/>
          <w:highlight w:val="none"/>
        </w:rPr>
        <w:t>用</w:t>
      </w:r>
      <w:r>
        <w:rPr>
          <w:rFonts w:hint="eastAsia" w:ascii="宋体" w:hAnsi="宋体" w:eastAsia="宋体" w:cs="宋体"/>
          <w:b/>
          <w:bCs/>
          <w:color w:val="auto"/>
          <w:highlight w:val="none"/>
        </w:rPr>
        <w:t>合同条款</w:t>
      </w:r>
      <w:bookmarkEnd w:id="576"/>
    </w:p>
    <w:p w14:paraId="545B1678">
      <w:pPr>
        <w:keepNext w:val="0"/>
        <w:keepLines w:val="0"/>
        <w:bidi w:val="0"/>
        <w:rPr>
          <w:rFonts w:hint="eastAsia" w:ascii="宋体" w:hAnsi="宋体" w:eastAsia="宋体" w:cs="宋体"/>
          <w:color w:val="auto"/>
          <w:highlight w:val="none"/>
        </w:rPr>
      </w:pPr>
    </w:p>
    <w:p w14:paraId="138811D9">
      <w:pPr>
        <w:keepNext w:val="0"/>
        <w:keepLines w:val="0"/>
        <w:bidi w:val="0"/>
        <w:spacing w:line="360" w:lineRule="auto"/>
        <w:rPr>
          <w:rFonts w:hint="eastAsia" w:ascii="宋体" w:hAnsi="宋体" w:eastAsia="宋体" w:cs="宋体"/>
          <w:b/>
          <w:bCs/>
          <w:color w:val="auto"/>
          <w:kern w:val="21"/>
          <w:highlight w:val="none"/>
        </w:rPr>
      </w:pPr>
      <w:r>
        <w:rPr>
          <w:rFonts w:hint="eastAsia" w:ascii="宋体" w:hAnsi="宋体" w:eastAsia="宋体" w:cs="宋体"/>
          <w:b/>
          <w:bCs/>
          <w:color w:val="auto"/>
          <w:kern w:val="21"/>
          <w:highlight w:val="none"/>
        </w:rPr>
        <w:t>包括：</w:t>
      </w:r>
    </w:p>
    <w:p w14:paraId="4167DDDC">
      <w:pPr>
        <w:keepNext w:val="0"/>
        <w:keepLines w:val="0"/>
        <w:bidi w:val="0"/>
        <w:spacing w:line="360" w:lineRule="auto"/>
        <w:ind w:firstLine="422" w:firstLineChars="200"/>
        <w:rPr>
          <w:rFonts w:hint="eastAsia" w:ascii="宋体" w:hAnsi="宋体" w:eastAsia="宋体" w:cs="宋体"/>
          <w:b/>
          <w:bCs/>
          <w:color w:val="auto"/>
          <w:kern w:val="21"/>
          <w:highlight w:val="none"/>
        </w:rPr>
      </w:pPr>
      <w:r>
        <w:rPr>
          <w:rFonts w:hint="eastAsia" w:ascii="宋体" w:hAnsi="宋体" w:eastAsia="宋体" w:cs="宋体"/>
          <w:b/>
          <w:bCs/>
          <w:color w:val="auto"/>
          <w:kern w:val="21"/>
          <w:highlight w:val="none"/>
        </w:rPr>
        <w:t>A公路工程专用合同条款详见《交通运输部公路工程标准施工监理招标文件（2018年版）</w:t>
      </w:r>
    </w:p>
    <w:p w14:paraId="67BE746A">
      <w:pPr>
        <w:keepNext w:val="0"/>
        <w:keepLines w:val="0"/>
        <w:bidi w:val="0"/>
        <w:spacing w:line="360" w:lineRule="auto"/>
        <w:ind w:firstLine="422" w:firstLineChars="200"/>
        <w:rPr>
          <w:rFonts w:hint="eastAsia" w:ascii="宋体" w:hAnsi="宋体" w:eastAsia="宋体" w:cs="宋体"/>
          <w:b/>
          <w:bCs/>
          <w:color w:val="auto"/>
          <w:kern w:val="21"/>
          <w:highlight w:val="none"/>
        </w:rPr>
      </w:pPr>
      <w:r>
        <w:rPr>
          <w:rFonts w:hint="eastAsia" w:ascii="宋体" w:hAnsi="宋体" w:eastAsia="宋体" w:cs="宋体"/>
          <w:b/>
          <w:bCs/>
          <w:color w:val="auto"/>
          <w:kern w:val="21"/>
          <w:highlight w:val="none"/>
        </w:rPr>
        <w:t>B项目专用合同条款</w:t>
      </w:r>
    </w:p>
    <w:p w14:paraId="2676BABE">
      <w:pPr>
        <w:pStyle w:val="3"/>
        <w:keepNext w:val="0"/>
        <w:keepLines w:val="0"/>
        <w:bidi w:val="0"/>
        <w:rPr>
          <w:rFonts w:hint="eastAsia" w:ascii="宋体" w:hAnsi="宋体" w:eastAsia="宋体" w:cs="宋体"/>
          <w:color w:val="auto"/>
          <w:highlight w:val="none"/>
        </w:rPr>
        <w:sectPr>
          <w:pgSz w:w="11907" w:h="16838"/>
          <w:pgMar w:top="1134" w:right="1134" w:bottom="1134" w:left="1134" w:header="882" w:footer="1078" w:gutter="0"/>
          <w:lnNumType w:countBy="0" w:distance="360"/>
          <w:cols w:space="720" w:num="1"/>
        </w:sectPr>
      </w:pPr>
    </w:p>
    <w:p w14:paraId="54BC4E82">
      <w:pPr>
        <w:keepNext w:val="0"/>
        <w:keepLines w:val="0"/>
        <w:widowControl w:val="0"/>
        <w:kinsoku w:val="0"/>
        <w:overflowPunct w:val="0"/>
        <w:autoSpaceDE w:val="0"/>
        <w:autoSpaceDN w:val="0"/>
        <w:bidi w:val="0"/>
        <w:adjustRightInd w:val="0"/>
        <w:spacing w:line="444" w:lineRule="exact"/>
        <w:ind w:left="2859"/>
        <w:jc w:val="left"/>
        <w:rPr>
          <w:rFonts w:hint="eastAsia" w:ascii="宋体" w:hAnsi="宋体" w:eastAsia="宋体" w:cs="宋体"/>
          <w:color w:val="auto"/>
          <w:sz w:val="32"/>
          <w:highlight w:val="none"/>
        </w:rPr>
      </w:pPr>
      <w:r>
        <w:rPr>
          <w:rFonts w:hint="eastAsia" w:ascii="宋体" w:hAnsi="宋体" w:eastAsia="宋体" w:cs="宋体"/>
          <w:b/>
          <w:color w:val="auto"/>
          <w:sz w:val="32"/>
          <w:highlight w:val="none"/>
        </w:rPr>
        <w:t>A.</w:t>
      </w:r>
      <w:r>
        <w:rPr>
          <w:rFonts w:hint="eastAsia" w:ascii="宋体" w:hAnsi="宋体" w:eastAsia="宋体" w:cs="宋体"/>
          <w:color w:val="auto"/>
          <w:spacing w:val="2"/>
          <w:sz w:val="32"/>
          <w:highlight w:val="none"/>
        </w:rPr>
        <w:t>公路工程专用合同条款</w:t>
      </w:r>
    </w:p>
    <w:p w14:paraId="53B3EB5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9281834">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77" w:name="_Toc503518013"/>
      <w:r>
        <w:rPr>
          <w:rFonts w:hint="eastAsia" w:ascii="宋体" w:hAnsi="宋体" w:eastAsia="宋体" w:cs="宋体"/>
          <w:b/>
          <w:color w:val="auto"/>
          <w:kern w:val="21"/>
          <w:sz w:val="28"/>
          <w:highlight w:val="none"/>
        </w:rPr>
        <w:t>1.一般约定</w:t>
      </w:r>
      <w:bookmarkEnd w:id="577"/>
    </w:p>
    <w:p w14:paraId="72918505">
      <w:pPr>
        <w:keepNext w:val="0"/>
        <w:keepLines w:val="0"/>
        <w:widowControl w:val="0"/>
        <w:autoSpaceDE w:val="0"/>
        <w:autoSpaceDN w:val="0"/>
        <w:bidi w:val="0"/>
        <w:adjustRightInd w:val="0"/>
        <w:spacing w:before="120" w:beforeLines="50"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1.1词语定义</w:t>
      </w:r>
    </w:p>
    <w:p w14:paraId="052896A5">
      <w:pPr>
        <w:keepNext w:val="0"/>
        <w:keepLines w:val="0"/>
        <w:widowControl w:val="0"/>
        <w:autoSpaceDE w:val="0"/>
        <w:autoSpaceDN w:val="0"/>
        <w:bidi w:val="0"/>
        <w:adjustRightInd w:val="0"/>
        <w:spacing w:line="360" w:lineRule="auto"/>
        <w:ind w:firstLine="482" w:firstLineChars="200"/>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1.1.1合同</w:t>
      </w:r>
    </w:p>
    <w:p w14:paraId="0EDC7E1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第1.1.1.1目细化为：</w:t>
      </w:r>
    </w:p>
    <w:p w14:paraId="31446F5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合同文件（或称合同）：指合同协议书及各种合同附件、中标通知书、投标函、项目专用合同条款、公路工程专用合同条款、通用合同条款、委托人要求、监理服务费用清单、监理人有关人员和试验检测设备投入的承诺，以及其他构成合同组成部分的文件。</w:t>
      </w:r>
    </w:p>
    <w:p w14:paraId="1754C55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第1.1.1.5目不适用。</w:t>
      </w:r>
    </w:p>
    <w:p w14:paraId="7FA835F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第1.1.1.8目细化为：</w:t>
      </w:r>
    </w:p>
    <w:p w14:paraId="2A9AFC4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监理服务费用清单：指监理人投标文件中的监理服务费用清单。</w:t>
      </w:r>
    </w:p>
    <w:p w14:paraId="29D8B34B">
      <w:pPr>
        <w:keepNext w:val="0"/>
        <w:keepLines w:val="0"/>
        <w:widowControl w:val="0"/>
        <w:autoSpaceDE w:val="0"/>
        <w:autoSpaceDN w:val="0"/>
        <w:bidi w:val="0"/>
        <w:adjustRightInd w:val="0"/>
        <w:spacing w:line="360" w:lineRule="auto"/>
        <w:ind w:firstLine="482" w:firstLineChars="200"/>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1.1.2合同当事人和人员</w:t>
      </w:r>
    </w:p>
    <w:p w14:paraId="3B2EF97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本项补充第1.1.2.7目至第1.1.2.9目：</w:t>
      </w:r>
    </w:p>
    <w:p w14:paraId="7F08B0A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1.1.2.7监理机构：指由监理人在项目现场设立的履行监理职责的组织，包括总监理工程师办公室（简称总监办）及驻地监理工程师办公室（简称驻地办）。</w:t>
      </w:r>
    </w:p>
    <w:p w14:paraId="76B4DE4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1.1.2.8行政管理部门：指交通运输主管部门或对本工程依法享有行政监督权限的其他政府部门。</w:t>
      </w:r>
    </w:p>
    <w:p w14:paraId="56EEF46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1.1.2.9第三方：指除委托人、监理人之外，与本工程建设有关的其他当事人（包括承包人）。</w:t>
      </w:r>
    </w:p>
    <w:p w14:paraId="173C79A4">
      <w:pPr>
        <w:keepNext w:val="0"/>
        <w:keepLines w:val="0"/>
        <w:widowControl w:val="0"/>
        <w:autoSpaceDE w:val="0"/>
        <w:autoSpaceDN w:val="0"/>
        <w:bidi w:val="0"/>
        <w:adjustRightInd w:val="0"/>
        <w:spacing w:line="360" w:lineRule="auto"/>
        <w:ind w:firstLine="482" w:firstLineChars="200"/>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1.1.3工程和监理</w:t>
      </w:r>
    </w:p>
    <w:p w14:paraId="4BC12BF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第1.1.3.1目细化为：</w:t>
      </w:r>
    </w:p>
    <w:p w14:paraId="5789C4B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工程：指为完成项目所实施的一项或若干项永久或临时工程（包括向委托人提供的物资和设备），具体情况在项目专用合同条款中指明。</w:t>
      </w:r>
    </w:p>
    <w:p w14:paraId="1BFE999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第1.1.3.2目细化为：</w:t>
      </w:r>
    </w:p>
    <w:p w14:paraId="3C59C72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服务：指监理人接受委托人的委托，依照法律、规范标准和监理合同等，对公路工程施工准备、施工、验收与缺陷责任期等阶段进行质量控制、进度控制、投资控制、合同管理、信息管理、组织协调和安全监理、环保监理的服务活动。</w:t>
      </w:r>
    </w:p>
    <w:p w14:paraId="7C448328">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bookmarkStart w:id="578" w:name="_Toc493143919"/>
      <w:r>
        <w:rPr>
          <w:rFonts w:hint="eastAsia" w:ascii="宋体" w:hAnsi="宋体" w:eastAsia="宋体" w:cs="宋体"/>
          <w:b/>
          <w:color w:val="auto"/>
          <w:kern w:val="21"/>
          <w:sz w:val="24"/>
          <w:highlight w:val="none"/>
        </w:rPr>
        <w:t>1.4合同文件的优先顺序</w:t>
      </w:r>
    </w:p>
    <w:p w14:paraId="12D80B2F">
      <w:pPr>
        <w:keepNext w:val="0"/>
        <w:keepLines w:val="0"/>
        <w:widowControl w:val="0"/>
        <w:kinsoku w:val="0"/>
        <w:overflowPunct w:val="0"/>
        <w:autoSpaceDE w:val="0"/>
        <w:autoSpaceDN w:val="0"/>
        <w:bidi w:val="0"/>
        <w:adjustRightInd w:val="0"/>
        <w:spacing w:before="10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本款细化为：</w:t>
      </w:r>
    </w:p>
    <w:p w14:paraId="349A8C36">
      <w:pPr>
        <w:keepNext w:val="0"/>
        <w:keepLines w:val="0"/>
        <w:widowControl w:val="0"/>
        <w:kinsoku w:val="0"/>
        <w:overflowPunct w:val="0"/>
        <w:autoSpaceDE w:val="0"/>
        <w:autoSpaceDN w:val="0"/>
        <w:bidi w:val="0"/>
        <w:adjustRightInd w:val="0"/>
        <w:spacing w:before="132" w:line="350" w:lineRule="auto"/>
        <w:ind w:right="9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组成合同的各项文件应互相解释，互为说明。除项目专用合同条款另有约定外</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解释合同文件的优先顺序如下：</w:t>
      </w:r>
    </w:p>
    <w:p w14:paraId="64E74F9B">
      <w:pPr>
        <w:keepNext w:val="0"/>
        <w:keepLines w:val="0"/>
        <w:widowControl w:val="0"/>
        <w:kinsoku w:val="0"/>
        <w:overflowPunct w:val="0"/>
        <w:autoSpaceDE w:val="0"/>
        <w:autoSpaceDN w:val="0"/>
        <w:bidi w:val="0"/>
        <w:adjustRightInd w:val="0"/>
        <w:spacing w:before="31"/>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（1）合同协议书及各种合同附件；</w:t>
      </w:r>
    </w:p>
    <w:p w14:paraId="51A0CC1C">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（2）中标通知书；</w:t>
      </w:r>
    </w:p>
    <w:p w14:paraId="05D285CE">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（3）投标函；</w:t>
      </w:r>
    </w:p>
    <w:p w14:paraId="1F9A7B92">
      <w:pPr>
        <w:keepNext w:val="0"/>
        <w:keepLines w:val="0"/>
        <w:widowControl w:val="0"/>
        <w:kinsoku w:val="0"/>
        <w:overflowPunct w:val="0"/>
        <w:autoSpaceDE w:val="0"/>
        <w:autoSpaceDN w:val="0"/>
        <w:bidi w:val="0"/>
        <w:adjustRightInd w:val="0"/>
        <w:spacing w:before="116"/>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（4）项目专用合同条款；</w:t>
      </w:r>
    </w:p>
    <w:p w14:paraId="7593EA3C">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（5）公路工程专用合同条款；</w:t>
      </w:r>
    </w:p>
    <w:p w14:paraId="737B4D82">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（6）通用合同条款；</w:t>
      </w:r>
    </w:p>
    <w:p w14:paraId="41604147">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（7）委托人要求；</w:t>
      </w:r>
    </w:p>
    <w:p w14:paraId="78E95491">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（8）监理服务费用清单；</w:t>
      </w:r>
    </w:p>
    <w:p w14:paraId="46707870">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（9）监理人有关人员、试验检测设备投入的承诺；</w:t>
      </w:r>
    </w:p>
    <w:p w14:paraId="1B138DF7">
      <w:pPr>
        <w:keepNext w:val="0"/>
        <w:keepLines w:val="0"/>
        <w:widowControl w:val="0"/>
        <w:kinsoku w:val="0"/>
        <w:overflowPunct w:val="0"/>
        <w:autoSpaceDE w:val="0"/>
        <w:autoSpaceDN w:val="0"/>
        <w:bidi w:val="0"/>
        <w:adjustRightInd w:val="0"/>
        <w:spacing w:before="115" w:line="360" w:lineRule="auto"/>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（10）其他合同文件。</w:t>
      </w:r>
    </w:p>
    <w:p w14:paraId="34185D9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sz w:val="24"/>
          <w:szCs w:val="24"/>
          <w:highlight w:val="none"/>
        </w:rPr>
        <w:t>合同当事人针对各类合同文件所作出的补充和修改亦属于合同文件的组成部分，属于同一类内容的文件，应以最新签署的为准。</w:t>
      </w:r>
    </w:p>
    <w:p w14:paraId="6D8F3AA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618B8AB2">
      <w:pPr>
        <w:keepNext w:val="0"/>
        <w:keepLines w:val="0"/>
        <w:widowControl w:val="0"/>
        <w:autoSpaceDE w:val="0"/>
        <w:autoSpaceDN w:val="0"/>
        <w:bidi w:val="0"/>
        <w:adjustRightInd w:val="0"/>
        <w:spacing w:line="360" w:lineRule="auto"/>
        <w:outlineLvl w:val="4"/>
        <w:rPr>
          <w:rFonts w:hint="eastAsia" w:ascii="宋体" w:hAnsi="宋体" w:eastAsia="宋体" w:cs="宋体"/>
          <w:color w:val="auto"/>
          <w:kern w:val="21"/>
          <w:sz w:val="24"/>
          <w:highlight w:val="none"/>
        </w:rPr>
      </w:pPr>
      <w:r>
        <w:rPr>
          <w:rFonts w:hint="eastAsia" w:ascii="宋体" w:hAnsi="宋体" w:eastAsia="宋体" w:cs="宋体"/>
          <w:b/>
          <w:color w:val="auto"/>
          <w:kern w:val="21"/>
          <w:sz w:val="24"/>
          <w:highlight w:val="none"/>
        </w:rPr>
        <w:t>1.6文件的提供和照管</w:t>
      </w:r>
    </w:p>
    <w:p w14:paraId="5A6231F9">
      <w:pPr>
        <w:keepNext w:val="0"/>
        <w:keepLines w:val="0"/>
        <w:widowControl w:val="0"/>
        <w:autoSpaceDE w:val="0"/>
        <w:autoSpaceDN w:val="0"/>
        <w:bidi w:val="0"/>
        <w:adjustRightInd w:val="0"/>
        <w:spacing w:line="360" w:lineRule="auto"/>
        <w:ind w:firstLine="482" w:firstLineChars="200"/>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1.6.1监理文件的提供</w:t>
      </w:r>
    </w:p>
    <w:p w14:paraId="2590F9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本项细化为：</w:t>
      </w:r>
    </w:p>
    <w:p w14:paraId="600036C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在合理的期限内按照国家、公路行业现行标准、规范、规定，《公路工程施工监理规范》及施工承包合同约定向委托人提供监理文件。合同约定监理文件应经委托人批复的，委托人应当在合同约定的期限内批复或提出修改意见。</w:t>
      </w:r>
    </w:p>
    <w:p w14:paraId="1C8F3CBA">
      <w:pPr>
        <w:keepNext w:val="0"/>
        <w:keepLines w:val="0"/>
        <w:widowControl w:val="0"/>
        <w:autoSpaceDE w:val="0"/>
        <w:autoSpaceDN w:val="0"/>
        <w:bidi w:val="0"/>
        <w:adjustRightInd w:val="0"/>
        <w:spacing w:line="360" w:lineRule="auto"/>
        <w:ind w:firstLine="482" w:firstLineChars="200"/>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1.6.2委托人提供的文件</w:t>
      </w:r>
    </w:p>
    <w:p w14:paraId="5916A439">
      <w:pPr>
        <w:keepNext w:val="0"/>
        <w:keepLines w:val="0"/>
        <w:widowControl w:val="0"/>
        <w:numPr>
          <w:ilvl w:val="0"/>
          <w:numId w:val="0"/>
        </w:numPr>
        <w:tabs>
          <w:tab w:val="left" w:pos="1136"/>
        </w:tabs>
        <w:kinsoku w:val="0"/>
        <w:overflowPunct w:val="0"/>
        <w:autoSpaceDE w:val="0"/>
        <w:autoSpaceDN w:val="0"/>
        <w:bidi w:val="0"/>
        <w:adjustRightInd w:val="0"/>
        <w:spacing w:before="31" w:line="360" w:lineRule="auto"/>
        <w:ind w:left="583" w:leftChars="0" w:right="6047" w:rightChars="0"/>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本项细化为：</w:t>
      </w:r>
    </w:p>
    <w:p w14:paraId="3879CBB5">
      <w:pPr>
        <w:keepNext w:val="0"/>
        <w:keepLines w:val="0"/>
        <w:widowControl w:val="0"/>
        <w:kinsoku w:val="0"/>
        <w:overflowPunct w:val="0"/>
        <w:autoSpaceDE w:val="0"/>
        <w:autoSpaceDN w:val="0"/>
        <w:bidi w:val="0"/>
        <w:adjustRightInd w:val="0"/>
        <w:spacing w:before="48" w:line="360" w:lineRule="auto"/>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除项目专用合同条款另有约定外，委托人应在监理合同生效且取得相关文件、资料后7</w:t>
      </w:r>
    </w:p>
    <w:p w14:paraId="1FFE2364">
      <w:pPr>
        <w:keepNext w:val="0"/>
        <w:keepLines w:val="0"/>
        <w:widowControl w:val="0"/>
        <w:kinsoku w:val="0"/>
        <w:overflowPunct w:val="0"/>
        <w:autoSpaceDE w:val="0"/>
        <w:autoSpaceDN w:val="0"/>
        <w:bidi w:val="0"/>
        <w:adjustRightInd w:val="0"/>
        <w:spacing w:before="115" w:line="360" w:lineRule="auto"/>
        <w:ind w:left="14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天内，向监理人免费提供下述文件、资料：</w:t>
      </w:r>
    </w:p>
    <w:p w14:paraId="680DE918">
      <w:pPr>
        <w:keepNext w:val="0"/>
        <w:keepLines w:val="0"/>
        <w:widowControl w:val="0"/>
        <w:kinsoku w:val="0"/>
        <w:overflowPunct w:val="0"/>
        <w:autoSpaceDE w:val="0"/>
        <w:autoSpaceDN w:val="0"/>
        <w:bidi w:val="0"/>
        <w:adjustRightInd w:val="0"/>
        <w:spacing w:before="131" w:line="360" w:lineRule="auto"/>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（1）委托人与承包人签订的施工承包合同1份。</w:t>
      </w:r>
    </w:p>
    <w:p w14:paraId="66E5ADCC">
      <w:pPr>
        <w:keepNext w:val="0"/>
        <w:keepLines w:val="0"/>
        <w:widowControl w:val="0"/>
        <w:kinsoku w:val="0"/>
        <w:overflowPunct w:val="0"/>
        <w:autoSpaceDE w:val="0"/>
        <w:autoSpaceDN w:val="0"/>
        <w:bidi w:val="0"/>
        <w:adjustRightInd w:val="0"/>
        <w:spacing w:before="115" w:line="360" w:lineRule="auto"/>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（2）委托人与承包人共同确认的已标价的工程量清单及其说明1份。</w:t>
      </w:r>
    </w:p>
    <w:p w14:paraId="134B1188">
      <w:pPr>
        <w:keepNext w:val="0"/>
        <w:keepLines w:val="0"/>
        <w:widowControl w:val="0"/>
        <w:kinsoku w:val="0"/>
        <w:overflowPunct w:val="0"/>
        <w:autoSpaceDE w:val="0"/>
        <w:autoSpaceDN w:val="0"/>
        <w:bidi w:val="0"/>
        <w:adjustRightInd w:val="0"/>
        <w:spacing w:before="115" w:line="360" w:lineRule="auto"/>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（3）合同图纸和相关的标准图纸及说明1套。</w:t>
      </w:r>
    </w:p>
    <w:p w14:paraId="43AD34CA">
      <w:pPr>
        <w:keepNext w:val="0"/>
        <w:keepLines w:val="0"/>
        <w:widowControl w:val="0"/>
        <w:kinsoku w:val="0"/>
        <w:overflowPunct w:val="0"/>
        <w:autoSpaceDE w:val="0"/>
        <w:autoSpaceDN w:val="0"/>
        <w:bidi w:val="0"/>
        <w:adjustRightInd w:val="0"/>
        <w:spacing w:before="115" w:line="360" w:lineRule="auto"/>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（4）合同指定使用的技术规范、检验评定标准、操作规程1套。</w:t>
      </w:r>
    </w:p>
    <w:p w14:paraId="2A330B24">
      <w:pPr>
        <w:keepNext w:val="0"/>
        <w:keepLines w:val="0"/>
        <w:widowControl w:val="0"/>
        <w:kinsoku w:val="0"/>
        <w:overflowPunct w:val="0"/>
        <w:autoSpaceDE w:val="0"/>
        <w:autoSpaceDN w:val="0"/>
        <w:bidi w:val="0"/>
        <w:adjustRightInd w:val="0"/>
        <w:spacing w:before="115" w:line="360" w:lineRule="auto"/>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（5）其他相关资料。</w:t>
      </w:r>
    </w:p>
    <w:p w14:paraId="271622D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sz w:val="24"/>
          <w:szCs w:val="24"/>
          <w:highlight w:val="none"/>
        </w:rPr>
        <w:t>由于委托人未按时提供文件造成监理服务期限延误的，按第6.2款约定执行。</w:t>
      </w:r>
    </w:p>
    <w:bookmarkEnd w:id="578"/>
    <w:p w14:paraId="300AE52D">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bookmarkStart w:id="579" w:name="_Toc493143920"/>
      <w:r>
        <w:rPr>
          <w:rFonts w:hint="eastAsia" w:ascii="宋体" w:hAnsi="宋体" w:eastAsia="宋体" w:cs="宋体"/>
          <w:b/>
          <w:color w:val="auto"/>
          <w:kern w:val="21"/>
          <w:sz w:val="24"/>
          <w:highlight w:val="none"/>
        </w:rPr>
        <w:t>1.8转让和分包</w:t>
      </w:r>
    </w:p>
    <w:p w14:paraId="40947A8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color w:val="auto"/>
          <w:kern w:val="21"/>
          <w:sz w:val="24"/>
          <w:highlight w:val="none"/>
        </w:rPr>
      </w:pPr>
      <w:r>
        <w:rPr>
          <w:rFonts w:hint="eastAsia" w:ascii="宋体" w:hAnsi="宋体" w:eastAsia="宋体" w:cs="宋体"/>
          <w:bCs/>
          <w:color w:val="auto"/>
          <w:kern w:val="21"/>
          <w:sz w:val="24"/>
          <w:highlight w:val="none"/>
        </w:rPr>
        <w:t>本款细化为：</w:t>
      </w:r>
    </w:p>
    <w:p w14:paraId="6D261B6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1.8.1除项目专用合同条款另有约定外，未经对方当事人同意，一方当事人不得将合同权利全部或部分转让给第三人，也不得全部或部分转移合同义务。</w:t>
      </w:r>
    </w:p>
    <w:p w14:paraId="77DD48F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1.8.2监理人不得将监理服务的任何部分分包。监理人因监理服务的需要，聘用专业技术人员和辅助工作人员不属于分包。</w:t>
      </w:r>
    </w:p>
    <w:p w14:paraId="2F3442E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1870D21D">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1.10知识产权</w:t>
      </w:r>
    </w:p>
    <w:p w14:paraId="27D3C18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本款补充第1.10.4项：</w:t>
      </w:r>
    </w:p>
    <w:p w14:paraId="1619F65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1.10.4除项目专用合同条款另有约定外，监理人有权出版与本项目或本工程监理服务有关的资料。但未经委托人同意，上述出版物中不得涉及委托人的专利、专有技术以及经济情报。</w:t>
      </w:r>
    </w:p>
    <w:p w14:paraId="1ADF88F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7DB178A7">
      <w:pPr>
        <w:keepNext w:val="0"/>
        <w:keepLines w:val="0"/>
        <w:widowControl w:val="0"/>
        <w:autoSpaceDE w:val="0"/>
        <w:autoSpaceDN w:val="0"/>
        <w:bidi w:val="0"/>
        <w:adjustRightInd w:val="0"/>
        <w:spacing w:line="360" w:lineRule="auto"/>
        <w:ind w:firstLine="480" w:firstLineChars="200"/>
        <w:outlineLvl w:val="4"/>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本条补充第1.13款：</w:t>
      </w:r>
    </w:p>
    <w:p w14:paraId="600DFEFD">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1.13避免利益冲突</w:t>
      </w:r>
    </w:p>
    <w:p w14:paraId="53E7F3C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未经委托人书面同意，监理人不得获取本监理合同约定以外的与本工程有关的任何利益，不得参与与本监理合同约定的委托人利益相冲突的任何活动。</w:t>
      </w:r>
    </w:p>
    <w:p w14:paraId="52C5E96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726D55AC">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80" w:name="_Toc503518014"/>
      <w:r>
        <w:rPr>
          <w:rFonts w:hint="eastAsia" w:ascii="宋体" w:hAnsi="宋体" w:eastAsia="宋体" w:cs="宋体"/>
          <w:b/>
          <w:color w:val="auto"/>
          <w:kern w:val="21"/>
          <w:sz w:val="28"/>
          <w:highlight w:val="none"/>
        </w:rPr>
        <w:t>2.委托人义务</w:t>
      </w:r>
      <w:bookmarkEnd w:id="580"/>
    </w:p>
    <w:p w14:paraId="3ECE2750">
      <w:pPr>
        <w:keepNext w:val="0"/>
        <w:keepLines w:val="0"/>
        <w:widowControl w:val="0"/>
        <w:autoSpaceDE w:val="0"/>
        <w:autoSpaceDN w:val="0"/>
        <w:bidi w:val="0"/>
        <w:adjustRightInd w:val="0"/>
        <w:spacing w:line="360" w:lineRule="auto"/>
        <w:ind w:firstLine="480" w:firstLineChars="200"/>
        <w:outlineLvl w:val="4"/>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本条补充第2.7款至第2.10款：</w:t>
      </w:r>
    </w:p>
    <w:p w14:paraId="490B7DA3">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2.7协助</w:t>
      </w:r>
    </w:p>
    <w:p w14:paraId="1C4D8D2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委托人在工程所在地向监理人提供进驻现场的相关条件，解决非监理人原因而发生意外事件时，监理工作人员的撤场和相关事宜；并避免监理人根据监理合同提供监理服务而导致的第三方收费（不含税金）。</w:t>
      </w:r>
    </w:p>
    <w:p w14:paraId="2155BE0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0ABD1EB7">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bookmarkStart w:id="581" w:name="_Toc493143930"/>
      <w:r>
        <w:rPr>
          <w:rFonts w:hint="eastAsia" w:ascii="宋体" w:hAnsi="宋体" w:eastAsia="宋体" w:cs="宋体"/>
          <w:b/>
          <w:color w:val="auto"/>
          <w:kern w:val="21"/>
          <w:sz w:val="24"/>
          <w:highlight w:val="none"/>
        </w:rPr>
        <w:t>2.8授权通知</w:t>
      </w:r>
    </w:p>
    <w:p w14:paraId="751869D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委托人必须将履行监理服务的监理人及委托人授予监理人的权力，及时用书面形式通知第三方。</w:t>
      </w:r>
    </w:p>
    <w:p w14:paraId="7BB9A2C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065FBD16">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2.9委托人指令的下达</w:t>
      </w:r>
    </w:p>
    <w:p w14:paraId="7F3921B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委托人在本合同约定的服务范围内对承包人的任何意见或要求，应通过监理人向承包人提出。</w:t>
      </w:r>
    </w:p>
    <w:p w14:paraId="2D01277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1880FB6C">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2.10保障</w:t>
      </w:r>
    </w:p>
    <w:p w14:paraId="1248126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在监理人不违反有关法律、法规的前提下，委托人应保障监理人免受因履行本监理合同而引起的外界索赔或干扰。</w:t>
      </w:r>
    </w:p>
    <w:p w14:paraId="037B2CF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3576592F">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82" w:name="_Toc503518015"/>
      <w:r>
        <w:rPr>
          <w:rFonts w:hint="eastAsia" w:ascii="宋体" w:hAnsi="宋体" w:eastAsia="宋体" w:cs="宋体"/>
          <w:b/>
          <w:color w:val="auto"/>
          <w:kern w:val="21"/>
          <w:sz w:val="28"/>
          <w:highlight w:val="none"/>
        </w:rPr>
        <w:t>3.委托人管理</w:t>
      </w:r>
      <w:bookmarkEnd w:id="582"/>
    </w:p>
    <w:p w14:paraId="5A48ACBF">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3.3决定或答复</w:t>
      </w:r>
    </w:p>
    <w:p w14:paraId="7820F97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第3.3.2项细化为：</w:t>
      </w:r>
    </w:p>
    <w:bookmarkEnd w:id="581"/>
    <w:p w14:paraId="5A34A33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bookmarkStart w:id="583" w:name="_Toc493143931"/>
      <w:r>
        <w:rPr>
          <w:rFonts w:hint="eastAsia" w:ascii="宋体" w:hAnsi="宋体" w:eastAsia="宋体" w:cs="宋体"/>
          <w:color w:val="auto"/>
          <w:kern w:val="21"/>
          <w:sz w:val="24"/>
          <w:highlight w:val="none"/>
        </w:rPr>
        <w:t>委托人对监理人关于本工程的工期、质量、投资、合约和安全等问题提出的请示应及时作出书面答复。除项目专用合同条款另有约定外，对上述请示给予书面答复的期限，自收到书面请示之日起最长不超过7天，重大问题不得超过28天。逾期没有作出答复的，视为已获得委托人的批准。</w:t>
      </w:r>
    </w:p>
    <w:bookmarkEnd w:id="583"/>
    <w:p w14:paraId="0F6B60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bookmarkStart w:id="584" w:name="_Toc493143932"/>
    </w:p>
    <w:bookmarkEnd w:id="584"/>
    <w:p w14:paraId="4B0482E9">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color w:val="auto"/>
          <w:kern w:val="21"/>
          <w:sz w:val="24"/>
          <w:highlight w:val="none"/>
        </w:rPr>
      </w:pPr>
      <w:bookmarkStart w:id="585" w:name="_Toc503518016"/>
      <w:r>
        <w:rPr>
          <w:rFonts w:hint="eastAsia" w:ascii="宋体" w:hAnsi="宋体" w:eastAsia="宋体" w:cs="宋体"/>
          <w:b/>
          <w:color w:val="auto"/>
          <w:kern w:val="21"/>
          <w:sz w:val="28"/>
          <w:highlight w:val="none"/>
        </w:rPr>
        <w:t>4.监理人义务</w:t>
      </w:r>
      <w:bookmarkEnd w:id="585"/>
    </w:p>
    <w:p w14:paraId="5DADD0A7">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4.2履约保证金</w:t>
      </w:r>
    </w:p>
    <w:p w14:paraId="1A9C517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color w:val="auto"/>
          <w:kern w:val="21"/>
          <w:sz w:val="24"/>
          <w:highlight w:val="none"/>
        </w:rPr>
      </w:pPr>
      <w:r>
        <w:rPr>
          <w:rFonts w:hint="eastAsia" w:ascii="宋体" w:hAnsi="宋体" w:eastAsia="宋体" w:cs="宋体"/>
          <w:bCs/>
          <w:color w:val="auto"/>
          <w:kern w:val="21"/>
          <w:sz w:val="24"/>
          <w:highlight w:val="none"/>
        </w:rPr>
        <w:t>本款细化为：</w:t>
      </w:r>
    </w:p>
    <w:p w14:paraId="6EC6BBA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4.2.1履约保证金自合同生效之日起生效。在签发合同工程交工证书后，监理人应按委托人要求的格式，以项目专用合同条款规定的额度向委托人提交缺陷责任期保函。委托人在收到监理人提交的缺陷责任期保函后7天内向监理人返还履约保证金。在签发工程缺陷责任终止证书后14天内，委托人向监理人返还缺陷责任期保函。</w:t>
      </w:r>
    </w:p>
    <w:p w14:paraId="43685B2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4.2.2如果监理人不履行合同约定的义务或其履行不符合合同的约定，委托人有权扣划相应金额的履约保证金或缺陷责任期保函，但不影响监理人根据监理合同应当得到的其他款项的支付。</w:t>
      </w:r>
    </w:p>
    <w:p w14:paraId="0B6CE97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24A95143">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4.3联合体</w:t>
      </w:r>
    </w:p>
    <w:p w14:paraId="41F2EBA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第4.3.3项细化为：</w:t>
      </w:r>
    </w:p>
    <w:p w14:paraId="205C2A8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val="0"/>
          <w:color w:val="auto"/>
          <w:kern w:val="21"/>
          <w:sz w:val="24"/>
          <w:highlight w:val="none"/>
        </w:rPr>
      </w:pPr>
      <w:r>
        <w:rPr>
          <w:rFonts w:hint="eastAsia" w:ascii="宋体" w:hAnsi="宋体" w:eastAsia="宋体" w:cs="宋体"/>
          <w:color w:val="auto"/>
          <w:kern w:val="21"/>
          <w:sz w:val="24"/>
          <w:highlight w:val="none"/>
        </w:rPr>
        <w:t>联合体牵头人负责与委托人联系并接受指示，负责组织联合体各成员全面履行合同。委托人就本合同工程向联合体牵头人发布的任何</w:t>
      </w:r>
      <w:r>
        <w:rPr>
          <w:rFonts w:hint="eastAsia" w:ascii="宋体" w:hAnsi="宋体" w:eastAsia="宋体" w:cs="宋体"/>
          <w:b w:val="0"/>
          <w:bCs w:val="0"/>
          <w:color w:val="auto"/>
          <w:kern w:val="21"/>
          <w:sz w:val="24"/>
          <w:highlight w:val="none"/>
        </w:rPr>
        <w:t>指令、指示、通知等均对联合体其他成员具有同等效力。</w:t>
      </w:r>
    </w:p>
    <w:p w14:paraId="35FDA32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val="0"/>
          <w:color w:val="auto"/>
          <w:kern w:val="21"/>
          <w:sz w:val="24"/>
          <w:highlight w:val="none"/>
        </w:rPr>
      </w:pPr>
      <w:r>
        <w:rPr>
          <w:rFonts w:hint="eastAsia" w:ascii="宋体" w:hAnsi="宋体" w:eastAsia="宋体" w:cs="宋体"/>
          <w:b w:val="0"/>
          <w:bCs w:val="0"/>
          <w:color w:val="auto"/>
          <w:kern w:val="21"/>
          <w:sz w:val="24"/>
          <w:highlight w:val="none"/>
        </w:rPr>
        <w:t>补充第4.3.4项：</w:t>
      </w:r>
    </w:p>
    <w:p w14:paraId="05F30A3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val="0"/>
          <w:color w:val="auto"/>
          <w:kern w:val="21"/>
          <w:sz w:val="24"/>
          <w:highlight w:val="none"/>
        </w:rPr>
      </w:pPr>
      <w:r>
        <w:rPr>
          <w:rFonts w:hint="eastAsia" w:ascii="宋体" w:hAnsi="宋体" w:eastAsia="宋体" w:cs="宋体"/>
          <w:b w:val="0"/>
          <w:bCs w:val="0"/>
          <w:color w:val="auto"/>
          <w:kern w:val="21"/>
          <w:sz w:val="24"/>
          <w:highlight w:val="none"/>
        </w:rPr>
        <w:t>4.3.4未经委托人同意，联合体的组成、结构与业务分工均不得变动。</w:t>
      </w:r>
    </w:p>
    <w:p w14:paraId="4D68B48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1AEE0E0C">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4.4总监理工程师</w:t>
      </w:r>
    </w:p>
    <w:p w14:paraId="65F2067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第4.4.1项细化为：</w:t>
      </w:r>
    </w:p>
    <w:p w14:paraId="41AF0CB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按合同协议书的约定指派总监理工程师，并在约定的期限内到职。监理人更换总监理工程师应事先征得委托人同意，并应在更换14天前将拟更换的总监理工程师的姓名和详细资料提交委托人，拟更换的总监理工程师资历应不低于原总监理工程师。总监理工程师2天内不能履行职责的，应事先征得委托人同意，并委派代表代行其职责。</w:t>
      </w:r>
    </w:p>
    <w:p w14:paraId="2D88381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54532111">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4.5监理人员的管理</w:t>
      </w:r>
    </w:p>
    <w:p w14:paraId="0146061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第4.5.1项、4.5.2项细化为：</w:t>
      </w:r>
    </w:p>
    <w:p w14:paraId="778142E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4.5.1监理人应在接到开始监理通知之日起7天内，向委托人提交监理项目机构以及人员安排的报告，其内容应包括项目机构设置、主要监理人员和其他人员的名单及资格条件。主要监理人员应常驻现场并相对稳定。更换主要监理人员的，应取得委托人的同意，并向委托人提交继任人员的资格、管理经验等资料，继任人员的资历应不低于原监理人员。总监理工程师的更换，应按照本章第4.4.1项规定执行。</w:t>
      </w:r>
    </w:p>
    <w:p w14:paraId="00AE102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4.5.2除项目专用合同条款另有约定外，主要监理人员包括总监理工程师、专业监理工程师等；其他人员包括各专业的监理员、试验员、资料员等。</w:t>
      </w:r>
    </w:p>
    <w:p w14:paraId="4CF8D2C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本条补充第4.9款：</w:t>
      </w:r>
    </w:p>
    <w:p w14:paraId="37FFF634">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4.9党建工作要求</w:t>
      </w:r>
    </w:p>
    <w:p w14:paraId="544BA31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对于政府投资的国家高速公路项目，或监理人为国有控股或参股企业的，监理人应按规定在项目现场设立基层党组织。不满足上述情形的，监理人应创造条件使党员能够参加党组织生活并接受相应管理。</w:t>
      </w:r>
    </w:p>
    <w:p w14:paraId="5A0680E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2BE9D90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66F07AD1">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86" w:name="_Toc503518017"/>
      <w:r>
        <w:rPr>
          <w:rFonts w:hint="eastAsia" w:ascii="宋体" w:hAnsi="宋体" w:eastAsia="宋体" w:cs="宋体"/>
          <w:b/>
          <w:color w:val="auto"/>
          <w:kern w:val="21"/>
          <w:sz w:val="28"/>
          <w:highlight w:val="none"/>
        </w:rPr>
        <w:t>5.监理要求</w:t>
      </w:r>
      <w:bookmarkEnd w:id="586"/>
    </w:p>
    <w:p w14:paraId="373DBB8B">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5.1监理范围</w:t>
      </w:r>
    </w:p>
    <w:p w14:paraId="6DDBF9C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第5.1.3项细化为：</w:t>
      </w:r>
    </w:p>
    <w:p w14:paraId="0EDDCF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阶段范围指公路工程建设程序中的施工准备阶段、施工阶段、验收与缺陷责任期阶段中的一个或者多个阶段，具体范围在项目专用合同条款中约定。</w:t>
      </w:r>
    </w:p>
    <w:p w14:paraId="43B57870">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5.2监理依据</w:t>
      </w:r>
    </w:p>
    <w:p w14:paraId="6118410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除项目专用合同条款另有约定外，本工程的监理依据如下：</w:t>
      </w:r>
    </w:p>
    <w:p w14:paraId="170FB86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（1）适用的法律、行政法规及部门规章；</w:t>
      </w:r>
    </w:p>
    <w:p w14:paraId="1272B2E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（2）与工程有关的规范、标准、规程；</w:t>
      </w:r>
    </w:p>
    <w:p w14:paraId="0121208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（3）工程前期有关文件；</w:t>
      </w:r>
    </w:p>
    <w:p w14:paraId="23D9F3C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（4）工程勘察文件、设计文件及其他文件；</w:t>
      </w:r>
    </w:p>
    <w:p w14:paraId="7732855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（5）本工程监理的委托合同及补充合同；</w:t>
      </w:r>
    </w:p>
    <w:p w14:paraId="02BB014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（6）委托人签订的施工承包合同；</w:t>
      </w:r>
    </w:p>
    <w:p w14:paraId="4FD8B32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（7）合同履行中与监理服务有关的来往函件；</w:t>
      </w:r>
    </w:p>
    <w:p w14:paraId="2A5F942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（8）其他监理依据。</w:t>
      </w:r>
    </w:p>
    <w:p w14:paraId="30C1A2BA">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5.3监理内容</w:t>
      </w:r>
    </w:p>
    <w:p w14:paraId="28B55BC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本款细化为：</w:t>
      </w:r>
    </w:p>
    <w:p w14:paraId="520F177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val="0"/>
          <w:color w:val="auto"/>
          <w:kern w:val="21"/>
          <w:sz w:val="24"/>
          <w:highlight w:val="none"/>
        </w:rPr>
      </w:pPr>
      <w:r>
        <w:rPr>
          <w:rFonts w:hint="eastAsia" w:ascii="宋体" w:hAnsi="宋体" w:eastAsia="宋体" w:cs="宋体"/>
          <w:color w:val="auto"/>
          <w:kern w:val="21"/>
          <w:sz w:val="24"/>
          <w:highlight w:val="none"/>
        </w:rPr>
        <w:t>监理人应按照《公路工程施工监理规范》及相关法律、法规开展监理服务。委托人须依据《</w:t>
      </w:r>
      <w:r>
        <w:rPr>
          <w:rFonts w:hint="eastAsia" w:ascii="宋体" w:hAnsi="宋体" w:eastAsia="宋体" w:cs="宋体"/>
          <w:b w:val="0"/>
          <w:bCs w:val="0"/>
          <w:color w:val="auto"/>
          <w:kern w:val="21"/>
          <w:sz w:val="24"/>
          <w:highlight w:val="none"/>
        </w:rPr>
        <w:t>公路工程施工监理规范》要求对监理机构的设置方式进行选择，并在项目专用合同条款中予以约定。各阶段监理服务包括但不限于以下内容，委托人可根据工程实际情况在项目专用合同条款中对其进行调整。</w:t>
      </w:r>
    </w:p>
    <w:p w14:paraId="22D064C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val="0"/>
          <w:color w:val="auto"/>
          <w:kern w:val="21"/>
          <w:sz w:val="24"/>
          <w:highlight w:val="none"/>
        </w:rPr>
      </w:pPr>
      <w:r>
        <w:rPr>
          <w:rFonts w:hint="eastAsia" w:ascii="宋体" w:hAnsi="宋体" w:eastAsia="宋体" w:cs="宋体"/>
          <w:b w:val="0"/>
          <w:bCs w:val="0"/>
          <w:color w:val="auto"/>
          <w:kern w:val="21"/>
          <w:sz w:val="24"/>
          <w:highlight w:val="none"/>
        </w:rPr>
        <w:t>5.3.1在工程同时设置总监办和驻地办时，总监办的监理服务内容为：</w:t>
      </w:r>
    </w:p>
    <w:p w14:paraId="5F2460A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val="0"/>
          <w:color w:val="auto"/>
          <w:kern w:val="21"/>
          <w:sz w:val="24"/>
          <w:highlight w:val="none"/>
        </w:rPr>
      </w:pPr>
      <w:r>
        <w:rPr>
          <w:rFonts w:hint="eastAsia" w:ascii="宋体" w:hAnsi="宋体" w:eastAsia="宋体" w:cs="宋体"/>
          <w:b w:val="0"/>
          <w:bCs w:val="0"/>
          <w:color w:val="auto"/>
          <w:kern w:val="21"/>
          <w:sz w:val="24"/>
          <w:highlight w:val="none"/>
        </w:rPr>
        <w:t>（1）总监办工地试验室按监理合同要求配备常规的试验检测设备，并须达到项目专用合同条款中约定的检查项目及频率要求；</w:t>
      </w:r>
    </w:p>
    <w:p w14:paraId="75B0688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（2）熟悉合同文件，调查施工环境条件；</w:t>
      </w:r>
    </w:p>
    <w:p w14:paraId="56924CD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（3）在合同约定的期限内主持编制监理计划；</w:t>
      </w:r>
    </w:p>
    <w:p w14:paraId="541EB4D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（4）审批各驻地办主持编制的监理细则；</w:t>
      </w:r>
    </w:p>
    <w:p w14:paraId="172876A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（5）参加设计交底；</w:t>
      </w:r>
    </w:p>
    <w:p w14:paraId="1DC0702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（6）在合同约定的期限内审批承包人提交的施工组织设计（含安全技术措施、应急救援抢险方案、专项施工方案及施工环境保护措施）；</w:t>
      </w:r>
    </w:p>
    <w:p w14:paraId="4D337A7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（7）审批承包人提交的总体进度计划，核批承包人对总体进度计划的调整计划；</w:t>
      </w:r>
    </w:p>
    <w:p w14:paraId="2198A78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（8）签发开工预付款支付证书；</w:t>
      </w:r>
    </w:p>
    <w:p w14:paraId="40E2C42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（9）审批承包人提交的分项、分部、单位工程划分；</w:t>
      </w:r>
    </w:p>
    <w:p w14:paraId="5AD2BED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（10）检查承包人的质量、安全和环保等保证体系，审核工地试验室，抽查控制桩点复测、测定地面线和工程划分及驻地办工作；</w:t>
      </w:r>
    </w:p>
    <w:p w14:paraId="53FF4B1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（11）主持召开监理交底会；</w:t>
      </w:r>
    </w:p>
    <w:p w14:paraId="6AC4769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（12）主持召开第一次工地会议；</w:t>
      </w:r>
    </w:p>
    <w:p w14:paraId="147EDE4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（13）签发合同工程开工令；</w:t>
      </w:r>
    </w:p>
    <w:p w14:paraId="1A97A29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（14）审批重要工程材料及混合料配合比；</w:t>
      </w:r>
    </w:p>
    <w:p w14:paraId="318D378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（15）审核工程中期支付申请，签发中期支付证书；</w:t>
      </w:r>
    </w:p>
    <w:p w14:paraId="7BDA914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（16）签发单位工程或合同工程的暂停令和复工令；</w:t>
      </w:r>
    </w:p>
    <w:p w14:paraId="43D313C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（17）受理合同其他事项的有关事宜，按合同约定审核、评估和处理工程变更、工程延期、费用索赔、价格调整、保险、违约、争端等合同事项；</w:t>
      </w:r>
    </w:p>
    <w:p w14:paraId="6EBFD06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（18）组织编写监理月报；</w:t>
      </w:r>
    </w:p>
    <w:p w14:paraId="5104BBB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（19）根据工程需要主持召开专题工地会议；</w:t>
      </w:r>
    </w:p>
    <w:p w14:paraId="6FE783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（20）对发生的质量缺陷、质量隐患和质量事故进行调查、处理或督促承包人按规定报告有关部门；</w:t>
      </w:r>
    </w:p>
    <w:p w14:paraId="0275528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（21）协助委托人审查交工验收申请，评定工程质量；</w:t>
      </w:r>
    </w:p>
    <w:p w14:paraId="5E3B8BE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（22）参加委托人组织的合同工程交工验收；</w:t>
      </w:r>
    </w:p>
    <w:p w14:paraId="024C630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（23）编写监理工作报告，并提交委托人；</w:t>
      </w:r>
    </w:p>
    <w:p w14:paraId="02DDF7D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（24）签认交工结账证书；</w:t>
      </w:r>
    </w:p>
    <w:p w14:paraId="427D37D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（25）组织编制工程监理竣工文件，并督促承包人按合同约定编制和整理竣工资料；</w:t>
      </w:r>
    </w:p>
    <w:p w14:paraId="16F75CA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（26）在合同工程的缺陷责任期内，检查承包人剩余工程的实施；巡视检查已完工程，指示承包人修复发生的工程缺陷，调查、确认缺陷责任及修复费用；</w:t>
      </w:r>
    </w:p>
    <w:p w14:paraId="691AAFC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（27）缺陷责任期结束，经检查符合条件时，签发合同工程缺陷责任终止证书；</w:t>
      </w:r>
    </w:p>
    <w:p w14:paraId="7C8EF46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（28）签认最后支付证书；</w:t>
      </w:r>
    </w:p>
    <w:p w14:paraId="51EF496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（29）参加工程竣工验收；</w:t>
      </w:r>
    </w:p>
    <w:p w14:paraId="70E027C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val="0"/>
          <w:color w:val="auto"/>
          <w:kern w:val="21"/>
          <w:sz w:val="24"/>
          <w:highlight w:val="none"/>
        </w:rPr>
      </w:pPr>
      <w:r>
        <w:rPr>
          <w:rFonts w:hint="eastAsia" w:ascii="宋体" w:hAnsi="宋体" w:eastAsia="宋体" w:cs="宋体"/>
          <w:b w:val="0"/>
          <w:bCs w:val="0"/>
          <w:color w:val="auto"/>
          <w:kern w:val="21"/>
          <w:sz w:val="24"/>
          <w:highlight w:val="none"/>
        </w:rPr>
        <w:t>（30）按照项目专用合同条款约定提供其他工程管理咨询服务。</w:t>
      </w:r>
    </w:p>
    <w:p w14:paraId="6419A22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val="0"/>
          <w:color w:val="auto"/>
          <w:kern w:val="21"/>
          <w:sz w:val="24"/>
          <w:highlight w:val="none"/>
        </w:rPr>
        <w:t>5.3.2在</w:t>
      </w:r>
      <w:r>
        <w:rPr>
          <w:rFonts w:hint="eastAsia" w:ascii="宋体" w:hAnsi="宋体" w:eastAsia="宋体" w:cs="宋体"/>
          <w:color w:val="auto"/>
          <w:kern w:val="21"/>
          <w:sz w:val="24"/>
          <w:highlight w:val="none"/>
        </w:rPr>
        <w:t>工程同时设置总监办和驻地办时，驻地办的监理服务内容为：</w:t>
      </w:r>
    </w:p>
    <w:p w14:paraId="56AF403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（1）按项目专用合同条款的约定建立（或不建立）工地试验室，如需驻地办建立工地试验室，应配备现场抽查常用的试验检测设备，并在项目专用合同条款中明确检查项目和频率的要求；</w:t>
      </w:r>
    </w:p>
    <w:p w14:paraId="1CE1291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（2）熟悉合同文件，调查施工环境条件；</w:t>
      </w:r>
    </w:p>
    <w:p w14:paraId="5E0DB01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（3）在总监办的安排下，参与编制监理计划，提供本驻地办相关资料；</w:t>
      </w:r>
    </w:p>
    <w:p w14:paraId="0135105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（4）根据监理计划在相应工程开工前主持编制监理细则；</w:t>
      </w:r>
    </w:p>
    <w:p w14:paraId="0F62FD3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（5）参加设计交底；</w:t>
      </w:r>
    </w:p>
    <w:p w14:paraId="3A964E8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（6）按规定程序初审本驻地监理标段承包人提交的施工组织设计（含安全技术措施、应急救援抢险方案、专项施工方案及施工环境保护措施）；</w:t>
      </w:r>
    </w:p>
    <w:p w14:paraId="13F1605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（7）初审本驻地监理标段承包人提交的总体进度计划以及施工中进行的调整计划；</w:t>
      </w:r>
    </w:p>
    <w:p w14:paraId="11CA1DF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（8）对承包人提交的原始基准点、基准线和基准高程的复测结果进行平行复测，审核后予以批复；</w:t>
      </w:r>
    </w:p>
    <w:p w14:paraId="24B1404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（9）验收承包人测定的地面线；</w:t>
      </w:r>
    </w:p>
    <w:p w14:paraId="10105D4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（10）确认承包人提交的场地占用计划；</w:t>
      </w:r>
    </w:p>
    <w:p w14:paraId="45FC518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（11）核算承包人对工程量清单的复核结果；</w:t>
      </w:r>
    </w:p>
    <w:p w14:paraId="7E07A07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（12）按合同约定对工程分包计划和协议进行审查，审查分包合同中是否明确了承包人与分包人各自在安全生产方面的责任；</w:t>
      </w:r>
    </w:p>
    <w:p w14:paraId="244F8FC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（13）审批施工测量放线；</w:t>
      </w:r>
    </w:p>
    <w:p w14:paraId="672FACD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（14）审批一般工程原材料和混合料配合比；</w:t>
      </w:r>
    </w:p>
    <w:p w14:paraId="3B2F605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（15）审查施工组织及人员配备；</w:t>
      </w:r>
    </w:p>
    <w:p w14:paraId="215563D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（16）审查承包人进场的施工机械设备；</w:t>
      </w:r>
    </w:p>
    <w:p w14:paraId="5374D28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（17）审查承包人提交的分项、分部工程的施工方案及主要工艺；</w:t>
      </w:r>
    </w:p>
    <w:p w14:paraId="7C30033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（18）审批承包人月进度计划，检查和监督进度计划的实施；</w:t>
      </w:r>
    </w:p>
    <w:p w14:paraId="438984C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（19）审批分项（部）工程的开工申请，签发分项、分部工程暂停令和复工令；</w:t>
      </w:r>
    </w:p>
    <w:p w14:paraId="19C8188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（20）验收构配件或设备；</w:t>
      </w:r>
    </w:p>
    <w:p w14:paraId="07E4022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（21）按有关规定和要求对工程进行巡视、旁站和抽检，并做好记录；</w:t>
      </w:r>
    </w:p>
    <w:p w14:paraId="24BD056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（22）对关键工序进行签认；</w:t>
      </w:r>
    </w:p>
    <w:p w14:paraId="1044587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（23）对发生的质量缺陷、质量隐患和质量事故进行调查、处理或对不属于监理人权限处理的质量事故督促承包人按规定报告有关部门；</w:t>
      </w:r>
    </w:p>
    <w:p w14:paraId="76F8632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（24）对交工的单位、分部、分项工程进行检验和质量等级评定并签发《中间交工证书》；</w:t>
      </w:r>
    </w:p>
    <w:p w14:paraId="60B1C3A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（25）对已完工程按合同约定的方法进行计量；</w:t>
      </w:r>
    </w:p>
    <w:p w14:paraId="7E3CE5F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（26）按有关规定及时对已完分部工程、单位工程及合同工程进行质量评定；</w:t>
      </w:r>
    </w:p>
    <w:p w14:paraId="179178D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（27）编写本标段的监理月报；</w:t>
      </w:r>
    </w:p>
    <w:p w14:paraId="4ED5608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（28）主持召开工地会议和根据工程需要主持召开专题工地会议；</w:t>
      </w:r>
    </w:p>
    <w:p w14:paraId="7186BD7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（29）编制标段监理竣工文件；</w:t>
      </w:r>
    </w:p>
    <w:p w14:paraId="1C7D4BD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（30）编写本驻地监理标段的监理工作报告；</w:t>
      </w:r>
    </w:p>
    <w:p w14:paraId="72AEB3A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（31）参加本驻地监理标段合同工程的交工验收；</w:t>
      </w:r>
    </w:p>
    <w:p w14:paraId="3845C11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（32）初审交工结账证书。</w:t>
      </w:r>
    </w:p>
    <w:p w14:paraId="1612459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（33）按照项目专用合同条款约定提供其他工程管理咨询服务。</w:t>
      </w:r>
    </w:p>
    <w:p w14:paraId="0CDE6A8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5.3.3</w:t>
      </w:r>
      <w:r>
        <w:rPr>
          <w:rFonts w:hint="eastAsia" w:ascii="宋体" w:hAnsi="宋体" w:eastAsia="宋体" w:cs="宋体"/>
          <w:color w:val="auto"/>
          <w:kern w:val="21"/>
          <w:sz w:val="24"/>
          <w:highlight w:val="none"/>
        </w:rPr>
        <w:t>在工程只设置总监办一级监理机构时，其监理服务内容为：</w:t>
      </w:r>
    </w:p>
    <w:p w14:paraId="3EAD61F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（1）按监理合同要求建立总监办工地试验室，按监理合同要求配备常规的试验检测设备，并须达到项目专用合同条款中约定的检查项目及频率要求；</w:t>
      </w:r>
    </w:p>
    <w:p w14:paraId="4100872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（2）熟悉合同文件，调查施工环境条件；</w:t>
      </w:r>
    </w:p>
    <w:p w14:paraId="30E47CD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（3）在合同约定的期限内编制监理计划，根据监理计划在相应工程开工前编制监理细则；</w:t>
      </w:r>
    </w:p>
    <w:p w14:paraId="5E86477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（4）在合同约定的期限内审批承包人提交的施工组织设计（含安全技术措施、应急救援抢险方案、专项施工方案及施工环境保护措施）；</w:t>
      </w:r>
    </w:p>
    <w:p w14:paraId="34C61EB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（5）参加设计交底；</w:t>
      </w:r>
    </w:p>
    <w:p w14:paraId="6E51C90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（6）审批承包人提交的总体进度计划，核批承包人对总体进度计划的调整计划；</w:t>
      </w:r>
    </w:p>
    <w:p w14:paraId="3ADB138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（7）检查承包人工程质量、施工安全和施工环境保护等保证体系；</w:t>
      </w:r>
    </w:p>
    <w:p w14:paraId="195B108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（8）审核承包人的工地试验室；</w:t>
      </w:r>
    </w:p>
    <w:p w14:paraId="0D39AF2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（9）对承包人提交的原始基准点、基准线和基准高程的复测结果进行平行复测，审核后予以批复；</w:t>
      </w:r>
    </w:p>
    <w:p w14:paraId="7FB1C13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（10）验收承包人测定的地面线；</w:t>
      </w:r>
    </w:p>
    <w:p w14:paraId="72DD6CB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（11）审批承包人提交的分项、分部、单位工程划分；</w:t>
      </w:r>
    </w:p>
    <w:p w14:paraId="2F4442E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（12）确认承包人提交的场地占用计划；</w:t>
      </w:r>
    </w:p>
    <w:p w14:paraId="73D6F30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（13）核算承包人对工程量清单的复核结果；</w:t>
      </w:r>
    </w:p>
    <w:p w14:paraId="056E509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（14）签发开工预付款支付证书；</w:t>
      </w:r>
    </w:p>
    <w:p w14:paraId="4BA4BF3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（15）主持召开监理交底会；</w:t>
      </w:r>
    </w:p>
    <w:p w14:paraId="608B2FC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（16）主持召开第一次工地会议；</w:t>
      </w:r>
    </w:p>
    <w:p w14:paraId="60F2318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（17）签发合同工程开工令；</w:t>
      </w:r>
    </w:p>
    <w:p w14:paraId="0B56372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（18）按合同约定对工程分包计划和协议进行审查，并审查分包合同中是否明确了承包人与分包单位各自在安全生产方面的责任；</w:t>
      </w:r>
    </w:p>
    <w:p w14:paraId="6E9A5D0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（19）审批施工测量放线；</w:t>
      </w:r>
    </w:p>
    <w:p w14:paraId="05DC53C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（20）审批工程原材料及混合料配合比；</w:t>
      </w:r>
    </w:p>
    <w:p w14:paraId="426EABA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（21）审查施工组织及人员配备；</w:t>
      </w:r>
    </w:p>
    <w:p w14:paraId="652432A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（22）审查承包人进场的施工机械设备；</w:t>
      </w:r>
    </w:p>
    <w:p w14:paraId="0187B0C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（23）审查承包人提交的分项、分部工程的施工方案及主要工艺；</w:t>
      </w:r>
    </w:p>
    <w:p w14:paraId="233C582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（24）审批承包人月进度计划，检查和监督进度计划的实施；</w:t>
      </w:r>
    </w:p>
    <w:p w14:paraId="1AD8C95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（25）审批分项（分部）工程的开工申请；</w:t>
      </w:r>
    </w:p>
    <w:p w14:paraId="3155573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（26）验收构配件或设备；</w:t>
      </w:r>
    </w:p>
    <w:p w14:paraId="2BCC8B7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（27）按有关规定和要求对工程进行巡视、旁站和抽检，并做好记录；</w:t>
      </w:r>
    </w:p>
    <w:p w14:paraId="610E4CD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（28）对关键工序进行签认；</w:t>
      </w:r>
    </w:p>
    <w:p w14:paraId="01F18B3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（29）对发生的质量缺陷、质量隐患和质量事故进行调查、处理或对不属于监理人权限处理的质量事故督促承包人按规定报告有关部门；</w:t>
      </w:r>
    </w:p>
    <w:p w14:paraId="2DC52A5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（30）签发单位或合同工程及分部（分项）工程的暂停令和复工令；</w:t>
      </w:r>
    </w:p>
    <w:p w14:paraId="3BD5F76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（31）对交工的单位、分部、分项工程进行检验和质量等级评定并签发《中间交工证书》；</w:t>
      </w:r>
    </w:p>
    <w:p w14:paraId="2A5BDAF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（32）对已完工程按合同约定的方法进行计量；</w:t>
      </w:r>
    </w:p>
    <w:p w14:paraId="735FC77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（33）审核工程中期支付申请，签发中期支付证书；</w:t>
      </w:r>
    </w:p>
    <w:p w14:paraId="4F5930F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（34）按有关规定及时对已完分部工程、单位工程及合同工程进行质量评定；</w:t>
      </w:r>
    </w:p>
    <w:p w14:paraId="407C99B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（35）受理合同其他事项的有关事宜，按合同约定审核、评估和处理工程变更、延期、费用索赔、价格调整、保险、违约、争端等合同事项；</w:t>
      </w:r>
    </w:p>
    <w:p w14:paraId="47BB693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（36）组织编写监理月报；</w:t>
      </w:r>
    </w:p>
    <w:p w14:paraId="2808EF4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（37）主持召开工地例会或根据工程需要主持召开专题工地会议；</w:t>
      </w:r>
    </w:p>
    <w:p w14:paraId="6F6C27C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（38）协助委托人审查交工验收申请，评定工程质量；</w:t>
      </w:r>
    </w:p>
    <w:p w14:paraId="7660000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（39）参加委托人组织的合同工程交工验收；</w:t>
      </w:r>
    </w:p>
    <w:p w14:paraId="4A5DC54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（40）编写监理工作报告，并提交委托人；</w:t>
      </w:r>
    </w:p>
    <w:p w14:paraId="0A285C7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（41）签认交工结账证书；</w:t>
      </w:r>
    </w:p>
    <w:p w14:paraId="50B5062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（42）组织编制工程监理竣工文件，并督促承包人按合同约定编制和整理竣工资料；</w:t>
      </w:r>
    </w:p>
    <w:p w14:paraId="156A352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（43）在合同工程的缺陷责任期内，检查承包人剩余工程的实施；巡视检查已完工程，指示承包人修复发生的工程缺陷，调查、确认缺陷责任及修复费用；</w:t>
      </w:r>
    </w:p>
    <w:p w14:paraId="7F824E8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（44）缺陷责任期结束，经检查符合条件时，签发合同工程缺陷责任终止证书；</w:t>
      </w:r>
    </w:p>
    <w:p w14:paraId="29BF956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（45）签认最后支付证书；</w:t>
      </w:r>
    </w:p>
    <w:p w14:paraId="28787EE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（46）参加工程竣工验收；</w:t>
      </w:r>
    </w:p>
    <w:p w14:paraId="7035417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（47）按照项目专用合同条款约定提供其他工程管理咨询服务。</w:t>
      </w:r>
    </w:p>
    <w:p w14:paraId="7B162A8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15929B7B">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5.4监理文件要求</w:t>
      </w:r>
    </w:p>
    <w:p w14:paraId="4D2FD0B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第5.4.3项细化为：</w:t>
      </w:r>
    </w:p>
    <w:p w14:paraId="7B2D073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项目专用合同条款另有约定外，本工程监理文件包括监理管理文件、质量监理文件、安全监理文件、环保监理文件、费用与进度监理文件、合同事项管理文件，以及监理日志、巡视记录、旁站记录、监理月报、监理工作报告等其他监理文件和影像资料，具体类别、编制要求、编制内容、提交时间和份数等应满足《公路工程施工监理规范》的规定。</w:t>
      </w:r>
    </w:p>
    <w:p w14:paraId="5448ECB1">
      <w:pPr>
        <w:keepNext w:val="0"/>
        <w:keepLines w:val="0"/>
        <w:widowControl w:val="0"/>
        <w:autoSpaceDE w:val="0"/>
        <w:autoSpaceDN w:val="0"/>
        <w:bidi w:val="0"/>
        <w:adjustRightInd w:val="0"/>
        <w:spacing w:line="360" w:lineRule="auto"/>
        <w:outlineLvl w:val="4"/>
        <w:rPr>
          <w:rFonts w:hint="eastAsia" w:ascii="宋体" w:hAnsi="宋体" w:eastAsia="宋体" w:cs="宋体"/>
          <w:color w:val="auto"/>
          <w:kern w:val="21"/>
          <w:sz w:val="24"/>
          <w:highlight w:val="none"/>
        </w:rPr>
      </w:pPr>
    </w:p>
    <w:p w14:paraId="65021D0A">
      <w:pPr>
        <w:keepNext w:val="0"/>
        <w:keepLines w:val="0"/>
        <w:widowControl w:val="0"/>
        <w:autoSpaceDE w:val="0"/>
        <w:autoSpaceDN w:val="0"/>
        <w:bidi w:val="0"/>
        <w:adjustRightInd w:val="0"/>
        <w:spacing w:line="360" w:lineRule="auto"/>
        <w:outlineLvl w:val="4"/>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本条补充第5.5款至第5.7款：</w:t>
      </w:r>
    </w:p>
    <w:p w14:paraId="650CAA54">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5.5监理服务形式</w:t>
      </w:r>
    </w:p>
    <w:p w14:paraId="6930013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监理人应根据工程规模、难易程度、合同工期安排、现场条件等因素设置现场监理的组织机构并满足合同要求。委托人对监理人的机构设置要求在项目专用合同条款中约定。</w:t>
      </w:r>
      <w:bookmarkEnd w:id="579"/>
    </w:p>
    <w:p w14:paraId="2C028F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51509DA6">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5.6监理服务目标</w:t>
      </w:r>
    </w:p>
    <w:p w14:paraId="5A06A5D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bookmarkStart w:id="587" w:name="_Toc493143922"/>
      <w:r>
        <w:rPr>
          <w:rFonts w:hint="eastAsia" w:ascii="宋体" w:hAnsi="宋体" w:eastAsia="宋体" w:cs="宋体"/>
          <w:b w:val="0"/>
          <w:bCs/>
          <w:color w:val="auto"/>
          <w:kern w:val="21"/>
          <w:sz w:val="24"/>
          <w:highlight w:val="none"/>
        </w:rPr>
        <w:t>5.6.1监理服务履约目标：除项目专用合同条款另有约定外，监理人提供的监理服务，应当符合国家有关法律、法规和标准规范，满足合同约定的服务内容和质量等要求。</w:t>
      </w:r>
    </w:p>
    <w:p w14:paraId="227DF24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5.6.2对第三方履约管</w:t>
      </w:r>
      <w:r>
        <w:rPr>
          <w:rFonts w:hint="eastAsia" w:ascii="宋体" w:hAnsi="宋体" w:eastAsia="宋体" w:cs="宋体"/>
          <w:color w:val="auto"/>
          <w:kern w:val="21"/>
          <w:sz w:val="24"/>
          <w:highlight w:val="none"/>
        </w:rPr>
        <w:t>理的服务目标：在项目专用合同条款中约定。</w:t>
      </w:r>
    </w:p>
    <w:p w14:paraId="280EF9D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27C02623">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5.7委托人对监理人的授权</w:t>
      </w:r>
    </w:p>
    <w:p w14:paraId="106B3B3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5.7.1监理人根据监理合同提供监理服务时，在委托人授权权限范围内开展工作。授权权限在项目专用合同条款中约定。</w:t>
      </w:r>
    </w:p>
    <w:p w14:paraId="125E6D1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5.7.2如果监理人在监理服务过程中行使的权力或所需的授权，来自于委托人和第三方签订的工程合同文件，该合同文件应成为本监理合同的组成部分，两者之间如出现矛盾，则应编制补充说明文件一并列入监理合同。监理人应：</w:t>
      </w:r>
    </w:p>
    <w:p w14:paraId="463A6AF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（1）根据监理合同文件和工程合同文件提供监理服务；</w:t>
      </w:r>
    </w:p>
    <w:p w14:paraId="2D6018B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（2）根据职责范围，在委托人和第三方之间独立公正地行使上述合同文件赋予的权力；</w:t>
      </w:r>
    </w:p>
    <w:p w14:paraId="5C966DC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（3）根据上述合同文件的授权，对</w:t>
      </w:r>
      <w:r>
        <w:rPr>
          <w:rFonts w:hint="eastAsia" w:ascii="宋体" w:hAnsi="宋体" w:eastAsia="宋体" w:cs="宋体"/>
          <w:color w:val="auto"/>
          <w:kern w:val="21"/>
          <w:sz w:val="24"/>
          <w:highlight w:val="none"/>
        </w:rPr>
        <w:t>相应的工程和合同事宜进行变更，但未经委托人的书面批准，不得变更工程合同文件中约定的工程标准和第三方的责任与义务。</w:t>
      </w:r>
    </w:p>
    <w:p w14:paraId="586C5E8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7D9833DE">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88" w:name="_Toc503518018"/>
      <w:r>
        <w:rPr>
          <w:rFonts w:hint="eastAsia" w:ascii="宋体" w:hAnsi="宋体" w:eastAsia="宋体" w:cs="宋体"/>
          <w:b/>
          <w:color w:val="auto"/>
          <w:kern w:val="21"/>
          <w:sz w:val="28"/>
          <w:highlight w:val="none"/>
        </w:rPr>
        <w:t>6.开始监理和完成监理</w:t>
      </w:r>
      <w:bookmarkEnd w:id="588"/>
    </w:p>
    <w:p w14:paraId="2A1640DE">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bookmarkStart w:id="589" w:name="_Toc493143944"/>
      <w:r>
        <w:rPr>
          <w:rFonts w:hint="eastAsia" w:ascii="宋体" w:hAnsi="宋体" w:eastAsia="宋体" w:cs="宋体"/>
          <w:b/>
          <w:color w:val="auto"/>
          <w:kern w:val="21"/>
          <w:sz w:val="24"/>
          <w:highlight w:val="none"/>
        </w:rPr>
        <w:t>6.1开始监理</w:t>
      </w:r>
    </w:p>
    <w:p w14:paraId="7AC44D2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第6.1.1项细化为：</w:t>
      </w:r>
    </w:p>
    <w:p w14:paraId="6B47AFF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符合项目专用合同条款约定的开始监理条件的，委托人应提前7天向监理人发出开始监理通知。监理服务期限自开始监理通知中载明的开始监理日期及监理人首批人员实际进场日期起算，以时间在后者为准。</w:t>
      </w:r>
    </w:p>
    <w:bookmarkEnd w:id="589"/>
    <w:p w14:paraId="0D44B4F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监理人应按照监理合同约定的时间和有关期限履行和完成监理服务，根据本项目工程的进展情况和委托人批准的人员进场计划，安排监理人员及时进场。</w:t>
      </w:r>
    </w:p>
    <w:p w14:paraId="24D8F5E3">
      <w:pPr>
        <w:keepNext w:val="0"/>
        <w:keepLines w:val="0"/>
        <w:widowControl w:val="0"/>
        <w:autoSpaceDE w:val="0"/>
        <w:autoSpaceDN w:val="0"/>
        <w:bidi w:val="0"/>
        <w:adjustRightInd w:val="0"/>
        <w:spacing w:line="360" w:lineRule="auto"/>
        <w:outlineLvl w:val="4"/>
        <w:rPr>
          <w:rFonts w:hint="eastAsia" w:ascii="宋体" w:hAnsi="宋体" w:eastAsia="宋体" w:cs="宋体"/>
          <w:color w:val="auto"/>
          <w:kern w:val="21"/>
          <w:sz w:val="24"/>
          <w:highlight w:val="none"/>
        </w:rPr>
      </w:pPr>
      <w:bookmarkStart w:id="590" w:name="_Toc493143947"/>
    </w:p>
    <w:p w14:paraId="4B4719DB">
      <w:pPr>
        <w:keepNext w:val="0"/>
        <w:keepLines w:val="0"/>
        <w:widowControl w:val="0"/>
        <w:autoSpaceDE w:val="0"/>
        <w:autoSpaceDN w:val="0"/>
        <w:bidi w:val="0"/>
        <w:adjustRightInd w:val="0"/>
        <w:spacing w:line="360" w:lineRule="auto"/>
        <w:outlineLvl w:val="4"/>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本条补充第6.4款：</w:t>
      </w:r>
    </w:p>
    <w:p w14:paraId="48903334">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6.4监理工作的暂停与</w:t>
      </w:r>
      <w:bookmarkEnd w:id="590"/>
      <w:r>
        <w:rPr>
          <w:rFonts w:hint="eastAsia" w:ascii="宋体" w:hAnsi="宋体" w:eastAsia="宋体" w:cs="宋体"/>
          <w:b/>
          <w:color w:val="auto"/>
          <w:kern w:val="21"/>
          <w:sz w:val="24"/>
          <w:highlight w:val="none"/>
        </w:rPr>
        <w:t>监理合同的解除</w:t>
      </w:r>
    </w:p>
    <w:p w14:paraId="01AB71D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6.4.1出现</w:t>
      </w:r>
      <w:r>
        <w:rPr>
          <w:rFonts w:hint="eastAsia" w:ascii="宋体" w:hAnsi="宋体" w:eastAsia="宋体" w:cs="宋体"/>
          <w:color w:val="auto"/>
          <w:kern w:val="21"/>
          <w:sz w:val="24"/>
          <w:highlight w:val="none"/>
        </w:rPr>
        <w:t>根据本监理合同的约定不应由监理人负责的情况，且该情况已使监理人不能继续履行全部或部分监理服务时，监理人应立即书面通知委托人，并视情况采取相应措施：</w:t>
      </w:r>
    </w:p>
    <w:p w14:paraId="192D4CD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（1）不得不暂停或减缓某些监理服务时，则上述服务的完成期限应予以延长，因此增加的监理服务工作量或延长的服务期限，委托人应按合同条款约定进行调整。</w:t>
      </w:r>
    </w:p>
    <w:p w14:paraId="6A85F95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全部监理服务已无法继续履行时，监理人在书面通知委托人28天之后，有权单方面解除本监理合同，因此增加的监理服务工作量所涉及费用，委托人应按合同条款约定进行调整，同时应及时向监理人返还全部或剩余部分的履约保证金。</w:t>
      </w:r>
    </w:p>
    <w:p w14:paraId="120CD57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（3）因不可抗力致使本监理合同不能履行或只能部分履行时，应按照本合同第10条规定的程序暂停监理服务或解除监理合同。</w:t>
      </w:r>
    </w:p>
    <w:p w14:paraId="5ACE868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6.4.2</w:t>
      </w:r>
      <w:r>
        <w:rPr>
          <w:rFonts w:hint="eastAsia" w:ascii="宋体" w:hAnsi="宋体" w:eastAsia="宋体" w:cs="宋体"/>
          <w:color w:val="auto"/>
          <w:kern w:val="21"/>
          <w:sz w:val="24"/>
          <w:highlight w:val="none"/>
        </w:rPr>
        <w:t>委托人要求监理人全部或部分暂停监理服务或解除本监理合同时，必须在56日之前发出书面通知。监理人在接到通知后，应立即安排停止全部或部分监理服务并将相关费用开支减至最小。因此增加的监理服务工作量所涉及的费用，委托人应按合同条款约定进行调整，同时及时向监理人返还全部或剩余部分的履约保证金。</w:t>
      </w:r>
    </w:p>
    <w:p w14:paraId="0731A75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6.4.3</w:t>
      </w:r>
      <w:r>
        <w:rPr>
          <w:rFonts w:hint="eastAsia" w:ascii="宋体" w:hAnsi="宋体" w:eastAsia="宋体" w:cs="宋体"/>
          <w:color w:val="auto"/>
          <w:kern w:val="21"/>
          <w:sz w:val="24"/>
          <w:highlight w:val="none"/>
        </w:rPr>
        <w:t>监理人无正当的理由，未根据监理合同的约定履行全部或部分监理服务，委托人可书面要求监理人予以解释。若监理人在28日内未能根据本监理合同给予合理的答复，委托人可在进一步发出书面通知14日后，单方面解除本监理合同，并视情况没收监理人的全部或部分履约保证金。</w:t>
      </w:r>
    </w:p>
    <w:p w14:paraId="4FA3C53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6.4.4</w:t>
      </w:r>
      <w:r>
        <w:rPr>
          <w:rFonts w:hint="eastAsia" w:ascii="宋体" w:hAnsi="宋体" w:eastAsia="宋体" w:cs="宋体"/>
          <w:color w:val="auto"/>
          <w:kern w:val="21"/>
          <w:sz w:val="24"/>
          <w:highlight w:val="none"/>
        </w:rPr>
        <w:t>委托人拖延支付监理服务费用，并已超过合同条款约定支付期限后28日，或根据本合同第6.4.1款（1）目或第6.4.2项的约定，暂停监理服务已超过6个月，监理人可书面要求委托人予以解释。若委托人在28日内未能根据本监理合同给予合理的答复，监理人可在进一步发出书面通知14日后，单方面解除本监理合同或自行暂停全部或部分监理服务。因此增加的监理服务工作量所涉及的费用，委托人应按合同条款约定进行调整，同时应及时向监理人返还全部或剩余部分的履约保证金。</w:t>
      </w:r>
    </w:p>
    <w:p w14:paraId="2F99C01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6.4.5</w:t>
      </w:r>
      <w:r>
        <w:rPr>
          <w:rFonts w:hint="eastAsia" w:ascii="宋体" w:hAnsi="宋体" w:eastAsia="宋体" w:cs="宋体"/>
          <w:color w:val="auto"/>
          <w:kern w:val="21"/>
          <w:sz w:val="24"/>
          <w:highlight w:val="none"/>
        </w:rPr>
        <w:t>监理合同的解除，不得损害或影响双方根据本监理合同应有的义务、责任、权力和利益。</w:t>
      </w:r>
    </w:p>
    <w:p w14:paraId="5868AE2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22C5C4BF">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91" w:name="_Toc503518019"/>
      <w:r>
        <w:rPr>
          <w:rFonts w:hint="eastAsia" w:ascii="宋体" w:hAnsi="宋体" w:eastAsia="宋体" w:cs="宋体"/>
          <w:b/>
          <w:color w:val="auto"/>
          <w:kern w:val="21"/>
          <w:sz w:val="28"/>
          <w:highlight w:val="none"/>
        </w:rPr>
        <w:t>7.监理责任与保险</w:t>
      </w:r>
      <w:bookmarkEnd w:id="591"/>
    </w:p>
    <w:p w14:paraId="19E82E29">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7.1监理责任主体</w:t>
      </w:r>
    </w:p>
    <w:p w14:paraId="694691A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第7.1.2项、7.1.3项细化为：</w:t>
      </w:r>
    </w:p>
    <w:p w14:paraId="32215B4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7.1.2监理人应当建立健全工程质量保证体系，制定质量管理制度，强化工程质量管理措施，完善工程质量目标保障机制。</w:t>
      </w:r>
    </w:p>
    <w:p w14:paraId="289655C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本工程施行质量责任终身制。监理人应当书面明确相应的总监理工程师和质量负责人。监理人的相关人员按照国家法律法规和有关规定在工程合理使用年限内承担相应的质量责任。</w:t>
      </w:r>
    </w:p>
    <w:p w14:paraId="14456E8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7.1.3监理人对施工质量负监理责任，应当按合同约定设立现场监理机构，按规定程序和标准进行工程质量检查、检测和验收，对发现的质量问题及时督促整改，不得降低工程质量标准。</w:t>
      </w:r>
    </w:p>
    <w:p w14:paraId="3C541C3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本工程交工验收前，监理人应当根据有关标准和规范要求对工程质量进行检查验证，编制工程质量评定或者评估报告，并提交委托人。</w:t>
      </w:r>
    </w:p>
    <w:p w14:paraId="53743B4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本款补充第7.1.4项：</w:t>
      </w:r>
    </w:p>
    <w:p w14:paraId="28345DB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7.1.4监理人应当按照合同约定设立工地临时试验室，严格按照工程技术标准、检测规范和规程，在核定的试验检测</w:t>
      </w:r>
      <w:r>
        <w:rPr>
          <w:rFonts w:hint="eastAsia" w:ascii="宋体" w:hAnsi="宋体" w:eastAsia="宋体" w:cs="宋体"/>
          <w:color w:val="auto"/>
          <w:kern w:val="21"/>
          <w:sz w:val="24"/>
          <w:highlight w:val="none"/>
        </w:rPr>
        <w:t>参数范围内开展试验检测活动。</w:t>
      </w:r>
    </w:p>
    <w:p w14:paraId="30E71A1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监理人应当对其设立的工地临时试验室所出具的试验检测数据和报告的真实性、客观性、准确性负责。</w:t>
      </w:r>
    </w:p>
    <w:p w14:paraId="168D6EE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6BFFF6B1">
      <w:pPr>
        <w:keepNext w:val="0"/>
        <w:keepLines w:val="0"/>
        <w:widowControl w:val="0"/>
        <w:autoSpaceDE w:val="0"/>
        <w:autoSpaceDN w:val="0"/>
        <w:bidi w:val="0"/>
        <w:adjustRightInd w:val="0"/>
        <w:spacing w:line="360" w:lineRule="auto"/>
        <w:outlineLvl w:val="4"/>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本条补充第7.3款：</w:t>
      </w:r>
    </w:p>
    <w:p w14:paraId="0869D3D3">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7.3人员和设备保险</w:t>
      </w:r>
    </w:p>
    <w:p w14:paraId="5F1D553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在监理服务期内，自费办理派驻到工程所在地人员的人身和自备财产的有关保险，保险时间应随服务时间的延长而顺延，并在出险后自行办理索赔。如果监理人不办理上述保险，则应对有关风险及后果自负其责。</w:t>
      </w:r>
    </w:p>
    <w:p w14:paraId="1731C90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3FF63584">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92" w:name="_Toc503518020"/>
      <w:r>
        <w:rPr>
          <w:rFonts w:hint="eastAsia" w:ascii="宋体" w:hAnsi="宋体" w:eastAsia="宋体" w:cs="宋体"/>
          <w:b/>
          <w:color w:val="auto"/>
          <w:kern w:val="21"/>
          <w:sz w:val="28"/>
          <w:highlight w:val="none"/>
        </w:rPr>
        <w:t>8.合同变更</w:t>
      </w:r>
      <w:bookmarkEnd w:id="592"/>
    </w:p>
    <w:p w14:paraId="20BFDA2A">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8.1变更情形</w:t>
      </w:r>
    </w:p>
    <w:p w14:paraId="648D4C2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第8.1.1项细化为：</w:t>
      </w:r>
    </w:p>
    <w:p w14:paraId="43ADE9F5">
      <w:pPr>
        <w:keepNext w:val="0"/>
        <w:keepLines w:val="0"/>
        <w:widowControl w:val="0"/>
        <w:kinsoku w:val="0"/>
        <w:overflowPunct w:val="0"/>
        <w:autoSpaceDE w:val="0"/>
        <w:autoSpaceDN w:val="0"/>
        <w:bidi w:val="0"/>
        <w:adjustRightInd w:val="0"/>
        <w:spacing w:before="115" w:line="350" w:lineRule="auto"/>
        <w:ind w:right="97"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合同履行中发生下述情形时，合同一方均可向对方提出变更请求，经双方协商一致后进行变更，监理服务期限和监理报酬的调整方法在项目专用合同条款中约定。</w:t>
      </w:r>
    </w:p>
    <w:p w14:paraId="52ADF769">
      <w:pPr>
        <w:keepNext w:val="0"/>
        <w:keepLines w:val="0"/>
        <w:widowControl w:val="0"/>
        <w:kinsoku w:val="0"/>
        <w:overflowPunct w:val="0"/>
        <w:autoSpaceDE w:val="0"/>
        <w:autoSpaceDN w:val="0"/>
        <w:bidi w:val="0"/>
        <w:adjustRightInd w:val="0"/>
        <w:spacing w:before="30"/>
        <w:ind w:left="583"/>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（1）监理范围发生变化；</w:t>
      </w:r>
    </w:p>
    <w:p w14:paraId="6EF9136E">
      <w:pPr>
        <w:keepNext w:val="0"/>
        <w:keepLines w:val="0"/>
        <w:widowControl w:val="0"/>
        <w:kinsoku w:val="0"/>
        <w:overflowPunct w:val="0"/>
        <w:autoSpaceDE w:val="0"/>
        <w:autoSpaceDN w:val="0"/>
        <w:bidi w:val="0"/>
        <w:adjustRightInd w:val="0"/>
        <w:spacing w:before="114"/>
        <w:ind w:left="583"/>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（2）除不可抗力外，非监理人的原因引起的周期延误；</w:t>
      </w:r>
    </w:p>
    <w:p w14:paraId="327DD502">
      <w:pPr>
        <w:keepNext w:val="0"/>
        <w:keepLines w:val="0"/>
        <w:widowControl w:val="0"/>
        <w:kinsoku w:val="0"/>
        <w:overflowPunct w:val="0"/>
        <w:autoSpaceDE w:val="0"/>
        <w:autoSpaceDN w:val="0"/>
        <w:bidi w:val="0"/>
        <w:adjustRightInd w:val="0"/>
        <w:spacing w:before="114"/>
        <w:ind w:left="583"/>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（3）非监理人的原因，对工程同一部分重复进行监理；</w:t>
      </w:r>
    </w:p>
    <w:p w14:paraId="51EC8733">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（4）非监理人的原因，对工程暂停监理及恢复监理；</w:t>
      </w:r>
    </w:p>
    <w:p w14:paraId="4B2E2630">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（5）监理服务的形式与内容发生变化；</w:t>
      </w:r>
    </w:p>
    <w:p w14:paraId="7F95C21A">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（6）因委托人或第三方的责任，阻碍或延误了监理人履行监理服务；</w:t>
      </w:r>
    </w:p>
    <w:p w14:paraId="5CB70C48">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kern w:val="21"/>
          <w:sz w:val="24"/>
          <w:highlight w:val="none"/>
        </w:rPr>
      </w:pPr>
      <w:r>
        <w:rPr>
          <w:rFonts w:hint="eastAsia" w:ascii="宋体" w:hAnsi="宋体" w:eastAsia="宋体" w:cs="宋体"/>
          <w:color w:val="auto"/>
          <w:sz w:val="24"/>
          <w:szCs w:val="28"/>
          <w:highlight w:val="none"/>
        </w:rPr>
        <w:t>（7）委托人提出高于监理合同约定的服务目标，监理人为完成此目标导致投入增加。</w:t>
      </w:r>
    </w:p>
    <w:p w14:paraId="1085D3F8">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93" w:name="_Toc503518021"/>
      <w:r>
        <w:rPr>
          <w:rFonts w:hint="eastAsia" w:ascii="宋体" w:hAnsi="宋体" w:eastAsia="宋体" w:cs="宋体"/>
          <w:b/>
          <w:color w:val="auto"/>
          <w:kern w:val="21"/>
          <w:sz w:val="28"/>
          <w:highlight w:val="none"/>
        </w:rPr>
        <w:t>9.合同价格与支付</w:t>
      </w:r>
      <w:bookmarkEnd w:id="593"/>
    </w:p>
    <w:p w14:paraId="74044DD1">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9.1合同价格</w:t>
      </w:r>
    </w:p>
    <w:p w14:paraId="13F60D7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第9.1.1项细化为：</w:t>
      </w:r>
    </w:p>
    <w:p w14:paraId="0EDCC82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bookmarkStart w:id="594" w:name="_Toc493143950"/>
      <w:r>
        <w:rPr>
          <w:rFonts w:hint="eastAsia" w:ascii="宋体" w:hAnsi="宋体" w:eastAsia="宋体" w:cs="宋体"/>
          <w:color w:val="auto"/>
          <w:kern w:val="21"/>
          <w:sz w:val="24"/>
          <w:highlight w:val="none"/>
        </w:rPr>
        <w:t>合同价格是监理人按照合同约定完成施工准备阶段、施工阶段、验收与缺陷责任期阶段监理服务所需的全部费用</w:t>
      </w:r>
      <w:bookmarkEnd w:id="594"/>
      <w:r>
        <w:rPr>
          <w:rFonts w:hint="eastAsia" w:ascii="宋体" w:hAnsi="宋体" w:eastAsia="宋体" w:cs="宋体"/>
          <w:color w:val="auto"/>
          <w:kern w:val="21"/>
          <w:sz w:val="24"/>
          <w:highlight w:val="none"/>
        </w:rPr>
        <w:t>，应按投标文件格式中报价清单的内容和格式填报。</w:t>
      </w:r>
    </w:p>
    <w:p w14:paraId="31FCD97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监理服务费用包括以下组成部分：</w:t>
      </w:r>
    </w:p>
    <w:p w14:paraId="033FFAF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（1）监理人员服务费；</w:t>
      </w:r>
    </w:p>
    <w:p w14:paraId="2208514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（2）监理办公设施费；</w:t>
      </w:r>
    </w:p>
    <w:p w14:paraId="3EEF810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（3）监理交通设施费；</w:t>
      </w:r>
    </w:p>
    <w:p w14:paraId="523C2A8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（4）监理试验设施费；</w:t>
      </w:r>
    </w:p>
    <w:p w14:paraId="51F692C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lang w:eastAsia="zh-CN"/>
        </w:rPr>
      </w:pPr>
      <w:r>
        <w:rPr>
          <w:rFonts w:hint="eastAsia" w:ascii="宋体" w:hAnsi="宋体" w:eastAsia="宋体" w:cs="宋体"/>
          <w:color w:val="auto"/>
          <w:kern w:val="21"/>
          <w:sz w:val="24"/>
          <w:highlight w:val="none"/>
        </w:rPr>
        <w:t>（5）监理生活设施费</w:t>
      </w:r>
      <w:r>
        <w:rPr>
          <w:rFonts w:hint="eastAsia" w:ascii="宋体" w:hAnsi="宋体" w:eastAsia="宋体" w:cs="宋体"/>
          <w:color w:val="auto"/>
          <w:kern w:val="21"/>
          <w:sz w:val="24"/>
          <w:highlight w:val="none"/>
          <w:lang w:eastAsia="zh-CN"/>
        </w:rPr>
        <w:t>；</w:t>
      </w:r>
    </w:p>
    <w:p w14:paraId="4B5C5D6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（6）利润。</w:t>
      </w:r>
    </w:p>
    <w:p w14:paraId="0E8138A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利润外，以上各项费用应分别按施工期（涵盖施工准备阶段和施工阶段）和缺陷责任期两个阶段填报，其中监理人员服务费应填报各级监理人员的人月单价及为完成监理服务所需要的总人月数量。各类监理人员的人月单价应包括监理人员履行监理服务时由于施工工艺的连续性导致不可避免的加班费用，在上述情况发生时，委托人将不考虑另行支付监理人员的加班费用。</w:t>
      </w:r>
    </w:p>
    <w:p w14:paraId="09EAFF7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监理人因完成本项目施工监理服务需计取的企业管理费及需缴纳的一切税费均由监理人承担，并包含在所报的各项监理服务费用之内，委托人不单独支付。</w:t>
      </w:r>
    </w:p>
    <w:p w14:paraId="254046F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除本合同第8条约定的变更情形和项目专用合同条款约定的其他情形外，本监理合同的监理服务费用在合同实施期间一律不予调整。</w:t>
      </w:r>
    </w:p>
    <w:p w14:paraId="6E91DD5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除项目专用合同条款另有约定外，因工程提前完成导致监理服务期限缩短，且在监理人已履行本合同规定义务的情况下，委托人不能以监理人提前完成监理为由而减少监理报酬。</w:t>
      </w:r>
    </w:p>
    <w:p w14:paraId="6AF2924C">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p>
    <w:p w14:paraId="5E45F188">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9.2预付款</w:t>
      </w:r>
    </w:p>
    <w:p w14:paraId="7BE3E5EB">
      <w:pPr>
        <w:keepNext w:val="0"/>
        <w:keepLines w:val="0"/>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bCs/>
          <w:color w:val="auto"/>
          <w:kern w:val="0"/>
          <w:position w:val="-2"/>
          <w:sz w:val="24"/>
          <w:szCs w:val="24"/>
          <w:lang w:val="en-US" w:eastAsia="zh-CN"/>
        </w:rPr>
        <w:t>本项目不支付预付款。</w:t>
      </w:r>
    </w:p>
    <w:p w14:paraId="38E35198">
      <w:pPr>
        <w:keepNext w:val="0"/>
        <w:keepLines w:val="0"/>
        <w:bidi w:val="0"/>
        <w:spacing w:line="360" w:lineRule="auto"/>
        <w:outlineLvl w:val="4"/>
        <w:rPr>
          <w:rFonts w:hint="eastAsia" w:ascii="宋体" w:hAnsi="宋体" w:eastAsia="宋体" w:cs="宋体"/>
          <w:b/>
          <w:bCs/>
          <w:color w:val="auto"/>
          <w:kern w:val="21"/>
          <w:sz w:val="24"/>
          <w:szCs w:val="24"/>
          <w:highlight w:val="none"/>
        </w:rPr>
      </w:pPr>
      <w:r>
        <w:rPr>
          <w:rFonts w:hint="eastAsia" w:ascii="宋体" w:hAnsi="宋体" w:eastAsia="宋体" w:cs="宋体"/>
          <w:b/>
          <w:bCs/>
          <w:color w:val="auto"/>
          <w:kern w:val="21"/>
          <w:sz w:val="24"/>
          <w:szCs w:val="24"/>
          <w:highlight w:val="none"/>
        </w:rPr>
        <w:t>9.3中期支付</w:t>
      </w:r>
    </w:p>
    <w:p w14:paraId="538A4303">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本款细化为：</w:t>
      </w:r>
    </w:p>
    <w:p w14:paraId="48ACFB73">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9.3.1监理人应在各月末向委托人提交由总监理工程师签署的按委托人批准格式填写的监理服务费付款申请单一式三份，该付款申请单包括以下栏目，监理人应逐项填写清楚：</w:t>
      </w:r>
    </w:p>
    <w:p w14:paraId="6DA442D6">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（1）本月应向监理人支付的（结算的）监理服务费用；</w:t>
      </w:r>
    </w:p>
    <w:p w14:paraId="75DADBC6">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（2）本月应支付的监理服务变更费用；</w:t>
      </w:r>
    </w:p>
    <w:p w14:paraId="10BA916E">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w:t>
      </w:r>
      <w:r>
        <w:rPr>
          <w:rFonts w:hint="eastAsia" w:ascii="宋体" w:hAnsi="宋体" w:eastAsia="宋体" w:cs="宋体"/>
          <w:b w:val="0"/>
          <w:bCs w:val="0"/>
          <w:color w:val="auto"/>
          <w:kern w:val="21"/>
          <w:sz w:val="24"/>
          <w:szCs w:val="24"/>
          <w:highlight w:val="none"/>
          <w:lang w:val="en-US" w:eastAsia="zh-CN"/>
        </w:rPr>
        <w:t>3</w:t>
      </w:r>
      <w:r>
        <w:rPr>
          <w:rFonts w:hint="eastAsia" w:ascii="宋体" w:hAnsi="宋体" w:eastAsia="宋体" w:cs="宋体"/>
          <w:b w:val="0"/>
          <w:bCs w:val="0"/>
          <w:color w:val="auto"/>
          <w:kern w:val="21"/>
          <w:sz w:val="24"/>
          <w:szCs w:val="24"/>
          <w:highlight w:val="none"/>
          <w:lang w:eastAsia="zh-CN"/>
        </w:rPr>
        <w:t>）根据合同规定，本月应结算的其他款项；</w:t>
      </w:r>
    </w:p>
    <w:p w14:paraId="6FFB77E5">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w:t>
      </w:r>
      <w:r>
        <w:rPr>
          <w:rFonts w:hint="eastAsia" w:ascii="宋体" w:hAnsi="宋体" w:eastAsia="宋体" w:cs="宋体"/>
          <w:b w:val="0"/>
          <w:bCs w:val="0"/>
          <w:color w:val="auto"/>
          <w:kern w:val="21"/>
          <w:sz w:val="24"/>
          <w:szCs w:val="24"/>
          <w:highlight w:val="none"/>
          <w:lang w:val="en-US" w:eastAsia="zh-CN"/>
        </w:rPr>
        <w:t>4</w:t>
      </w:r>
      <w:r>
        <w:rPr>
          <w:rFonts w:hint="eastAsia" w:ascii="宋体" w:hAnsi="宋体" w:eastAsia="宋体" w:cs="宋体"/>
          <w:b w:val="0"/>
          <w:bCs w:val="0"/>
          <w:color w:val="auto"/>
          <w:kern w:val="21"/>
          <w:sz w:val="24"/>
          <w:szCs w:val="24"/>
          <w:highlight w:val="none"/>
          <w:lang w:eastAsia="zh-CN"/>
        </w:rPr>
        <w:t>）根据合同规定，本月应扣除的其他款项。</w:t>
      </w:r>
    </w:p>
    <w:p w14:paraId="38B501E6">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9.3.2委托人将在收到监理人提交的监理服务费付款申请单后28日内进行核实并予以支付。除项目专用条款另有约定外，支付原则如下：</w:t>
      </w:r>
    </w:p>
    <w:p w14:paraId="74169E30">
      <w:pPr>
        <w:keepNext w:val="0"/>
        <w:keepLines w:val="0"/>
        <w:bidi w:val="0"/>
        <w:spacing w:line="360" w:lineRule="auto"/>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1）施工期间的监理人员服务费根据各级监理人员的人月单价及本月实际完成的监理服务时间计算并支付（各岗位监理人员的人月数以监理人记录并经委托人签字确认的监理人员出勤情况为依据）。本项目各月累计支付的监理人员服务费总额不得超过监理人在监理服务费报价清单中填报的施工期监理人员服务费合计金额，超过部分委托人将不再予以支付。</w:t>
      </w:r>
    </w:p>
    <w:p w14:paraId="0ADF345E">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2）施工期间的监理办公设施费、交通设施费、试验设施费及生活设施费由监理人包干使用，上述四项设施费的报价总额按月度等额支付给监理人。监理人必须保证实际投入本项目的办公设施、交通设施、试验设施及生活设施能满足本招标文件的要求和实际工作的需要，且不低于监理人投标文件中所列设施，否则委托人将根据本合同第11.1.2项的规定从其报价总额中扣除违约赔偿金。</w:t>
      </w:r>
    </w:p>
    <w:p w14:paraId="2549CC57">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（3）缺陷责任期内的监理人员服务费、监理办公设施费、交通设施费、试验设施费及生活设施费将在本项目的缺陷责任期开始后，分四次等额支付给监理人。</w:t>
      </w:r>
    </w:p>
    <w:p w14:paraId="499D2478">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（4）监理服务变更费用经双方协商确认后，在监理服务所对应工作期限内按月平均支付或按双方所签订补充协议约定的支付方式进行支付。</w:t>
      </w:r>
    </w:p>
    <w:p w14:paraId="3FABCB8A">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w:t>
      </w:r>
      <w:r>
        <w:rPr>
          <w:rFonts w:hint="eastAsia" w:ascii="宋体" w:hAnsi="宋体" w:eastAsia="宋体" w:cs="宋体"/>
          <w:b w:val="0"/>
          <w:bCs w:val="0"/>
          <w:color w:val="auto"/>
          <w:kern w:val="21"/>
          <w:sz w:val="24"/>
          <w:szCs w:val="24"/>
          <w:highlight w:val="none"/>
          <w:lang w:val="en-US" w:eastAsia="zh-CN"/>
        </w:rPr>
        <w:t>5</w:t>
      </w:r>
      <w:r>
        <w:rPr>
          <w:rFonts w:hint="eastAsia" w:ascii="宋体" w:hAnsi="宋体" w:eastAsia="宋体" w:cs="宋体"/>
          <w:b w:val="0"/>
          <w:bCs w:val="0"/>
          <w:color w:val="auto"/>
          <w:kern w:val="21"/>
          <w:sz w:val="24"/>
          <w:szCs w:val="24"/>
          <w:highlight w:val="none"/>
          <w:lang w:eastAsia="zh-CN"/>
        </w:rPr>
        <w:t>）根据合同条款第11.1款确定的监理人对委托人的违约赔偿金，由委托人从对监理人的当期监理服务费计量支付报表中予以核减；当期监理服务费不足以抵扣违约赔偿金时，则从后续监理服务费计量支付报表或履约保证金中扣回；</w:t>
      </w:r>
    </w:p>
    <w:p w14:paraId="5E2DCFA8">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w:t>
      </w:r>
      <w:r>
        <w:rPr>
          <w:rFonts w:hint="eastAsia" w:ascii="宋体" w:hAnsi="宋体" w:eastAsia="宋体" w:cs="宋体"/>
          <w:b w:val="0"/>
          <w:bCs w:val="0"/>
          <w:color w:val="auto"/>
          <w:kern w:val="21"/>
          <w:sz w:val="24"/>
          <w:szCs w:val="24"/>
          <w:highlight w:val="none"/>
          <w:lang w:val="en-US" w:eastAsia="zh-CN"/>
        </w:rPr>
        <w:t>6</w:t>
      </w:r>
      <w:r>
        <w:rPr>
          <w:rFonts w:hint="eastAsia" w:ascii="宋体" w:hAnsi="宋体" w:eastAsia="宋体" w:cs="宋体"/>
          <w:b w:val="0"/>
          <w:bCs w:val="0"/>
          <w:color w:val="auto"/>
          <w:kern w:val="21"/>
          <w:sz w:val="24"/>
          <w:szCs w:val="24"/>
          <w:highlight w:val="none"/>
          <w:lang w:eastAsia="zh-CN"/>
        </w:rPr>
        <w:t>）根据通用合同条款第11.2款确定的委托人对监理人的赔偿金，应由委托人与监理人协商确定后在对监理人当期支付费用中一次性支付。</w:t>
      </w:r>
    </w:p>
    <w:p w14:paraId="5A8EA4F7">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9.3.3委托人在收到监理人提交的书面支付申请且监理人提交了合格的增值税专用发票后，应按上述条款约定的支付期限内支付监理服务费用。委托人未能在前述时间内完成审批或不予答复的，视为委托人同意中期支付申请。委托人未按期支付到期应付的款项，应承担违约责任，并支付逾期付款违约金，逾期付款的违约金以到期应付而未付的款项，按照银行同期贷款利率加计算相应的利息，时间自未付款项的应付之日起算。</w:t>
      </w:r>
    </w:p>
    <w:p w14:paraId="596966E5">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9.3.4委托人对监理人要求支付的款项中的任何部分有异议的，应在收到监理人提交的书面支付申请7日内发出书面通知说明理由，但不得借此延误对监理人其他应得款项的支付。</w:t>
      </w:r>
    </w:p>
    <w:p w14:paraId="7259A674">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9.3.5中期支付涉及政府投资资金的，按照国库集中支付等国家相关规定和项目专用合同条款的约定执行。</w:t>
      </w:r>
    </w:p>
    <w:p w14:paraId="47D69605">
      <w:pPr>
        <w:keepNext w:val="0"/>
        <w:keepLines w:val="0"/>
        <w:bidi w:val="0"/>
        <w:spacing w:line="360" w:lineRule="auto"/>
        <w:ind w:firstLine="480" w:firstLineChars="200"/>
        <w:rPr>
          <w:rFonts w:hint="eastAsia" w:ascii="宋体" w:hAnsi="宋体" w:eastAsia="宋体" w:cs="宋体"/>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val="en-US" w:eastAsia="zh-CN"/>
        </w:rPr>
        <w:t>9.3.6</w:t>
      </w:r>
      <w:r>
        <w:rPr>
          <w:rFonts w:hint="eastAsia" w:ascii="宋体" w:hAnsi="宋体" w:eastAsia="宋体" w:cs="宋体"/>
          <w:b w:val="0"/>
          <w:bCs w:val="0"/>
          <w:color w:val="auto"/>
          <w:kern w:val="21"/>
          <w:sz w:val="24"/>
          <w:szCs w:val="24"/>
          <w:highlight w:val="none"/>
          <w:lang w:eastAsia="zh-CN"/>
        </w:rPr>
        <w:t>因委托人使用的是财政资金，进度应付款还需经发包人上级主管部门审批确认后方能支付，前款规定的付款时间为向政府财政支付部门提出办理财政支付申请手续的时间（不含政府财政支付部门审核的时间），在规定时间内提出支付申请手续后即视为委托人已经按期支付。</w:t>
      </w:r>
    </w:p>
    <w:p w14:paraId="57ACF035">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9.4费用结算</w:t>
      </w:r>
    </w:p>
    <w:p w14:paraId="20A5BDC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本款细化为：</w:t>
      </w:r>
    </w:p>
    <w:p w14:paraId="76FB397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9.4.1在施工阶段监理服务工作结束后7日内，监理人应将至交工证书申请之日前实际发生的监理服务费用，扣减预付款和监理人赔偿金后余额的支付申请上报至委托人，委托人应在收到该支付申请后7日内予以审批，在批复后14日内向监理人支付费用。监理人在提交支付申请的同时，应按合同条款第4.2.1项的约定向委托人提交缺陷责任期保函，委托人在收到监理人提交的缺陷责任期保函后7日内向监理人返还履约保证金。</w:t>
      </w:r>
    </w:p>
    <w:p w14:paraId="13B3B9A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9.4.2在签发工程缺陷责任终止证书后7日内，监理人应将工程缺陷责任期内未结清的监理服务费用和其他应由委托人向监理人支付的剩余款项，扣减其他应由委托人从监理人扣回的款项的支付申请上报至委托人，委托人应在收到该支付申请后7日内予以审批，在批复后14日内向监理人支付费用，同时委托人向监理人返还缺陷责任期保函。</w:t>
      </w:r>
    </w:p>
    <w:p w14:paraId="4F5E4E5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9.4.3委托人在收到监理人提交的书面支付申请且监理人提交了合格的增值税专用发票后，应按上述条款约定的支付期限内支付监理服务费用。委托人未能在前述时间内完成审批或不予答复的，视为委托人同意费用结算申请。委托人未按期支付到期应付的款项，应承担违约责任，并支付逾期付款违约金，逾期付款的违约金以到期应付而未付的款项，按照银行同期贷款利率计算相应的利息，时间自未付款项的应付之日起算。</w:t>
      </w:r>
    </w:p>
    <w:p w14:paraId="51665EC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9.4.4委托人对费用结算申请内容有异议的，有权要求监理人进行修正和提供补充资料，由监理人重新提交。监理人对此有异议的，按第12条的约定执行。</w:t>
      </w:r>
    </w:p>
    <w:p w14:paraId="104702E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9.4.5最终结清付款涉及政府投资资金的，按第9.3.5项的约定执行。</w:t>
      </w:r>
    </w:p>
    <w:p w14:paraId="6AC0221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2C7EB5A7">
      <w:pPr>
        <w:keepNext w:val="0"/>
        <w:keepLines w:val="0"/>
        <w:widowControl w:val="0"/>
        <w:autoSpaceDE w:val="0"/>
        <w:autoSpaceDN w:val="0"/>
        <w:bidi w:val="0"/>
        <w:adjustRightInd w:val="0"/>
        <w:spacing w:line="360" w:lineRule="auto"/>
        <w:outlineLvl w:val="4"/>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本条补充第9.5款、第9.6款：</w:t>
      </w:r>
    </w:p>
    <w:p w14:paraId="6E077051">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9.5暂列金额</w:t>
      </w:r>
    </w:p>
    <w:p w14:paraId="1DEC141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bookmarkStart w:id="595" w:name="_Toc493143952"/>
      <w:r>
        <w:rPr>
          <w:rFonts w:hint="eastAsia" w:ascii="宋体" w:hAnsi="宋体" w:eastAsia="宋体" w:cs="宋体"/>
          <w:b w:val="0"/>
          <w:bCs/>
          <w:color w:val="auto"/>
          <w:kern w:val="21"/>
          <w:sz w:val="24"/>
          <w:highlight w:val="none"/>
        </w:rPr>
        <w:t>本合同的暂列金额在项目专用合同条款中约定。暂列金额应按委托人的书面指示全部或部分地使用，或根本不予动用。暂列金额主要用于支付监理服务的变更费用。</w:t>
      </w:r>
    </w:p>
    <w:p w14:paraId="363974B5">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9.6货币</w:t>
      </w:r>
      <w:bookmarkEnd w:id="595"/>
    </w:p>
    <w:p w14:paraId="7DC8264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除项目专用合同条款另有约定外，委托人采用人民币支付监理服务费用。涉及外币支付的，其货币种类、比例和汇率等事宜，在项目专用合同条款中约定。</w:t>
      </w:r>
    </w:p>
    <w:p w14:paraId="5D1492A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bookmarkEnd w:id="587"/>
    <w:p w14:paraId="5142E515">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96" w:name="_Toc503518022"/>
      <w:r>
        <w:rPr>
          <w:rFonts w:hint="eastAsia" w:ascii="宋体" w:hAnsi="宋体" w:eastAsia="宋体" w:cs="宋体"/>
          <w:b/>
          <w:color w:val="auto"/>
          <w:kern w:val="21"/>
          <w:sz w:val="28"/>
          <w:highlight w:val="none"/>
        </w:rPr>
        <w:t>11.违约</w:t>
      </w:r>
      <w:bookmarkEnd w:id="596"/>
    </w:p>
    <w:p w14:paraId="00A91627">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11.1监理人违约</w:t>
      </w:r>
    </w:p>
    <w:p w14:paraId="05959F7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color w:val="auto"/>
          <w:kern w:val="21"/>
          <w:sz w:val="24"/>
          <w:highlight w:val="none"/>
        </w:rPr>
      </w:pPr>
      <w:r>
        <w:rPr>
          <w:rFonts w:hint="eastAsia" w:ascii="宋体" w:hAnsi="宋体" w:eastAsia="宋体" w:cs="宋体"/>
          <w:bCs/>
          <w:color w:val="auto"/>
          <w:kern w:val="21"/>
          <w:sz w:val="24"/>
          <w:highlight w:val="none"/>
        </w:rPr>
        <w:t>本款细化为：</w:t>
      </w:r>
    </w:p>
    <w:p w14:paraId="34EF68F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11.1.1合同履行中发生下列情况之一的，属监理人违约：</w:t>
      </w:r>
    </w:p>
    <w:p w14:paraId="302D916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（1）监理文件不符合规范标准以及合同约定；</w:t>
      </w:r>
    </w:p>
    <w:p w14:paraId="3215DCE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（2）监理人转让或分包监理工作；</w:t>
      </w:r>
    </w:p>
    <w:p w14:paraId="1DB1489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（3）监理人未按合同约定实施监理并造成工程损失；</w:t>
      </w:r>
    </w:p>
    <w:p w14:paraId="4718E94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（4）监理人向承包人索贿、谋取私利，或与承包人串通损害委托人利益，给委托人造成损失；</w:t>
      </w:r>
    </w:p>
    <w:p w14:paraId="7AB2D70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（5）监理人未按《公路工程施工监理规范》的规定对主要工程或关键工序进行旁站、巡视或抽检；</w:t>
      </w:r>
    </w:p>
    <w:p w14:paraId="133F408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（6）监理人未能按照投标文件的承诺或合同文件的约定配备满足监理服务需求的人员或设备；</w:t>
      </w:r>
    </w:p>
    <w:p w14:paraId="4958DCA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（7）监理人无法履行或停止履行合同；</w:t>
      </w:r>
    </w:p>
    <w:p w14:paraId="5DE8E5B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（8）监理人不履行合同约定的其他义务。</w:t>
      </w:r>
    </w:p>
    <w:p w14:paraId="5AF20B3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11.1.2监理人发生违约情况时，委托人可向监理人发出整改通知，要求其在限定期限内纠正；逾期仍不纠正的，委托人有权解除合同并向监理人发出解除合同通知。发生第11.1.1（2）目或（4）目情形时，委托人可直接发出解除合同通知。</w:t>
      </w:r>
    </w:p>
    <w:p w14:paraId="56D2B3D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监理人应当承担由于违约所造成的费用增加、周期延误和委托人损失等。委托人有权向监理人课以项目专用合同条款中约定的违约金，并由委托人将其违约行为上报省级交通运输主管部门，作为不良记录纳入公路建设市场信用信息管理系统。</w:t>
      </w:r>
    </w:p>
    <w:p w14:paraId="2FE3E9E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11.1.3监理人对委托人损失的赔偿责任</w:t>
      </w:r>
    </w:p>
    <w:p w14:paraId="061E384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监理人违反监理合同的约定并造成委托人的经济损失，应向委托人赔偿，除项目专用合同条款另有约定外，赔偿金应按下</w:t>
      </w:r>
      <w:r>
        <w:rPr>
          <w:rFonts w:hint="eastAsia" w:ascii="宋体" w:hAnsi="宋体" w:eastAsia="宋体" w:cs="宋体"/>
          <w:color w:val="auto"/>
          <w:kern w:val="21"/>
          <w:sz w:val="24"/>
          <w:highlight w:val="none"/>
        </w:rPr>
        <w:t>式计算：</w:t>
      </w:r>
    </w:p>
    <w:p w14:paraId="78E4673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赔偿金=委托人直接经济损失所对应的监理费×监理人应承担责任的比例</w:t>
      </w:r>
    </w:p>
    <w:p w14:paraId="310CFDC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对由于第三方责任造成的任何经济损失，不承担责任。如果监理人与委托人或第三方对有关经济损失共负责任时，应按责任比例计算赔偿。监理人的上述责任赔偿，均应按照本合同条款第11.5款的约定办理。</w:t>
      </w:r>
    </w:p>
    <w:p w14:paraId="3361854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11.1.4</w:t>
      </w:r>
      <w:r>
        <w:rPr>
          <w:rFonts w:hint="eastAsia" w:ascii="宋体" w:hAnsi="宋体" w:eastAsia="宋体" w:cs="宋体"/>
          <w:color w:val="auto"/>
          <w:kern w:val="21"/>
          <w:sz w:val="24"/>
          <w:highlight w:val="none"/>
        </w:rPr>
        <w:t>监理人对委托人未授权的监理服务范围不承担监理责任。</w:t>
      </w:r>
    </w:p>
    <w:p w14:paraId="5169FAFF">
      <w:pPr>
        <w:keepNext w:val="0"/>
        <w:keepLines w:val="0"/>
        <w:widowControl w:val="0"/>
        <w:autoSpaceDE w:val="0"/>
        <w:autoSpaceDN w:val="0"/>
        <w:bidi w:val="0"/>
        <w:adjustRightInd w:val="0"/>
        <w:spacing w:line="360" w:lineRule="auto"/>
        <w:ind w:firstLine="482" w:firstLineChars="200"/>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11.2委托人违约</w:t>
      </w:r>
    </w:p>
    <w:p w14:paraId="2FFC79C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本款细化为：</w:t>
      </w:r>
    </w:p>
    <w:p w14:paraId="332B8D5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11.2.1合同履行中发生下列情况之一的，属委托人违约：</w:t>
      </w:r>
    </w:p>
    <w:p w14:paraId="3958C3C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（1）委托人未按合</w:t>
      </w:r>
      <w:r>
        <w:rPr>
          <w:rFonts w:hint="eastAsia" w:ascii="宋体" w:hAnsi="宋体" w:eastAsia="宋体" w:cs="宋体"/>
          <w:color w:val="auto"/>
          <w:kern w:val="21"/>
          <w:sz w:val="24"/>
          <w:highlight w:val="none"/>
        </w:rPr>
        <w:t>同约定支付监理报酬；</w:t>
      </w:r>
    </w:p>
    <w:p w14:paraId="4026870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（2）委托人原因造成监理停止；</w:t>
      </w:r>
    </w:p>
    <w:p w14:paraId="6C090BE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（3）委托人无法履行或停止履行合同；</w:t>
      </w:r>
    </w:p>
    <w:p w14:paraId="1263202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（4）委托人无正当理由不按时返还履约保证金或缺陷责任期保函；</w:t>
      </w:r>
    </w:p>
    <w:p w14:paraId="3657EE8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（5）委托人不履行合同约定的其他义务。</w:t>
      </w:r>
    </w:p>
    <w:p w14:paraId="7C8F9EE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11.2.2</w:t>
      </w:r>
      <w:r>
        <w:rPr>
          <w:rFonts w:hint="eastAsia" w:ascii="宋体" w:hAnsi="宋体" w:eastAsia="宋体" w:cs="宋体"/>
          <w:color w:val="auto"/>
          <w:kern w:val="21"/>
          <w:sz w:val="24"/>
          <w:highlight w:val="none"/>
        </w:rPr>
        <w:t>委托人发生违约情况时，监理人可向委托人发出暂停监理通知，要求其在限定期限内纠正；逾期仍不纠正的，监理人有权解除合同并向委托人发出解除合同通知。委托人应当承担由于违约所造成的费用增加、周期延误和监理人损失等。监理人有权向委托人课以专用合同条款中约定的违约金。</w:t>
      </w:r>
    </w:p>
    <w:p w14:paraId="194E318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11.2.3</w:t>
      </w:r>
      <w:r>
        <w:rPr>
          <w:rFonts w:hint="eastAsia" w:ascii="宋体" w:hAnsi="宋体" w:eastAsia="宋体" w:cs="宋体"/>
          <w:color w:val="auto"/>
          <w:kern w:val="21"/>
          <w:sz w:val="24"/>
          <w:highlight w:val="none"/>
        </w:rPr>
        <w:t>委托人对监理人损失的赔偿责任</w:t>
      </w:r>
    </w:p>
    <w:p w14:paraId="3922D16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委托人违反监理合同的约定并造成监理人的经济损失，除项目专用合同条款另有约定外，委托人应据实赔偿监理人的直接经济损失。</w:t>
      </w:r>
    </w:p>
    <w:p w14:paraId="05F9FF8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3C8681F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本条补充第11.4款、第11.5款：</w:t>
      </w:r>
    </w:p>
    <w:p w14:paraId="3632657D">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bookmarkStart w:id="597" w:name="_Toc493143938"/>
      <w:r>
        <w:rPr>
          <w:rFonts w:hint="eastAsia" w:ascii="宋体" w:hAnsi="宋体" w:eastAsia="宋体" w:cs="宋体"/>
          <w:b/>
          <w:color w:val="auto"/>
          <w:kern w:val="21"/>
          <w:sz w:val="24"/>
          <w:highlight w:val="none"/>
        </w:rPr>
        <w:t>11.4赔偿责任的期限</w:t>
      </w:r>
      <w:bookmarkEnd w:id="597"/>
    </w:p>
    <w:p w14:paraId="5EEF2EC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或监理人任何一方向另一方要求的赔偿，均应在赔偿事件发生后的28日之内以书面形式提出索赔。如果该事件具有持续性，则应在事件首次发生后7日之内提出索赔意向，并每隔7日提供一次该事件仍在持续发展的证明材料，直至该事件结束后28日之内提出正式的索赔文件。无论是委托人还是监理人，逾期未提出书面索赔意向书，均失去索赔权利。</w:t>
      </w:r>
    </w:p>
    <w:p w14:paraId="3BB5B45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0620DCBF">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bookmarkStart w:id="598" w:name="_Toc493143939"/>
      <w:r>
        <w:rPr>
          <w:rFonts w:hint="eastAsia" w:ascii="宋体" w:hAnsi="宋体" w:eastAsia="宋体" w:cs="宋体"/>
          <w:b/>
          <w:color w:val="auto"/>
          <w:kern w:val="21"/>
          <w:sz w:val="24"/>
          <w:highlight w:val="none"/>
        </w:rPr>
        <w:t>11.5赔偿的限额</w:t>
      </w:r>
      <w:bookmarkEnd w:id="598"/>
    </w:p>
    <w:p w14:paraId="3F0CC5F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除项目专用合同条款另有约定外，合同一方当事人向对方当事人依据本合同条款第11.1款和第11.2款支付赔偿的最高限额为：</w:t>
      </w:r>
    </w:p>
    <w:p w14:paraId="1F5810B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（1）监理人的累计赔偿限额为监理服务费总额的30%，当达到此限额时，委托人有权单方面终止监理合同，没收监理人的履约保证金。</w:t>
      </w:r>
    </w:p>
    <w:p w14:paraId="54DFD5D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（2）委托人赔偿监理人的直接经济损失的累计限额为监理服务费总额。</w:t>
      </w:r>
    </w:p>
    <w:p w14:paraId="271685F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合同双方同意放弃超过上述限额的剩余赔偿要求，但本合同其他条款约定的补偿和由于任何一方故意违约而引起的索赔，不受该限额的限制。</w:t>
      </w:r>
    </w:p>
    <w:p w14:paraId="50A792B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59676494">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99" w:name="_Toc503518023"/>
      <w:r>
        <w:rPr>
          <w:rFonts w:hint="eastAsia" w:ascii="宋体" w:hAnsi="宋体" w:eastAsia="宋体" w:cs="宋体"/>
          <w:b/>
          <w:color w:val="auto"/>
          <w:kern w:val="21"/>
          <w:sz w:val="28"/>
          <w:highlight w:val="none"/>
        </w:rPr>
        <w:t>12.争议的解决</w:t>
      </w:r>
      <w:bookmarkEnd w:id="599"/>
    </w:p>
    <w:p w14:paraId="35D3F4C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w:t>
      </w:r>
    </w:p>
    <w:p w14:paraId="5BFC429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sz w:val="22"/>
          <w:highlight w:val="none"/>
        </w:rPr>
      </w:pPr>
      <w:r>
        <w:rPr>
          <w:rFonts w:hint="eastAsia" w:ascii="宋体" w:hAnsi="宋体" w:eastAsia="宋体" w:cs="宋体"/>
          <w:color w:val="auto"/>
          <w:kern w:val="21"/>
          <w:sz w:val="24"/>
          <w:highlight w:val="none"/>
        </w:rPr>
        <w:t>采用仲裁方式最终解决争议的项目，仲裁裁决是终局性的并对委托人和监理人双方均具有约束力。全部仲裁费用应由败诉方承担，或按仲裁委员会裁决的比例分担。</w:t>
      </w:r>
    </w:p>
    <w:p w14:paraId="3132DFBF">
      <w:pPr>
        <w:keepNext w:val="0"/>
        <w:keepLines w:val="0"/>
        <w:widowControl w:val="0"/>
        <w:kinsoku w:val="0"/>
        <w:overflowPunct w:val="0"/>
        <w:autoSpaceDE w:val="0"/>
        <w:autoSpaceDN w:val="0"/>
        <w:bidi w:val="0"/>
        <w:adjustRightInd w:val="0"/>
        <w:spacing w:before="31"/>
        <w:ind w:left="144"/>
        <w:jc w:val="left"/>
        <w:rPr>
          <w:rFonts w:hint="eastAsia" w:ascii="宋体" w:hAnsi="宋体" w:eastAsia="宋体" w:cs="宋体"/>
          <w:color w:val="auto"/>
          <w:sz w:val="22"/>
          <w:highlight w:val="none"/>
        </w:rPr>
        <w:sectPr>
          <w:footerReference r:id="rId14" w:type="default"/>
          <w:pgSz w:w="11907" w:h="16838"/>
          <w:pgMar w:top="1134" w:right="1134" w:bottom="1134" w:left="1134" w:header="964" w:footer="1077" w:gutter="0"/>
          <w:lnNumType w:countBy="0" w:distance="360"/>
          <w:cols w:space="720" w:num="1"/>
        </w:sectPr>
      </w:pPr>
    </w:p>
    <w:p w14:paraId="53F1B486">
      <w:pPr>
        <w:keepNext w:val="0"/>
        <w:keepLines w:val="0"/>
        <w:widowControl w:val="0"/>
        <w:kinsoku w:val="0"/>
        <w:overflowPunct w:val="0"/>
        <w:autoSpaceDE w:val="0"/>
        <w:autoSpaceDN w:val="0"/>
        <w:bidi w:val="0"/>
        <w:adjustRightInd w:val="0"/>
        <w:spacing w:line="444" w:lineRule="exact"/>
        <w:ind w:left="3190"/>
        <w:jc w:val="left"/>
        <w:rPr>
          <w:rFonts w:hint="eastAsia" w:ascii="宋体" w:hAnsi="宋体" w:eastAsia="宋体" w:cs="宋体"/>
          <w:color w:val="auto"/>
          <w:sz w:val="32"/>
          <w:highlight w:val="none"/>
        </w:rPr>
      </w:pPr>
      <w:r>
        <w:rPr>
          <w:rFonts w:hint="eastAsia" w:ascii="宋体" w:hAnsi="宋体" w:eastAsia="宋体" w:cs="宋体"/>
          <w:b/>
          <w:color w:val="auto"/>
          <w:sz w:val="32"/>
          <w:highlight w:val="none"/>
        </w:rPr>
        <w:t>B.</w:t>
      </w:r>
      <w:r>
        <w:rPr>
          <w:rFonts w:hint="eastAsia" w:ascii="宋体" w:hAnsi="宋体" w:eastAsia="宋体" w:cs="宋体"/>
          <w:color w:val="auto"/>
          <w:spacing w:val="2"/>
          <w:sz w:val="32"/>
          <w:highlight w:val="none"/>
        </w:rPr>
        <w:t>项目专用合</w:t>
      </w:r>
      <w:r>
        <w:rPr>
          <w:rFonts w:hint="eastAsia" w:ascii="宋体" w:hAnsi="宋体" w:eastAsia="宋体" w:cs="宋体"/>
          <w:color w:val="auto"/>
          <w:sz w:val="32"/>
          <w:highlight w:val="none"/>
        </w:rPr>
        <w:t>同</w:t>
      </w:r>
      <w:r>
        <w:rPr>
          <w:rFonts w:hint="eastAsia" w:ascii="宋体" w:hAnsi="宋体" w:eastAsia="宋体" w:cs="宋体"/>
          <w:color w:val="auto"/>
          <w:spacing w:val="2"/>
          <w:sz w:val="32"/>
          <w:highlight w:val="none"/>
        </w:rPr>
        <w:t>条</w:t>
      </w:r>
      <w:r>
        <w:rPr>
          <w:rFonts w:hint="eastAsia" w:ascii="宋体" w:hAnsi="宋体" w:eastAsia="宋体" w:cs="宋体"/>
          <w:color w:val="auto"/>
          <w:sz w:val="32"/>
          <w:highlight w:val="none"/>
        </w:rPr>
        <w:t>款</w:t>
      </w:r>
    </w:p>
    <w:p w14:paraId="75D2C7C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4DEC0D5">
      <w:pPr>
        <w:keepNext w:val="0"/>
        <w:keepLines w:val="0"/>
        <w:widowControl w:val="0"/>
        <w:kinsoku w:val="0"/>
        <w:overflowPunct w:val="0"/>
        <w:autoSpaceDE w:val="0"/>
        <w:autoSpaceDN w:val="0"/>
        <w:bidi w:val="0"/>
        <w:adjustRightInd w:val="0"/>
        <w:spacing w:before="13" w:line="240" w:lineRule="exact"/>
        <w:jc w:val="left"/>
        <w:rPr>
          <w:rFonts w:hint="eastAsia" w:ascii="宋体" w:hAnsi="宋体" w:eastAsia="宋体" w:cs="宋体"/>
          <w:color w:val="auto"/>
          <w:sz w:val="24"/>
          <w:highlight w:val="none"/>
        </w:rPr>
      </w:pPr>
    </w:p>
    <w:p w14:paraId="4581D780">
      <w:pPr>
        <w:pStyle w:val="13"/>
        <w:keepNext w:val="0"/>
        <w:keepLines w:val="0"/>
        <w:bidi w:val="0"/>
        <w:spacing w:after="0" w:line="360" w:lineRule="auto"/>
        <w:ind w:left="0" w:leftChars="0"/>
        <w:jc w:val="both"/>
        <w:rPr>
          <w:rFonts w:hint="eastAsia" w:ascii="宋体" w:hAnsi="宋体" w:eastAsia="宋体" w:cs="宋体"/>
          <w:color w:val="auto"/>
          <w:kern w:val="21"/>
          <w:highlight w:val="none"/>
        </w:rPr>
      </w:pPr>
      <w:r>
        <w:rPr>
          <w:rFonts w:hint="eastAsia" w:ascii="宋体" w:hAnsi="宋体" w:eastAsia="宋体" w:cs="宋体"/>
          <w:color w:val="auto"/>
          <w:kern w:val="21"/>
          <w:highlight w:val="none"/>
        </w:rPr>
        <w:t>说明：</w:t>
      </w:r>
    </w:p>
    <w:p w14:paraId="5F294BE1">
      <w:pPr>
        <w:pStyle w:val="13"/>
        <w:keepNext w:val="0"/>
        <w:keepLines w:val="0"/>
        <w:bidi w:val="0"/>
        <w:spacing w:after="0" w:line="360" w:lineRule="auto"/>
        <w:ind w:left="0" w:leftChars="0" w:firstLine="480" w:firstLineChars="200"/>
        <w:jc w:val="both"/>
        <w:rPr>
          <w:rFonts w:hint="eastAsia" w:ascii="宋体" w:hAnsi="宋体" w:eastAsia="宋体" w:cs="宋体"/>
          <w:color w:val="auto"/>
          <w:kern w:val="21"/>
          <w:highlight w:val="none"/>
        </w:rPr>
      </w:pPr>
      <w:r>
        <w:rPr>
          <w:rFonts w:hint="eastAsia" w:ascii="宋体" w:hAnsi="宋体" w:eastAsia="宋体" w:cs="宋体"/>
          <w:color w:val="auto"/>
          <w:kern w:val="21"/>
          <w:highlight w:val="none"/>
        </w:rPr>
        <w:t>1、招标人在根据《公路工程标准施工监理招标文件》编制项目招标文件中的“项目专用合同条款”时，可根据招标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合同条款”及“公路工程专用合同条款”强制性规定相抵触。同时，补充、细化或约定的内容，不得违反法律、行政法规的强制性规定和平等、自愿、公平和诚实信用原则。</w:t>
      </w:r>
    </w:p>
    <w:p w14:paraId="0E2A36EB">
      <w:pPr>
        <w:pStyle w:val="13"/>
        <w:keepNext w:val="0"/>
        <w:keepLines w:val="0"/>
        <w:bidi w:val="0"/>
        <w:spacing w:after="0" w:line="360" w:lineRule="auto"/>
        <w:ind w:left="0" w:leftChars="0" w:firstLine="480" w:firstLineChars="200"/>
        <w:jc w:val="both"/>
        <w:rPr>
          <w:rFonts w:hint="eastAsia" w:ascii="宋体" w:hAnsi="宋体" w:eastAsia="宋体" w:cs="宋体"/>
          <w:color w:val="auto"/>
          <w:kern w:val="21"/>
          <w:highlight w:val="none"/>
        </w:rPr>
      </w:pPr>
      <w:r>
        <w:rPr>
          <w:rFonts w:hint="eastAsia" w:ascii="宋体" w:hAnsi="宋体" w:eastAsia="宋体" w:cs="宋体"/>
          <w:color w:val="auto"/>
          <w:kern w:val="21"/>
          <w:highlight w:val="none"/>
        </w:rPr>
        <w:t>2、项目专用合同条款的编号应与通用合同条款和公路工程专用合同条款一致。</w:t>
      </w:r>
    </w:p>
    <w:p w14:paraId="69C3D7F2">
      <w:pPr>
        <w:pStyle w:val="13"/>
        <w:keepNext w:val="0"/>
        <w:keepLines w:val="0"/>
        <w:bidi w:val="0"/>
        <w:spacing w:after="0" w:line="360" w:lineRule="auto"/>
        <w:ind w:left="0" w:leftChars="0" w:firstLine="480" w:firstLineChars="200"/>
        <w:jc w:val="both"/>
        <w:rPr>
          <w:rFonts w:hint="eastAsia" w:ascii="宋体" w:hAnsi="宋体" w:eastAsia="宋体" w:cs="宋体"/>
          <w:color w:val="auto"/>
          <w:kern w:val="21"/>
          <w:highlight w:val="none"/>
        </w:rPr>
      </w:pPr>
      <w:r>
        <w:rPr>
          <w:rFonts w:hint="eastAsia" w:ascii="宋体" w:hAnsi="宋体" w:eastAsia="宋体" w:cs="宋体"/>
          <w:color w:val="auto"/>
          <w:kern w:val="21"/>
          <w:highlight w:val="none"/>
        </w:rPr>
        <w:t>3、项目专用合同条款可对下列内容进行补充和细化：</w:t>
      </w:r>
    </w:p>
    <w:p w14:paraId="0C08744D">
      <w:pPr>
        <w:pStyle w:val="13"/>
        <w:keepNext w:val="0"/>
        <w:keepLines w:val="0"/>
        <w:bidi w:val="0"/>
        <w:spacing w:after="0" w:line="360" w:lineRule="auto"/>
        <w:ind w:left="0" w:leftChars="0" w:firstLine="480" w:firstLineChars="200"/>
        <w:jc w:val="both"/>
        <w:rPr>
          <w:rFonts w:hint="eastAsia" w:ascii="宋体" w:hAnsi="宋体" w:eastAsia="宋体" w:cs="宋体"/>
          <w:color w:val="auto"/>
          <w:kern w:val="21"/>
          <w:highlight w:val="none"/>
        </w:rPr>
      </w:pPr>
      <w:r>
        <w:rPr>
          <w:rFonts w:hint="eastAsia" w:ascii="宋体" w:hAnsi="宋体" w:eastAsia="宋体" w:cs="宋体"/>
          <w:color w:val="auto"/>
          <w:kern w:val="21"/>
          <w:highlight w:val="none"/>
        </w:rPr>
        <w:t>（1）“通用合同条款”中明确指出“专用合同条款”可对“通用合同条款”进行修改的内容（在“通用合同条款”中用“应按合同约定”“按专用合同条款约定”“除合同另有约定外”“除专用合同条款另有约定外”“在专用合同条款中约定”等多种文字形式表达）；</w:t>
      </w:r>
    </w:p>
    <w:p w14:paraId="52D66014">
      <w:pPr>
        <w:pStyle w:val="13"/>
        <w:keepNext w:val="0"/>
        <w:keepLines w:val="0"/>
        <w:bidi w:val="0"/>
        <w:spacing w:after="0" w:line="360" w:lineRule="auto"/>
        <w:ind w:left="0" w:leftChars="0" w:firstLine="480" w:firstLineChars="200"/>
        <w:jc w:val="both"/>
        <w:rPr>
          <w:rFonts w:hint="eastAsia" w:ascii="宋体" w:hAnsi="宋体" w:eastAsia="宋体" w:cs="宋体"/>
          <w:color w:val="auto"/>
          <w:kern w:val="21"/>
          <w:highlight w:val="none"/>
        </w:rPr>
      </w:pPr>
      <w:r>
        <w:rPr>
          <w:rFonts w:hint="eastAsia" w:ascii="宋体" w:hAnsi="宋体" w:eastAsia="宋体" w:cs="宋体"/>
          <w:color w:val="auto"/>
          <w:kern w:val="21"/>
          <w:highlight w:val="none"/>
        </w:rPr>
        <w:t>（2）“公路工程专用合同条款”中明确指出“项目专用合同条款”可对“公路工程专用合同条款”进行修改的内容（在“公路工程专用合同条款”中用“除项目专用合同条款另有约定外”“项目专用合同条款可能约定的”“项目专用合同条款约定的其他情形”等多种文字形式表达）。</w:t>
      </w:r>
    </w:p>
    <w:p w14:paraId="4D1DB260">
      <w:pPr>
        <w:pStyle w:val="13"/>
        <w:keepNext w:val="0"/>
        <w:keepLines w:val="0"/>
        <w:bidi w:val="0"/>
        <w:spacing w:after="0" w:line="360" w:lineRule="auto"/>
        <w:ind w:left="0" w:leftChars="0" w:firstLine="480" w:firstLineChars="200"/>
        <w:jc w:val="both"/>
        <w:rPr>
          <w:rFonts w:hint="eastAsia" w:ascii="宋体" w:hAnsi="宋体" w:eastAsia="宋体" w:cs="宋体"/>
          <w:color w:val="auto"/>
          <w:kern w:val="21"/>
          <w:highlight w:val="none"/>
        </w:rPr>
      </w:pPr>
      <w:r>
        <w:rPr>
          <w:rFonts w:hint="eastAsia" w:ascii="宋体" w:hAnsi="宋体" w:eastAsia="宋体" w:cs="宋体"/>
          <w:color w:val="auto"/>
          <w:kern w:val="21"/>
          <w:highlight w:val="none"/>
        </w:rPr>
        <w:t>（3）其他需要补充、细化的内容。</w:t>
      </w:r>
    </w:p>
    <w:p w14:paraId="2C805256">
      <w:pPr>
        <w:pStyle w:val="3"/>
        <w:keepNext w:val="0"/>
        <w:keepLines w:val="0"/>
        <w:kinsoku w:val="0"/>
        <w:overflowPunct w:val="0"/>
        <w:bidi w:val="0"/>
        <w:ind w:left="864"/>
        <w:rPr>
          <w:rFonts w:hint="eastAsia" w:ascii="宋体" w:hAnsi="宋体" w:eastAsia="宋体" w:cs="宋体"/>
          <w:color w:val="auto"/>
          <w:highlight w:val="none"/>
        </w:rPr>
        <w:sectPr>
          <w:pgSz w:w="11907" w:h="16838"/>
          <w:pgMar w:top="1134" w:right="1134" w:bottom="1134" w:left="1134" w:header="882" w:footer="1078" w:gutter="0"/>
          <w:lnNumType w:countBy="0" w:distance="360"/>
          <w:cols w:space="720" w:num="1"/>
        </w:sectPr>
      </w:pPr>
    </w:p>
    <w:p w14:paraId="55C675D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44B20B5">
      <w:pPr>
        <w:keepNext w:val="0"/>
        <w:keepLines w:val="0"/>
        <w:widowControl w:val="0"/>
        <w:kinsoku w:val="0"/>
        <w:overflowPunct w:val="0"/>
        <w:autoSpaceDE w:val="0"/>
        <w:autoSpaceDN w:val="0"/>
        <w:bidi w:val="0"/>
        <w:adjustRightInd w:val="0"/>
        <w:spacing w:line="444" w:lineRule="exact"/>
        <w:ind w:left="144"/>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pacing w:val="2"/>
          <w:sz w:val="24"/>
          <w:szCs w:val="24"/>
          <w:highlight w:val="none"/>
        </w:rPr>
        <w:t>一般约定</w:t>
      </w:r>
    </w:p>
    <w:p w14:paraId="6D1FBAF9">
      <w:pPr>
        <w:keepNext w:val="0"/>
        <w:keepLines w:val="0"/>
        <w:widowControl w:val="0"/>
        <w:kinsoku w:val="0"/>
        <w:overflowPunct w:val="0"/>
        <w:autoSpaceDE w:val="0"/>
        <w:autoSpaceDN w:val="0"/>
        <w:bidi w:val="0"/>
        <w:adjustRightInd w:val="0"/>
        <w:spacing w:before="20" w:line="200" w:lineRule="exact"/>
        <w:jc w:val="left"/>
        <w:rPr>
          <w:rFonts w:hint="eastAsia" w:ascii="宋体" w:hAnsi="宋体" w:eastAsia="宋体" w:cs="宋体"/>
          <w:color w:val="auto"/>
          <w:sz w:val="24"/>
          <w:szCs w:val="24"/>
          <w:highlight w:val="none"/>
        </w:rPr>
      </w:pPr>
    </w:p>
    <w:p w14:paraId="575D4C00">
      <w:pPr>
        <w:keepNext w:val="0"/>
        <w:keepLines w:val="0"/>
        <w:widowControl w:val="0"/>
        <w:numPr>
          <w:ilvl w:val="1"/>
          <w:numId w:val="3"/>
        </w:numPr>
        <w:kinsoku w:val="0"/>
        <w:overflowPunct w:val="0"/>
        <w:autoSpaceDE w:val="0"/>
        <w:autoSpaceDN w:val="0"/>
        <w:bidi w:val="0"/>
        <w:adjustRightInd w:val="0"/>
        <w:ind w:left="144"/>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词</w:t>
      </w:r>
      <w:r>
        <w:rPr>
          <w:rFonts w:hint="eastAsia" w:ascii="宋体" w:hAnsi="宋体" w:eastAsia="宋体" w:cs="宋体"/>
          <w:color w:val="auto"/>
          <w:sz w:val="24"/>
          <w:szCs w:val="24"/>
          <w:highlight w:val="none"/>
        </w:rPr>
        <w:t>语定义</w:t>
      </w:r>
    </w:p>
    <w:p w14:paraId="207BFB42">
      <w:pPr>
        <w:keepNext w:val="0"/>
        <w:keepLines w:val="0"/>
        <w:bidi w:val="0"/>
        <w:spacing w:line="360" w:lineRule="auto"/>
        <w:ind w:firstLine="480" w:firstLineChars="200"/>
        <w:rPr>
          <w:rFonts w:hint="eastAsia" w:ascii="宋体" w:hAnsi="宋体" w:eastAsia="宋体" w:cs="宋体"/>
          <w:color w:val="auto"/>
          <w:spacing w:val="-12"/>
          <w:kern w:val="0"/>
          <w:sz w:val="24"/>
          <w:szCs w:val="24"/>
          <w:highlight w:val="none"/>
        </w:rPr>
      </w:pPr>
      <w:r>
        <w:rPr>
          <w:rFonts w:hint="eastAsia" w:ascii="宋体" w:hAnsi="宋体" w:eastAsia="宋体" w:cs="宋体"/>
          <w:color w:val="auto"/>
          <w:kern w:val="0"/>
          <w:sz w:val="24"/>
          <w:szCs w:val="24"/>
          <w:highlight w:val="none"/>
        </w:rPr>
        <w:t>1.1.2.2委托人：</w:t>
      </w:r>
      <w:r>
        <w:rPr>
          <w:rFonts w:hint="eastAsia" w:ascii="宋体" w:hAnsi="宋体" w:eastAsia="宋体" w:cs="宋体"/>
          <w:color w:val="auto"/>
          <w:sz w:val="24"/>
          <w:szCs w:val="24"/>
          <w:highlight w:val="none"/>
          <w:u w:val="single"/>
          <w:lang w:eastAsia="zh-CN"/>
        </w:rPr>
        <w:t>韶关市武江区江湾镇人民政府</w:t>
      </w:r>
      <w:r>
        <w:rPr>
          <w:rFonts w:hint="eastAsia" w:ascii="宋体" w:hAnsi="宋体" w:eastAsia="宋体" w:cs="宋体"/>
          <w:color w:val="auto"/>
          <w:spacing w:val="-12"/>
          <w:kern w:val="0"/>
          <w:sz w:val="24"/>
          <w:szCs w:val="24"/>
          <w:highlight w:val="none"/>
        </w:rPr>
        <w:t>。</w:t>
      </w:r>
    </w:p>
    <w:p w14:paraId="0E1FDF31">
      <w:pPr>
        <w:keepNext w:val="0"/>
        <w:keepLines w:val="0"/>
        <w:bidi w:val="0"/>
        <w:spacing w:line="360" w:lineRule="auto"/>
        <w:ind w:firstLine="480" w:firstLineChars="200"/>
        <w:jc w:val="left"/>
        <w:rPr>
          <w:rFonts w:hint="eastAsia" w:ascii="宋体" w:hAnsi="宋体" w:eastAsia="宋体" w:cs="宋体"/>
          <w:color w:val="auto"/>
          <w:spacing w:val="80"/>
          <w:kern w:val="0"/>
          <w:sz w:val="24"/>
          <w:szCs w:val="24"/>
          <w:highlight w:val="none"/>
        </w:rPr>
      </w:pPr>
      <w:r>
        <w:rPr>
          <w:rFonts w:hint="eastAsia" w:ascii="宋体" w:hAnsi="宋体" w:eastAsia="宋体" w:cs="宋体"/>
          <w:color w:val="auto"/>
          <w:kern w:val="0"/>
          <w:sz w:val="24"/>
          <w:szCs w:val="24"/>
          <w:highlight w:val="none"/>
        </w:rPr>
        <w:t>1.1.3.1本次进行施工监理招标的项目为</w:t>
      </w:r>
      <w:r>
        <w:rPr>
          <w:rFonts w:hint="eastAsia" w:ascii="宋体" w:hAnsi="宋体" w:eastAsia="宋体" w:cs="宋体"/>
          <w:color w:val="auto"/>
          <w:sz w:val="24"/>
          <w:szCs w:val="24"/>
          <w:highlight w:val="none"/>
          <w:u w:val="single"/>
          <w:lang w:eastAsia="zh-CN"/>
        </w:rPr>
        <w:t>武江区江湾镇多田至湖洋村灾毁路段及地方公路路域提升改造工程项目</w:t>
      </w:r>
      <w:r>
        <w:rPr>
          <w:rFonts w:hint="eastAsia" w:ascii="宋体" w:hAnsi="宋体" w:eastAsia="宋体" w:cs="宋体"/>
          <w:color w:val="auto"/>
          <w:spacing w:val="-2"/>
          <w:kern w:val="0"/>
          <w:sz w:val="24"/>
          <w:szCs w:val="24"/>
          <w:highlight w:val="none"/>
        </w:rPr>
        <w:t>公路工程。</w:t>
      </w:r>
    </w:p>
    <w:p w14:paraId="0BCA0AEC">
      <w:pPr>
        <w:keepNext w:val="0"/>
        <w:keepLines w:val="0"/>
        <w:bidi w:val="0"/>
        <w:spacing w:line="360" w:lineRule="auto"/>
        <w:ind w:firstLine="472" w:firstLineChars="200"/>
        <w:jc w:val="left"/>
        <w:rPr>
          <w:rFonts w:hint="eastAsia" w:ascii="宋体" w:hAnsi="宋体" w:eastAsia="宋体" w:cs="宋体"/>
          <w:color w:val="auto"/>
          <w:spacing w:val="-10"/>
          <w:kern w:val="0"/>
          <w:sz w:val="24"/>
          <w:szCs w:val="24"/>
          <w:highlight w:val="none"/>
        </w:rPr>
      </w:pPr>
      <w:r>
        <w:rPr>
          <w:rFonts w:hint="eastAsia" w:ascii="宋体" w:hAnsi="宋体" w:eastAsia="宋体" w:cs="宋体"/>
          <w:color w:val="auto"/>
          <w:spacing w:val="-2"/>
          <w:kern w:val="0"/>
          <w:sz w:val="24"/>
          <w:szCs w:val="24"/>
          <w:highlight w:val="none"/>
        </w:rPr>
        <w:t>工程地点：</w:t>
      </w:r>
      <w:r>
        <w:rPr>
          <w:rFonts w:hint="eastAsia" w:ascii="宋体" w:hAnsi="宋体" w:eastAsia="宋体" w:cs="宋体"/>
          <w:color w:val="auto"/>
          <w:spacing w:val="-2"/>
          <w:kern w:val="0"/>
          <w:sz w:val="24"/>
          <w:szCs w:val="24"/>
          <w:highlight w:val="none"/>
          <w:u w:val="single"/>
          <w:lang w:val="en-US" w:eastAsia="zh-CN"/>
        </w:rPr>
        <w:t>龙归镇多田村至江湾镇湖洋村</w:t>
      </w:r>
      <w:r>
        <w:rPr>
          <w:rFonts w:hint="eastAsia" w:ascii="宋体" w:hAnsi="宋体" w:eastAsia="宋体" w:cs="宋体"/>
          <w:color w:val="auto"/>
          <w:spacing w:val="-10"/>
          <w:kern w:val="0"/>
          <w:sz w:val="24"/>
          <w:szCs w:val="24"/>
          <w:highlight w:val="none"/>
          <w:u w:val="single"/>
        </w:rPr>
        <w:t>；</w:t>
      </w:r>
    </w:p>
    <w:p w14:paraId="40442709">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施工合同标段划分：</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44486F6E">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监理合同标段划分：</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2ABC0A2B">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试验检测服务标段划分：</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3945FDD6">
      <w:pPr>
        <w:keepNext w:val="0"/>
        <w:keepLines w:val="0"/>
        <w:bidi w:val="0"/>
        <w:spacing w:line="360" w:lineRule="auto"/>
        <w:ind w:firstLine="472"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pacing w:val="-2"/>
          <w:kern w:val="0"/>
          <w:sz w:val="24"/>
          <w:szCs w:val="24"/>
          <w:highlight w:val="none"/>
        </w:rPr>
        <w:t>工程概况</w:t>
      </w:r>
      <w:r>
        <w:rPr>
          <w:rFonts w:hint="eastAsia" w:ascii="宋体" w:hAnsi="宋体" w:eastAsia="宋体" w:cs="宋体"/>
          <w:color w:val="auto"/>
          <w:spacing w:val="-10"/>
          <w:kern w:val="0"/>
          <w:sz w:val="24"/>
          <w:szCs w:val="24"/>
          <w:highlight w:val="none"/>
        </w:rPr>
        <w:t>：</w:t>
      </w:r>
      <w:r>
        <w:rPr>
          <w:rFonts w:hint="eastAsia" w:ascii="宋体" w:hAnsi="宋体" w:eastAsia="宋体" w:cs="宋体"/>
          <w:color w:val="auto"/>
          <w:sz w:val="24"/>
          <w:highlight w:val="none"/>
          <w:u w:val="single"/>
        </w:rPr>
        <w:t>改造乡道Y267线路基路面约4500m²,新建路肩墙约70m、排水沟约540m；改造省道S520线灾毁路段路基路面约1860m²,新建路肩墙约130m、排水沟约120m、停车区约580㎡；改造乡道Y200线终点与省道S520线平交口，涉及路基路面工程约1500㎡，新建路肩墙约200m；完善附属交通防护设施、涵洞工程等。包括路面改造工程，排水设施工程，边坡防护工程，交通安防工程，平交口改造工程及附属其他设施工程等。</w:t>
      </w:r>
    </w:p>
    <w:p w14:paraId="2A861B9C">
      <w:pPr>
        <w:keepNext w:val="0"/>
        <w:keepLines w:val="0"/>
        <w:bidi w:val="0"/>
        <w:spacing w:line="360" w:lineRule="auto"/>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1.6</w:t>
      </w:r>
      <w:r>
        <w:rPr>
          <w:rFonts w:hint="eastAsia" w:ascii="宋体" w:hAnsi="宋体" w:eastAsia="宋体" w:cs="宋体"/>
          <w:bCs/>
          <w:color w:val="auto"/>
          <w:spacing w:val="-3"/>
          <w:kern w:val="0"/>
          <w:sz w:val="24"/>
          <w:szCs w:val="24"/>
          <w:highlight w:val="none"/>
        </w:rPr>
        <w:t>文件的提</w:t>
      </w:r>
      <w:r>
        <w:rPr>
          <w:rFonts w:hint="eastAsia" w:ascii="宋体" w:hAnsi="宋体" w:eastAsia="宋体" w:cs="宋体"/>
          <w:bCs/>
          <w:color w:val="auto"/>
          <w:kern w:val="0"/>
          <w:sz w:val="24"/>
          <w:szCs w:val="24"/>
          <w:highlight w:val="none"/>
        </w:rPr>
        <w:t>供和</w:t>
      </w:r>
      <w:r>
        <w:rPr>
          <w:rFonts w:hint="eastAsia" w:ascii="宋体" w:hAnsi="宋体" w:eastAsia="宋体" w:cs="宋体"/>
          <w:bCs/>
          <w:color w:val="auto"/>
          <w:spacing w:val="-5"/>
          <w:kern w:val="0"/>
          <w:sz w:val="24"/>
          <w:szCs w:val="24"/>
          <w:highlight w:val="none"/>
        </w:rPr>
        <w:t>照管</w:t>
      </w:r>
    </w:p>
    <w:p w14:paraId="11116F21">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1.6.2委托人负责提供的文件包括：</w:t>
      </w:r>
      <w:r>
        <w:rPr>
          <w:rFonts w:hint="eastAsia" w:ascii="宋体" w:hAnsi="宋体" w:eastAsia="宋体" w:cs="宋体"/>
          <w:color w:val="auto"/>
          <w:kern w:val="21"/>
          <w:sz w:val="24"/>
          <w:szCs w:val="24"/>
          <w:highlight w:val="none"/>
          <w:u w:val="single"/>
        </w:rPr>
        <w:t>项目立项文件复印件、设计文件批复复印件施工图纸</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21"/>
          <w:sz w:val="24"/>
          <w:szCs w:val="24"/>
          <w:highlight w:val="none"/>
        </w:rPr>
        <w:t>提供数量：</w:t>
      </w:r>
      <w:r>
        <w:rPr>
          <w:rFonts w:hint="eastAsia" w:ascii="宋体" w:hAnsi="宋体" w:eastAsia="宋体" w:cs="宋体"/>
          <w:color w:val="auto"/>
          <w:kern w:val="21"/>
          <w:sz w:val="24"/>
          <w:szCs w:val="24"/>
          <w:highlight w:val="none"/>
          <w:u w:val="single"/>
        </w:rPr>
        <w:t>1</w:t>
      </w:r>
      <w:r>
        <w:rPr>
          <w:rFonts w:hint="eastAsia" w:ascii="宋体" w:hAnsi="宋体" w:eastAsia="宋体" w:cs="宋体"/>
          <w:color w:val="auto"/>
          <w:kern w:val="21"/>
          <w:sz w:val="24"/>
          <w:szCs w:val="24"/>
          <w:highlight w:val="none"/>
        </w:rPr>
        <w:t>，提供期限：</w:t>
      </w:r>
      <w:r>
        <w:rPr>
          <w:rFonts w:hint="eastAsia" w:ascii="宋体" w:hAnsi="宋体" w:eastAsia="宋体" w:cs="宋体"/>
          <w:color w:val="auto"/>
          <w:kern w:val="21"/>
          <w:sz w:val="24"/>
          <w:szCs w:val="24"/>
          <w:highlight w:val="none"/>
          <w:u w:val="single"/>
        </w:rPr>
        <w:t>按公路工程专用合同条款执行</w:t>
      </w:r>
      <w:r>
        <w:rPr>
          <w:rFonts w:hint="eastAsia" w:ascii="宋体" w:hAnsi="宋体" w:eastAsia="宋体" w:cs="宋体"/>
          <w:color w:val="auto"/>
          <w:spacing w:val="-10"/>
          <w:kern w:val="0"/>
          <w:sz w:val="24"/>
          <w:szCs w:val="24"/>
          <w:highlight w:val="none"/>
        </w:rPr>
        <w:t>。</w:t>
      </w:r>
    </w:p>
    <w:p w14:paraId="6E161749">
      <w:pPr>
        <w:keepNext w:val="0"/>
        <w:keepLines w:val="0"/>
        <w:widowControl w:val="0"/>
        <w:kinsoku w:val="0"/>
        <w:overflowPunct w:val="0"/>
        <w:autoSpaceDE w:val="0"/>
        <w:autoSpaceDN w:val="0"/>
        <w:bidi w:val="0"/>
        <w:adjustRightInd w:val="0"/>
        <w:spacing w:line="365" w:lineRule="exact"/>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pacing w:val="-2"/>
          <w:sz w:val="24"/>
          <w:szCs w:val="24"/>
          <w:highlight w:val="none"/>
        </w:rPr>
        <w:t>1</w:t>
      </w:r>
      <w:r>
        <w:rPr>
          <w:rFonts w:hint="eastAsia" w:ascii="宋体" w:hAnsi="宋体" w:eastAsia="宋体" w:cs="宋体"/>
          <w:b/>
          <w:color w:val="auto"/>
          <w:sz w:val="24"/>
          <w:szCs w:val="24"/>
          <w:highlight w:val="none"/>
        </w:rPr>
        <w:t>2</w:t>
      </w:r>
      <w:r>
        <w:rPr>
          <w:rFonts w:hint="eastAsia" w:ascii="宋体" w:hAnsi="宋体" w:eastAsia="宋体" w:cs="宋体"/>
          <w:color w:val="auto"/>
          <w:spacing w:val="2"/>
          <w:sz w:val="24"/>
          <w:szCs w:val="24"/>
          <w:highlight w:val="none"/>
        </w:rPr>
        <w:t>委</w:t>
      </w:r>
      <w:r>
        <w:rPr>
          <w:rFonts w:hint="eastAsia" w:ascii="宋体" w:hAnsi="宋体" w:eastAsia="宋体" w:cs="宋体"/>
          <w:color w:val="auto"/>
          <w:sz w:val="24"/>
          <w:szCs w:val="24"/>
          <w:highlight w:val="none"/>
        </w:rPr>
        <w:t>托人要求</w:t>
      </w:r>
    </w:p>
    <w:p w14:paraId="4CBAC64E">
      <w:pPr>
        <w:keepNext w:val="0"/>
        <w:keepLines w:val="0"/>
        <w:widowControl w:val="0"/>
        <w:tabs>
          <w:tab w:val="left" w:pos="2564"/>
          <w:tab w:val="left" w:pos="6083"/>
          <w:tab w:val="left" w:pos="8385"/>
        </w:tabs>
        <w:kinsoku w:val="0"/>
        <w:overflowPunct w:val="0"/>
        <w:autoSpaceDE w:val="0"/>
        <w:autoSpaceDN w:val="0"/>
        <w:bidi w:val="0"/>
        <w:adjustRightInd w:val="0"/>
        <w:spacing w:before="73" w:line="288" w:lineRule="auto"/>
        <w:ind w:left="144" w:right="109" w:firstLine="43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1.12.3</w:t>
      </w:r>
      <w:r>
        <w:rPr>
          <w:rFonts w:hint="eastAsia" w:ascii="宋体" w:hAnsi="宋体" w:eastAsia="宋体" w:cs="宋体"/>
          <w:color w:val="auto"/>
          <w:spacing w:val="-3"/>
          <w:sz w:val="24"/>
          <w:szCs w:val="24"/>
          <w:highlight w:val="none"/>
        </w:rPr>
        <w:t>委</w:t>
      </w:r>
      <w:r>
        <w:rPr>
          <w:rFonts w:hint="eastAsia" w:ascii="宋体" w:hAnsi="宋体" w:eastAsia="宋体" w:cs="宋体"/>
          <w:color w:val="auto"/>
          <w:sz w:val="24"/>
          <w:szCs w:val="24"/>
          <w:highlight w:val="none"/>
        </w:rPr>
        <w:t>托人</w:t>
      </w:r>
      <w:r>
        <w:rPr>
          <w:rFonts w:hint="eastAsia" w:ascii="宋体" w:hAnsi="宋体" w:eastAsia="宋体" w:cs="宋体"/>
          <w:color w:val="auto"/>
          <w:spacing w:val="-3"/>
          <w:sz w:val="24"/>
          <w:szCs w:val="24"/>
          <w:highlight w:val="none"/>
        </w:rPr>
        <w:t>提</w:t>
      </w:r>
      <w:r>
        <w:rPr>
          <w:rFonts w:hint="eastAsia" w:ascii="宋体" w:hAnsi="宋体" w:eastAsia="宋体" w:cs="宋体"/>
          <w:color w:val="auto"/>
          <w:sz w:val="24"/>
          <w:szCs w:val="24"/>
          <w:highlight w:val="none"/>
        </w:rPr>
        <w:t>供国</w:t>
      </w:r>
      <w:r>
        <w:rPr>
          <w:rFonts w:hint="eastAsia" w:ascii="宋体" w:hAnsi="宋体" w:eastAsia="宋体" w:cs="宋体"/>
          <w:color w:val="auto"/>
          <w:spacing w:val="-3"/>
          <w:sz w:val="24"/>
          <w:szCs w:val="24"/>
          <w:highlight w:val="none"/>
        </w:rPr>
        <w:t>外规</w:t>
      </w:r>
      <w:r>
        <w:rPr>
          <w:rFonts w:hint="eastAsia" w:ascii="宋体" w:hAnsi="宋体" w:eastAsia="宋体" w:cs="宋体"/>
          <w:color w:val="auto"/>
          <w:sz w:val="24"/>
          <w:szCs w:val="24"/>
          <w:highlight w:val="none"/>
        </w:rPr>
        <w:t>范和标</w:t>
      </w:r>
      <w:r>
        <w:rPr>
          <w:rFonts w:hint="eastAsia" w:ascii="宋体" w:hAnsi="宋体" w:eastAsia="宋体" w:cs="宋体"/>
          <w:color w:val="auto"/>
          <w:spacing w:val="-3"/>
          <w:sz w:val="24"/>
          <w:szCs w:val="24"/>
          <w:highlight w:val="none"/>
        </w:rPr>
        <w:t>准</w:t>
      </w:r>
      <w:r>
        <w:rPr>
          <w:rFonts w:hint="eastAsia" w:ascii="宋体" w:hAnsi="宋体" w:eastAsia="宋体" w:cs="宋体"/>
          <w:color w:val="auto"/>
          <w:sz w:val="24"/>
          <w:szCs w:val="24"/>
          <w:highlight w:val="none"/>
        </w:rPr>
        <w:t>的时间</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3"/>
          <w:sz w:val="24"/>
          <w:szCs w:val="24"/>
          <w:highlight w:val="none"/>
        </w:rPr>
        <w:t>提</w:t>
      </w:r>
      <w:r>
        <w:rPr>
          <w:rFonts w:hint="eastAsia" w:ascii="宋体" w:hAnsi="宋体" w:eastAsia="宋体" w:cs="宋体"/>
          <w:color w:val="auto"/>
          <w:sz w:val="24"/>
          <w:szCs w:val="24"/>
          <w:highlight w:val="none"/>
        </w:rPr>
        <w:t>供数量</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5"/>
          <w:sz w:val="24"/>
          <w:szCs w:val="24"/>
          <w:highlight w:val="none"/>
          <w:u w:val="single"/>
        </w:rPr>
        <w:t>/</w:t>
      </w:r>
      <w:r>
        <w:rPr>
          <w:rFonts w:hint="eastAsia" w:ascii="宋体" w:hAnsi="宋体" w:eastAsia="宋体" w:cs="宋体"/>
          <w:color w:val="auto"/>
          <w:spacing w:val="-5"/>
          <w:sz w:val="24"/>
          <w:szCs w:val="24"/>
          <w:highlight w:val="none"/>
        </w:rPr>
        <w:t>，其</w:t>
      </w:r>
      <w:r>
        <w:rPr>
          <w:rFonts w:hint="eastAsia" w:ascii="宋体" w:hAnsi="宋体" w:eastAsia="宋体" w:cs="宋体"/>
          <w:color w:val="auto"/>
          <w:sz w:val="24"/>
          <w:szCs w:val="24"/>
          <w:highlight w:val="none"/>
        </w:rPr>
        <w:t>他要求</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u w:val="single"/>
        </w:rPr>
        <w:t>/</w:t>
      </w:r>
      <w:r>
        <w:rPr>
          <w:rFonts w:hint="eastAsia" w:ascii="宋体" w:hAnsi="宋体" w:eastAsia="宋体" w:cs="宋体"/>
          <w:color w:val="auto"/>
          <w:sz w:val="24"/>
          <w:szCs w:val="24"/>
          <w:highlight w:val="none"/>
        </w:rPr>
        <w:t>。</w:t>
      </w:r>
    </w:p>
    <w:p w14:paraId="6B98842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3E7D30B5">
      <w:pPr>
        <w:keepNext w:val="0"/>
        <w:keepLines w:val="0"/>
        <w:bidi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pacing w:val="-2"/>
          <w:w w:val="95"/>
          <w:sz w:val="24"/>
          <w:szCs w:val="24"/>
          <w:highlight w:val="none"/>
        </w:rPr>
        <w:t>2.委托人义务</w:t>
      </w:r>
    </w:p>
    <w:p w14:paraId="7181B2A6">
      <w:pPr>
        <w:keepNext w:val="0"/>
        <w:keepLines w:val="0"/>
        <w:bidi w:val="0"/>
        <w:spacing w:line="360" w:lineRule="auto"/>
        <w:ind w:firstLine="364"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pacing w:val="-29"/>
          <w:kern w:val="0"/>
          <w:sz w:val="24"/>
          <w:szCs w:val="24"/>
          <w:highlight w:val="none"/>
        </w:rPr>
        <w:t>第</w:t>
      </w:r>
      <w:r>
        <w:rPr>
          <w:rFonts w:hint="eastAsia" w:ascii="宋体" w:hAnsi="宋体" w:eastAsia="宋体" w:cs="宋体"/>
          <w:color w:val="auto"/>
          <w:spacing w:val="-2"/>
          <w:kern w:val="0"/>
          <w:sz w:val="24"/>
          <w:szCs w:val="24"/>
          <w:highlight w:val="none"/>
        </w:rPr>
        <w:t>2.3</w:t>
      </w:r>
      <w:r>
        <w:rPr>
          <w:rFonts w:hint="eastAsia" w:ascii="宋体" w:hAnsi="宋体" w:eastAsia="宋体" w:cs="宋体"/>
          <w:color w:val="auto"/>
          <w:spacing w:val="-12"/>
          <w:kern w:val="0"/>
          <w:sz w:val="24"/>
          <w:szCs w:val="24"/>
          <w:highlight w:val="none"/>
        </w:rPr>
        <w:t>项修改为：</w:t>
      </w:r>
    </w:p>
    <w:p w14:paraId="0A5982BB">
      <w:pPr>
        <w:keepNext w:val="0"/>
        <w:keepLines w:val="0"/>
        <w:bidi w:val="0"/>
        <w:spacing w:line="360" w:lineRule="auto"/>
        <w:ind w:firstLine="472" w:firstLineChars="200"/>
        <w:jc w:val="left"/>
        <w:rPr>
          <w:rFonts w:hint="eastAsia" w:ascii="宋体" w:hAnsi="宋体" w:eastAsia="宋体" w:cs="宋体"/>
          <w:color w:val="auto"/>
          <w:spacing w:val="-6"/>
          <w:kern w:val="0"/>
          <w:sz w:val="24"/>
          <w:szCs w:val="24"/>
          <w:highlight w:val="none"/>
        </w:rPr>
      </w:pPr>
      <w:r>
        <w:rPr>
          <w:rFonts w:hint="eastAsia" w:ascii="宋体" w:hAnsi="宋体" w:eastAsia="宋体" w:cs="宋体"/>
          <w:color w:val="auto"/>
          <w:spacing w:val="-2"/>
          <w:kern w:val="0"/>
          <w:sz w:val="24"/>
          <w:szCs w:val="24"/>
          <w:highlight w:val="none"/>
        </w:rPr>
        <w:t>委托人不提供办公房间、办公桌椅、互联网接口、冷暖设施、生活设施、进出现场交通服</w:t>
      </w:r>
      <w:r>
        <w:rPr>
          <w:rFonts w:hint="eastAsia" w:ascii="宋体" w:hAnsi="宋体" w:eastAsia="宋体" w:cs="宋体"/>
          <w:color w:val="auto"/>
          <w:spacing w:val="-6"/>
          <w:kern w:val="0"/>
          <w:sz w:val="24"/>
          <w:szCs w:val="24"/>
          <w:highlight w:val="none"/>
        </w:rPr>
        <w:t>务。</w:t>
      </w:r>
    </w:p>
    <w:p w14:paraId="5FD74A0C">
      <w:pPr>
        <w:keepNext w:val="0"/>
        <w:keepLines w:val="0"/>
        <w:bidi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pacing w:val="-2"/>
          <w:w w:val="95"/>
          <w:sz w:val="24"/>
          <w:szCs w:val="24"/>
          <w:highlight w:val="none"/>
        </w:rPr>
        <w:t>3.委托人管理</w:t>
      </w:r>
    </w:p>
    <w:p w14:paraId="085E2301">
      <w:pPr>
        <w:keepNext w:val="0"/>
        <w:keepLines w:val="0"/>
        <w:bidi w:val="0"/>
        <w:spacing w:line="360" w:lineRule="auto"/>
        <w:ind w:firstLine="482"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3.3</w:t>
      </w:r>
      <w:r>
        <w:rPr>
          <w:rFonts w:hint="eastAsia" w:ascii="宋体" w:hAnsi="宋体" w:eastAsia="宋体" w:cs="宋体"/>
          <w:bCs/>
          <w:color w:val="auto"/>
          <w:spacing w:val="-5"/>
          <w:kern w:val="0"/>
          <w:sz w:val="24"/>
          <w:szCs w:val="24"/>
          <w:highlight w:val="none"/>
        </w:rPr>
        <w:t>决定或答复</w:t>
      </w:r>
    </w:p>
    <w:p w14:paraId="639BE8F8">
      <w:pPr>
        <w:keepNext w:val="0"/>
        <w:keepLines w:val="0"/>
        <w:bidi w:val="0"/>
        <w:spacing w:line="360" w:lineRule="auto"/>
        <w:ind w:firstLine="472"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pacing w:val="-2"/>
          <w:kern w:val="0"/>
          <w:sz w:val="24"/>
          <w:szCs w:val="24"/>
          <w:highlight w:val="none"/>
        </w:rPr>
        <w:t>3.3.2委托人应在收到监理人书面提出的事项后</w:t>
      </w:r>
      <w:r>
        <w:rPr>
          <w:rFonts w:hint="eastAsia" w:ascii="宋体" w:hAnsi="宋体" w:eastAsia="宋体" w:cs="宋体"/>
          <w:color w:val="auto"/>
          <w:spacing w:val="-2"/>
          <w:kern w:val="0"/>
          <w:sz w:val="24"/>
          <w:szCs w:val="24"/>
          <w:highlight w:val="none"/>
          <w:u w:val="single"/>
        </w:rPr>
        <w:t>7</w:t>
      </w:r>
      <w:r>
        <w:rPr>
          <w:rFonts w:hint="eastAsia" w:ascii="宋体" w:hAnsi="宋体" w:eastAsia="宋体" w:cs="宋体"/>
          <w:color w:val="auto"/>
          <w:spacing w:val="-2"/>
          <w:kern w:val="0"/>
          <w:sz w:val="24"/>
          <w:szCs w:val="24"/>
          <w:highlight w:val="none"/>
        </w:rPr>
        <w:t>天内作出书面答复。</w:t>
      </w:r>
    </w:p>
    <w:p w14:paraId="1D892A5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67ED9133">
      <w:pPr>
        <w:keepNext w:val="0"/>
        <w:keepLines w:val="0"/>
        <w:widowControl w:val="0"/>
        <w:kinsoku w:val="0"/>
        <w:overflowPunct w:val="0"/>
        <w:autoSpaceDE w:val="0"/>
        <w:autoSpaceDN w:val="0"/>
        <w:bidi w:val="0"/>
        <w:adjustRightInd w:val="0"/>
        <w:ind w:left="144"/>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w:t>
      </w:r>
      <w:r>
        <w:rPr>
          <w:rFonts w:hint="eastAsia" w:ascii="宋体" w:hAnsi="宋体" w:eastAsia="宋体" w:cs="宋体"/>
          <w:b/>
          <w:color w:val="auto"/>
          <w:spacing w:val="2"/>
          <w:sz w:val="24"/>
          <w:szCs w:val="24"/>
          <w:highlight w:val="none"/>
        </w:rPr>
        <w:t>监理人义务</w:t>
      </w:r>
    </w:p>
    <w:p w14:paraId="64AA3A39">
      <w:pPr>
        <w:keepNext w:val="0"/>
        <w:keepLines w:val="0"/>
        <w:widowControl w:val="0"/>
        <w:kinsoku w:val="0"/>
        <w:overflowPunct w:val="0"/>
        <w:autoSpaceDE w:val="0"/>
        <w:autoSpaceDN w:val="0"/>
        <w:bidi w:val="0"/>
        <w:adjustRightInd w:val="0"/>
        <w:spacing w:before="20" w:line="200" w:lineRule="exact"/>
        <w:jc w:val="left"/>
        <w:rPr>
          <w:rFonts w:hint="eastAsia" w:ascii="宋体" w:hAnsi="宋体" w:eastAsia="宋体" w:cs="宋体"/>
          <w:color w:val="auto"/>
          <w:sz w:val="24"/>
          <w:szCs w:val="24"/>
          <w:highlight w:val="none"/>
        </w:rPr>
      </w:pPr>
    </w:p>
    <w:p w14:paraId="7460CB1B">
      <w:pPr>
        <w:keepNext w:val="0"/>
        <w:keepLines w:val="0"/>
        <w:widowControl w:val="0"/>
        <w:kinsoku w:val="0"/>
        <w:overflowPunct w:val="0"/>
        <w:autoSpaceDE w:val="0"/>
        <w:autoSpaceDN w:val="0"/>
        <w:bidi w:val="0"/>
        <w:adjustRightInd w:val="0"/>
        <w:spacing w:line="360" w:lineRule="auto"/>
        <w:ind w:left="144"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w:t>
      </w:r>
      <w:r>
        <w:rPr>
          <w:rFonts w:hint="eastAsia" w:ascii="宋体" w:hAnsi="宋体" w:eastAsia="宋体" w:cs="宋体"/>
          <w:bCs/>
          <w:color w:val="auto"/>
          <w:spacing w:val="2"/>
          <w:sz w:val="24"/>
          <w:szCs w:val="24"/>
          <w:highlight w:val="none"/>
        </w:rPr>
        <w:t>履</w:t>
      </w:r>
      <w:r>
        <w:rPr>
          <w:rFonts w:hint="eastAsia" w:ascii="宋体" w:hAnsi="宋体" w:eastAsia="宋体" w:cs="宋体"/>
          <w:bCs/>
          <w:color w:val="auto"/>
          <w:sz w:val="24"/>
          <w:szCs w:val="24"/>
          <w:highlight w:val="none"/>
        </w:rPr>
        <w:t>约保证金</w:t>
      </w:r>
    </w:p>
    <w:p w14:paraId="0F38CAD7">
      <w:pPr>
        <w:keepNext w:val="0"/>
        <w:keepLines w:val="0"/>
        <w:widowControl w:val="0"/>
        <w:tabs>
          <w:tab w:val="left" w:pos="5206"/>
        </w:tabs>
        <w:kinsoku w:val="0"/>
        <w:overflowPunct w:val="0"/>
        <w:autoSpaceDE w:val="0"/>
        <w:autoSpaceDN w:val="0"/>
        <w:bidi w:val="0"/>
        <w:adjustRightInd w:val="0"/>
        <w:spacing w:before="73" w:line="360" w:lineRule="auto"/>
        <w:ind w:left="58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4.2.1缺</w:t>
      </w:r>
      <w:r>
        <w:rPr>
          <w:rFonts w:hint="eastAsia" w:ascii="宋体" w:hAnsi="宋体" w:eastAsia="宋体" w:cs="宋体"/>
          <w:color w:val="auto"/>
          <w:spacing w:val="-3"/>
          <w:sz w:val="24"/>
          <w:szCs w:val="24"/>
          <w:highlight w:val="none"/>
        </w:rPr>
        <w:t>陷</w:t>
      </w:r>
      <w:r>
        <w:rPr>
          <w:rFonts w:hint="eastAsia" w:ascii="宋体" w:hAnsi="宋体" w:eastAsia="宋体" w:cs="宋体"/>
          <w:color w:val="auto"/>
          <w:sz w:val="24"/>
          <w:szCs w:val="24"/>
          <w:highlight w:val="none"/>
        </w:rPr>
        <w:t>责任</w:t>
      </w:r>
      <w:r>
        <w:rPr>
          <w:rFonts w:hint="eastAsia" w:ascii="宋体" w:hAnsi="宋体" w:eastAsia="宋体" w:cs="宋体"/>
          <w:color w:val="auto"/>
          <w:spacing w:val="-3"/>
          <w:sz w:val="24"/>
          <w:szCs w:val="24"/>
          <w:highlight w:val="none"/>
        </w:rPr>
        <w:t>期</w:t>
      </w:r>
      <w:r>
        <w:rPr>
          <w:rFonts w:hint="eastAsia" w:ascii="宋体" w:hAnsi="宋体" w:eastAsia="宋体" w:cs="宋体"/>
          <w:color w:val="auto"/>
          <w:sz w:val="24"/>
          <w:szCs w:val="24"/>
          <w:highlight w:val="none"/>
        </w:rPr>
        <w:t>保函</w:t>
      </w:r>
      <w:r>
        <w:rPr>
          <w:rFonts w:hint="eastAsia" w:ascii="宋体" w:hAnsi="宋体" w:eastAsia="宋体" w:cs="宋体"/>
          <w:color w:val="auto"/>
          <w:spacing w:val="-3"/>
          <w:sz w:val="24"/>
          <w:szCs w:val="24"/>
          <w:highlight w:val="none"/>
        </w:rPr>
        <w:t>金</w:t>
      </w:r>
      <w:r>
        <w:rPr>
          <w:rFonts w:hint="eastAsia" w:ascii="宋体" w:hAnsi="宋体" w:eastAsia="宋体" w:cs="宋体"/>
          <w:color w:val="auto"/>
          <w:sz w:val="24"/>
          <w:szCs w:val="24"/>
          <w:highlight w:val="none"/>
        </w:rPr>
        <w:t>额：</w:t>
      </w:r>
      <w:r>
        <w:rPr>
          <w:rFonts w:hint="eastAsia" w:ascii="宋体" w:hAnsi="宋体" w:eastAsia="宋体" w:cs="宋体"/>
          <w:color w:val="auto"/>
          <w:sz w:val="24"/>
          <w:szCs w:val="24"/>
          <w:highlight w:val="none"/>
          <w:u w:val="single"/>
        </w:rPr>
        <w:t>监理服务费用总额的3％</w:t>
      </w:r>
      <w:r>
        <w:rPr>
          <w:rFonts w:hint="eastAsia" w:ascii="宋体" w:hAnsi="宋体" w:eastAsia="宋体" w:cs="宋体"/>
          <w:color w:val="auto"/>
          <w:sz w:val="24"/>
          <w:szCs w:val="24"/>
          <w:highlight w:val="none"/>
        </w:rPr>
        <w:t>。</w:t>
      </w:r>
    </w:p>
    <w:p w14:paraId="6B202F96">
      <w:pPr>
        <w:keepNext w:val="0"/>
        <w:keepLines w:val="0"/>
        <w:widowControl w:val="0"/>
        <w:kinsoku w:val="0"/>
        <w:overflowPunct w:val="0"/>
        <w:autoSpaceDE w:val="0"/>
        <w:autoSpaceDN w:val="0"/>
        <w:bidi w:val="0"/>
        <w:adjustRightInd w:val="0"/>
        <w:spacing w:before="10" w:line="150" w:lineRule="exact"/>
        <w:jc w:val="left"/>
        <w:rPr>
          <w:rFonts w:hint="eastAsia" w:ascii="宋体" w:hAnsi="宋体" w:eastAsia="宋体" w:cs="宋体"/>
          <w:color w:val="auto"/>
          <w:sz w:val="24"/>
          <w:szCs w:val="24"/>
          <w:highlight w:val="none"/>
        </w:rPr>
      </w:pPr>
    </w:p>
    <w:p w14:paraId="213B50F8">
      <w:pPr>
        <w:keepNext w:val="0"/>
        <w:keepLines w:val="0"/>
        <w:bidi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w w:val="95"/>
          <w:sz w:val="24"/>
          <w:szCs w:val="24"/>
          <w:highlight w:val="none"/>
        </w:rPr>
        <w:t>4.5监理人员的管</w:t>
      </w:r>
      <w:r>
        <w:rPr>
          <w:rFonts w:hint="eastAsia" w:ascii="宋体" w:hAnsi="宋体" w:eastAsia="宋体" w:cs="宋体"/>
          <w:b/>
          <w:color w:val="auto"/>
          <w:spacing w:val="-10"/>
          <w:w w:val="95"/>
          <w:sz w:val="24"/>
          <w:szCs w:val="24"/>
          <w:highlight w:val="none"/>
        </w:rPr>
        <w:t>理</w:t>
      </w:r>
    </w:p>
    <w:p w14:paraId="2D47B195">
      <w:pPr>
        <w:keepNext w:val="0"/>
        <w:keepLines w:val="0"/>
        <w:bidi w:val="0"/>
        <w:spacing w:line="360" w:lineRule="auto"/>
        <w:ind w:firstLine="364"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pacing w:val="-29"/>
          <w:kern w:val="0"/>
          <w:sz w:val="24"/>
          <w:szCs w:val="24"/>
          <w:highlight w:val="none"/>
        </w:rPr>
        <w:t>第</w:t>
      </w:r>
      <w:r>
        <w:rPr>
          <w:rFonts w:hint="eastAsia" w:ascii="宋体" w:hAnsi="宋体" w:eastAsia="宋体" w:cs="宋体"/>
          <w:color w:val="auto"/>
          <w:spacing w:val="-2"/>
          <w:kern w:val="0"/>
          <w:sz w:val="24"/>
          <w:szCs w:val="24"/>
          <w:highlight w:val="none"/>
        </w:rPr>
        <w:t>4.5.3</w:t>
      </w:r>
      <w:r>
        <w:rPr>
          <w:rFonts w:hint="eastAsia" w:ascii="宋体" w:hAnsi="宋体" w:eastAsia="宋体" w:cs="宋体"/>
          <w:color w:val="auto"/>
          <w:spacing w:val="-14"/>
          <w:kern w:val="0"/>
          <w:sz w:val="24"/>
          <w:szCs w:val="24"/>
          <w:highlight w:val="none"/>
        </w:rPr>
        <w:t>项修改为：</w:t>
      </w:r>
    </w:p>
    <w:p w14:paraId="7C69EAD6">
      <w:pPr>
        <w:keepNext w:val="0"/>
        <w:keepLines w:val="0"/>
        <w:bidi w:val="0"/>
        <w:spacing w:line="360" w:lineRule="auto"/>
        <w:ind w:firstLine="472"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pacing w:val="-2"/>
          <w:kern w:val="0"/>
          <w:sz w:val="24"/>
          <w:szCs w:val="24"/>
          <w:highlight w:val="none"/>
        </w:rPr>
        <w:t>监理人派驻到工程所在地进行监理服务的总监理工程师及主要监理人员，必须常驻现场，</w:t>
      </w:r>
      <w:r>
        <w:rPr>
          <w:rFonts w:hint="eastAsia" w:ascii="宋体" w:hAnsi="宋体" w:eastAsia="宋体" w:cs="宋体"/>
          <w:color w:val="auto"/>
          <w:kern w:val="0"/>
          <w:sz w:val="24"/>
          <w:szCs w:val="24"/>
          <w:highlight w:val="none"/>
        </w:rPr>
        <w:t>每月不得少于22天，所有人员一律不得在同一时间内承担其他项目的监理任务。若出于某种原因需要暂时离开现场时，必须提请委托人批准后方可离开。如果总监理工程师（驻地监理工程师）或其它主要监理人员需离开现场的时间超过14天，则监理人必须按第4.5.1规定派同样资质的人员来替换。</w:t>
      </w:r>
    </w:p>
    <w:p w14:paraId="118AE4A6">
      <w:pPr>
        <w:keepNext w:val="0"/>
        <w:keepLines w:val="0"/>
        <w:bidi w:val="0"/>
        <w:spacing w:line="360" w:lineRule="auto"/>
        <w:ind w:firstLine="472"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pacing w:val="-2"/>
          <w:kern w:val="0"/>
          <w:sz w:val="24"/>
          <w:szCs w:val="24"/>
          <w:highlight w:val="none"/>
        </w:rPr>
        <w:t>监理人应如实记录各监理人员及行政事务人员的出勤情况及工作内容，并在每月月末提交委托人签字确认。</w:t>
      </w:r>
    </w:p>
    <w:p w14:paraId="296309D2">
      <w:pPr>
        <w:keepNext w:val="0"/>
        <w:keepLines w:val="0"/>
        <w:bidi w:val="0"/>
        <w:spacing w:line="360" w:lineRule="auto"/>
        <w:ind w:firstLine="364"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pacing w:val="-29"/>
          <w:kern w:val="0"/>
          <w:sz w:val="24"/>
          <w:szCs w:val="24"/>
          <w:highlight w:val="none"/>
        </w:rPr>
        <w:t>第</w:t>
      </w:r>
      <w:r>
        <w:rPr>
          <w:rFonts w:hint="eastAsia" w:ascii="宋体" w:hAnsi="宋体" w:eastAsia="宋体" w:cs="宋体"/>
          <w:color w:val="auto"/>
          <w:spacing w:val="-2"/>
          <w:kern w:val="0"/>
          <w:sz w:val="24"/>
          <w:szCs w:val="24"/>
          <w:highlight w:val="none"/>
        </w:rPr>
        <w:t>4.5.4</w:t>
      </w:r>
      <w:r>
        <w:rPr>
          <w:rFonts w:hint="eastAsia" w:ascii="宋体" w:hAnsi="宋体" w:eastAsia="宋体" w:cs="宋体"/>
          <w:color w:val="auto"/>
          <w:spacing w:val="-14"/>
          <w:kern w:val="0"/>
          <w:sz w:val="24"/>
          <w:szCs w:val="24"/>
          <w:highlight w:val="none"/>
        </w:rPr>
        <w:t>项修改为：</w:t>
      </w:r>
    </w:p>
    <w:p w14:paraId="3D3E5E2D">
      <w:pPr>
        <w:keepNext w:val="0"/>
        <w:keepLines w:val="0"/>
        <w:bidi w:val="0"/>
        <w:spacing w:line="360" w:lineRule="auto"/>
        <w:ind w:firstLine="476" w:firstLineChars="200"/>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监理人须根据交通运输主管部门的有关规定，完成监理人员从业登记和业绩登记。监理人</w:t>
      </w:r>
      <w:r>
        <w:rPr>
          <w:rFonts w:hint="eastAsia" w:ascii="宋体" w:hAnsi="宋体" w:eastAsia="宋体" w:cs="宋体"/>
          <w:color w:val="auto"/>
          <w:spacing w:val="1"/>
          <w:kern w:val="0"/>
          <w:sz w:val="24"/>
          <w:szCs w:val="24"/>
          <w:highlight w:val="none"/>
        </w:rPr>
        <w:t>员进场后，委托人将组织对监理人员进行上岗前考核，同时在监理服务期限内,委托人将根据</w:t>
      </w:r>
      <w:r>
        <w:rPr>
          <w:rFonts w:hint="eastAsia" w:ascii="宋体" w:hAnsi="宋体" w:eastAsia="宋体" w:cs="宋体"/>
          <w:color w:val="auto"/>
          <w:spacing w:val="-1"/>
          <w:kern w:val="0"/>
          <w:sz w:val="24"/>
          <w:szCs w:val="24"/>
          <w:highlight w:val="none"/>
        </w:rPr>
        <w:t>实际情况不定期对监理人员进行考核，考核不合格的监理人员将不准上</w:t>
      </w:r>
      <w:r>
        <w:rPr>
          <w:rFonts w:hint="eastAsia" w:ascii="宋体" w:hAnsi="宋体" w:eastAsia="宋体" w:cs="宋体"/>
          <w:color w:val="auto"/>
          <w:spacing w:val="1"/>
          <w:kern w:val="0"/>
          <w:sz w:val="24"/>
          <w:szCs w:val="24"/>
          <w:highlight w:val="none"/>
        </w:rPr>
        <w:t>岗，全部监理人员均须持证上岗。</w:t>
      </w:r>
    </w:p>
    <w:p w14:paraId="775AE9F1">
      <w:pPr>
        <w:keepNext w:val="0"/>
        <w:keepLines w:val="0"/>
        <w:bidi w:val="0"/>
        <w:spacing w:line="360" w:lineRule="auto"/>
        <w:ind w:firstLine="484" w:firstLineChars="200"/>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增加第4.5.5项-4.5.8项：</w:t>
      </w:r>
    </w:p>
    <w:p w14:paraId="5AC41C83">
      <w:pPr>
        <w:keepNext w:val="0"/>
        <w:keepLines w:val="0"/>
        <w:bidi w:val="0"/>
        <w:spacing w:line="360" w:lineRule="auto"/>
        <w:ind w:firstLine="484" w:firstLineChars="200"/>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4.5.5监理人在投标文件中填报或在合同附件约定的人员必须全部按时到位，对于人员不及时到位的按违约进行：</w:t>
      </w:r>
    </w:p>
    <w:p w14:paraId="5F6FAE4A">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总监理工程师处违约金</w:t>
      </w:r>
      <w:r>
        <w:rPr>
          <w:rFonts w:hint="eastAsia" w:ascii="宋体" w:hAnsi="宋体" w:eastAsia="宋体" w:cs="宋体"/>
          <w:color w:val="auto"/>
          <w:kern w:val="0"/>
          <w:sz w:val="24"/>
          <w:szCs w:val="24"/>
          <w:highlight w:val="none"/>
          <w:u w:val="single"/>
          <w:lang w:bidi="ar"/>
        </w:rPr>
        <w:t>1</w:t>
      </w:r>
      <w:r>
        <w:rPr>
          <w:rFonts w:hint="eastAsia" w:ascii="宋体" w:hAnsi="宋体" w:eastAsia="宋体" w:cs="宋体"/>
          <w:color w:val="auto"/>
          <w:kern w:val="0"/>
          <w:sz w:val="24"/>
          <w:szCs w:val="24"/>
          <w:highlight w:val="none"/>
          <w:lang w:bidi="ar"/>
        </w:rPr>
        <w:t>万元/人次（用备选人替换首选人的调整不受此限）、驻地监理工程师处违约金</w:t>
      </w:r>
      <w:r>
        <w:rPr>
          <w:rFonts w:hint="eastAsia" w:ascii="宋体" w:hAnsi="宋体" w:eastAsia="宋体" w:cs="宋体"/>
          <w:color w:val="auto"/>
          <w:kern w:val="0"/>
          <w:sz w:val="24"/>
          <w:szCs w:val="24"/>
          <w:highlight w:val="none"/>
          <w:u w:val="single"/>
          <w:lang w:bidi="ar"/>
        </w:rPr>
        <w:t>1</w:t>
      </w:r>
      <w:r>
        <w:rPr>
          <w:rFonts w:hint="eastAsia" w:ascii="宋体" w:hAnsi="宋体" w:eastAsia="宋体" w:cs="宋体"/>
          <w:color w:val="auto"/>
          <w:kern w:val="0"/>
          <w:sz w:val="24"/>
          <w:szCs w:val="24"/>
          <w:highlight w:val="none"/>
          <w:lang w:bidi="ar"/>
        </w:rPr>
        <w:t>万元/人次（用备选人替换首选人的调整不受此限）；其他主要监理人员的到位率必须达到</w:t>
      </w:r>
      <w:r>
        <w:rPr>
          <w:rFonts w:hint="eastAsia" w:ascii="宋体" w:hAnsi="宋体" w:eastAsia="宋体" w:cs="宋体"/>
          <w:color w:val="auto"/>
          <w:kern w:val="0"/>
          <w:sz w:val="24"/>
          <w:szCs w:val="24"/>
          <w:highlight w:val="none"/>
          <w:u w:val="single"/>
          <w:lang w:bidi="ar"/>
        </w:rPr>
        <w:t>80</w:t>
      </w:r>
      <w:r>
        <w:rPr>
          <w:rFonts w:hint="eastAsia" w:ascii="宋体" w:hAnsi="宋体" w:eastAsia="宋体" w:cs="宋体"/>
          <w:color w:val="auto"/>
          <w:kern w:val="0"/>
          <w:sz w:val="24"/>
          <w:szCs w:val="24"/>
          <w:highlight w:val="none"/>
          <w:lang w:bidi="ar"/>
        </w:rPr>
        <w:t>%以上，如不足</w:t>
      </w:r>
      <w:r>
        <w:rPr>
          <w:rFonts w:hint="eastAsia" w:ascii="宋体" w:hAnsi="宋体" w:eastAsia="宋体" w:cs="宋体"/>
          <w:color w:val="auto"/>
          <w:kern w:val="0"/>
          <w:sz w:val="24"/>
          <w:szCs w:val="24"/>
          <w:highlight w:val="none"/>
          <w:u w:val="single"/>
          <w:lang w:bidi="ar"/>
        </w:rPr>
        <w:t>80</w:t>
      </w:r>
      <w:r>
        <w:rPr>
          <w:rFonts w:hint="eastAsia" w:ascii="宋体" w:hAnsi="宋体" w:eastAsia="宋体" w:cs="宋体"/>
          <w:color w:val="auto"/>
          <w:kern w:val="0"/>
          <w:sz w:val="24"/>
          <w:szCs w:val="24"/>
          <w:highlight w:val="none"/>
          <w:lang w:bidi="ar"/>
        </w:rPr>
        <w:t>%的（其他主要监理人员分批次进场的，以最终进场的所有人员计算），其差额部分处以违约金</w:t>
      </w:r>
      <w:r>
        <w:rPr>
          <w:rFonts w:hint="eastAsia" w:ascii="宋体" w:hAnsi="宋体" w:eastAsia="宋体" w:cs="宋体"/>
          <w:color w:val="auto"/>
          <w:kern w:val="0"/>
          <w:sz w:val="24"/>
          <w:szCs w:val="24"/>
          <w:highlight w:val="none"/>
          <w:u w:val="single"/>
          <w:lang w:bidi="ar"/>
        </w:rPr>
        <w:t>1</w:t>
      </w:r>
      <w:r>
        <w:rPr>
          <w:rFonts w:hint="eastAsia" w:ascii="宋体" w:hAnsi="宋体" w:eastAsia="宋体" w:cs="宋体"/>
          <w:color w:val="auto"/>
          <w:kern w:val="0"/>
          <w:sz w:val="24"/>
          <w:szCs w:val="24"/>
          <w:highlight w:val="none"/>
          <w:lang w:bidi="ar"/>
        </w:rPr>
        <w:t>万元/人次进行处罚。如因特殊原因确需对投标文件中的主要监理人员进行调整除按4.5.1项规定外，所代替的人选在资格、资历、能力等方面均不得低于原来的人选，监理人须将更换人员的相关资料如任职证明、身份证、专业（执业）资格证书等复印件报委托人备案，并按上述标准提交违约金。</w:t>
      </w:r>
    </w:p>
    <w:p w14:paraId="427412C3">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4.5.6如果监理人需要对其在投标文件中提出的人员进场计划及计划调整，必须事先经过委托人的批准；所有监理人员需经委托人组织考核合格后方可进场。</w:t>
      </w:r>
    </w:p>
    <w:p w14:paraId="146EEAD5">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4.5.7监理人员上岗时必须统一着装、挂牌，做到标志明显，形象分明。</w:t>
      </w:r>
    </w:p>
    <w:p w14:paraId="5C3AF238">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4.5.8在交(竣)工验收及缺陷责任期内，监理人应配备</w:t>
      </w:r>
      <w:r>
        <w:rPr>
          <w:rFonts w:hint="eastAsia" w:ascii="宋体" w:hAnsi="宋体" w:eastAsia="宋体" w:cs="宋体"/>
          <w:color w:val="auto"/>
          <w:kern w:val="0"/>
          <w:sz w:val="24"/>
          <w:szCs w:val="24"/>
          <w:highlight w:val="none"/>
          <w:u w:val="single"/>
          <w:lang w:bidi="ar"/>
        </w:rPr>
        <w:t>1</w:t>
      </w:r>
      <w:r>
        <w:rPr>
          <w:rFonts w:hint="eastAsia" w:ascii="宋体" w:hAnsi="宋体" w:eastAsia="宋体" w:cs="宋体"/>
          <w:color w:val="auto"/>
          <w:kern w:val="0"/>
          <w:sz w:val="24"/>
          <w:szCs w:val="24"/>
          <w:highlight w:val="none"/>
          <w:lang w:bidi="ar"/>
        </w:rPr>
        <w:t>名监理人员，且所安排人员应到岗到位，不得随意更换。</w:t>
      </w:r>
    </w:p>
    <w:p w14:paraId="3F8E365E">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4.5.9监理人应根据广东省交通运输厅关于加强交通建设工程从业人员实名制管理和作业工人工资支付管理的通知（粤交基函〔2020〕177号）的要求，做好从业人员实名制管理要求，具体要求根据委托人发布的相关办法执行。</w:t>
      </w:r>
    </w:p>
    <w:p w14:paraId="3F46D6B1">
      <w:pPr>
        <w:pStyle w:val="34"/>
        <w:keepNext w:val="0"/>
        <w:keepLines w:val="0"/>
        <w:bidi w:val="0"/>
        <w:rPr>
          <w:rFonts w:hint="eastAsia" w:ascii="宋体" w:hAnsi="宋体" w:eastAsia="宋体" w:cs="宋体"/>
          <w:b/>
          <w:color w:val="auto"/>
          <w:sz w:val="24"/>
          <w:szCs w:val="24"/>
          <w:highlight w:val="none"/>
        </w:rPr>
      </w:pPr>
      <w:r>
        <w:rPr>
          <w:rFonts w:hint="eastAsia" w:ascii="宋体" w:hAnsi="宋体" w:eastAsia="宋体" w:cs="宋体"/>
          <w:b/>
          <w:color w:val="auto"/>
          <w:w w:val="95"/>
          <w:sz w:val="24"/>
          <w:szCs w:val="24"/>
          <w:highlight w:val="none"/>
        </w:rPr>
        <w:t>4.6撤换总监理工程师和其他</w:t>
      </w:r>
      <w:r>
        <w:rPr>
          <w:rFonts w:hint="eastAsia" w:ascii="宋体" w:hAnsi="宋体" w:eastAsia="宋体" w:cs="宋体"/>
          <w:b/>
          <w:color w:val="auto"/>
          <w:spacing w:val="-5"/>
          <w:w w:val="95"/>
          <w:sz w:val="24"/>
          <w:szCs w:val="24"/>
          <w:highlight w:val="none"/>
        </w:rPr>
        <w:t>人员</w:t>
      </w:r>
    </w:p>
    <w:p w14:paraId="655ACB16">
      <w:pPr>
        <w:keepNext w:val="0"/>
        <w:keepLines w:val="0"/>
        <w:bidi w:val="0"/>
        <w:spacing w:line="360" w:lineRule="auto"/>
        <w:ind w:firstLine="364"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pacing w:val="-29"/>
          <w:kern w:val="0"/>
          <w:sz w:val="24"/>
          <w:szCs w:val="24"/>
          <w:highlight w:val="none"/>
        </w:rPr>
        <w:t>在</w:t>
      </w:r>
      <w:r>
        <w:rPr>
          <w:rFonts w:hint="eastAsia" w:ascii="宋体" w:hAnsi="宋体" w:eastAsia="宋体" w:cs="宋体"/>
          <w:color w:val="auto"/>
          <w:spacing w:val="-2"/>
          <w:kern w:val="0"/>
          <w:sz w:val="24"/>
          <w:szCs w:val="24"/>
          <w:highlight w:val="none"/>
        </w:rPr>
        <w:t>4.6</w:t>
      </w:r>
      <w:r>
        <w:rPr>
          <w:rFonts w:hint="eastAsia" w:ascii="宋体" w:hAnsi="宋体" w:eastAsia="宋体" w:cs="宋体"/>
          <w:color w:val="auto"/>
          <w:spacing w:val="-10"/>
          <w:kern w:val="0"/>
          <w:sz w:val="24"/>
          <w:szCs w:val="24"/>
          <w:highlight w:val="none"/>
        </w:rPr>
        <w:t>项段后增加如下内容：</w:t>
      </w:r>
    </w:p>
    <w:p w14:paraId="65894D11">
      <w:pPr>
        <w:keepNext w:val="0"/>
        <w:keepLines w:val="0"/>
        <w:bidi w:val="0"/>
        <w:spacing w:line="360" w:lineRule="auto"/>
        <w:ind w:firstLine="476"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pacing w:val="-1"/>
          <w:kern w:val="0"/>
          <w:sz w:val="24"/>
          <w:szCs w:val="24"/>
          <w:highlight w:val="none"/>
        </w:rPr>
        <w:t>尽管监理人已按投标文件中的人员进场计划派遣了监理人员，但若委托人认为现场监理人员仍不足以满足施工监理服务的需要而影响了对工程质量及进度的监控时，委托人有权要求监</w:t>
      </w:r>
      <w:r>
        <w:rPr>
          <w:rFonts w:hint="eastAsia" w:ascii="宋体" w:hAnsi="宋体" w:eastAsia="宋体" w:cs="宋体"/>
          <w:color w:val="auto"/>
          <w:spacing w:val="3"/>
          <w:kern w:val="0"/>
          <w:sz w:val="24"/>
          <w:szCs w:val="24"/>
          <w:highlight w:val="none"/>
        </w:rPr>
        <w:t>理人另外增派或雇用监理人员。监理人在接到通知后应立即执行委托人的指示，不得无故拖</w:t>
      </w:r>
      <w:r>
        <w:rPr>
          <w:rFonts w:hint="eastAsia" w:ascii="宋体" w:hAnsi="宋体" w:eastAsia="宋体" w:cs="宋体"/>
          <w:color w:val="auto"/>
          <w:spacing w:val="-1"/>
          <w:kern w:val="0"/>
          <w:sz w:val="24"/>
          <w:szCs w:val="24"/>
          <w:highlight w:val="none"/>
        </w:rPr>
        <w:t>延，同时委托人也有权要求监理人减少监理人员。如监理人因此在投标报价的现场监理人员费</w:t>
      </w:r>
      <w:r>
        <w:rPr>
          <w:rFonts w:hint="eastAsia" w:ascii="宋体" w:hAnsi="宋体" w:eastAsia="宋体" w:cs="宋体"/>
          <w:color w:val="auto"/>
          <w:spacing w:val="-3"/>
          <w:kern w:val="0"/>
          <w:sz w:val="24"/>
          <w:szCs w:val="24"/>
          <w:highlight w:val="none"/>
        </w:rPr>
        <w:t>用总额上需增减费用，则增加部分由委托人承担，减少部分归委托人所有。</w:t>
      </w:r>
    </w:p>
    <w:p w14:paraId="63B5239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45D8E9FD">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w:t>
      </w:r>
      <w:r>
        <w:rPr>
          <w:rFonts w:hint="eastAsia" w:ascii="宋体" w:hAnsi="宋体" w:eastAsia="宋体" w:cs="宋体"/>
          <w:b/>
          <w:bCs/>
          <w:color w:val="auto"/>
          <w:spacing w:val="2"/>
          <w:sz w:val="24"/>
          <w:szCs w:val="24"/>
          <w:highlight w:val="none"/>
        </w:rPr>
        <w:t>监理要求</w:t>
      </w:r>
    </w:p>
    <w:p w14:paraId="4D2B656A">
      <w:pPr>
        <w:keepNext w:val="0"/>
        <w:keepLines w:val="0"/>
        <w:widowControl w:val="0"/>
        <w:kinsoku w:val="0"/>
        <w:overflowPunct w:val="0"/>
        <w:autoSpaceDE w:val="0"/>
        <w:autoSpaceDN w:val="0"/>
        <w:bidi w:val="0"/>
        <w:adjustRightInd w:val="0"/>
        <w:spacing w:line="220" w:lineRule="exact"/>
        <w:jc w:val="left"/>
        <w:rPr>
          <w:rFonts w:hint="eastAsia" w:ascii="宋体" w:hAnsi="宋体" w:eastAsia="宋体" w:cs="宋体"/>
          <w:color w:val="auto"/>
          <w:sz w:val="24"/>
          <w:szCs w:val="24"/>
          <w:highlight w:val="none"/>
        </w:rPr>
      </w:pPr>
    </w:p>
    <w:p w14:paraId="2424B6D3">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5.1</w:t>
      </w:r>
      <w:r>
        <w:rPr>
          <w:rFonts w:hint="eastAsia" w:ascii="宋体" w:hAnsi="宋体" w:eastAsia="宋体" w:cs="宋体"/>
          <w:b/>
          <w:bCs/>
          <w:color w:val="auto"/>
          <w:spacing w:val="2"/>
          <w:sz w:val="24"/>
          <w:szCs w:val="24"/>
          <w:highlight w:val="none"/>
        </w:rPr>
        <w:t>监</w:t>
      </w:r>
      <w:r>
        <w:rPr>
          <w:rFonts w:hint="eastAsia" w:ascii="宋体" w:hAnsi="宋体" w:eastAsia="宋体" w:cs="宋体"/>
          <w:b/>
          <w:bCs/>
          <w:color w:val="auto"/>
          <w:sz w:val="24"/>
          <w:szCs w:val="24"/>
          <w:highlight w:val="none"/>
        </w:rPr>
        <w:t>理范围</w:t>
      </w:r>
    </w:p>
    <w:p w14:paraId="49F275E4">
      <w:pPr>
        <w:keepNext w:val="0"/>
        <w:keepLines w:val="0"/>
        <w:numPr>
          <w:ilvl w:val="2"/>
          <w:numId w:val="4"/>
        </w:numPr>
        <w:bidi w:val="0"/>
        <w:spacing w:line="360" w:lineRule="auto"/>
        <w:ind w:lef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工程范围包括</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10"/>
          <w:sz w:val="24"/>
          <w:szCs w:val="24"/>
          <w:highlight w:val="none"/>
          <w:u w:val="single"/>
        </w:rPr>
        <w:t>里程范围内的</w:t>
      </w:r>
      <w:r>
        <w:rPr>
          <w:rFonts w:hint="eastAsia" w:ascii="宋体" w:hAnsi="宋体" w:eastAsia="宋体" w:cs="宋体"/>
          <w:color w:val="auto"/>
          <w:spacing w:val="-10"/>
          <w:sz w:val="24"/>
          <w:szCs w:val="24"/>
          <w:highlight w:val="none"/>
          <w:u w:val="single"/>
          <w:lang w:val="en-US" w:eastAsia="zh-CN"/>
        </w:rPr>
        <w:t>路基、路面工程及排水</w:t>
      </w:r>
      <w:r>
        <w:rPr>
          <w:rFonts w:hint="eastAsia" w:ascii="宋体" w:hAnsi="宋体" w:eastAsia="宋体" w:cs="宋体"/>
          <w:color w:val="auto"/>
          <w:spacing w:val="-10"/>
          <w:sz w:val="24"/>
          <w:szCs w:val="24"/>
          <w:highlight w:val="none"/>
          <w:u w:val="single"/>
        </w:rPr>
        <w:t>、桥梁工程、涵洞工程、</w:t>
      </w:r>
      <w:r>
        <w:rPr>
          <w:rFonts w:hint="eastAsia" w:ascii="宋体" w:hAnsi="宋体" w:eastAsia="宋体" w:cs="宋体"/>
          <w:color w:val="auto"/>
          <w:spacing w:val="-10"/>
          <w:sz w:val="24"/>
          <w:szCs w:val="24"/>
          <w:highlight w:val="none"/>
          <w:u w:val="single"/>
          <w:lang w:val="en-US" w:eastAsia="zh-CN"/>
        </w:rPr>
        <w:t>路线</w:t>
      </w:r>
      <w:r>
        <w:rPr>
          <w:rFonts w:hint="eastAsia" w:ascii="宋体" w:hAnsi="宋体" w:eastAsia="宋体" w:cs="宋体"/>
          <w:color w:val="auto"/>
          <w:spacing w:val="-10"/>
          <w:sz w:val="24"/>
          <w:szCs w:val="24"/>
          <w:highlight w:val="none"/>
          <w:u w:val="single"/>
        </w:rPr>
        <w:t>交叉工程、交通工程及沿线设施</w:t>
      </w:r>
      <w:r>
        <w:rPr>
          <w:rFonts w:hint="eastAsia" w:ascii="宋体" w:hAnsi="宋体" w:eastAsia="宋体" w:cs="宋体"/>
          <w:color w:val="auto"/>
          <w:spacing w:val="-10"/>
          <w:sz w:val="24"/>
          <w:szCs w:val="24"/>
          <w:highlight w:val="none"/>
          <w:u w:val="single"/>
          <w:lang w:eastAsia="zh-CN"/>
        </w:rPr>
        <w:t>、</w:t>
      </w:r>
      <w:r>
        <w:rPr>
          <w:rFonts w:hint="eastAsia" w:ascii="宋体" w:hAnsi="宋体" w:eastAsia="宋体" w:cs="宋体"/>
          <w:color w:val="auto"/>
          <w:spacing w:val="-10"/>
          <w:sz w:val="24"/>
          <w:szCs w:val="24"/>
          <w:highlight w:val="none"/>
          <w:u w:val="single"/>
          <w:lang w:val="en-US" w:eastAsia="zh-CN"/>
        </w:rPr>
        <w:t>环境保护与景观设计</w:t>
      </w:r>
      <w:r>
        <w:rPr>
          <w:rFonts w:hint="eastAsia" w:ascii="宋体" w:hAnsi="宋体" w:eastAsia="宋体" w:cs="宋体"/>
          <w:color w:val="auto"/>
          <w:spacing w:val="-10"/>
          <w:sz w:val="24"/>
          <w:szCs w:val="24"/>
          <w:highlight w:val="none"/>
          <w:u w:val="single"/>
        </w:rPr>
        <w:t>等。</w:t>
      </w:r>
    </w:p>
    <w:p w14:paraId="66FBE798">
      <w:pPr>
        <w:keepNext w:val="0"/>
        <w:keepLines w:val="0"/>
        <w:numPr>
          <w:ilvl w:val="2"/>
          <w:numId w:val="4"/>
        </w:numPr>
        <w:bidi w:val="0"/>
        <w:spacing w:line="360" w:lineRule="auto"/>
        <w:ind w:lef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阶段范围包括</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10"/>
          <w:sz w:val="24"/>
          <w:szCs w:val="24"/>
          <w:highlight w:val="none"/>
          <w:u w:val="single"/>
        </w:rPr>
        <w:t>施工准备阶段、施工阶段、交(竣)工验收及缺陷责任期阶段的施工监理、施工安全的监理</w:t>
      </w:r>
      <w:r>
        <w:rPr>
          <w:rFonts w:hint="eastAsia" w:ascii="宋体" w:hAnsi="宋体" w:eastAsia="宋体" w:cs="宋体"/>
          <w:color w:val="auto"/>
          <w:spacing w:val="-10"/>
          <w:sz w:val="24"/>
          <w:szCs w:val="24"/>
          <w:highlight w:val="none"/>
        </w:rPr>
        <w:t>。</w:t>
      </w:r>
    </w:p>
    <w:p w14:paraId="78FC1FF5">
      <w:pPr>
        <w:keepNext w:val="0"/>
        <w:keepLines w:val="0"/>
        <w:numPr>
          <w:ilvl w:val="2"/>
          <w:numId w:val="4"/>
        </w:numPr>
        <w:bidi w:val="0"/>
        <w:spacing w:line="360" w:lineRule="auto"/>
        <w:ind w:left="0" w:firstLine="472" w:firstLineChars="200"/>
        <w:rPr>
          <w:rFonts w:hint="eastAsia" w:ascii="宋体" w:hAnsi="宋体" w:eastAsia="宋体" w:cs="宋体"/>
          <w:color w:val="auto"/>
          <w:spacing w:val="-10"/>
          <w:sz w:val="24"/>
          <w:szCs w:val="24"/>
          <w:highlight w:val="none"/>
          <w:u w:val="single"/>
        </w:rPr>
      </w:pPr>
      <w:r>
        <w:rPr>
          <w:rFonts w:hint="eastAsia" w:ascii="宋体" w:hAnsi="宋体" w:eastAsia="宋体" w:cs="宋体"/>
          <w:color w:val="auto"/>
          <w:spacing w:val="-2"/>
          <w:sz w:val="24"/>
          <w:szCs w:val="24"/>
          <w:highlight w:val="none"/>
          <w:u w:val="single"/>
        </w:rPr>
        <w:t>工作范围包括</w:t>
      </w:r>
      <w:r>
        <w:rPr>
          <w:rFonts w:hint="eastAsia" w:ascii="宋体" w:hAnsi="宋体" w:eastAsia="宋体" w:cs="宋体"/>
          <w:color w:val="auto"/>
          <w:spacing w:val="-10"/>
          <w:sz w:val="24"/>
          <w:szCs w:val="24"/>
          <w:highlight w:val="none"/>
          <w:u w:val="single"/>
        </w:rPr>
        <w:t>：</w:t>
      </w:r>
      <w:r>
        <w:rPr>
          <w:rFonts w:hint="eastAsia" w:ascii="宋体" w:hAnsi="宋体" w:eastAsia="宋体" w:cs="宋体"/>
          <w:bCs/>
          <w:color w:val="auto"/>
          <w:kern w:val="21"/>
          <w:sz w:val="24"/>
          <w:szCs w:val="24"/>
          <w:highlight w:val="none"/>
          <w:u w:val="single"/>
        </w:rPr>
        <w:t>里程范围内的</w:t>
      </w:r>
      <w:r>
        <w:rPr>
          <w:rFonts w:hint="eastAsia" w:ascii="宋体" w:hAnsi="宋体" w:eastAsia="宋体" w:cs="宋体"/>
          <w:bCs/>
          <w:color w:val="auto"/>
          <w:kern w:val="21"/>
          <w:sz w:val="24"/>
          <w:szCs w:val="24"/>
          <w:highlight w:val="none"/>
          <w:u w:val="single"/>
          <w:lang w:val="en-US" w:eastAsia="zh-CN"/>
        </w:rPr>
        <w:t>路基、路面工程及排水</w:t>
      </w:r>
      <w:r>
        <w:rPr>
          <w:rFonts w:hint="eastAsia" w:ascii="宋体" w:hAnsi="宋体" w:eastAsia="宋体" w:cs="宋体"/>
          <w:bCs/>
          <w:color w:val="auto"/>
          <w:kern w:val="21"/>
          <w:sz w:val="24"/>
          <w:szCs w:val="24"/>
          <w:highlight w:val="none"/>
          <w:u w:val="single"/>
        </w:rPr>
        <w:t>、桥梁工程、涵洞工程、</w:t>
      </w:r>
      <w:r>
        <w:rPr>
          <w:rFonts w:hint="eastAsia" w:ascii="宋体" w:hAnsi="宋体" w:eastAsia="宋体" w:cs="宋体"/>
          <w:bCs/>
          <w:color w:val="auto"/>
          <w:kern w:val="21"/>
          <w:sz w:val="24"/>
          <w:szCs w:val="24"/>
          <w:highlight w:val="none"/>
          <w:u w:val="single"/>
          <w:lang w:val="en-US" w:eastAsia="zh-CN"/>
        </w:rPr>
        <w:t>路线</w:t>
      </w:r>
      <w:r>
        <w:rPr>
          <w:rFonts w:hint="eastAsia" w:ascii="宋体" w:hAnsi="宋体" w:eastAsia="宋体" w:cs="宋体"/>
          <w:bCs/>
          <w:color w:val="auto"/>
          <w:kern w:val="21"/>
          <w:sz w:val="24"/>
          <w:szCs w:val="24"/>
          <w:highlight w:val="none"/>
          <w:u w:val="single"/>
        </w:rPr>
        <w:t>交叉工程、交通工程及沿线设施</w:t>
      </w:r>
      <w:r>
        <w:rPr>
          <w:rFonts w:hint="eastAsia" w:ascii="宋体" w:hAnsi="宋体" w:eastAsia="宋体" w:cs="宋体"/>
          <w:bCs/>
          <w:color w:val="auto"/>
          <w:kern w:val="21"/>
          <w:sz w:val="24"/>
          <w:szCs w:val="24"/>
          <w:highlight w:val="none"/>
          <w:u w:val="single"/>
          <w:lang w:eastAsia="zh-CN"/>
        </w:rPr>
        <w:t>、</w:t>
      </w:r>
      <w:r>
        <w:rPr>
          <w:rFonts w:hint="eastAsia" w:ascii="宋体" w:hAnsi="宋体" w:eastAsia="宋体" w:cs="宋体"/>
          <w:bCs/>
          <w:color w:val="auto"/>
          <w:kern w:val="21"/>
          <w:sz w:val="24"/>
          <w:szCs w:val="24"/>
          <w:highlight w:val="none"/>
          <w:u w:val="single"/>
          <w:lang w:val="en-US" w:eastAsia="zh-CN"/>
        </w:rPr>
        <w:t>环境保护与景观设计等的施工准备阶段、施工阶段、缺陷责任期阶段的施工监理、施工安全的监理，项目的环境保护、水土保持的监理，参建各方竣工档案编制工作的监理，以及配合业主交、竣工验收和配合业主竣工验收前的结算与决算的有关工作。</w:t>
      </w:r>
    </w:p>
    <w:p w14:paraId="73EFFE5E">
      <w:pPr>
        <w:keepNext w:val="0"/>
        <w:keepLines w:val="0"/>
        <w:widowControl w:val="0"/>
        <w:kinsoku w:val="0"/>
        <w:overflowPunct w:val="0"/>
        <w:autoSpaceDE w:val="0"/>
        <w:autoSpaceDN w:val="0"/>
        <w:bidi w:val="0"/>
        <w:adjustRightInd w:val="0"/>
        <w:spacing w:line="404" w:lineRule="exact"/>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5.3</w:t>
      </w:r>
      <w:r>
        <w:rPr>
          <w:rFonts w:hint="eastAsia" w:ascii="宋体" w:hAnsi="宋体" w:eastAsia="宋体" w:cs="宋体"/>
          <w:b/>
          <w:bCs/>
          <w:color w:val="auto"/>
          <w:spacing w:val="2"/>
          <w:sz w:val="24"/>
          <w:szCs w:val="24"/>
          <w:highlight w:val="none"/>
        </w:rPr>
        <w:t>监</w:t>
      </w:r>
      <w:r>
        <w:rPr>
          <w:rFonts w:hint="eastAsia" w:ascii="宋体" w:hAnsi="宋体" w:eastAsia="宋体" w:cs="宋体"/>
          <w:b/>
          <w:bCs/>
          <w:color w:val="auto"/>
          <w:sz w:val="24"/>
          <w:szCs w:val="24"/>
          <w:highlight w:val="none"/>
        </w:rPr>
        <w:t>理内容</w:t>
      </w:r>
    </w:p>
    <w:p w14:paraId="0948A21C">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kern w:val="0"/>
          <w:sz w:val="24"/>
          <w:szCs w:val="24"/>
          <w:highlight w:val="none"/>
          <w:lang w:bidi="ar"/>
        </w:rPr>
        <w:t>工程同时设置总监理工程师办公室和驻地监理工程师办公室：本项目施工监理机构设置中心试验室。</w:t>
      </w:r>
      <w:r>
        <w:rPr>
          <w:rFonts w:hint="eastAsia" w:ascii="宋体" w:hAnsi="宋体" w:eastAsia="宋体" w:cs="宋体"/>
          <w:color w:val="auto"/>
          <w:sz w:val="24"/>
          <w:szCs w:val="24"/>
          <w:highlight w:val="none"/>
          <w:lang w:val="en-US" w:eastAsia="zh-CN"/>
        </w:rPr>
        <w:t>也可以</w:t>
      </w:r>
      <w:r>
        <w:rPr>
          <w:rFonts w:hint="eastAsia" w:ascii="宋体" w:hAnsi="宋体" w:eastAsia="宋体" w:cs="宋体"/>
          <w:color w:val="auto"/>
          <w:sz w:val="24"/>
          <w:szCs w:val="24"/>
          <w:highlight w:val="none"/>
        </w:rPr>
        <w:t>通过</w:t>
      </w:r>
      <w:r>
        <w:rPr>
          <w:rFonts w:hint="eastAsia" w:ascii="宋体" w:hAnsi="宋体" w:eastAsia="宋体" w:cs="宋体"/>
          <w:color w:val="auto"/>
          <w:sz w:val="24"/>
          <w:szCs w:val="24"/>
          <w:highlight w:val="none"/>
          <w:lang w:val="en-US" w:eastAsia="zh-CN"/>
        </w:rPr>
        <w:t>委托第三方试验检测服务单位方</w:t>
      </w:r>
      <w:r>
        <w:rPr>
          <w:rFonts w:hint="eastAsia" w:ascii="宋体" w:hAnsi="宋体" w:eastAsia="宋体" w:cs="宋体"/>
          <w:color w:val="auto"/>
          <w:sz w:val="24"/>
          <w:szCs w:val="24"/>
          <w:highlight w:val="none"/>
        </w:rPr>
        <w:t>式</w:t>
      </w:r>
      <w:r>
        <w:rPr>
          <w:rFonts w:hint="eastAsia" w:ascii="宋体" w:hAnsi="宋体" w:eastAsia="宋体" w:cs="宋体"/>
          <w:color w:val="auto"/>
          <w:kern w:val="0"/>
          <w:sz w:val="24"/>
          <w:szCs w:val="24"/>
          <w:highlight w:val="none"/>
          <w:lang w:bidi="ar"/>
        </w:rPr>
        <w:t>，另行设置中心试验室，原监理机构中心试验室的相关试验检测服务工作由中心试验室试验检测服务单位承担，具体约定见13.6款；</w:t>
      </w:r>
    </w:p>
    <w:p w14:paraId="5E8E3D31">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lang w:val="en-US" w:eastAsia="zh-CN"/>
        </w:rPr>
        <w:t>工程只设置总监理工程师办公室：本项目施工监理机构</w:t>
      </w:r>
      <w:r>
        <w:rPr>
          <w:rFonts w:hint="eastAsia" w:ascii="宋体" w:hAnsi="宋体" w:eastAsia="宋体" w:cs="宋体"/>
          <w:color w:val="auto"/>
          <w:sz w:val="24"/>
          <w:szCs w:val="24"/>
          <w:highlight w:val="none"/>
        </w:rPr>
        <w:t>设置中心试验室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也可以</w:t>
      </w:r>
      <w:r>
        <w:rPr>
          <w:rFonts w:hint="eastAsia" w:ascii="宋体" w:hAnsi="宋体" w:eastAsia="宋体" w:cs="宋体"/>
          <w:color w:val="auto"/>
          <w:sz w:val="24"/>
          <w:szCs w:val="24"/>
          <w:highlight w:val="none"/>
        </w:rPr>
        <w:t>通过</w:t>
      </w:r>
      <w:r>
        <w:rPr>
          <w:rFonts w:hint="eastAsia" w:ascii="宋体" w:hAnsi="宋体" w:eastAsia="宋体" w:cs="宋体"/>
          <w:color w:val="auto"/>
          <w:sz w:val="24"/>
          <w:szCs w:val="24"/>
          <w:highlight w:val="none"/>
          <w:lang w:val="en-US" w:eastAsia="zh-CN"/>
        </w:rPr>
        <w:t>委托第三方试验检测服务单位方</w:t>
      </w:r>
      <w:r>
        <w:rPr>
          <w:rFonts w:hint="eastAsia" w:ascii="宋体" w:hAnsi="宋体" w:eastAsia="宋体" w:cs="宋体"/>
          <w:color w:val="auto"/>
          <w:sz w:val="24"/>
          <w:szCs w:val="24"/>
          <w:highlight w:val="none"/>
        </w:rPr>
        <w:t>式，另行设置中心试验室，原监理机构中心试验室的相关试验检测服务工作由中心试验室试验检测服务单位承担</w:t>
      </w:r>
      <w:r>
        <w:rPr>
          <w:rFonts w:hint="eastAsia" w:ascii="宋体" w:hAnsi="宋体" w:eastAsia="宋体" w:cs="宋体"/>
          <w:color w:val="auto"/>
          <w:sz w:val="24"/>
          <w:szCs w:val="24"/>
          <w:highlight w:val="none"/>
          <w:lang w:val="en-US" w:eastAsia="zh-CN"/>
        </w:rPr>
        <w:t>，具体约定见13.6款。</w:t>
      </w:r>
    </w:p>
    <w:p w14:paraId="721B8720">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5.3.3后增加第（48）、（49）项内容如下：</w:t>
      </w:r>
    </w:p>
    <w:p w14:paraId="05BC1874">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48）监理人应按照《广东省交通运输厅关于进一步加强公路施工便道取弃土场的设计和施工管理工作的通知》《广东省高速公路工程施工安全标准化指南》和《广东省公路工程施工标准化指南》的要求审核施工便道和取弃土场的选址和建设方案，并对该部分建设内容进行监理。</w:t>
      </w:r>
    </w:p>
    <w:p w14:paraId="09595304">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（49）监理人应根据《广东省交通运输厅关于切实加强我省高速公路路堑边坡管理的通知》（粤交基函〔2019〕680号）要求审核施工承包人的开工报告。</w:t>
      </w:r>
    </w:p>
    <w:p w14:paraId="513DAF95">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在5.3.3后增加5.3.4项如下：</w:t>
      </w:r>
    </w:p>
    <w:p w14:paraId="4A669186">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5.3.4中心试验室与监理服务内容的界面划分</w:t>
      </w:r>
    </w:p>
    <w:p w14:paraId="2DDEFB31">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5.3.4.1中心试验室</w:t>
      </w:r>
    </w:p>
    <w:p w14:paraId="69786E78">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承担在项目实施过程中工程原材料、结构物成品、半成品、工程实体的抽样（不包括混凝土试件取样）及试验检测工作，以及需要出具试验检测报告的现场原位测试工作，如压实度、承载力、强度抽芯、混凝土强度回弹。</w:t>
      </w:r>
    </w:p>
    <w:p w14:paraId="26695898">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（2）中心试验室负责对施工承包人工地试验室试验检测人员和试验检测仪器设备的履约检查、变更审核、日常管理等以及工地试验室临时资质备案管理。</w:t>
      </w:r>
    </w:p>
    <w:p w14:paraId="13091A82">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（3）代表委托人对整个项目的试验检测工作进行管理，代表委托人对工程质量进行抽检、日常质量巡查。</w:t>
      </w:r>
    </w:p>
    <w:p w14:paraId="37422C48">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（4）负责其代表委托人抽检及试验检测范围内的试验检测资料归档及竣工资料编制。</w:t>
      </w:r>
    </w:p>
    <w:p w14:paraId="0D1F4F3D">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5.3.4.2监理人</w:t>
      </w:r>
    </w:p>
    <w:p w14:paraId="3EDFD467">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（1）负责混泥土施工过程中混泥土取样、送样等工作以及不需要出具试验检测报告的现场原位试验检测工作，如测量放样复核、结构尺寸、钻孔灌注桩泥浆性能、现场混凝土和易性、钢筋保护层厚度等。</w:t>
      </w:r>
    </w:p>
    <w:p w14:paraId="2BFCBDEC">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（2）监理人不设立中心试验室，但应按要求设置试验检测人员，负责承包人的试验检测管理工作。监理人的试验检测工作须接受中心试验室的技术指导。</w:t>
      </w:r>
    </w:p>
    <w:p w14:paraId="77B55873">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监理人应按照设计文件及相关规范规定的频率做好测点、试样试件的取样送样的见证工作，并对试样、试件的真实性、代表性负责。对于无法在现场完成的试验检测项目，监理人联合中心试验室拟定具体检测项目以及快速、安全的送检措施并报备委托人。</w:t>
      </w:r>
    </w:p>
    <w:p w14:paraId="4B72C9EB">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（4）监理人负责月度工地试验室检查及督促整改工作。</w:t>
      </w:r>
    </w:p>
    <w:p w14:paraId="4CFCF5CC">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（5）监理人负责按照最新《公路工程施工监理规范》及最新《水运工程施工监理规范》抽检频率范围内的试验检测质量评定、归档及竣工资料编制。</w:t>
      </w:r>
    </w:p>
    <w:p w14:paraId="79735DA4">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5.3.4.3试验检测数据</w:t>
      </w:r>
    </w:p>
    <w:p w14:paraId="37C047A8">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中心试验室的试验检测结果（包括监理人抽样送检和中心试验室代表委托人抽检），中心试验室应及时反馈监理人和上报委托人；如存在异常数据，应及时会同监理人按规范要求抽样复检，并由监理人负责督办不合格品的处理与闭合。</w:t>
      </w:r>
    </w:p>
    <w:p w14:paraId="5C2C9D35">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5.3.4.4监理人和中心试验室关于试验检测工作的工作界面划分详见合同专用条款13.6款</w:t>
      </w:r>
    </w:p>
    <w:p w14:paraId="0A4A922D">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5.3.4.5如监理人与中心试验室在试验检测工作界面存在冲突或模糊时，委托人将予以进一步明确或重新调整工作界面划分，监理人与中心试验室均须无条件服从委托人（业主）的协调和安排。</w:t>
      </w:r>
    </w:p>
    <w:p w14:paraId="45564EDD">
      <w:pPr>
        <w:keepNext w:val="0"/>
        <w:keepLines w:val="0"/>
        <w:widowControl w:val="0"/>
        <w:kinsoku w:val="0"/>
        <w:overflowPunct w:val="0"/>
        <w:autoSpaceDE w:val="0"/>
        <w:autoSpaceDN w:val="0"/>
        <w:bidi w:val="0"/>
        <w:adjustRightInd w:val="0"/>
        <w:spacing w:line="363" w:lineRule="exact"/>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5.5</w:t>
      </w:r>
      <w:r>
        <w:rPr>
          <w:rFonts w:hint="eastAsia" w:ascii="宋体" w:hAnsi="宋体" w:eastAsia="宋体" w:cs="宋体"/>
          <w:b/>
          <w:bCs/>
          <w:color w:val="auto"/>
          <w:spacing w:val="2"/>
          <w:sz w:val="24"/>
          <w:szCs w:val="24"/>
          <w:highlight w:val="none"/>
        </w:rPr>
        <w:t>监</w:t>
      </w:r>
      <w:r>
        <w:rPr>
          <w:rFonts w:hint="eastAsia" w:ascii="宋体" w:hAnsi="宋体" w:eastAsia="宋体" w:cs="宋体"/>
          <w:b/>
          <w:bCs/>
          <w:color w:val="auto"/>
          <w:sz w:val="24"/>
          <w:szCs w:val="24"/>
          <w:highlight w:val="none"/>
        </w:rPr>
        <w:t>理服务形式</w:t>
      </w:r>
    </w:p>
    <w:p w14:paraId="6F1D6829">
      <w:pPr>
        <w:keepNext w:val="0"/>
        <w:keepLines w:val="0"/>
        <w:bidi w:val="0"/>
        <w:spacing w:line="360" w:lineRule="auto"/>
        <w:ind w:firstLine="472"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pacing w:val="-2"/>
          <w:kern w:val="0"/>
          <w:sz w:val="24"/>
          <w:szCs w:val="24"/>
          <w:highlight w:val="none"/>
        </w:rPr>
        <w:t>监理服务机构设置</w:t>
      </w:r>
      <w:r>
        <w:rPr>
          <w:rFonts w:hint="eastAsia" w:ascii="宋体" w:hAnsi="宋体" w:eastAsia="宋体" w:cs="宋体"/>
          <w:color w:val="auto"/>
          <w:spacing w:val="-10"/>
          <w:kern w:val="0"/>
          <w:sz w:val="24"/>
          <w:szCs w:val="24"/>
          <w:highlight w:val="none"/>
        </w:rPr>
        <w:t>：</w:t>
      </w:r>
      <w:r>
        <w:rPr>
          <w:rFonts w:hint="eastAsia" w:ascii="宋体" w:hAnsi="宋体" w:eastAsia="宋体" w:cs="宋体"/>
          <w:color w:val="auto"/>
          <w:kern w:val="0"/>
          <w:sz w:val="24"/>
          <w:szCs w:val="24"/>
          <w:highlight w:val="none"/>
          <w:u w:val="single"/>
          <w:lang w:val="en-US" w:eastAsia="zh-CN"/>
        </w:rPr>
        <w:t>一</w:t>
      </w:r>
      <w:r>
        <w:rPr>
          <w:rFonts w:hint="eastAsia" w:ascii="宋体" w:hAnsi="宋体" w:eastAsia="宋体" w:cs="宋体"/>
          <w:color w:val="auto"/>
          <w:kern w:val="0"/>
          <w:sz w:val="24"/>
          <w:szCs w:val="24"/>
          <w:highlight w:val="none"/>
          <w:u w:val="single"/>
        </w:rPr>
        <w:t>级监理机构</w:t>
      </w:r>
    </w:p>
    <w:p w14:paraId="1377A510">
      <w:pPr>
        <w:keepNext w:val="0"/>
        <w:keepLines w:val="0"/>
        <w:bidi w:val="0"/>
        <w:spacing w:line="360" w:lineRule="auto"/>
        <w:ind w:firstLine="472"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总监理工程师办公室按</w:t>
      </w:r>
      <w:r>
        <w:rPr>
          <w:rFonts w:hint="eastAsia" w:ascii="宋体" w:hAnsi="宋体" w:eastAsia="宋体" w:cs="宋体"/>
          <w:color w:val="auto"/>
          <w:spacing w:val="-2"/>
          <w:kern w:val="0"/>
          <w:sz w:val="24"/>
          <w:szCs w:val="24"/>
          <w:highlight w:val="none"/>
          <w:u w:val="single"/>
        </w:rPr>
        <w:t>（组建原则、设立方式）</w:t>
      </w:r>
      <w:r>
        <w:rPr>
          <w:rFonts w:hint="eastAsia" w:ascii="宋体" w:hAnsi="宋体" w:eastAsia="宋体" w:cs="宋体"/>
          <w:color w:val="auto"/>
          <w:spacing w:val="-2"/>
          <w:kern w:val="0"/>
          <w:sz w:val="24"/>
          <w:szCs w:val="24"/>
          <w:highlight w:val="none"/>
        </w:rPr>
        <w:t>组建，下设</w:t>
      </w:r>
      <w:r>
        <w:rPr>
          <w:rFonts w:hint="eastAsia" w:ascii="宋体" w:hAnsi="宋体" w:eastAsia="宋体" w:cs="宋体"/>
          <w:color w:val="auto"/>
          <w:kern w:val="0"/>
          <w:sz w:val="24"/>
          <w:szCs w:val="24"/>
          <w:highlight w:val="none"/>
          <w:u w:val="single"/>
          <w:lang w:val="en-US" w:eastAsia="zh-CN"/>
        </w:rPr>
        <w:t>/</w:t>
      </w:r>
      <w:r>
        <w:rPr>
          <w:rFonts w:hint="eastAsia" w:ascii="宋体" w:hAnsi="宋体" w:eastAsia="宋体" w:cs="宋体"/>
          <w:color w:val="auto"/>
          <w:spacing w:val="-2"/>
          <w:kern w:val="0"/>
          <w:sz w:val="24"/>
          <w:szCs w:val="24"/>
          <w:highlight w:val="none"/>
        </w:rPr>
        <w:t>个驻地监理工程师办公</w:t>
      </w:r>
      <w:r>
        <w:rPr>
          <w:rFonts w:hint="eastAsia" w:ascii="宋体" w:hAnsi="宋体" w:eastAsia="宋体" w:cs="宋体"/>
          <w:color w:val="auto"/>
          <w:spacing w:val="-6"/>
          <w:kern w:val="0"/>
          <w:sz w:val="24"/>
          <w:szCs w:val="24"/>
          <w:highlight w:val="none"/>
        </w:rPr>
        <w:t>室</w:t>
      </w:r>
      <w:r>
        <w:rPr>
          <w:rFonts w:hint="eastAsia" w:ascii="宋体" w:hAnsi="宋体" w:eastAsia="宋体" w:cs="宋体"/>
          <w:color w:val="auto"/>
          <w:sz w:val="24"/>
          <w:szCs w:val="24"/>
          <w:highlight w:val="none"/>
        </w:rPr>
        <w:t>。</w:t>
      </w:r>
    </w:p>
    <w:p w14:paraId="69CBDDA5">
      <w:pPr>
        <w:keepNext w:val="0"/>
        <w:keepLines w:val="0"/>
        <w:widowControl w:val="0"/>
        <w:kinsoku w:val="0"/>
        <w:overflowPunct w:val="0"/>
        <w:autoSpaceDE w:val="0"/>
        <w:autoSpaceDN w:val="0"/>
        <w:bidi w:val="0"/>
        <w:adjustRightInd w:val="0"/>
        <w:spacing w:line="360" w:lineRule="auto"/>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5.6</w:t>
      </w:r>
      <w:r>
        <w:rPr>
          <w:rFonts w:hint="eastAsia" w:ascii="宋体" w:hAnsi="宋体" w:eastAsia="宋体" w:cs="宋体"/>
          <w:b/>
          <w:bCs/>
          <w:color w:val="auto"/>
          <w:spacing w:val="2"/>
          <w:sz w:val="24"/>
          <w:szCs w:val="24"/>
          <w:highlight w:val="none"/>
        </w:rPr>
        <w:t>监</w:t>
      </w:r>
      <w:r>
        <w:rPr>
          <w:rFonts w:hint="eastAsia" w:ascii="宋体" w:hAnsi="宋体" w:eastAsia="宋体" w:cs="宋体"/>
          <w:b/>
          <w:bCs/>
          <w:color w:val="auto"/>
          <w:sz w:val="24"/>
          <w:szCs w:val="24"/>
          <w:highlight w:val="none"/>
        </w:rPr>
        <w:t>理服务目标</w:t>
      </w:r>
    </w:p>
    <w:p w14:paraId="5AA26144">
      <w:pPr>
        <w:keepNext w:val="0"/>
        <w:keepLines w:val="0"/>
        <w:widowControl w:val="0"/>
        <w:tabs>
          <w:tab w:val="left" w:pos="8065"/>
        </w:tabs>
        <w:kinsoku w:val="0"/>
        <w:overflowPunct w:val="0"/>
        <w:autoSpaceDE w:val="0"/>
        <w:autoSpaceDN w:val="0"/>
        <w:bidi w:val="0"/>
        <w:adjustRightInd w:val="0"/>
        <w:spacing w:before="73"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5.6.2对第三方履约管理的服务目标：</w:t>
      </w:r>
      <w:r>
        <w:rPr>
          <w:rFonts w:hint="eastAsia" w:ascii="宋体" w:hAnsi="宋体" w:eastAsia="宋体" w:cs="宋体"/>
          <w:color w:val="auto"/>
          <w:kern w:val="0"/>
          <w:sz w:val="24"/>
          <w:szCs w:val="24"/>
          <w:highlight w:val="none"/>
          <w:u w:val="single"/>
        </w:rPr>
        <w:t>确保工期，节省投资，保证安全，工程质量达到交工验收合格、竣工验收合格</w:t>
      </w:r>
      <w:r>
        <w:rPr>
          <w:rFonts w:hint="eastAsia" w:ascii="宋体" w:hAnsi="宋体" w:eastAsia="宋体" w:cs="宋体"/>
          <w:color w:val="auto"/>
          <w:sz w:val="24"/>
          <w:szCs w:val="24"/>
          <w:highlight w:val="none"/>
        </w:rPr>
        <w:t>。</w:t>
      </w:r>
    </w:p>
    <w:p w14:paraId="61EB7B87">
      <w:pPr>
        <w:keepNext w:val="0"/>
        <w:keepLines w:val="0"/>
        <w:widowControl w:val="0"/>
        <w:kinsoku w:val="0"/>
        <w:overflowPunct w:val="0"/>
        <w:autoSpaceDE w:val="0"/>
        <w:autoSpaceDN w:val="0"/>
        <w:bidi w:val="0"/>
        <w:adjustRightInd w:val="0"/>
        <w:spacing w:line="404" w:lineRule="exact"/>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pacing w:val="1"/>
          <w:sz w:val="24"/>
          <w:szCs w:val="24"/>
          <w:highlight w:val="none"/>
        </w:rPr>
        <w:t>5</w:t>
      </w:r>
      <w:r>
        <w:rPr>
          <w:rFonts w:hint="eastAsia" w:ascii="宋体" w:hAnsi="宋体" w:eastAsia="宋体" w:cs="宋体"/>
          <w:b/>
          <w:color w:val="auto"/>
          <w:spacing w:val="-1"/>
          <w:sz w:val="24"/>
          <w:szCs w:val="24"/>
          <w:highlight w:val="none"/>
        </w:rPr>
        <w:t>.</w:t>
      </w:r>
      <w:r>
        <w:rPr>
          <w:rFonts w:hint="eastAsia" w:ascii="宋体" w:hAnsi="宋体" w:eastAsia="宋体" w:cs="宋体"/>
          <w:b/>
          <w:color w:val="auto"/>
          <w:sz w:val="24"/>
          <w:szCs w:val="24"/>
          <w:highlight w:val="none"/>
        </w:rPr>
        <w:t>7</w:t>
      </w:r>
      <w:r>
        <w:rPr>
          <w:rFonts w:hint="eastAsia" w:ascii="宋体" w:hAnsi="宋体" w:eastAsia="宋体" w:cs="宋体"/>
          <w:b/>
          <w:bCs/>
          <w:color w:val="auto"/>
          <w:spacing w:val="2"/>
          <w:sz w:val="24"/>
          <w:szCs w:val="24"/>
          <w:highlight w:val="none"/>
        </w:rPr>
        <w:t>委</w:t>
      </w:r>
      <w:r>
        <w:rPr>
          <w:rFonts w:hint="eastAsia" w:ascii="宋体" w:hAnsi="宋体" w:eastAsia="宋体" w:cs="宋体"/>
          <w:b/>
          <w:bCs/>
          <w:color w:val="auto"/>
          <w:sz w:val="24"/>
          <w:szCs w:val="24"/>
          <w:highlight w:val="none"/>
        </w:rPr>
        <w:t>托人对监理人的</w:t>
      </w:r>
      <w:r>
        <w:rPr>
          <w:rFonts w:hint="eastAsia" w:ascii="宋体" w:hAnsi="宋体" w:eastAsia="宋体" w:cs="宋体"/>
          <w:b/>
          <w:bCs/>
          <w:color w:val="auto"/>
          <w:spacing w:val="2"/>
          <w:sz w:val="24"/>
          <w:szCs w:val="24"/>
          <w:highlight w:val="none"/>
        </w:rPr>
        <w:t>授</w:t>
      </w:r>
      <w:r>
        <w:rPr>
          <w:rFonts w:hint="eastAsia" w:ascii="宋体" w:hAnsi="宋体" w:eastAsia="宋体" w:cs="宋体"/>
          <w:b/>
          <w:bCs/>
          <w:color w:val="auto"/>
          <w:sz w:val="24"/>
          <w:szCs w:val="24"/>
          <w:highlight w:val="none"/>
        </w:rPr>
        <w:t>权</w:t>
      </w:r>
    </w:p>
    <w:p w14:paraId="5C32D56B">
      <w:pPr>
        <w:keepNext w:val="0"/>
        <w:keepLines w:val="0"/>
        <w:bidi w:val="0"/>
        <w:spacing w:line="360" w:lineRule="auto"/>
        <w:ind w:left="420" w:left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5.7.1委托人对监理人的授权：监理人在行使以下规定的职权之前，应先取得委托人的专</w:t>
      </w:r>
      <w:r>
        <w:rPr>
          <w:rFonts w:hint="eastAsia" w:ascii="宋体" w:hAnsi="宋体" w:eastAsia="宋体" w:cs="宋体"/>
          <w:color w:val="auto"/>
          <w:spacing w:val="-4"/>
          <w:sz w:val="24"/>
          <w:szCs w:val="24"/>
          <w:highlight w:val="none"/>
        </w:rPr>
        <w:t>门批准：</w:t>
      </w:r>
    </w:p>
    <w:p w14:paraId="2C867904">
      <w:pPr>
        <w:keepNext w:val="0"/>
        <w:keepLines w:val="0"/>
        <w:numPr>
          <w:ilvl w:val="0"/>
          <w:numId w:val="5"/>
        </w:numPr>
        <w:bidi w:val="0"/>
        <w:spacing w:line="360" w:lineRule="auto"/>
        <w:ind w:left="162" w:firstLine="46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审核分包本工程的某非主体部分；</w:t>
      </w:r>
    </w:p>
    <w:p w14:paraId="030F225E">
      <w:pPr>
        <w:keepNext w:val="0"/>
        <w:keepLines w:val="0"/>
        <w:numPr>
          <w:ilvl w:val="0"/>
          <w:numId w:val="5"/>
        </w:numPr>
        <w:bidi w:val="0"/>
        <w:spacing w:line="360" w:lineRule="auto"/>
        <w:ind w:left="162" w:firstLine="48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核对施工队伍、人员和设备的进场情况是否与承包人投标文件承诺的一致，发布开</w:t>
      </w:r>
      <w:r>
        <w:rPr>
          <w:rFonts w:hint="eastAsia" w:ascii="宋体" w:hAnsi="宋体" w:eastAsia="宋体" w:cs="宋体"/>
          <w:color w:val="auto"/>
          <w:spacing w:val="-3"/>
          <w:sz w:val="24"/>
          <w:szCs w:val="24"/>
          <w:highlight w:val="none"/>
        </w:rPr>
        <w:t>工令、暂时停工或复工令；</w:t>
      </w:r>
    </w:p>
    <w:p w14:paraId="13A1D346">
      <w:pPr>
        <w:keepNext w:val="0"/>
        <w:keepLines w:val="0"/>
        <w:numPr>
          <w:ilvl w:val="0"/>
          <w:numId w:val="5"/>
        </w:numPr>
        <w:bidi w:val="0"/>
        <w:spacing w:line="360" w:lineRule="auto"/>
        <w:ind w:left="162" w:firstLine="46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决定承包人有权得到的工程延期；</w:t>
      </w:r>
    </w:p>
    <w:p w14:paraId="61090DEA">
      <w:pPr>
        <w:keepNext w:val="0"/>
        <w:keepLines w:val="0"/>
        <w:numPr>
          <w:ilvl w:val="0"/>
          <w:numId w:val="5"/>
        </w:numPr>
        <w:bidi w:val="0"/>
        <w:spacing w:line="360" w:lineRule="auto"/>
        <w:ind w:left="162" w:firstLine="46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审查批准技术规范(规格)或设计的变更；</w:t>
      </w:r>
    </w:p>
    <w:p w14:paraId="4D873CF2">
      <w:pPr>
        <w:keepNext w:val="0"/>
        <w:keepLines w:val="0"/>
        <w:numPr>
          <w:ilvl w:val="0"/>
          <w:numId w:val="5"/>
        </w:numPr>
        <w:bidi w:val="0"/>
        <w:spacing w:line="360" w:lineRule="auto"/>
        <w:ind w:left="162" w:firstLine="4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下达变更指令；</w:t>
      </w:r>
    </w:p>
    <w:p w14:paraId="383D9871">
      <w:pPr>
        <w:keepNext w:val="0"/>
        <w:keepLines w:val="0"/>
        <w:numPr>
          <w:ilvl w:val="0"/>
          <w:numId w:val="5"/>
        </w:numPr>
        <w:bidi w:val="0"/>
        <w:spacing w:line="360" w:lineRule="auto"/>
        <w:ind w:left="162" w:firstLine="46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对新增施工细目的单价进行估价；</w:t>
      </w:r>
    </w:p>
    <w:p w14:paraId="4A5B1C0F">
      <w:pPr>
        <w:keepNext w:val="0"/>
        <w:keepLines w:val="0"/>
        <w:numPr>
          <w:ilvl w:val="0"/>
          <w:numId w:val="5"/>
        </w:numPr>
        <w:bidi w:val="0"/>
        <w:spacing w:line="360" w:lineRule="auto"/>
        <w:ind w:left="162" w:firstLine="46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审核有关暂列金额的使用；</w:t>
      </w:r>
    </w:p>
    <w:p w14:paraId="1846F5A7">
      <w:pPr>
        <w:keepNext w:val="0"/>
        <w:keepLines w:val="0"/>
        <w:widowControl w:val="0"/>
        <w:kinsoku w:val="0"/>
        <w:overflowPunct w:val="0"/>
        <w:autoSpaceDE w:val="0"/>
        <w:autoSpaceDN w:val="0"/>
        <w:bidi w:val="0"/>
        <w:adjustRightInd w:val="0"/>
        <w:spacing w:line="360" w:lineRule="auto"/>
        <w:ind w:firstLine="476" w:firstLineChars="200"/>
        <w:jc w:val="left"/>
        <w:rPr>
          <w:rFonts w:hint="eastAsia" w:ascii="宋体" w:hAnsi="宋体" w:eastAsia="宋体" w:cs="宋体"/>
          <w:color w:val="auto"/>
          <w:spacing w:val="-3"/>
          <w:kern w:val="0"/>
          <w:sz w:val="24"/>
          <w:szCs w:val="24"/>
          <w:highlight w:val="none"/>
        </w:rPr>
      </w:pPr>
      <w:r>
        <w:rPr>
          <w:rFonts w:hint="eastAsia" w:ascii="宋体" w:hAnsi="宋体" w:eastAsia="宋体" w:cs="宋体"/>
          <w:color w:val="auto"/>
          <w:spacing w:val="-1"/>
          <w:kern w:val="0"/>
          <w:sz w:val="24"/>
          <w:szCs w:val="24"/>
          <w:highlight w:val="none"/>
        </w:rPr>
        <w:t>但如果发生紧急情况，监理人认为将造成人员伤亡，或危及本工程或邻近的财产需立即采</w:t>
      </w:r>
      <w:r>
        <w:rPr>
          <w:rFonts w:hint="eastAsia" w:ascii="宋体" w:hAnsi="宋体" w:eastAsia="宋体" w:cs="宋体"/>
          <w:color w:val="auto"/>
          <w:spacing w:val="3"/>
          <w:kern w:val="0"/>
          <w:sz w:val="24"/>
          <w:szCs w:val="24"/>
          <w:highlight w:val="none"/>
        </w:rPr>
        <w:t>取行动，监理人有权在未征得委托人的批准的情况下向承包人发布处理紧急情况所必需的指</w:t>
      </w:r>
      <w:r>
        <w:rPr>
          <w:rFonts w:hint="eastAsia" w:ascii="宋体" w:hAnsi="宋体" w:eastAsia="宋体" w:cs="宋体"/>
          <w:color w:val="auto"/>
          <w:spacing w:val="-3"/>
          <w:kern w:val="0"/>
          <w:sz w:val="24"/>
          <w:szCs w:val="24"/>
          <w:highlight w:val="none"/>
        </w:rPr>
        <w:t>令。但监理人随后应及时向委托人报告情况，并与委托人协商进一步应采取的措施。</w:t>
      </w:r>
    </w:p>
    <w:p w14:paraId="6FC3DF7F">
      <w:pPr>
        <w:keepNext w:val="0"/>
        <w:keepLines w:val="0"/>
        <w:bidi w:val="0"/>
        <w:spacing w:before="31" w:line="221" w:lineRule="auto"/>
        <w:ind w:left="453"/>
        <w:rPr>
          <w:rFonts w:hint="eastAsia" w:ascii="宋体" w:hAnsi="宋体" w:eastAsia="宋体" w:cs="宋体"/>
          <w:b/>
          <w:bCs/>
          <w:color w:val="auto"/>
          <w:sz w:val="24"/>
          <w:szCs w:val="24"/>
          <w:highlight w:val="none"/>
        </w:rPr>
      </w:pPr>
      <w:r>
        <w:rPr>
          <w:rFonts w:hint="eastAsia" w:ascii="宋体" w:hAnsi="宋体" w:eastAsia="宋体" w:cs="宋体"/>
          <w:b/>
          <w:bCs/>
          <w:color w:val="auto"/>
          <w:spacing w:val="-1"/>
          <w:sz w:val="24"/>
          <w:szCs w:val="24"/>
          <w:highlight w:val="none"/>
        </w:rPr>
        <w:t>5.8监理驻地建设标准化</w:t>
      </w:r>
    </w:p>
    <w:p w14:paraId="08470CDB">
      <w:pPr>
        <w:keepNext w:val="0"/>
        <w:keepLines w:val="0"/>
        <w:bidi w:val="0"/>
        <w:spacing w:before="164" w:line="351" w:lineRule="auto"/>
        <w:ind w:left="6" w:right="2" w:firstLine="77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招标人对本项目采用标准化管理，监理人必须执行国家、广东省有关高速公路工程建</w:t>
      </w:r>
      <w:r>
        <w:rPr>
          <w:rFonts w:hint="eastAsia" w:ascii="宋体" w:hAnsi="宋体" w:eastAsia="宋体" w:cs="宋体"/>
          <w:color w:val="auto"/>
          <w:spacing w:val="3"/>
          <w:sz w:val="24"/>
          <w:szCs w:val="24"/>
          <w:highlight w:val="none"/>
        </w:rPr>
        <w:t>设“双标”管理、品质公路、绿色公路的规定和要求。其相关文件资料有（包括</w:t>
      </w:r>
      <w:r>
        <w:rPr>
          <w:rFonts w:hint="eastAsia" w:ascii="宋体" w:hAnsi="宋体" w:eastAsia="宋体" w:cs="宋体"/>
          <w:color w:val="auto"/>
          <w:spacing w:val="2"/>
          <w:sz w:val="24"/>
          <w:szCs w:val="24"/>
          <w:highlight w:val="none"/>
        </w:rPr>
        <w:t>但不限于</w:t>
      </w:r>
      <w:r>
        <w:rPr>
          <w:rFonts w:hint="eastAsia" w:ascii="宋体" w:hAnsi="宋体" w:eastAsia="宋体" w:cs="宋体"/>
          <w:color w:val="auto"/>
          <w:spacing w:val="-58"/>
          <w:w w:val="98"/>
          <w:sz w:val="24"/>
          <w:szCs w:val="24"/>
          <w:highlight w:val="none"/>
        </w:rPr>
        <w:t>）：</w:t>
      </w:r>
      <w:r>
        <w:rPr>
          <w:rFonts w:hint="eastAsia" w:ascii="宋体" w:hAnsi="宋体" w:eastAsia="宋体" w:cs="宋体"/>
          <w:color w:val="auto"/>
          <w:spacing w:val="1"/>
          <w:sz w:val="24"/>
          <w:szCs w:val="24"/>
          <w:highlight w:val="none"/>
        </w:rPr>
        <w:t>①广东省公路工程施工标准化指南；②广东省高速公路优质工程管理办法；③广东省高速公路</w:t>
      </w:r>
      <w:r>
        <w:rPr>
          <w:rFonts w:hint="eastAsia" w:ascii="宋体" w:hAnsi="宋体" w:eastAsia="宋体" w:cs="宋体"/>
          <w:color w:val="auto"/>
          <w:sz w:val="24"/>
          <w:szCs w:val="24"/>
          <w:highlight w:val="none"/>
        </w:rPr>
        <w:t>工程优质优价和施工监理优监优酬实施意见。和</w:t>
      </w:r>
      <w:r>
        <w:rPr>
          <w:rFonts w:hint="eastAsia" w:ascii="宋体" w:hAnsi="宋体" w:eastAsia="宋体" w:cs="宋体"/>
          <w:color w:val="auto"/>
          <w:spacing w:val="-1"/>
          <w:sz w:val="24"/>
          <w:szCs w:val="24"/>
          <w:highlight w:val="none"/>
        </w:rPr>
        <w:t>招标人的要求。</w:t>
      </w:r>
    </w:p>
    <w:p w14:paraId="2D453E20">
      <w:pPr>
        <w:keepNext w:val="0"/>
        <w:keepLines w:val="0"/>
        <w:bidi w:val="0"/>
        <w:spacing w:before="39" w:line="222" w:lineRule="auto"/>
        <w:ind w:left="45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5.9平安工地建设要求</w:t>
      </w:r>
    </w:p>
    <w:p w14:paraId="67C3FABD">
      <w:pPr>
        <w:keepNext w:val="0"/>
        <w:keepLines w:val="0"/>
        <w:bidi w:val="0"/>
        <w:spacing w:before="165" w:line="345" w:lineRule="auto"/>
        <w:ind w:left="12" w:right="271" w:firstLine="43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本项目执行广东省交通运输厅“关于开展公路水运工程‘平安工地’考核评价工作的通</w:t>
      </w:r>
      <w:r>
        <w:rPr>
          <w:rFonts w:hint="eastAsia" w:ascii="宋体" w:hAnsi="宋体" w:eastAsia="宋体" w:cs="宋体"/>
          <w:color w:val="auto"/>
          <w:spacing w:val="-5"/>
          <w:sz w:val="24"/>
          <w:szCs w:val="24"/>
          <w:highlight w:val="none"/>
        </w:rPr>
        <w:t>知”（交质监发〔2012〕679号）等文件有关施工监理的要求。</w:t>
      </w:r>
    </w:p>
    <w:p w14:paraId="0AF4E8D4">
      <w:pPr>
        <w:keepNext w:val="0"/>
        <w:keepLines w:val="0"/>
        <w:bidi w:val="0"/>
        <w:spacing w:before="32" w:line="219" w:lineRule="auto"/>
        <w:ind w:left="45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5.10精细化管理</w:t>
      </w:r>
    </w:p>
    <w:p w14:paraId="17E3B906">
      <w:pPr>
        <w:keepNext w:val="0"/>
        <w:keepLines w:val="0"/>
        <w:bidi w:val="0"/>
        <w:spacing w:before="168" w:line="345" w:lineRule="auto"/>
        <w:ind w:left="14" w:right="52"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本项目执行《广东省公路工程施工标准化指南》和广东省交通运</w:t>
      </w:r>
      <w:r>
        <w:rPr>
          <w:rFonts w:hint="eastAsia" w:ascii="宋体" w:hAnsi="宋体" w:eastAsia="宋体" w:cs="宋体"/>
          <w:color w:val="auto"/>
          <w:spacing w:val="-1"/>
          <w:sz w:val="24"/>
          <w:szCs w:val="24"/>
          <w:highlight w:val="none"/>
        </w:rPr>
        <w:t>输厅发放的“广东省高速公路建设施工精细化管理规定”的有关规定及委托人根据以上规定制定的相关精细化</w:t>
      </w:r>
      <w:r>
        <w:rPr>
          <w:rFonts w:hint="eastAsia" w:ascii="宋体" w:hAnsi="宋体" w:eastAsia="宋体" w:cs="宋体"/>
          <w:color w:val="auto"/>
          <w:spacing w:val="-2"/>
          <w:sz w:val="24"/>
          <w:szCs w:val="24"/>
          <w:highlight w:val="none"/>
        </w:rPr>
        <w:t>管理指</w:t>
      </w:r>
      <w:r>
        <w:rPr>
          <w:rFonts w:hint="eastAsia" w:ascii="宋体" w:hAnsi="宋体" w:eastAsia="宋体" w:cs="宋体"/>
          <w:color w:val="auto"/>
          <w:sz w:val="24"/>
          <w:szCs w:val="24"/>
          <w:highlight w:val="none"/>
        </w:rPr>
        <w:t>南，在项目建设过程中实行精细化管理。相关规定如</w:t>
      </w:r>
      <w:r>
        <w:rPr>
          <w:rFonts w:hint="eastAsia" w:ascii="宋体" w:hAnsi="宋体" w:eastAsia="宋体" w:cs="宋体"/>
          <w:color w:val="auto"/>
          <w:spacing w:val="-1"/>
          <w:sz w:val="24"/>
          <w:szCs w:val="24"/>
          <w:highlight w:val="none"/>
        </w:rPr>
        <w:t>有更新，以新颁布的为准。</w:t>
      </w:r>
    </w:p>
    <w:p w14:paraId="27A8C55D">
      <w:pPr>
        <w:keepNext w:val="0"/>
        <w:keepLines w:val="0"/>
        <w:bidi w:val="0"/>
        <w:spacing w:before="169" w:line="220" w:lineRule="auto"/>
        <w:ind w:left="453"/>
        <w:rPr>
          <w:rFonts w:hint="eastAsia" w:ascii="宋体" w:hAnsi="宋体" w:eastAsia="宋体" w:cs="宋体"/>
          <w:b/>
          <w:bCs/>
          <w:color w:val="auto"/>
          <w:sz w:val="24"/>
          <w:szCs w:val="24"/>
          <w:highlight w:val="none"/>
        </w:rPr>
      </w:pPr>
      <w:r>
        <w:rPr>
          <w:rFonts w:hint="eastAsia" w:ascii="宋体" w:hAnsi="宋体" w:eastAsia="宋体" w:cs="宋体"/>
          <w:b/>
          <w:bCs/>
          <w:color w:val="auto"/>
          <w:spacing w:val="-3"/>
          <w:sz w:val="24"/>
          <w:szCs w:val="24"/>
          <w:highlight w:val="none"/>
        </w:rPr>
        <w:t>5.11建设“双标”管理活动</w:t>
      </w:r>
    </w:p>
    <w:p w14:paraId="252EF92E">
      <w:pPr>
        <w:keepNext w:val="0"/>
        <w:keepLines w:val="0"/>
        <w:bidi w:val="0"/>
        <w:spacing w:before="164" w:line="345" w:lineRule="auto"/>
        <w:ind w:left="12" w:right="160" w:firstLine="4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委托人将在项目建设全过程中，全面推行高速公路建设“双标管理”(标准化管理、标杆管理)。监理人应配合委托人力争本项目实现</w:t>
      </w:r>
      <w:r>
        <w:rPr>
          <w:rFonts w:hint="eastAsia" w:ascii="宋体" w:hAnsi="宋体" w:eastAsia="宋体" w:cs="宋体"/>
          <w:color w:val="auto"/>
          <w:spacing w:val="-2"/>
          <w:sz w:val="24"/>
          <w:szCs w:val="24"/>
          <w:highlight w:val="none"/>
        </w:rPr>
        <w:t>“优质精品工程”的目标。</w:t>
      </w:r>
    </w:p>
    <w:p w14:paraId="282F93C5">
      <w:pPr>
        <w:keepNext w:val="0"/>
        <w:keepLines w:val="0"/>
        <w:bidi w:val="0"/>
        <w:spacing w:before="35" w:line="220" w:lineRule="auto"/>
        <w:ind w:left="453"/>
        <w:rPr>
          <w:rFonts w:hint="eastAsia" w:ascii="宋体" w:hAnsi="宋体" w:eastAsia="宋体" w:cs="宋体"/>
          <w:b/>
          <w:bCs/>
          <w:color w:val="auto"/>
          <w:sz w:val="24"/>
          <w:szCs w:val="24"/>
          <w:highlight w:val="none"/>
        </w:rPr>
      </w:pPr>
      <w:r>
        <w:rPr>
          <w:rFonts w:hint="eastAsia" w:ascii="宋体" w:hAnsi="宋体" w:eastAsia="宋体" w:cs="宋体"/>
          <w:b/>
          <w:bCs/>
          <w:color w:val="auto"/>
          <w:spacing w:val="8"/>
          <w:sz w:val="24"/>
          <w:szCs w:val="24"/>
          <w:highlight w:val="none"/>
        </w:rPr>
        <w:t>5.12“五赛五比”</w:t>
      </w:r>
    </w:p>
    <w:p w14:paraId="2DC1D1D3">
      <w:pPr>
        <w:keepNext w:val="0"/>
        <w:keepLines w:val="0"/>
        <w:bidi w:val="0"/>
        <w:spacing w:before="168" w:line="353" w:lineRule="auto"/>
        <w:ind w:left="6" w:right="52" w:firstLine="44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为贯彻落实《广东省交通运输厅关于印发广东省高速公路建设管理“五赛五比”活动实施</w:t>
      </w:r>
      <w:r>
        <w:rPr>
          <w:rFonts w:hint="eastAsia" w:ascii="宋体" w:hAnsi="宋体" w:eastAsia="宋体" w:cs="宋体"/>
          <w:color w:val="auto"/>
          <w:spacing w:val="-3"/>
          <w:sz w:val="24"/>
          <w:szCs w:val="24"/>
          <w:highlight w:val="none"/>
        </w:rPr>
        <w:t>方案的通知》（粤交基〔2015〕482号）的精神，全面推行工程现代化管理，认真落实好交通</w:t>
      </w:r>
      <w:r>
        <w:rPr>
          <w:rFonts w:hint="eastAsia" w:ascii="宋体" w:hAnsi="宋体" w:eastAsia="宋体" w:cs="宋体"/>
          <w:color w:val="auto"/>
          <w:spacing w:val="-1"/>
          <w:sz w:val="24"/>
          <w:szCs w:val="24"/>
          <w:highlight w:val="none"/>
        </w:rPr>
        <w:t>运输部公路建设管理的“五化”要求，确保高速公路建设项目“质量、安全、进度、效益、廉政”工作同步推进，项目监理人应积极参与</w:t>
      </w:r>
      <w:r>
        <w:rPr>
          <w:rFonts w:hint="eastAsia" w:ascii="宋体" w:hAnsi="宋体" w:eastAsia="宋体" w:cs="宋体"/>
          <w:color w:val="auto"/>
          <w:spacing w:val="-2"/>
          <w:sz w:val="24"/>
          <w:szCs w:val="24"/>
          <w:highlight w:val="none"/>
        </w:rPr>
        <w:t>委托人组织的“五赛五比”活动，具体活动方案委</w:t>
      </w:r>
      <w:r>
        <w:rPr>
          <w:rFonts w:hint="eastAsia" w:ascii="宋体" w:hAnsi="宋体" w:eastAsia="宋体" w:cs="宋体"/>
          <w:color w:val="auto"/>
          <w:spacing w:val="-1"/>
          <w:sz w:val="24"/>
          <w:szCs w:val="24"/>
          <w:highlight w:val="none"/>
        </w:rPr>
        <w:t>托人按有关规定制订后发布。</w:t>
      </w:r>
    </w:p>
    <w:p w14:paraId="19DE6C12">
      <w:pPr>
        <w:keepNext w:val="0"/>
        <w:keepLines w:val="0"/>
        <w:bidi w:val="0"/>
        <w:spacing w:before="35" w:line="220" w:lineRule="auto"/>
        <w:ind w:left="453"/>
        <w:rPr>
          <w:rFonts w:hint="eastAsia" w:ascii="宋体" w:hAnsi="宋体" w:eastAsia="宋体" w:cs="宋体"/>
          <w:b/>
          <w:bCs/>
          <w:color w:val="auto"/>
          <w:sz w:val="24"/>
          <w:szCs w:val="24"/>
          <w:highlight w:val="none"/>
        </w:rPr>
      </w:pPr>
      <w:r>
        <w:rPr>
          <w:rFonts w:hint="eastAsia" w:ascii="宋体" w:hAnsi="宋体" w:eastAsia="宋体" w:cs="宋体"/>
          <w:b/>
          <w:bCs/>
          <w:color w:val="auto"/>
          <w:spacing w:val="-1"/>
          <w:sz w:val="24"/>
          <w:szCs w:val="24"/>
          <w:highlight w:val="none"/>
        </w:rPr>
        <w:t>5.13质量安全综合检查</w:t>
      </w:r>
    </w:p>
    <w:p w14:paraId="1BF0497B">
      <w:pPr>
        <w:keepNext w:val="0"/>
        <w:keepLines w:val="0"/>
        <w:bidi w:val="0"/>
        <w:spacing w:before="164" w:line="345" w:lineRule="auto"/>
        <w:ind w:left="6" w:right="52" w:firstLine="445"/>
        <w:rPr>
          <w:rFonts w:hint="eastAsia" w:ascii="宋体" w:hAnsi="宋体" w:eastAsia="宋体" w:cs="宋体"/>
          <w:color w:val="auto"/>
          <w:spacing w:val="-1"/>
          <w:sz w:val="24"/>
          <w:szCs w:val="24"/>
          <w:highlight w:val="none"/>
          <w:lang w:val="en-US" w:eastAsia="zh-CN"/>
        </w:rPr>
      </w:pPr>
      <w:r>
        <w:rPr>
          <w:rFonts w:hint="eastAsia" w:ascii="宋体" w:hAnsi="宋体" w:eastAsia="宋体" w:cs="宋体"/>
          <w:color w:val="auto"/>
          <w:sz w:val="24"/>
          <w:szCs w:val="24"/>
          <w:highlight w:val="none"/>
        </w:rPr>
        <w:t>为进一步加强高速公路工程质量监督力度，调动参建各方的</w:t>
      </w:r>
      <w:r>
        <w:rPr>
          <w:rFonts w:hint="eastAsia" w:ascii="宋体" w:hAnsi="宋体" w:eastAsia="宋体" w:cs="宋体"/>
          <w:color w:val="auto"/>
          <w:spacing w:val="-1"/>
          <w:sz w:val="24"/>
          <w:szCs w:val="24"/>
          <w:highlight w:val="none"/>
        </w:rPr>
        <w:t>主观能动性，提高高速公路工程质量精细化管理水平，监理人应积极参与委托人组织开展的“质量监督综合检查评比”活</w:t>
      </w:r>
      <w:r>
        <w:rPr>
          <w:rFonts w:hint="eastAsia" w:ascii="宋体" w:hAnsi="宋体" w:eastAsia="宋体" w:cs="宋体"/>
          <w:color w:val="auto"/>
          <w:sz w:val="24"/>
          <w:szCs w:val="24"/>
          <w:highlight w:val="none"/>
        </w:rPr>
        <w:t>动，具体活动方案委托人将根据交通主管部门</w:t>
      </w:r>
      <w:r>
        <w:rPr>
          <w:rFonts w:hint="eastAsia" w:ascii="宋体" w:hAnsi="宋体" w:eastAsia="宋体" w:cs="宋体"/>
          <w:color w:val="auto"/>
          <w:spacing w:val="-1"/>
          <w:sz w:val="24"/>
          <w:szCs w:val="24"/>
          <w:highlight w:val="none"/>
        </w:rPr>
        <w:t>的有关规定制订后发布。</w:t>
      </w:r>
    </w:p>
    <w:p w14:paraId="066496FF">
      <w:pPr>
        <w:pStyle w:val="6"/>
        <w:keepNext w:val="0"/>
        <w:keepLines w:val="0"/>
        <w:bidi w:val="0"/>
        <w:rPr>
          <w:rFonts w:hint="eastAsia" w:ascii="宋体" w:hAnsi="宋体" w:eastAsia="宋体" w:cs="宋体"/>
          <w:color w:val="auto"/>
          <w:sz w:val="24"/>
          <w:szCs w:val="24"/>
          <w:highlight w:val="none"/>
        </w:rPr>
      </w:pPr>
    </w:p>
    <w:p w14:paraId="20FF203E">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6.</w:t>
      </w:r>
      <w:r>
        <w:rPr>
          <w:rFonts w:hint="eastAsia" w:ascii="宋体" w:hAnsi="宋体" w:eastAsia="宋体" w:cs="宋体"/>
          <w:b/>
          <w:bCs/>
          <w:color w:val="auto"/>
          <w:spacing w:val="2"/>
          <w:sz w:val="24"/>
          <w:szCs w:val="24"/>
          <w:highlight w:val="none"/>
        </w:rPr>
        <w:t>开始监理和</w:t>
      </w:r>
      <w:r>
        <w:rPr>
          <w:rFonts w:hint="eastAsia" w:ascii="宋体" w:hAnsi="宋体" w:eastAsia="宋体" w:cs="宋体"/>
          <w:b/>
          <w:bCs/>
          <w:color w:val="auto"/>
          <w:sz w:val="24"/>
          <w:szCs w:val="24"/>
          <w:highlight w:val="none"/>
        </w:rPr>
        <w:t>完</w:t>
      </w:r>
      <w:r>
        <w:rPr>
          <w:rFonts w:hint="eastAsia" w:ascii="宋体" w:hAnsi="宋体" w:eastAsia="宋体" w:cs="宋体"/>
          <w:b/>
          <w:bCs/>
          <w:color w:val="auto"/>
          <w:spacing w:val="2"/>
          <w:sz w:val="24"/>
          <w:szCs w:val="24"/>
          <w:highlight w:val="none"/>
        </w:rPr>
        <w:t>成监</w:t>
      </w:r>
      <w:r>
        <w:rPr>
          <w:rFonts w:hint="eastAsia" w:ascii="宋体" w:hAnsi="宋体" w:eastAsia="宋体" w:cs="宋体"/>
          <w:b/>
          <w:bCs/>
          <w:color w:val="auto"/>
          <w:sz w:val="24"/>
          <w:szCs w:val="24"/>
          <w:highlight w:val="none"/>
        </w:rPr>
        <w:t>理</w:t>
      </w:r>
    </w:p>
    <w:p w14:paraId="64C7A3A6">
      <w:pPr>
        <w:keepNext w:val="0"/>
        <w:keepLines w:val="0"/>
        <w:widowControl w:val="0"/>
        <w:kinsoku w:val="0"/>
        <w:overflowPunct w:val="0"/>
        <w:autoSpaceDE w:val="0"/>
        <w:autoSpaceDN w:val="0"/>
        <w:bidi w:val="0"/>
        <w:adjustRightInd w:val="0"/>
        <w:spacing w:before="20" w:line="200" w:lineRule="exact"/>
        <w:jc w:val="left"/>
        <w:rPr>
          <w:rFonts w:hint="eastAsia" w:ascii="宋体" w:hAnsi="宋体" w:eastAsia="宋体" w:cs="宋体"/>
          <w:color w:val="auto"/>
          <w:sz w:val="24"/>
          <w:szCs w:val="24"/>
          <w:highlight w:val="none"/>
        </w:rPr>
      </w:pPr>
    </w:p>
    <w:p w14:paraId="3CD37CD0">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6.1</w:t>
      </w:r>
      <w:r>
        <w:rPr>
          <w:rFonts w:hint="eastAsia" w:ascii="宋体" w:hAnsi="宋体" w:eastAsia="宋体" w:cs="宋体"/>
          <w:b/>
          <w:bCs/>
          <w:color w:val="auto"/>
          <w:spacing w:val="2"/>
          <w:sz w:val="24"/>
          <w:szCs w:val="24"/>
          <w:highlight w:val="none"/>
        </w:rPr>
        <w:t>开</w:t>
      </w:r>
      <w:r>
        <w:rPr>
          <w:rFonts w:hint="eastAsia" w:ascii="宋体" w:hAnsi="宋体" w:eastAsia="宋体" w:cs="宋体"/>
          <w:b/>
          <w:bCs/>
          <w:color w:val="auto"/>
          <w:sz w:val="24"/>
          <w:szCs w:val="24"/>
          <w:highlight w:val="none"/>
        </w:rPr>
        <w:t>始监理</w:t>
      </w:r>
    </w:p>
    <w:p w14:paraId="6B6B80BC">
      <w:pPr>
        <w:keepNext w:val="0"/>
        <w:keepLines w:val="0"/>
        <w:widowControl w:val="0"/>
        <w:kinsoku w:val="0"/>
        <w:overflowPunct w:val="0"/>
        <w:autoSpaceDE w:val="0"/>
        <w:autoSpaceDN w:val="0"/>
        <w:bidi w:val="0"/>
        <w:adjustRightInd w:val="0"/>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6.1.1满</w:t>
      </w:r>
      <w:r>
        <w:rPr>
          <w:rFonts w:hint="eastAsia" w:ascii="宋体" w:hAnsi="宋体" w:eastAsia="宋体" w:cs="宋体"/>
          <w:color w:val="auto"/>
          <w:spacing w:val="-3"/>
          <w:kern w:val="0"/>
          <w:sz w:val="24"/>
          <w:szCs w:val="24"/>
          <w:highlight w:val="none"/>
        </w:rPr>
        <w:t>足以下条件时，监理人应开始监理工作：</w:t>
      </w:r>
      <w:r>
        <w:rPr>
          <w:rFonts w:hint="eastAsia" w:ascii="宋体" w:hAnsi="宋体" w:eastAsia="宋体" w:cs="宋体"/>
          <w:color w:val="auto"/>
          <w:spacing w:val="-3"/>
          <w:kern w:val="0"/>
          <w:sz w:val="24"/>
          <w:szCs w:val="24"/>
          <w:highlight w:val="none"/>
          <w:u w:val="single"/>
        </w:rPr>
        <w:t>以委托人发出开始监理的书面通知为准</w:t>
      </w:r>
      <w:r>
        <w:rPr>
          <w:rFonts w:hint="eastAsia" w:ascii="宋体" w:hAnsi="宋体" w:eastAsia="宋体" w:cs="宋体"/>
          <w:color w:val="auto"/>
          <w:spacing w:val="-3"/>
          <w:kern w:val="0"/>
          <w:sz w:val="24"/>
          <w:szCs w:val="24"/>
          <w:highlight w:val="none"/>
        </w:rPr>
        <w:t>。</w:t>
      </w:r>
    </w:p>
    <w:p w14:paraId="6B1DA178">
      <w:pPr>
        <w:keepNext w:val="0"/>
        <w:keepLines w:val="0"/>
        <w:widowControl w:val="0"/>
        <w:kinsoku w:val="0"/>
        <w:overflowPunct w:val="0"/>
        <w:autoSpaceDE w:val="0"/>
        <w:autoSpaceDN w:val="0"/>
        <w:bidi w:val="0"/>
        <w:adjustRightInd w:val="0"/>
        <w:spacing w:line="421" w:lineRule="exact"/>
        <w:ind w:left="144"/>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6.2</w:t>
      </w:r>
      <w:r>
        <w:rPr>
          <w:rFonts w:hint="eastAsia" w:ascii="宋体" w:hAnsi="宋体" w:eastAsia="宋体" w:cs="宋体"/>
          <w:b/>
          <w:bCs w:val="0"/>
          <w:color w:val="auto"/>
          <w:spacing w:val="2"/>
          <w:sz w:val="24"/>
          <w:szCs w:val="24"/>
          <w:highlight w:val="none"/>
        </w:rPr>
        <w:t>监</w:t>
      </w:r>
      <w:r>
        <w:rPr>
          <w:rFonts w:hint="eastAsia" w:ascii="宋体" w:hAnsi="宋体" w:eastAsia="宋体" w:cs="宋体"/>
          <w:b/>
          <w:bCs w:val="0"/>
          <w:color w:val="auto"/>
          <w:sz w:val="24"/>
          <w:szCs w:val="24"/>
          <w:highlight w:val="none"/>
        </w:rPr>
        <w:t>理周期延误</w:t>
      </w:r>
    </w:p>
    <w:p w14:paraId="14DCC432">
      <w:pPr>
        <w:keepNext w:val="0"/>
        <w:keepLines w:val="0"/>
        <w:bidi w:val="0"/>
        <w:spacing w:line="360" w:lineRule="auto"/>
        <w:ind w:firstLine="488"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pacing w:val="2"/>
          <w:kern w:val="0"/>
          <w:sz w:val="24"/>
          <w:szCs w:val="24"/>
          <w:highlight w:val="none"/>
        </w:rPr>
        <w:t>由于非监理人责任造成监理服务期限延误的，延长监理服务期限的计算方法：</w:t>
      </w:r>
      <w:r>
        <w:rPr>
          <w:rFonts w:hint="eastAsia" w:ascii="宋体" w:hAnsi="宋体" w:eastAsia="宋体" w:cs="宋体"/>
          <w:color w:val="auto"/>
          <w:spacing w:val="3"/>
          <w:kern w:val="0"/>
          <w:sz w:val="24"/>
          <w:szCs w:val="24"/>
          <w:highlight w:val="none"/>
        </w:rPr>
        <w:t>根据具体</w:t>
      </w:r>
      <w:r>
        <w:rPr>
          <w:rFonts w:hint="eastAsia" w:ascii="宋体" w:hAnsi="宋体" w:eastAsia="宋体" w:cs="宋体"/>
          <w:color w:val="auto"/>
          <w:kern w:val="0"/>
          <w:sz w:val="24"/>
          <w:szCs w:val="24"/>
          <w:highlight w:val="none"/>
        </w:rPr>
        <w:t>的延误原因由发包人与监理人协商确定延长的服务期限</w:t>
      </w:r>
      <w:r>
        <w:rPr>
          <w:rFonts w:hint="eastAsia" w:ascii="宋体" w:hAnsi="宋体" w:eastAsia="宋体" w:cs="宋体"/>
          <w:color w:val="auto"/>
          <w:spacing w:val="-3"/>
          <w:kern w:val="0"/>
          <w:sz w:val="24"/>
          <w:szCs w:val="24"/>
          <w:highlight w:val="none"/>
        </w:rPr>
        <w:t>；增加监理服务费用的计算方法如</w:t>
      </w:r>
      <w:r>
        <w:rPr>
          <w:rFonts w:hint="eastAsia" w:ascii="宋体" w:hAnsi="宋体" w:eastAsia="宋体" w:cs="宋体"/>
          <w:color w:val="auto"/>
          <w:spacing w:val="-1"/>
          <w:kern w:val="0"/>
          <w:sz w:val="24"/>
          <w:szCs w:val="24"/>
          <w:highlight w:val="none"/>
        </w:rPr>
        <w:t>下：</w:t>
      </w:r>
    </w:p>
    <w:p w14:paraId="4437F826">
      <w:pPr>
        <w:keepNext w:val="0"/>
        <w:keepLines w:val="0"/>
        <w:bidi w:val="0"/>
        <w:spacing w:line="360" w:lineRule="auto"/>
        <w:ind w:firstLine="468"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pacing w:val="-3"/>
          <w:kern w:val="0"/>
          <w:sz w:val="24"/>
          <w:szCs w:val="24"/>
          <w:highlight w:val="none"/>
        </w:rPr>
        <w:t>（1）</w:t>
      </w:r>
      <w:r>
        <w:rPr>
          <w:rFonts w:hint="eastAsia" w:ascii="宋体" w:hAnsi="宋体" w:eastAsia="宋体" w:cs="宋体"/>
          <w:color w:val="auto"/>
          <w:spacing w:val="-6"/>
          <w:sz w:val="24"/>
          <w:szCs w:val="24"/>
          <w:highlight w:val="none"/>
        </w:rPr>
        <w:t>工程延期超过</w:t>
      </w:r>
      <w:r>
        <w:rPr>
          <w:rFonts w:hint="eastAsia" w:ascii="宋体" w:hAnsi="宋体" w:eastAsia="宋体" w:cs="宋体"/>
          <w:color w:val="auto"/>
          <w:spacing w:val="-2"/>
          <w:sz w:val="24"/>
          <w:szCs w:val="24"/>
          <w:highlight w:val="none"/>
          <w:u w:val="single"/>
          <w:lang w:val="en-US" w:eastAsia="zh-CN"/>
        </w:rPr>
        <w:t>6</w:t>
      </w:r>
      <w:r>
        <w:rPr>
          <w:rFonts w:hint="eastAsia" w:ascii="宋体" w:hAnsi="宋体" w:eastAsia="宋体" w:cs="宋体"/>
          <w:color w:val="auto"/>
          <w:spacing w:val="-7"/>
          <w:sz w:val="24"/>
          <w:szCs w:val="24"/>
          <w:highlight w:val="none"/>
        </w:rPr>
        <w:t>个月以上时，委托人将按照合同工程量清单施工期中</w:t>
      </w:r>
      <w:r>
        <w:rPr>
          <w:rFonts w:hint="eastAsia" w:ascii="宋体" w:hAnsi="宋体" w:eastAsia="宋体" w:cs="宋体"/>
          <w:color w:val="auto"/>
          <w:spacing w:val="-4"/>
          <w:sz w:val="24"/>
          <w:szCs w:val="24"/>
          <w:highlight w:val="none"/>
        </w:rPr>
        <w:t>监理人员服务</w:t>
      </w:r>
      <w:r>
        <w:rPr>
          <w:rFonts w:hint="eastAsia" w:ascii="宋体" w:hAnsi="宋体" w:eastAsia="宋体" w:cs="宋体"/>
          <w:color w:val="auto"/>
          <w:spacing w:val="4"/>
          <w:kern w:val="0"/>
          <w:sz w:val="24"/>
          <w:szCs w:val="24"/>
          <w:highlight w:val="none"/>
        </w:rPr>
        <w:t>费、监理办公设施费、监理交通设施费、监理生活设施费报价，按实（</w:t>
      </w:r>
      <w:r>
        <w:rPr>
          <w:rFonts w:hint="eastAsia" w:ascii="宋体" w:hAnsi="宋体" w:eastAsia="宋体" w:cs="宋体"/>
          <w:color w:val="auto"/>
          <w:spacing w:val="2"/>
          <w:kern w:val="0"/>
          <w:sz w:val="24"/>
          <w:szCs w:val="24"/>
          <w:highlight w:val="none"/>
        </w:rPr>
        <w:t>扣除</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spacing w:val="4"/>
          <w:kern w:val="0"/>
          <w:sz w:val="24"/>
          <w:szCs w:val="24"/>
          <w:highlight w:val="none"/>
        </w:rPr>
        <w:t>个月后</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3"/>
          <w:kern w:val="0"/>
          <w:sz w:val="24"/>
          <w:szCs w:val="24"/>
          <w:highlight w:val="none"/>
        </w:rPr>
        <w:t>增加上述费用，其它费用不予增加。</w:t>
      </w:r>
    </w:p>
    <w:p w14:paraId="7F44632D">
      <w:pPr>
        <w:keepNext w:val="0"/>
        <w:keepLines w:val="0"/>
        <w:bidi w:val="0"/>
        <w:spacing w:line="360" w:lineRule="auto"/>
        <w:ind w:firstLine="468"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pacing w:val="-3"/>
          <w:kern w:val="0"/>
          <w:sz w:val="24"/>
          <w:szCs w:val="24"/>
          <w:highlight w:val="none"/>
        </w:rPr>
        <w:t>（2）</w:t>
      </w:r>
      <w:r>
        <w:rPr>
          <w:rFonts w:hint="eastAsia" w:ascii="宋体" w:hAnsi="宋体" w:eastAsia="宋体" w:cs="宋体"/>
          <w:color w:val="auto"/>
          <w:spacing w:val="-6"/>
          <w:sz w:val="24"/>
          <w:szCs w:val="24"/>
          <w:highlight w:val="none"/>
        </w:rPr>
        <w:t>工程缩短超过</w:t>
      </w:r>
      <w:r>
        <w:rPr>
          <w:rFonts w:hint="eastAsia" w:ascii="宋体" w:hAnsi="宋体" w:eastAsia="宋体" w:cs="宋体"/>
          <w:color w:val="auto"/>
          <w:spacing w:val="-2"/>
          <w:sz w:val="24"/>
          <w:szCs w:val="24"/>
          <w:highlight w:val="none"/>
          <w:u w:val="single"/>
          <w:lang w:val="en-US" w:eastAsia="zh-CN"/>
        </w:rPr>
        <w:t>6</w:t>
      </w:r>
      <w:r>
        <w:rPr>
          <w:rFonts w:hint="eastAsia" w:ascii="宋体" w:hAnsi="宋体" w:eastAsia="宋体" w:cs="宋体"/>
          <w:color w:val="auto"/>
          <w:spacing w:val="-7"/>
          <w:sz w:val="24"/>
          <w:szCs w:val="24"/>
          <w:highlight w:val="none"/>
        </w:rPr>
        <w:t>个月以上时，委托人将按照合同工程量清单施工期中</w:t>
      </w:r>
      <w:r>
        <w:rPr>
          <w:rFonts w:hint="eastAsia" w:ascii="宋体" w:hAnsi="宋体" w:eastAsia="宋体" w:cs="宋体"/>
          <w:color w:val="auto"/>
          <w:spacing w:val="-4"/>
          <w:sz w:val="24"/>
          <w:szCs w:val="24"/>
          <w:highlight w:val="none"/>
        </w:rPr>
        <w:t>监理人员服务</w:t>
      </w:r>
      <w:r>
        <w:rPr>
          <w:rFonts w:hint="eastAsia" w:ascii="宋体" w:hAnsi="宋体" w:eastAsia="宋体" w:cs="宋体"/>
          <w:color w:val="auto"/>
          <w:spacing w:val="4"/>
          <w:kern w:val="0"/>
          <w:sz w:val="24"/>
          <w:szCs w:val="24"/>
          <w:highlight w:val="none"/>
        </w:rPr>
        <w:t>费、监理办公设施费、监理交通设施费、监理生活设施费报价，按实（</w:t>
      </w:r>
      <w:r>
        <w:rPr>
          <w:rFonts w:hint="eastAsia" w:ascii="宋体" w:hAnsi="宋体" w:eastAsia="宋体" w:cs="宋体"/>
          <w:color w:val="auto"/>
          <w:spacing w:val="2"/>
          <w:kern w:val="0"/>
          <w:sz w:val="24"/>
          <w:szCs w:val="24"/>
          <w:highlight w:val="none"/>
        </w:rPr>
        <w:t>扣除</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spacing w:val="4"/>
          <w:kern w:val="0"/>
          <w:sz w:val="24"/>
          <w:szCs w:val="24"/>
          <w:highlight w:val="none"/>
        </w:rPr>
        <w:t>个月后</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3"/>
          <w:kern w:val="0"/>
          <w:sz w:val="24"/>
          <w:szCs w:val="24"/>
          <w:highlight w:val="none"/>
        </w:rPr>
        <w:t>减少上述费用，其它费用不予减少。</w:t>
      </w:r>
    </w:p>
    <w:p w14:paraId="3E970C8B">
      <w:pPr>
        <w:keepNext w:val="0"/>
        <w:keepLines w:val="0"/>
        <w:bidi w:val="0"/>
        <w:spacing w:line="360" w:lineRule="auto"/>
        <w:ind w:firstLine="46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w:t>
      </w:r>
      <w:r>
        <w:rPr>
          <w:rFonts w:hint="eastAsia" w:ascii="宋体" w:hAnsi="宋体" w:eastAsia="宋体" w:cs="宋体"/>
          <w:color w:val="auto"/>
          <w:spacing w:val="1"/>
          <w:sz w:val="24"/>
          <w:szCs w:val="24"/>
          <w:highlight w:val="none"/>
        </w:rPr>
        <w:t>若因监理人的原因致使监理服务时间延长，延长时间增加费用由监理人承担，若影</w:t>
      </w:r>
      <w:r>
        <w:rPr>
          <w:rFonts w:hint="eastAsia" w:ascii="宋体" w:hAnsi="宋体" w:eastAsia="宋体" w:cs="宋体"/>
          <w:color w:val="auto"/>
          <w:spacing w:val="-3"/>
          <w:sz w:val="24"/>
          <w:szCs w:val="24"/>
          <w:highlight w:val="none"/>
        </w:rPr>
        <w:t>响工期的并按</w:t>
      </w:r>
      <w:r>
        <w:rPr>
          <w:rFonts w:hint="eastAsia" w:ascii="宋体" w:hAnsi="宋体" w:eastAsia="宋体" w:cs="宋体"/>
          <w:color w:val="auto"/>
          <w:spacing w:val="-1"/>
          <w:sz w:val="24"/>
          <w:szCs w:val="24"/>
          <w:highlight w:val="none"/>
        </w:rPr>
        <w:t>11.1.</w:t>
      </w:r>
      <w:r>
        <w:rPr>
          <w:rFonts w:hint="eastAsia" w:ascii="宋体" w:hAnsi="宋体" w:eastAsia="宋体" w:cs="宋体"/>
          <w:color w:val="auto"/>
          <w:sz w:val="24"/>
          <w:szCs w:val="24"/>
          <w:highlight w:val="none"/>
        </w:rPr>
        <w:t>3</w:t>
      </w:r>
      <w:r>
        <w:rPr>
          <w:rFonts w:hint="eastAsia" w:ascii="宋体" w:hAnsi="宋体" w:eastAsia="宋体" w:cs="宋体"/>
          <w:color w:val="auto"/>
          <w:spacing w:val="-3"/>
          <w:sz w:val="24"/>
          <w:szCs w:val="24"/>
          <w:highlight w:val="none"/>
        </w:rPr>
        <w:t>款进行违约处理。</w:t>
      </w:r>
    </w:p>
    <w:p w14:paraId="2E0314D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7DC01BA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5DE7C8BC">
      <w:pPr>
        <w:keepNext w:val="0"/>
        <w:keepLines w:val="0"/>
        <w:widowControl w:val="0"/>
        <w:kinsoku w:val="0"/>
        <w:overflowPunct w:val="0"/>
        <w:autoSpaceDE w:val="0"/>
        <w:autoSpaceDN w:val="0"/>
        <w:bidi w:val="0"/>
        <w:adjustRightInd w:val="0"/>
        <w:ind w:left="144"/>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8.</w:t>
      </w:r>
      <w:r>
        <w:rPr>
          <w:rFonts w:hint="eastAsia" w:ascii="宋体" w:hAnsi="宋体" w:eastAsia="宋体" w:cs="宋体"/>
          <w:b/>
          <w:bCs w:val="0"/>
          <w:color w:val="auto"/>
          <w:spacing w:val="2"/>
          <w:sz w:val="24"/>
          <w:szCs w:val="24"/>
          <w:highlight w:val="none"/>
        </w:rPr>
        <w:t>合同变更</w:t>
      </w:r>
    </w:p>
    <w:p w14:paraId="656DA6AF">
      <w:pPr>
        <w:keepNext w:val="0"/>
        <w:keepLines w:val="0"/>
        <w:widowControl w:val="0"/>
        <w:kinsoku w:val="0"/>
        <w:overflowPunct w:val="0"/>
        <w:autoSpaceDE w:val="0"/>
        <w:autoSpaceDN w:val="0"/>
        <w:bidi w:val="0"/>
        <w:adjustRightInd w:val="0"/>
        <w:spacing w:before="20" w:line="200" w:lineRule="exact"/>
        <w:jc w:val="left"/>
        <w:rPr>
          <w:rFonts w:hint="eastAsia" w:ascii="宋体" w:hAnsi="宋体" w:eastAsia="宋体" w:cs="宋体"/>
          <w:color w:val="auto"/>
          <w:sz w:val="24"/>
          <w:szCs w:val="24"/>
          <w:highlight w:val="none"/>
        </w:rPr>
      </w:pPr>
    </w:p>
    <w:p w14:paraId="2A4417E8">
      <w:pPr>
        <w:keepNext w:val="0"/>
        <w:keepLines w:val="0"/>
        <w:widowControl w:val="0"/>
        <w:kinsoku w:val="0"/>
        <w:overflowPunct w:val="0"/>
        <w:autoSpaceDE w:val="0"/>
        <w:autoSpaceDN w:val="0"/>
        <w:bidi w:val="0"/>
        <w:adjustRightInd w:val="0"/>
        <w:ind w:left="144"/>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8.1</w:t>
      </w:r>
      <w:r>
        <w:rPr>
          <w:rFonts w:hint="eastAsia" w:ascii="宋体" w:hAnsi="宋体" w:eastAsia="宋体" w:cs="宋体"/>
          <w:b/>
          <w:bCs w:val="0"/>
          <w:color w:val="auto"/>
          <w:spacing w:val="2"/>
          <w:sz w:val="24"/>
          <w:szCs w:val="24"/>
          <w:highlight w:val="none"/>
        </w:rPr>
        <w:t>变</w:t>
      </w:r>
      <w:r>
        <w:rPr>
          <w:rFonts w:hint="eastAsia" w:ascii="宋体" w:hAnsi="宋体" w:eastAsia="宋体" w:cs="宋体"/>
          <w:b/>
          <w:bCs w:val="0"/>
          <w:color w:val="auto"/>
          <w:sz w:val="24"/>
          <w:szCs w:val="24"/>
          <w:highlight w:val="none"/>
        </w:rPr>
        <w:t>更情形</w:t>
      </w:r>
    </w:p>
    <w:p w14:paraId="2F5F1403">
      <w:pPr>
        <w:keepNext w:val="0"/>
        <w:keepLines w:val="0"/>
        <w:widowControl w:val="0"/>
        <w:kinsoku w:val="0"/>
        <w:overflowPunct w:val="0"/>
        <w:autoSpaceDE w:val="0"/>
        <w:autoSpaceDN w:val="0"/>
        <w:bidi w:val="0"/>
        <w:adjustRightInd w:val="0"/>
        <w:spacing w:before="73" w:line="360" w:lineRule="auto"/>
        <w:ind w:firstLine="468" w:firstLineChars="200"/>
        <w:jc w:val="left"/>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rPr>
        <w:t>8.1.1</w:t>
      </w:r>
      <w:r>
        <w:rPr>
          <w:rFonts w:hint="eastAsia" w:ascii="宋体" w:hAnsi="宋体" w:eastAsia="宋体" w:cs="宋体"/>
          <w:color w:val="auto"/>
          <w:sz w:val="24"/>
          <w:szCs w:val="24"/>
          <w:highlight w:val="none"/>
        </w:rPr>
        <w:t>合同变更时，监理服务期限的调整方法：</w:t>
      </w:r>
      <w:r>
        <w:rPr>
          <w:rFonts w:hint="eastAsia" w:ascii="宋体" w:hAnsi="宋体" w:eastAsia="宋体" w:cs="宋体"/>
          <w:color w:val="auto"/>
          <w:spacing w:val="-1"/>
          <w:sz w:val="24"/>
          <w:szCs w:val="24"/>
          <w:highlight w:val="none"/>
          <w:u w:val="single"/>
        </w:rPr>
        <w:t>增加的监理服务期按</w:t>
      </w:r>
      <w:r>
        <w:rPr>
          <w:rFonts w:hint="eastAsia" w:ascii="宋体" w:hAnsi="宋体" w:eastAsia="宋体" w:cs="宋体"/>
          <w:color w:val="auto"/>
          <w:sz w:val="24"/>
          <w:szCs w:val="24"/>
          <w:highlight w:val="none"/>
          <w:u w:val="single"/>
        </w:rPr>
        <w:t>6.2</w:t>
      </w:r>
      <w:r>
        <w:rPr>
          <w:rFonts w:hint="eastAsia" w:ascii="宋体" w:hAnsi="宋体" w:eastAsia="宋体" w:cs="宋体"/>
          <w:color w:val="auto"/>
          <w:spacing w:val="-3"/>
          <w:sz w:val="24"/>
          <w:szCs w:val="24"/>
          <w:highlight w:val="none"/>
          <w:u w:val="single"/>
        </w:rPr>
        <w:t>款约定进行计</w:t>
      </w:r>
      <w:r>
        <w:rPr>
          <w:rFonts w:hint="eastAsia" w:ascii="宋体" w:hAnsi="宋体" w:eastAsia="宋体" w:cs="宋体"/>
          <w:color w:val="auto"/>
          <w:sz w:val="24"/>
          <w:szCs w:val="24"/>
          <w:highlight w:val="none"/>
          <w:u w:val="single"/>
        </w:rPr>
        <w:t>算</w:t>
      </w:r>
      <w:r>
        <w:rPr>
          <w:rFonts w:hint="eastAsia" w:ascii="宋体" w:hAnsi="宋体" w:eastAsia="宋体" w:cs="宋体"/>
          <w:color w:val="auto"/>
          <w:sz w:val="24"/>
          <w:szCs w:val="24"/>
          <w:highlight w:val="none"/>
        </w:rPr>
        <w:t>；监理服务费用的调整方法：</w:t>
      </w:r>
      <w:r>
        <w:rPr>
          <w:rFonts w:hint="eastAsia" w:ascii="宋体" w:hAnsi="宋体" w:eastAsia="宋体" w:cs="宋体"/>
          <w:color w:val="auto"/>
          <w:spacing w:val="-2"/>
          <w:sz w:val="24"/>
          <w:szCs w:val="24"/>
          <w:highlight w:val="none"/>
          <w:u w:val="single"/>
        </w:rPr>
        <w:t>增加的监理服务期内的费用不进行调整。</w:t>
      </w:r>
    </w:p>
    <w:p w14:paraId="37C2A9E1">
      <w:pPr>
        <w:keepNext w:val="0"/>
        <w:keepLines w:val="0"/>
        <w:widowControl w:val="0"/>
        <w:kinsoku w:val="0"/>
        <w:overflowPunct w:val="0"/>
        <w:autoSpaceDE w:val="0"/>
        <w:autoSpaceDN w:val="0"/>
        <w:bidi w:val="0"/>
        <w:adjustRightInd w:val="0"/>
        <w:spacing w:before="1" w:line="280" w:lineRule="exact"/>
        <w:jc w:val="left"/>
        <w:rPr>
          <w:rFonts w:hint="eastAsia" w:ascii="宋体" w:hAnsi="宋体" w:eastAsia="宋体" w:cs="宋体"/>
          <w:color w:val="auto"/>
          <w:sz w:val="24"/>
          <w:szCs w:val="24"/>
          <w:highlight w:val="none"/>
        </w:rPr>
      </w:pPr>
    </w:p>
    <w:p w14:paraId="5966557E">
      <w:pPr>
        <w:keepNext w:val="0"/>
        <w:keepLines w:val="0"/>
        <w:widowControl w:val="0"/>
        <w:kinsoku w:val="0"/>
        <w:overflowPunct w:val="0"/>
        <w:autoSpaceDE w:val="0"/>
        <w:autoSpaceDN w:val="0"/>
        <w:bidi w:val="0"/>
        <w:adjustRightInd w:val="0"/>
        <w:spacing w:line="402" w:lineRule="exact"/>
        <w:ind w:left="144"/>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8.2.2</w:t>
      </w:r>
      <w:r>
        <w:rPr>
          <w:rFonts w:hint="eastAsia" w:ascii="宋体" w:hAnsi="宋体" w:eastAsia="宋体" w:cs="宋体"/>
          <w:b/>
          <w:bCs w:val="0"/>
          <w:color w:val="auto"/>
          <w:spacing w:val="2"/>
          <w:sz w:val="24"/>
          <w:szCs w:val="24"/>
          <w:highlight w:val="none"/>
        </w:rPr>
        <w:t>合</w:t>
      </w:r>
      <w:r>
        <w:rPr>
          <w:rFonts w:hint="eastAsia" w:ascii="宋体" w:hAnsi="宋体" w:eastAsia="宋体" w:cs="宋体"/>
          <w:b/>
          <w:bCs w:val="0"/>
          <w:color w:val="auto"/>
          <w:sz w:val="24"/>
          <w:szCs w:val="24"/>
          <w:highlight w:val="none"/>
        </w:rPr>
        <w:t>理化建议</w:t>
      </w:r>
    </w:p>
    <w:p w14:paraId="6A351B59">
      <w:pPr>
        <w:keepNext w:val="0"/>
        <w:keepLines w:val="0"/>
        <w:widowControl w:val="0"/>
        <w:tabs>
          <w:tab w:val="left" w:pos="4983"/>
        </w:tabs>
        <w:kinsoku w:val="0"/>
        <w:overflowPunct w:val="0"/>
        <w:autoSpaceDE w:val="0"/>
        <w:autoSpaceDN w:val="0"/>
        <w:bidi w:val="0"/>
        <w:adjustRightInd w:val="0"/>
        <w:spacing w:before="70" w:line="288" w:lineRule="auto"/>
        <w:ind w:left="144" w:right="126" w:firstLine="43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8.2.2监</w:t>
      </w:r>
      <w:r>
        <w:rPr>
          <w:rFonts w:hint="eastAsia" w:ascii="宋体" w:hAnsi="宋体" w:eastAsia="宋体" w:cs="宋体"/>
          <w:color w:val="auto"/>
          <w:spacing w:val="-3"/>
          <w:sz w:val="24"/>
          <w:szCs w:val="24"/>
          <w:highlight w:val="none"/>
        </w:rPr>
        <w:t>理</w:t>
      </w:r>
      <w:r>
        <w:rPr>
          <w:rFonts w:hint="eastAsia" w:ascii="宋体" w:hAnsi="宋体" w:eastAsia="宋体" w:cs="宋体"/>
          <w:color w:val="auto"/>
          <w:sz w:val="24"/>
          <w:szCs w:val="24"/>
          <w:highlight w:val="none"/>
        </w:rPr>
        <w:t>人提</w:t>
      </w:r>
      <w:r>
        <w:rPr>
          <w:rFonts w:hint="eastAsia" w:ascii="宋体" w:hAnsi="宋体" w:eastAsia="宋体" w:cs="宋体"/>
          <w:color w:val="auto"/>
          <w:spacing w:val="-3"/>
          <w:sz w:val="24"/>
          <w:szCs w:val="24"/>
          <w:highlight w:val="none"/>
        </w:rPr>
        <w:t>出</w:t>
      </w:r>
      <w:r>
        <w:rPr>
          <w:rFonts w:hint="eastAsia" w:ascii="宋体" w:hAnsi="宋体" w:eastAsia="宋体" w:cs="宋体"/>
          <w:color w:val="auto"/>
          <w:sz w:val="24"/>
          <w:szCs w:val="24"/>
          <w:highlight w:val="none"/>
        </w:rPr>
        <w:t>的合</w:t>
      </w:r>
      <w:r>
        <w:rPr>
          <w:rFonts w:hint="eastAsia" w:ascii="宋体" w:hAnsi="宋体" w:eastAsia="宋体" w:cs="宋体"/>
          <w:color w:val="auto"/>
          <w:spacing w:val="-3"/>
          <w:sz w:val="24"/>
          <w:szCs w:val="24"/>
          <w:highlight w:val="none"/>
        </w:rPr>
        <w:t>理</w:t>
      </w:r>
      <w:r>
        <w:rPr>
          <w:rFonts w:hint="eastAsia" w:ascii="宋体" w:hAnsi="宋体" w:eastAsia="宋体" w:cs="宋体"/>
          <w:color w:val="auto"/>
          <w:sz w:val="24"/>
          <w:szCs w:val="24"/>
          <w:highlight w:val="none"/>
        </w:rPr>
        <w:t>化建议</w:t>
      </w:r>
      <w:r>
        <w:rPr>
          <w:rFonts w:hint="eastAsia" w:ascii="宋体" w:hAnsi="宋体" w:eastAsia="宋体" w:cs="宋体"/>
          <w:color w:val="auto"/>
          <w:spacing w:val="-3"/>
          <w:sz w:val="24"/>
          <w:szCs w:val="24"/>
          <w:highlight w:val="none"/>
        </w:rPr>
        <w:t>降</w:t>
      </w:r>
      <w:r>
        <w:rPr>
          <w:rFonts w:hint="eastAsia" w:ascii="宋体" w:hAnsi="宋体" w:eastAsia="宋体" w:cs="宋体"/>
          <w:color w:val="auto"/>
          <w:sz w:val="24"/>
          <w:szCs w:val="24"/>
          <w:highlight w:val="none"/>
        </w:rPr>
        <w:t>低了</w:t>
      </w:r>
      <w:r>
        <w:rPr>
          <w:rFonts w:hint="eastAsia" w:ascii="宋体" w:hAnsi="宋体" w:eastAsia="宋体" w:cs="宋体"/>
          <w:color w:val="auto"/>
          <w:spacing w:val="-3"/>
          <w:sz w:val="24"/>
          <w:szCs w:val="24"/>
          <w:highlight w:val="none"/>
        </w:rPr>
        <w:t>工</w:t>
      </w:r>
      <w:r>
        <w:rPr>
          <w:rFonts w:hint="eastAsia" w:ascii="宋体" w:hAnsi="宋体" w:eastAsia="宋体" w:cs="宋体"/>
          <w:color w:val="auto"/>
          <w:sz w:val="24"/>
          <w:szCs w:val="24"/>
          <w:highlight w:val="none"/>
        </w:rPr>
        <w:t>程投</w:t>
      </w:r>
      <w:r>
        <w:rPr>
          <w:rFonts w:hint="eastAsia" w:ascii="宋体" w:hAnsi="宋体" w:eastAsia="宋体" w:cs="宋体"/>
          <w:color w:val="auto"/>
          <w:spacing w:val="-3"/>
          <w:sz w:val="24"/>
          <w:szCs w:val="24"/>
          <w:highlight w:val="none"/>
        </w:rPr>
        <w:t>资</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缩短了</w:t>
      </w:r>
      <w:r>
        <w:rPr>
          <w:rFonts w:hint="eastAsia" w:ascii="宋体" w:hAnsi="宋体" w:eastAsia="宋体" w:cs="宋体"/>
          <w:color w:val="auto"/>
          <w:spacing w:val="-3"/>
          <w:sz w:val="24"/>
          <w:szCs w:val="24"/>
          <w:highlight w:val="none"/>
        </w:rPr>
        <w:t>施</w:t>
      </w:r>
      <w:r>
        <w:rPr>
          <w:rFonts w:hint="eastAsia" w:ascii="宋体" w:hAnsi="宋体" w:eastAsia="宋体" w:cs="宋体"/>
          <w:color w:val="auto"/>
          <w:sz w:val="24"/>
          <w:szCs w:val="24"/>
          <w:highlight w:val="none"/>
        </w:rPr>
        <w:t>工期</w:t>
      </w:r>
      <w:r>
        <w:rPr>
          <w:rFonts w:hint="eastAsia" w:ascii="宋体" w:hAnsi="宋体" w:eastAsia="宋体" w:cs="宋体"/>
          <w:color w:val="auto"/>
          <w:spacing w:val="-3"/>
          <w:sz w:val="24"/>
          <w:szCs w:val="24"/>
          <w:highlight w:val="none"/>
        </w:rPr>
        <w:t>限</w:t>
      </w:r>
      <w:r>
        <w:rPr>
          <w:rFonts w:hint="eastAsia" w:ascii="宋体" w:hAnsi="宋体" w:eastAsia="宋体" w:cs="宋体"/>
          <w:color w:val="auto"/>
          <w:sz w:val="24"/>
          <w:szCs w:val="24"/>
          <w:highlight w:val="none"/>
        </w:rPr>
        <w:t>或者</w:t>
      </w:r>
      <w:r>
        <w:rPr>
          <w:rFonts w:hint="eastAsia" w:ascii="宋体" w:hAnsi="宋体" w:eastAsia="宋体" w:cs="宋体"/>
          <w:color w:val="auto"/>
          <w:spacing w:val="-3"/>
          <w:sz w:val="24"/>
          <w:szCs w:val="24"/>
          <w:highlight w:val="none"/>
        </w:rPr>
        <w:t>提高</w:t>
      </w:r>
      <w:r>
        <w:rPr>
          <w:rFonts w:hint="eastAsia" w:ascii="宋体" w:hAnsi="宋体" w:eastAsia="宋体" w:cs="宋体"/>
          <w:color w:val="auto"/>
          <w:sz w:val="24"/>
          <w:szCs w:val="24"/>
          <w:highlight w:val="none"/>
        </w:rPr>
        <w:t>了工程</w:t>
      </w:r>
      <w:r>
        <w:rPr>
          <w:rFonts w:hint="eastAsia" w:ascii="宋体" w:hAnsi="宋体" w:eastAsia="宋体" w:cs="宋体"/>
          <w:color w:val="auto"/>
          <w:spacing w:val="-3"/>
          <w:sz w:val="24"/>
          <w:szCs w:val="24"/>
          <w:highlight w:val="none"/>
        </w:rPr>
        <w:t>经</w:t>
      </w:r>
      <w:r>
        <w:rPr>
          <w:rFonts w:hint="eastAsia" w:ascii="宋体" w:hAnsi="宋体" w:eastAsia="宋体" w:cs="宋体"/>
          <w:color w:val="auto"/>
          <w:sz w:val="24"/>
          <w:szCs w:val="24"/>
          <w:highlight w:val="none"/>
        </w:rPr>
        <w:t>济效益的</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委托</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给予</w:t>
      </w:r>
      <w:r>
        <w:rPr>
          <w:rFonts w:hint="eastAsia" w:ascii="宋体" w:hAnsi="宋体" w:eastAsia="宋体" w:cs="宋体"/>
          <w:color w:val="auto"/>
          <w:spacing w:val="-3"/>
          <w:sz w:val="24"/>
          <w:szCs w:val="24"/>
          <w:highlight w:val="none"/>
        </w:rPr>
        <w:t>监</w:t>
      </w:r>
      <w:r>
        <w:rPr>
          <w:rFonts w:hint="eastAsia" w:ascii="宋体" w:hAnsi="宋体" w:eastAsia="宋体" w:cs="宋体"/>
          <w:color w:val="auto"/>
          <w:spacing w:val="-2"/>
          <w:sz w:val="24"/>
          <w:szCs w:val="24"/>
          <w:highlight w:val="none"/>
        </w:rPr>
        <w:t>理</w:t>
      </w:r>
      <w:r>
        <w:rPr>
          <w:rFonts w:hint="eastAsia" w:ascii="宋体" w:hAnsi="宋体" w:eastAsia="宋体" w:cs="宋体"/>
          <w:color w:val="auto"/>
          <w:sz w:val="24"/>
          <w:szCs w:val="24"/>
          <w:highlight w:val="none"/>
        </w:rPr>
        <w:t>人如下</w:t>
      </w:r>
      <w:r>
        <w:rPr>
          <w:rFonts w:hint="eastAsia" w:ascii="宋体" w:hAnsi="宋体" w:eastAsia="宋体" w:cs="宋体"/>
          <w:color w:val="auto"/>
          <w:spacing w:val="-3"/>
          <w:sz w:val="24"/>
          <w:szCs w:val="24"/>
          <w:highlight w:val="none"/>
        </w:rPr>
        <w:t>奖</w:t>
      </w:r>
      <w:r>
        <w:rPr>
          <w:rFonts w:hint="eastAsia" w:ascii="宋体" w:hAnsi="宋体" w:eastAsia="宋体" w:cs="宋体"/>
          <w:color w:val="auto"/>
          <w:sz w:val="24"/>
          <w:szCs w:val="24"/>
          <w:highlight w:val="none"/>
        </w:rPr>
        <w:t>励：</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6C49B34E">
      <w:pPr>
        <w:keepNext w:val="0"/>
        <w:keepLines w:val="0"/>
        <w:widowControl w:val="0"/>
        <w:kinsoku w:val="0"/>
        <w:overflowPunct w:val="0"/>
        <w:autoSpaceDE w:val="0"/>
        <w:autoSpaceDN w:val="0"/>
        <w:bidi w:val="0"/>
        <w:adjustRightInd w:val="0"/>
        <w:spacing w:before="4" w:line="130" w:lineRule="exact"/>
        <w:jc w:val="left"/>
        <w:rPr>
          <w:rFonts w:hint="eastAsia" w:ascii="宋体" w:hAnsi="宋体" w:eastAsia="宋体" w:cs="宋体"/>
          <w:color w:val="auto"/>
          <w:sz w:val="24"/>
          <w:szCs w:val="24"/>
          <w:highlight w:val="none"/>
        </w:rPr>
      </w:pPr>
    </w:p>
    <w:p w14:paraId="3176F09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52128735">
      <w:pPr>
        <w:keepNext w:val="0"/>
        <w:keepLines w:val="0"/>
        <w:widowControl w:val="0"/>
        <w:kinsoku w:val="0"/>
        <w:overflowPunct w:val="0"/>
        <w:autoSpaceDE w:val="0"/>
        <w:autoSpaceDN w:val="0"/>
        <w:bidi w:val="0"/>
        <w:adjustRightInd w:val="0"/>
        <w:spacing w:line="360" w:lineRule="auto"/>
        <w:ind w:left="144"/>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9.</w:t>
      </w:r>
      <w:r>
        <w:rPr>
          <w:rFonts w:hint="eastAsia" w:ascii="宋体" w:hAnsi="宋体" w:eastAsia="宋体" w:cs="宋体"/>
          <w:b/>
          <w:bCs w:val="0"/>
          <w:color w:val="auto"/>
          <w:spacing w:val="2"/>
          <w:sz w:val="24"/>
          <w:szCs w:val="24"/>
          <w:highlight w:val="none"/>
        </w:rPr>
        <w:t>合同价格与</w:t>
      </w:r>
      <w:r>
        <w:rPr>
          <w:rFonts w:hint="eastAsia" w:ascii="宋体" w:hAnsi="宋体" w:eastAsia="宋体" w:cs="宋体"/>
          <w:b/>
          <w:bCs w:val="0"/>
          <w:color w:val="auto"/>
          <w:sz w:val="24"/>
          <w:szCs w:val="24"/>
          <w:highlight w:val="none"/>
        </w:rPr>
        <w:t>支付</w:t>
      </w:r>
    </w:p>
    <w:p w14:paraId="40EF1C4B">
      <w:pPr>
        <w:keepNext w:val="0"/>
        <w:keepLines w:val="0"/>
        <w:widowControl w:val="0"/>
        <w:kinsoku w:val="0"/>
        <w:overflowPunct w:val="0"/>
        <w:autoSpaceDE w:val="0"/>
        <w:autoSpaceDN w:val="0"/>
        <w:bidi w:val="0"/>
        <w:adjustRightInd w:val="0"/>
        <w:spacing w:line="360" w:lineRule="auto"/>
        <w:ind w:left="144"/>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pacing w:val="2"/>
          <w:sz w:val="24"/>
          <w:szCs w:val="24"/>
          <w:highlight w:val="none"/>
        </w:rPr>
        <w:t>合</w:t>
      </w:r>
      <w:r>
        <w:rPr>
          <w:rFonts w:hint="eastAsia" w:ascii="宋体" w:hAnsi="宋体" w:eastAsia="宋体" w:cs="宋体"/>
          <w:b/>
          <w:bCs w:val="0"/>
          <w:color w:val="auto"/>
          <w:sz w:val="24"/>
          <w:szCs w:val="24"/>
          <w:highlight w:val="none"/>
        </w:rPr>
        <w:t>同价格</w:t>
      </w:r>
    </w:p>
    <w:p w14:paraId="2DB80377">
      <w:pPr>
        <w:keepNext w:val="0"/>
        <w:keepLines w:val="0"/>
        <w:widowControl w:val="0"/>
        <w:kinsoku w:val="0"/>
        <w:overflowPunct w:val="0"/>
        <w:autoSpaceDE w:val="0"/>
        <w:autoSpaceDN w:val="0"/>
        <w:bidi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9.1.1本</w:t>
      </w:r>
      <w:r>
        <w:rPr>
          <w:rFonts w:hint="eastAsia" w:ascii="宋体" w:hAnsi="宋体" w:eastAsia="宋体" w:cs="宋体"/>
          <w:color w:val="auto"/>
          <w:spacing w:val="-3"/>
          <w:sz w:val="24"/>
          <w:szCs w:val="24"/>
          <w:highlight w:val="none"/>
        </w:rPr>
        <w:t>合</w:t>
      </w:r>
      <w:r>
        <w:rPr>
          <w:rFonts w:hint="eastAsia" w:ascii="宋体" w:hAnsi="宋体" w:eastAsia="宋体" w:cs="宋体"/>
          <w:color w:val="auto"/>
          <w:sz w:val="24"/>
          <w:szCs w:val="24"/>
          <w:highlight w:val="none"/>
        </w:rPr>
        <w:t>同的</w:t>
      </w:r>
      <w:r>
        <w:rPr>
          <w:rFonts w:hint="eastAsia" w:ascii="宋体" w:hAnsi="宋体" w:eastAsia="宋体" w:cs="宋体"/>
          <w:color w:val="auto"/>
          <w:spacing w:val="-3"/>
          <w:sz w:val="24"/>
          <w:szCs w:val="24"/>
          <w:highlight w:val="none"/>
        </w:rPr>
        <w:t>报</w:t>
      </w:r>
      <w:r>
        <w:rPr>
          <w:rFonts w:hint="eastAsia" w:ascii="宋体" w:hAnsi="宋体" w:eastAsia="宋体" w:cs="宋体"/>
          <w:color w:val="auto"/>
          <w:sz w:val="24"/>
          <w:szCs w:val="24"/>
          <w:highlight w:val="none"/>
        </w:rPr>
        <w:t>价方</w:t>
      </w:r>
      <w:r>
        <w:rPr>
          <w:rFonts w:hint="eastAsia" w:ascii="宋体" w:hAnsi="宋体" w:eastAsia="宋体" w:cs="宋体"/>
          <w:color w:val="auto"/>
          <w:spacing w:val="-3"/>
          <w:sz w:val="24"/>
          <w:szCs w:val="24"/>
          <w:highlight w:val="none"/>
        </w:rPr>
        <w:t>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总</w:t>
      </w:r>
      <w:r>
        <w:rPr>
          <w:rFonts w:hint="eastAsia" w:ascii="宋体" w:hAnsi="宋体" w:eastAsia="宋体" w:cs="宋体"/>
          <w:color w:val="auto"/>
          <w:spacing w:val="-3"/>
          <w:sz w:val="24"/>
          <w:szCs w:val="24"/>
          <w:highlight w:val="none"/>
          <w:u w:val="single"/>
        </w:rPr>
        <w:t>价</w:t>
      </w:r>
      <w:r>
        <w:rPr>
          <w:rFonts w:hint="eastAsia" w:ascii="宋体" w:hAnsi="宋体" w:eastAsia="宋体" w:cs="宋体"/>
          <w:color w:val="auto"/>
          <w:sz w:val="24"/>
          <w:szCs w:val="24"/>
          <w:highlight w:val="none"/>
        </w:rPr>
        <w:t>。</w:t>
      </w:r>
    </w:p>
    <w:p w14:paraId="092A90D7">
      <w:pPr>
        <w:keepNext w:val="0"/>
        <w:keepLines w:val="0"/>
        <w:widowControl w:val="0"/>
        <w:kinsoku w:val="0"/>
        <w:overflowPunct w:val="0"/>
        <w:autoSpaceDE w:val="0"/>
        <w:autoSpaceDN w:val="0"/>
        <w:bidi w:val="0"/>
        <w:adjustRightInd w:val="0"/>
        <w:spacing w:line="360" w:lineRule="auto"/>
        <w:ind w:firstLine="488"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在合同实施</w:t>
      </w:r>
      <w:r>
        <w:rPr>
          <w:rFonts w:hint="eastAsia" w:ascii="宋体" w:hAnsi="宋体" w:eastAsia="宋体" w:cs="宋体"/>
          <w:color w:val="auto"/>
          <w:sz w:val="24"/>
          <w:szCs w:val="24"/>
          <w:highlight w:val="none"/>
        </w:rPr>
        <w:t>期</w:t>
      </w:r>
      <w:r>
        <w:rPr>
          <w:rFonts w:hint="eastAsia" w:ascii="宋体" w:hAnsi="宋体" w:eastAsia="宋体" w:cs="宋体"/>
          <w:color w:val="auto"/>
          <w:spacing w:val="2"/>
          <w:sz w:val="24"/>
          <w:szCs w:val="24"/>
          <w:highlight w:val="none"/>
        </w:rPr>
        <w:t>间，由</w:t>
      </w:r>
      <w:r>
        <w:rPr>
          <w:rFonts w:hint="eastAsia" w:ascii="宋体" w:hAnsi="宋体" w:eastAsia="宋体" w:cs="宋体"/>
          <w:color w:val="auto"/>
          <w:spacing w:val="4"/>
          <w:sz w:val="24"/>
          <w:szCs w:val="24"/>
          <w:highlight w:val="none"/>
        </w:rPr>
        <w:t>于</w:t>
      </w:r>
      <w:r>
        <w:rPr>
          <w:rFonts w:hint="eastAsia" w:ascii="宋体" w:hAnsi="宋体" w:eastAsia="宋体" w:cs="宋体"/>
          <w:color w:val="auto"/>
          <w:sz w:val="24"/>
          <w:szCs w:val="24"/>
          <w:highlight w:val="none"/>
        </w:rPr>
        <w:t>人</w:t>
      </w:r>
      <w:r>
        <w:rPr>
          <w:rFonts w:hint="eastAsia" w:ascii="宋体" w:hAnsi="宋体" w:eastAsia="宋体" w:cs="宋体"/>
          <w:color w:val="auto"/>
          <w:spacing w:val="2"/>
          <w:sz w:val="24"/>
          <w:szCs w:val="24"/>
          <w:highlight w:val="none"/>
        </w:rPr>
        <w:t>工、材料、</w:t>
      </w:r>
      <w:r>
        <w:rPr>
          <w:rFonts w:hint="eastAsia" w:ascii="宋体" w:hAnsi="宋体" w:eastAsia="宋体" w:cs="宋体"/>
          <w:color w:val="auto"/>
          <w:sz w:val="24"/>
          <w:szCs w:val="24"/>
          <w:highlight w:val="none"/>
        </w:rPr>
        <w:t>设</w:t>
      </w:r>
      <w:r>
        <w:rPr>
          <w:rFonts w:hint="eastAsia" w:ascii="宋体" w:hAnsi="宋体" w:eastAsia="宋体" w:cs="宋体"/>
          <w:color w:val="auto"/>
          <w:spacing w:val="2"/>
          <w:sz w:val="24"/>
          <w:szCs w:val="24"/>
          <w:highlight w:val="none"/>
        </w:rPr>
        <w:t>备等因素</w:t>
      </w:r>
      <w:r>
        <w:rPr>
          <w:rFonts w:hint="eastAsia" w:ascii="宋体" w:hAnsi="宋体" w:eastAsia="宋体" w:cs="宋体"/>
          <w:color w:val="auto"/>
          <w:sz w:val="24"/>
          <w:szCs w:val="24"/>
          <w:highlight w:val="none"/>
        </w:rPr>
        <w:t>的</w:t>
      </w:r>
      <w:r>
        <w:rPr>
          <w:rFonts w:hint="eastAsia" w:ascii="宋体" w:hAnsi="宋体" w:eastAsia="宋体" w:cs="宋体"/>
          <w:color w:val="auto"/>
          <w:spacing w:val="2"/>
          <w:sz w:val="24"/>
          <w:szCs w:val="24"/>
          <w:highlight w:val="none"/>
        </w:rPr>
        <w:t>市场价格变</w:t>
      </w:r>
      <w:r>
        <w:rPr>
          <w:rFonts w:hint="eastAsia" w:ascii="宋体" w:hAnsi="宋体" w:eastAsia="宋体" w:cs="宋体"/>
          <w:color w:val="auto"/>
          <w:sz w:val="24"/>
          <w:szCs w:val="24"/>
          <w:highlight w:val="none"/>
        </w:rPr>
        <w:t>化</w:t>
      </w:r>
      <w:r>
        <w:rPr>
          <w:rFonts w:hint="eastAsia" w:ascii="宋体" w:hAnsi="宋体" w:eastAsia="宋体" w:cs="宋体"/>
          <w:color w:val="auto"/>
          <w:spacing w:val="2"/>
          <w:sz w:val="24"/>
          <w:szCs w:val="24"/>
          <w:highlight w:val="none"/>
        </w:rPr>
        <w:t>导致本</w:t>
      </w:r>
      <w:r>
        <w:rPr>
          <w:rFonts w:hint="eastAsia" w:ascii="宋体" w:hAnsi="宋体" w:eastAsia="宋体" w:cs="宋体"/>
          <w:color w:val="auto"/>
          <w:sz w:val="24"/>
          <w:szCs w:val="24"/>
          <w:highlight w:val="none"/>
        </w:rPr>
        <w:t>项</w:t>
      </w:r>
      <w:r>
        <w:rPr>
          <w:rFonts w:hint="eastAsia" w:ascii="宋体" w:hAnsi="宋体" w:eastAsia="宋体" w:cs="宋体"/>
          <w:color w:val="auto"/>
          <w:spacing w:val="1"/>
          <w:sz w:val="24"/>
          <w:szCs w:val="24"/>
          <w:highlight w:val="none"/>
        </w:rPr>
        <w:t>目</w:t>
      </w:r>
      <w:r>
        <w:rPr>
          <w:rFonts w:hint="eastAsia" w:ascii="宋体" w:hAnsi="宋体" w:eastAsia="宋体" w:cs="宋体"/>
          <w:color w:val="auto"/>
          <w:spacing w:val="2"/>
          <w:sz w:val="24"/>
          <w:szCs w:val="24"/>
          <w:highlight w:val="none"/>
        </w:rPr>
        <w:t>监理服务</w:t>
      </w:r>
      <w:r>
        <w:rPr>
          <w:rFonts w:hint="eastAsia" w:ascii="宋体" w:hAnsi="宋体" w:eastAsia="宋体" w:cs="宋体"/>
          <w:color w:val="auto"/>
          <w:sz w:val="24"/>
          <w:szCs w:val="24"/>
          <w:highlight w:val="none"/>
        </w:rPr>
        <w:t>费用变</w:t>
      </w:r>
      <w:r>
        <w:rPr>
          <w:rFonts w:hint="eastAsia" w:ascii="宋体" w:hAnsi="宋体" w:eastAsia="宋体" w:cs="宋体"/>
          <w:color w:val="auto"/>
          <w:spacing w:val="-3"/>
          <w:sz w:val="24"/>
          <w:szCs w:val="24"/>
          <w:highlight w:val="none"/>
        </w:rPr>
        <w:t>化</w:t>
      </w:r>
      <w:r>
        <w:rPr>
          <w:rFonts w:hint="eastAsia" w:ascii="宋体" w:hAnsi="宋体" w:eastAsia="宋体" w:cs="宋体"/>
          <w:color w:val="auto"/>
          <w:sz w:val="24"/>
          <w:szCs w:val="24"/>
          <w:highlight w:val="none"/>
        </w:rPr>
        <w:t>，合</w:t>
      </w:r>
      <w:r>
        <w:rPr>
          <w:rFonts w:hint="eastAsia" w:ascii="宋体" w:hAnsi="宋体" w:eastAsia="宋体" w:cs="宋体"/>
          <w:color w:val="auto"/>
          <w:spacing w:val="-3"/>
          <w:sz w:val="24"/>
          <w:szCs w:val="24"/>
          <w:highlight w:val="none"/>
        </w:rPr>
        <w:t>同</w:t>
      </w:r>
      <w:r>
        <w:rPr>
          <w:rFonts w:hint="eastAsia" w:ascii="宋体" w:hAnsi="宋体" w:eastAsia="宋体" w:cs="宋体"/>
          <w:color w:val="auto"/>
          <w:sz w:val="24"/>
          <w:szCs w:val="24"/>
          <w:highlight w:val="none"/>
        </w:rPr>
        <w:t>价格</w:t>
      </w:r>
      <w:r>
        <w:rPr>
          <w:rFonts w:hint="eastAsia" w:ascii="宋体" w:hAnsi="宋体" w:eastAsia="宋体" w:cs="宋体"/>
          <w:color w:val="auto"/>
          <w:spacing w:val="-2"/>
          <w:sz w:val="24"/>
          <w:szCs w:val="24"/>
          <w:highlight w:val="none"/>
        </w:rPr>
        <w:t>的</w:t>
      </w:r>
      <w:r>
        <w:rPr>
          <w:rFonts w:hint="eastAsia" w:ascii="宋体" w:hAnsi="宋体" w:eastAsia="宋体" w:cs="宋体"/>
          <w:color w:val="auto"/>
          <w:spacing w:val="-3"/>
          <w:sz w:val="24"/>
          <w:szCs w:val="24"/>
          <w:highlight w:val="none"/>
        </w:rPr>
        <w:t>调</w:t>
      </w:r>
      <w:r>
        <w:rPr>
          <w:rFonts w:hint="eastAsia" w:ascii="宋体" w:hAnsi="宋体" w:eastAsia="宋体" w:cs="宋体"/>
          <w:color w:val="auto"/>
          <w:sz w:val="24"/>
          <w:szCs w:val="24"/>
          <w:highlight w:val="none"/>
        </w:rPr>
        <w:t>整方式</w:t>
      </w:r>
      <w:r>
        <w:rPr>
          <w:rFonts w:hint="eastAsia" w:ascii="宋体" w:hAnsi="宋体" w:eastAsia="宋体" w:cs="宋体"/>
          <w:color w:val="auto"/>
          <w:spacing w:val="-3"/>
          <w:sz w:val="24"/>
          <w:szCs w:val="24"/>
          <w:highlight w:val="none"/>
        </w:rPr>
        <w:t>和</w:t>
      </w:r>
      <w:r>
        <w:rPr>
          <w:rFonts w:hint="eastAsia" w:ascii="宋体" w:hAnsi="宋体" w:eastAsia="宋体" w:cs="宋体"/>
          <w:color w:val="auto"/>
          <w:sz w:val="24"/>
          <w:szCs w:val="24"/>
          <w:highlight w:val="none"/>
        </w:rPr>
        <w:t>风险</w:t>
      </w:r>
      <w:r>
        <w:rPr>
          <w:rFonts w:hint="eastAsia" w:ascii="宋体" w:hAnsi="宋体" w:eastAsia="宋体" w:cs="宋体"/>
          <w:color w:val="auto"/>
          <w:spacing w:val="-3"/>
          <w:sz w:val="24"/>
          <w:szCs w:val="24"/>
          <w:highlight w:val="none"/>
        </w:rPr>
        <w:t>范</w:t>
      </w:r>
      <w:r>
        <w:rPr>
          <w:rFonts w:hint="eastAsia" w:ascii="宋体" w:hAnsi="宋体" w:eastAsia="宋体" w:cs="宋体"/>
          <w:color w:val="auto"/>
          <w:sz w:val="24"/>
          <w:szCs w:val="24"/>
          <w:highlight w:val="none"/>
        </w:rPr>
        <w:t>围划</w:t>
      </w:r>
      <w:r>
        <w:rPr>
          <w:rFonts w:hint="eastAsia" w:ascii="宋体" w:hAnsi="宋体" w:eastAsia="宋体" w:cs="宋体"/>
          <w:color w:val="auto"/>
          <w:spacing w:val="-3"/>
          <w:sz w:val="24"/>
          <w:szCs w:val="24"/>
          <w:highlight w:val="none"/>
        </w:rPr>
        <w:t>分</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kern w:val="0"/>
          <w:sz w:val="24"/>
          <w:szCs w:val="24"/>
          <w:highlight w:val="none"/>
          <w:u w:val="single"/>
        </w:rPr>
        <w:t>监理服务费不进行调整</w:t>
      </w:r>
      <w:r>
        <w:rPr>
          <w:rFonts w:hint="eastAsia" w:ascii="宋体" w:hAnsi="宋体" w:eastAsia="宋体" w:cs="宋体"/>
          <w:color w:val="auto"/>
          <w:sz w:val="24"/>
          <w:szCs w:val="24"/>
          <w:highlight w:val="none"/>
        </w:rPr>
        <w:t>。</w:t>
      </w:r>
    </w:p>
    <w:p w14:paraId="11DB3039">
      <w:pPr>
        <w:keepNext w:val="0"/>
        <w:keepLines w:val="0"/>
        <w:widowControl w:val="0"/>
        <w:kinsoku w:val="0"/>
        <w:overflowPunct w:val="0"/>
        <w:autoSpaceDE w:val="0"/>
        <w:autoSpaceDN w:val="0"/>
        <w:bidi w:val="0"/>
        <w:adjustRightInd w:val="0"/>
        <w:spacing w:line="407" w:lineRule="exact"/>
        <w:jc w:val="left"/>
        <w:rPr>
          <w:rFonts w:hint="eastAsia" w:ascii="宋体" w:hAnsi="宋体" w:eastAsia="宋体" w:cs="宋体"/>
          <w:b/>
          <w:color w:val="auto"/>
          <w:spacing w:val="1"/>
          <w:sz w:val="24"/>
          <w:szCs w:val="24"/>
          <w:highlight w:val="none"/>
          <w:lang w:eastAsia="zh-CN"/>
        </w:rPr>
      </w:pPr>
      <w:r>
        <w:rPr>
          <w:rFonts w:hint="eastAsia" w:ascii="宋体" w:hAnsi="宋体" w:eastAsia="宋体" w:cs="宋体"/>
          <w:b/>
          <w:color w:val="auto"/>
          <w:spacing w:val="1"/>
          <w:sz w:val="24"/>
          <w:szCs w:val="24"/>
          <w:highlight w:val="none"/>
          <w:lang w:eastAsia="zh-CN"/>
        </w:rPr>
        <w:t>9.3中期支付</w:t>
      </w:r>
    </w:p>
    <w:p w14:paraId="4E3BA286">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将通用条款9.3.2项内容修改为：</w:t>
      </w:r>
    </w:p>
    <w:p w14:paraId="4D8B675A">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9.3.2委托人将在收到监理人提交的监理服务费付款申请单后</w:t>
      </w:r>
      <w:r>
        <w:rPr>
          <w:rFonts w:hint="eastAsia" w:ascii="宋体" w:hAnsi="宋体" w:eastAsia="宋体" w:cs="宋体"/>
          <w:color w:val="auto"/>
          <w:kern w:val="21"/>
          <w:sz w:val="24"/>
          <w:szCs w:val="24"/>
          <w:highlight w:val="none"/>
          <w:u w:val="single"/>
          <w:lang w:eastAsia="zh-CN"/>
        </w:rPr>
        <w:t>28</w:t>
      </w:r>
      <w:r>
        <w:rPr>
          <w:rFonts w:hint="eastAsia" w:ascii="宋体" w:hAnsi="宋体" w:eastAsia="宋体" w:cs="宋体"/>
          <w:color w:val="auto"/>
          <w:kern w:val="21"/>
          <w:sz w:val="24"/>
          <w:szCs w:val="24"/>
          <w:highlight w:val="none"/>
          <w:lang w:eastAsia="zh-CN"/>
        </w:rPr>
        <w:t>日内进行审核并予以支付，支付原则如下：</w:t>
      </w:r>
    </w:p>
    <w:p w14:paraId="2985FE35">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（1）施工阶段（含施工准备阶段）监理服务费的计量支付方法如下：</w:t>
      </w:r>
    </w:p>
    <w:p w14:paraId="1A435BC0">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上一季度的监理服务费将在下一季度的第一个月中旬内支付，监理人应在每季度最后一个月的28日前向委托人提交支付申请，委托人将根据支付申请进行审批支付，支付申请包括以下栏目：</w:t>
      </w:r>
    </w:p>
    <w:p w14:paraId="32562C06">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a.正常服务的费用</w:t>
      </w:r>
    </w:p>
    <w:p w14:paraId="22EE952E">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计算式：“施工阶段（含施工准备阶段）监理服务费总额（扣除其他费用）×该季度承包人完成工作量费用总额（扣除工程变更设计增减的费用和材料调差等费用）/承包人合同价总额（不包括暂列金）；</w:t>
      </w:r>
    </w:p>
    <w:p w14:paraId="05F0616F">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b.按本项目专用合同条款的规定本季应得的奖励及证明资料；</w:t>
      </w:r>
    </w:p>
    <w:p w14:paraId="279097C0">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c.按本项目专用合同条款规定本季应得的其他费用；</w:t>
      </w:r>
    </w:p>
    <w:p w14:paraId="08161537">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d.按本项目专用合同条款的规定本季应扣除的罚款；</w:t>
      </w:r>
    </w:p>
    <w:p w14:paraId="348548CF">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e.本季应扣除的动员预付款和借款数额；</w:t>
      </w:r>
    </w:p>
    <w:p w14:paraId="7E8AE6CF">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f.本项目将采用项目管理系统，通过计算机网络进行信息管理，对计算机网络管理的有关要求和配置，监理人应积极配合(包括设备与人员配置)，并按委托人的要求使用委托人搭建的计算机网络进行相关的工程监理和管理。委托人将向监理人收取万元作为项目管理系统软件使用费，在第一次计量中予以扣回。</w:t>
      </w:r>
    </w:p>
    <w:p w14:paraId="63FDF6DC">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val="en-US" w:eastAsia="zh-CN"/>
        </w:rPr>
      </w:pPr>
      <w:r>
        <w:rPr>
          <w:rFonts w:hint="eastAsia" w:ascii="宋体" w:hAnsi="宋体" w:eastAsia="宋体" w:cs="宋体"/>
          <w:color w:val="auto"/>
          <w:kern w:val="21"/>
          <w:sz w:val="24"/>
          <w:szCs w:val="24"/>
          <w:highlight w:val="none"/>
          <w:lang w:eastAsia="zh-CN"/>
        </w:rPr>
        <w:t>g.</w:t>
      </w:r>
      <w:r>
        <w:rPr>
          <w:rFonts w:hint="eastAsia" w:ascii="宋体" w:hAnsi="宋体" w:eastAsia="宋体" w:cs="宋体"/>
          <w:color w:val="auto"/>
          <w:kern w:val="21"/>
          <w:sz w:val="24"/>
          <w:szCs w:val="24"/>
          <w:highlight w:val="none"/>
          <w:lang w:eastAsia="zh-CN"/>
        </w:rPr>
        <w:tab/>
      </w:r>
      <w:r>
        <w:rPr>
          <w:rFonts w:hint="eastAsia" w:ascii="宋体" w:hAnsi="宋体" w:eastAsia="宋体" w:cs="宋体"/>
          <w:color w:val="auto"/>
          <w:kern w:val="21"/>
          <w:sz w:val="24"/>
          <w:szCs w:val="24"/>
          <w:highlight w:val="none"/>
          <w:u w:val="single"/>
          <w:lang w:val="en-US" w:eastAsia="zh-CN"/>
        </w:rPr>
        <w:t>/</w:t>
      </w:r>
    </w:p>
    <w:p w14:paraId="3A6D3151">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u w:val="single"/>
          <w:lang w:eastAsia="zh-CN"/>
        </w:rPr>
      </w:pPr>
      <w:r>
        <w:rPr>
          <w:rFonts w:hint="eastAsia" w:ascii="宋体" w:hAnsi="宋体" w:eastAsia="宋体" w:cs="宋体"/>
          <w:color w:val="auto"/>
          <w:kern w:val="21"/>
          <w:sz w:val="24"/>
          <w:szCs w:val="24"/>
          <w:highlight w:val="none"/>
          <w:lang w:eastAsia="zh-CN"/>
        </w:rPr>
        <w:t>（2）监理服务费变更费用经双方协商确认后，在监理服务所对应工作期限内按季度支付或按双方签订的补充协议约定的支付方式进行支付。计量的监理服务费</w:t>
      </w:r>
      <w:r>
        <w:rPr>
          <w:rFonts w:hint="eastAsia" w:ascii="宋体" w:hAnsi="宋体" w:eastAsia="宋体" w:cs="宋体"/>
          <w:color w:val="auto"/>
          <w:kern w:val="21"/>
          <w:sz w:val="24"/>
          <w:szCs w:val="24"/>
          <w:highlight w:val="none"/>
          <w:lang w:val="en-US" w:eastAsia="zh-CN"/>
        </w:rPr>
        <w:t>按实际计量。</w:t>
      </w:r>
    </w:p>
    <w:p w14:paraId="55820C57">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（3）交(竣)工验收及缺陷责任期阶段监理服务费的计量支付方法如下：</w:t>
      </w:r>
    </w:p>
    <w:p w14:paraId="2B208950">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a.交(竣)工验收及与缺陷责任期监理包干总费用：按照投标人的报价在交(竣)工验收及缺陷责任期</w:t>
      </w:r>
      <w:r>
        <w:rPr>
          <w:rFonts w:hint="eastAsia" w:ascii="宋体" w:hAnsi="宋体" w:eastAsia="宋体" w:cs="宋体"/>
          <w:color w:val="auto"/>
          <w:kern w:val="21"/>
          <w:sz w:val="24"/>
          <w:szCs w:val="24"/>
          <w:highlight w:val="none"/>
          <w:u w:val="single"/>
          <w:lang w:eastAsia="zh-CN"/>
        </w:rPr>
        <w:t>分</w:t>
      </w:r>
      <w:r>
        <w:rPr>
          <w:rFonts w:hint="eastAsia" w:ascii="宋体" w:hAnsi="宋体" w:eastAsia="宋体" w:cs="宋体"/>
          <w:color w:val="auto"/>
          <w:kern w:val="21"/>
          <w:sz w:val="24"/>
          <w:szCs w:val="24"/>
          <w:highlight w:val="none"/>
          <w:u w:val="single"/>
          <w:lang w:val="en-US" w:eastAsia="zh-CN"/>
        </w:rPr>
        <w:t>1</w:t>
      </w:r>
      <w:r>
        <w:rPr>
          <w:rFonts w:hint="eastAsia" w:ascii="宋体" w:hAnsi="宋体" w:eastAsia="宋体" w:cs="宋体"/>
          <w:color w:val="auto"/>
          <w:kern w:val="21"/>
          <w:sz w:val="24"/>
          <w:szCs w:val="24"/>
          <w:highlight w:val="none"/>
          <w:u w:val="single"/>
          <w:lang w:eastAsia="zh-CN"/>
        </w:rPr>
        <w:t>次</w:t>
      </w:r>
      <w:r>
        <w:rPr>
          <w:rFonts w:hint="eastAsia" w:ascii="宋体" w:hAnsi="宋体" w:eastAsia="宋体" w:cs="宋体"/>
          <w:color w:val="auto"/>
          <w:kern w:val="21"/>
          <w:sz w:val="24"/>
          <w:szCs w:val="24"/>
          <w:highlight w:val="none"/>
          <w:lang w:eastAsia="zh-CN"/>
        </w:rPr>
        <w:t>计量；</w:t>
      </w:r>
    </w:p>
    <w:p w14:paraId="720F24AC">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b.按本监理合同专用条款规定本季应得的奖励及证明资料；</w:t>
      </w:r>
    </w:p>
    <w:p w14:paraId="226F0F99">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c.按本合同规定本季应得的其他费用；</w:t>
      </w:r>
    </w:p>
    <w:p w14:paraId="49A0DA44">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d.按本监理合同专用条款的规定本季应扣除的违约金；</w:t>
      </w:r>
    </w:p>
    <w:p w14:paraId="31AFC7F1">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u w:val="single"/>
          <w:lang w:eastAsia="zh-CN"/>
        </w:rPr>
      </w:pPr>
      <w:r>
        <w:rPr>
          <w:rFonts w:hint="eastAsia" w:ascii="宋体" w:hAnsi="宋体" w:eastAsia="宋体" w:cs="宋体"/>
          <w:color w:val="auto"/>
          <w:kern w:val="21"/>
          <w:sz w:val="24"/>
          <w:szCs w:val="24"/>
          <w:highlight w:val="none"/>
          <w:lang w:eastAsia="zh-CN"/>
        </w:rPr>
        <w:t>9.3.5最终结清付款涉及政府投资资金的，支付规定如下</w:t>
      </w:r>
      <w:r>
        <w:rPr>
          <w:rFonts w:hint="eastAsia" w:ascii="宋体" w:hAnsi="宋体" w:eastAsia="宋体" w:cs="宋体"/>
          <w:color w:val="auto"/>
          <w:kern w:val="21"/>
          <w:sz w:val="24"/>
          <w:szCs w:val="24"/>
          <w:highlight w:val="none"/>
          <w:u w:val="single"/>
          <w:lang w:eastAsia="zh-CN"/>
        </w:rPr>
        <w:t>：按本专业条款缺陷责任期满及竣工验收支付规定执行。</w:t>
      </w:r>
    </w:p>
    <w:p w14:paraId="7E4416CD">
      <w:pPr>
        <w:keepNext w:val="0"/>
        <w:keepLines w:val="0"/>
        <w:widowControl w:val="0"/>
        <w:kinsoku w:val="0"/>
        <w:overflowPunct w:val="0"/>
        <w:autoSpaceDE w:val="0"/>
        <w:autoSpaceDN w:val="0"/>
        <w:bidi w:val="0"/>
        <w:adjustRightInd w:val="0"/>
        <w:spacing w:line="407" w:lineRule="exact"/>
        <w:ind w:left="144"/>
        <w:jc w:val="left"/>
        <w:rPr>
          <w:rFonts w:hint="eastAsia" w:ascii="宋体" w:hAnsi="宋体" w:eastAsia="宋体" w:cs="宋体"/>
          <w:b/>
          <w:color w:val="auto"/>
          <w:sz w:val="24"/>
          <w:szCs w:val="24"/>
          <w:highlight w:val="none"/>
        </w:rPr>
      </w:pPr>
      <w:r>
        <w:rPr>
          <w:rFonts w:hint="eastAsia" w:ascii="宋体" w:hAnsi="宋体" w:eastAsia="宋体" w:cs="宋体"/>
          <w:b/>
          <w:color w:val="auto"/>
          <w:spacing w:val="1"/>
          <w:sz w:val="24"/>
          <w:szCs w:val="24"/>
          <w:highlight w:val="none"/>
        </w:rPr>
        <w:t>9</w:t>
      </w:r>
      <w:r>
        <w:rPr>
          <w:rFonts w:hint="eastAsia" w:ascii="宋体" w:hAnsi="宋体" w:eastAsia="宋体" w:cs="宋体"/>
          <w:b/>
          <w:color w:val="auto"/>
          <w:sz w:val="24"/>
          <w:szCs w:val="24"/>
          <w:highlight w:val="none"/>
        </w:rPr>
        <w:t>.5</w:t>
      </w:r>
      <w:r>
        <w:rPr>
          <w:rFonts w:hint="eastAsia" w:ascii="宋体" w:hAnsi="宋体" w:eastAsia="宋体" w:cs="宋体"/>
          <w:b/>
          <w:color w:val="auto"/>
          <w:spacing w:val="2"/>
          <w:sz w:val="24"/>
          <w:szCs w:val="24"/>
          <w:highlight w:val="none"/>
        </w:rPr>
        <w:t>暂</w:t>
      </w:r>
      <w:r>
        <w:rPr>
          <w:rFonts w:hint="eastAsia" w:ascii="宋体" w:hAnsi="宋体" w:eastAsia="宋体" w:cs="宋体"/>
          <w:b/>
          <w:color w:val="auto"/>
          <w:sz w:val="24"/>
          <w:szCs w:val="24"/>
          <w:highlight w:val="none"/>
        </w:rPr>
        <w:t>列金额</w:t>
      </w:r>
    </w:p>
    <w:p w14:paraId="462310C9">
      <w:pPr>
        <w:keepNext w:val="0"/>
        <w:keepLines w:val="0"/>
        <w:widowControl w:val="0"/>
        <w:tabs>
          <w:tab w:val="left" w:pos="4215"/>
        </w:tabs>
        <w:kinsoku w:val="0"/>
        <w:overflowPunct w:val="0"/>
        <w:autoSpaceDE w:val="0"/>
        <w:autoSpaceDN w:val="0"/>
        <w:bidi w:val="0"/>
        <w:adjustRightInd w:val="0"/>
        <w:spacing w:before="73"/>
        <w:ind w:left="58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暂列</w:t>
      </w:r>
      <w:r>
        <w:rPr>
          <w:rFonts w:hint="eastAsia" w:ascii="宋体" w:hAnsi="宋体" w:eastAsia="宋体" w:cs="宋体"/>
          <w:color w:val="auto"/>
          <w:spacing w:val="-3"/>
          <w:sz w:val="24"/>
          <w:szCs w:val="24"/>
          <w:highlight w:val="none"/>
        </w:rPr>
        <w:t>金</w:t>
      </w:r>
      <w:r>
        <w:rPr>
          <w:rFonts w:hint="eastAsia" w:ascii="宋体" w:hAnsi="宋体" w:eastAsia="宋体" w:cs="宋体"/>
          <w:color w:val="auto"/>
          <w:sz w:val="24"/>
          <w:szCs w:val="24"/>
          <w:highlight w:val="none"/>
        </w:rPr>
        <w:t>额为</w:t>
      </w:r>
      <w:r>
        <w:rPr>
          <w:rFonts w:hint="eastAsia" w:ascii="宋体" w:hAnsi="宋体" w:eastAsia="宋体" w:cs="宋体"/>
          <w:color w:val="auto"/>
          <w:spacing w:val="-3"/>
          <w:sz w:val="24"/>
          <w:szCs w:val="24"/>
          <w:highlight w:val="none"/>
        </w:rPr>
        <w:t>监理</w:t>
      </w:r>
      <w:r>
        <w:rPr>
          <w:rFonts w:hint="eastAsia" w:ascii="宋体" w:hAnsi="宋体" w:eastAsia="宋体" w:cs="宋体"/>
          <w:color w:val="auto"/>
          <w:sz w:val="24"/>
          <w:szCs w:val="24"/>
          <w:highlight w:val="none"/>
        </w:rPr>
        <w:t>服务费的</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w:t>
      </w:r>
    </w:p>
    <w:p w14:paraId="539791F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735D7D16">
      <w:pPr>
        <w:pStyle w:val="9"/>
        <w:keepNext w:val="0"/>
        <w:keepLines w:val="0"/>
        <w:tabs>
          <w:tab w:val="left" w:pos="686"/>
        </w:tabs>
        <w:kinsoku w:val="0"/>
        <w:overflowPunct w:val="0"/>
        <w:bidi w:val="0"/>
        <w:ind w:left="14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11.违约</w:t>
      </w:r>
    </w:p>
    <w:p w14:paraId="64E38E66">
      <w:pPr>
        <w:keepNext w:val="0"/>
        <w:keepLines w:val="0"/>
        <w:widowControl w:val="0"/>
        <w:kinsoku w:val="0"/>
        <w:overflowPunct w:val="0"/>
        <w:autoSpaceDE w:val="0"/>
        <w:autoSpaceDN w:val="0"/>
        <w:bidi w:val="0"/>
        <w:adjustRightInd w:val="0"/>
        <w:spacing w:before="6" w:line="110" w:lineRule="exact"/>
        <w:jc w:val="left"/>
        <w:rPr>
          <w:rFonts w:hint="eastAsia" w:ascii="宋体" w:hAnsi="宋体" w:eastAsia="宋体" w:cs="宋体"/>
          <w:color w:val="auto"/>
          <w:sz w:val="24"/>
          <w:szCs w:val="24"/>
          <w:highlight w:val="none"/>
        </w:rPr>
      </w:pPr>
    </w:p>
    <w:p w14:paraId="7738D6C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368937AF">
      <w:pPr>
        <w:keepNext w:val="0"/>
        <w:keepLines w:val="0"/>
        <w:bidi w:val="0"/>
        <w:spacing w:line="360" w:lineRule="auto"/>
        <w:ind w:firstLine="238" w:firstLineChars="10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11.1.2款细化如下：</w:t>
      </w:r>
    </w:p>
    <w:p w14:paraId="64D793A8">
      <w:pPr>
        <w:keepNext w:val="0"/>
        <w:keepLines w:val="0"/>
        <w:bidi w:val="0"/>
        <w:spacing w:line="360" w:lineRule="auto"/>
        <w:jc w:val="center"/>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11.1.2监理人发生违约情况时，委托人有权向监理人课以违约金，具体约定如下：</w:t>
      </w:r>
    </w:p>
    <w:p w14:paraId="3A1C168D">
      <w:pPr>
        <w:keepNext w:val="0"/>
        <w:keepLines w:val="0"/>
        <w:bidi w:val="0"/>
        <w:spacing w:line="360" w:lineRule="auto"/>
        <w:jc w:val="center"/>
        <w:rPr>
          <w:rFonts w:hint="eastAsia" w:ascii="宋体" w:hAnsi="宋体" w:eastAsia="宋体" w:cs="宋体"/>
          <w:b/>
          <w:bCs/>
          <w:color w:val="auto"/>
          <w:kern w:val="21"/>
          <w:highlight w:val="none"/>
          <w:u w:val="single"/>
        </w:rPr>
      </w:pPr>
    </w:p>
    <w:p w14:paraId="11C43EBB">
      <w:pPr>
        <w:pStyle w:val="2"/>
        <w:rPr>
          <w:rFonts w:hint="eastAsia" w:ascii="宋体" w:hAnsi="宋体" w:eastAsia="宋体" w:cs="宋体"/>
          <w:b/>
          <w:bCs/>
          <w:color w:val="auto"/>
          <w:kern w:val="21"/>
          <w:highlight w:val="none"/>
          <w:u w:val="single"/>
        </w:rPr>
      </w:pPr>
    </w:p>
    <w:p w14:paraId="4FBFF3A5">
      <w:pPr>
        <w:pStyle w:val="2"/>
        <w:rPr>
          <w:rFonts w:hint="eastAsia" w:ascii="宋体" w:hAnsi="宋体" w:eastAsia="宋体" w:cs="宋体"/>
          <w:b/>
          <w:bCs/>
          <w:color w:val="auto"/>
          <w:kern w:val="21"/>
          <w:highlight w:val="none"/>
          <w:u w:val="single"/>
        </w:rPr>
      </w:pPr>
    </w:p>
    <w:p w14:paraId="14B054C5">
      <w:pPr>
        <w:pStyle w:val="2"/>
        <w:rPr>
          <w:rFonts w:hint="eastAsia" w:ascii="宋体" w:hAnsi="宋体" w:eastAsia="宋体" w:cs="宋体"/>
          <w:b/>
          <w:bCs/>
          <w:color w:val="auto"/>
          <w:kern w:val="21"/>
          <w:highlight w:val="none"/>
          <w:u w:val="single"/>
        </w:rPr>
      </w:pPr>
    </w:p>
    <w:p w14:paraId="2E0C8318">
      <w:pPr>
        <w:keepNext w:val="0"/>
        <w:keepLines w:val="0"/>
        <w:bidi w:val="0"/>
        <w:spacing w:line="360" w:lineRule="auto"/>
        <w:jc w:val="center"/>
        <w:rPr>
          <w:rFonts w:hint="eastAsia" w:ascii="宋体" w:hAnsi="宋体" w:eastAsia="宋体" w:cs="宋体"/>
          <w:b/>
          <w:bCs/>
          <w:color w:val="auto"/>
          <w:kern w:val="21"/>
          <w:sz w:val="24"/>
          <w:szCs w:val="24"/>
          <w:highlight w:val="none"/>
          <w:u w:val="single"/>
          <w:lang w:eastAsia="zh-CN"/>
        </w:rPr>
      </w:pPr>
      <w:r>
        <w:rPr>
          <w:rFonts w:hint="eastAsia" w:ascii="宋体" w:hAnsi="宋体" w:eastAsia="宋体" w:cs="宋体"/>
          <w:b/>
          <w:bCs/>
          <w:color w:val="auto"/>
          <w:kern w:val="21"/>
          <w:sz w:val="24"/>
          <w:szCs w:val="24"/>
          <w:highlight w:val="none"/>
          <w:u w:val="single"/>
        </w:rPr>
        <w:t>监理人违约金一览表</w:t>
      </w:r>
    </w:p>
    <w:tbl>
      <w:tblPr>
        <w:tblStyle w:val="21"/>
        <w:tblW w:w="956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769"/>
        <w:gridCol w:w="720"/>
        <w:gridCol w:w="8080"/>
      </w:tblGrid>
      <w:tr w14:paraId="78B627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67" w:hRule="atLeast"/>
          <w:tblHeader/>
          <w:jc w:val="center"/>
        </w:trPr>
        <w:tc>
          <w:tcPr>
            <w:tcW w:w="769" w:type="dxa"/>
            <w:noWrap w:val="0"/>
            <w:vAlign w:val="center"/>
          </w:tcPr>
          <w:p w14:paraId="1000E10B">
            <w:pPr>
              <w:keepNext w:val="0"/>
              <w:keepLines w:val="0"/>
              <w:bidi w:val="0"/>
              <w:jc w:val="center"/>
              <w:rPr>
                <w:rFonts w:hint="eastAsia" w:ascii="宋体" w:hAnsi="宋体" w:eastAsia="宋体" w:cs="宋体"/>
                <w:b/>
                <w:bCs/>
                <w:color w:val="auto"/>
                <w:kern w:val="21"/>
                <w:sz w:val="24"/>
                <w:szCs w:val="24"/>
                <w:highlight w:val="none"/>
              </w:rPr>
            </w:pPr>
            <w:r>
              <w:rPr>
                <w:rFonts w:hint="eastAsia" w:ascii="宋体" w:hAnsi="宋体" w:eastAsia="宋体" w:cs="宋体"/>
                <w:b/>
                <w:bCs/>
                <w:color w:val="auto"/>
                <w:kern w:val="21"/>
                <w:sz w:val="24"/>
                <w:szCs w:val="24"/>
                <w:highlight w:val="none"/>
              </w:rPr>
              <w:t>类别</w:t>
            </w:r>
          </w:p>
        </w:tc>
        <w:tc>
          <w:tcPr>
            <w:tcW w:w="720" w:type="dxa"/>
            <w:noWrap w:val="0"/>
            <w:vAlign w:val="center"/>
          </w:tcPr>
          <w:p w14:paraId="2D473036">
            <w:pPr>
              <w:keepNext w:val="0"/>
              <w:keepLines w:val="0"/>
              <w:bidi w:val="0"/>
              <w:jc w:val="center"/>
              <w:rPr>
                <w:rFonts w:hint="eastAsia" w:ascii="宋体" w:hAnsi="宋体" w:eastAsia="宋体" w:cs="宋体"/>
                <w:b/>
                <w:bCs/>
                <w:color w:val="auto"/>
                <w:kern w:val="21"/>
                <w:sz w:val="24"/>
                <w:szCs w:val="24"/>
                <w:highlight w:val="none"/>
              </w:rPr>
            </w:pPr>
            <w:r>
              <w:rPr>
                <w:rFonts w:hint="eastAsia" w:ascii="宋体" w:hAnsi="宋体" w:eastAsia="宋体" w:cs="宋体"/>
                <w:b/>
                <w:bCs/>
                <w:color w:val="auto"/>
                <w:kern w:val="21"/>
                <w:sz w:val="24"/>
                <w:szCs w:val="24"/>
                <w:highlight w:val="none"/>
              </w:rPr>
              <w:t>序号</w:t>
            </w:r>
          </w:p>
        </w:tc>
        <w:tc>
          <w:tcPr>
            <w:tcW w:w="8080" w:type="dxa"/>
            <w:noWrap w:val="0"/>
            <w:vAlign w:val="center"/>
          </w:tcPr>
          <w:p w14:paraId="294FF14D">
            <w:pPr>
              <w:keepNext w:val="0"/>
              <w:keepLines w:val="0"/>
              <w:bidi w:val="0"/>
              <w:jc w:val="center"/>
              <w:rPr>
                <w:rFonts w:hint="eastAsia" w:ascii="宋体" w:hAnsi="宋体" w:eastAsia="宋体" w:cs="宋体"/>
                <w:b/>
                <w:bCs/>
                <w:color w:val="auto"/>
                <w:kern w:val="21"/>
                <w:sz w:val="24"/>
                <w:szCs w:val="24"/>
                <w:highlight w:val="none"/>
              </w:rPr>
            </w:pPr>
            <w:r>
              <w:rPr>
                <w:rFonts w:hint="eastAsia" w:ascii="宋体" w:hAnsi="宋体" w:eastAsia="宋体" w:cs="宋体"/>
                <w:b/>
                <w:bCs/>
                <w:color w:val="auto"/>
                <w:kern w:val="21"/>
                <w:sz w:val="24"/>
                <w:szCs w:val="24"/>
                <w:highlight w:val="none"/>
              </w:rPr>
              <w:t>违约项目</w:t>
            </w:r>
          </w:p>
        </w:tc>
      </w:tr>
      <w:tr w14:paraId="67E43F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421" w:hRule="atLeast"/>
          <w:jc w:val="center"/>
        </w:trPr>
        <w:tc>
          <w:tcPr>
            <w:tcW w:w="769" w:type="dxa"/>
            <w:vMerge w:val="restart"/>
            <w:noWrap w:val="0"/>
            <w:vAlign w:val="center"/>
          </w:tcPr>
          <w:p w14:paraId="139A1C8C">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职业操守</w:t>
            </w:r>
          </w:p>
        </w:tc>
        <w:tc>
          <w:tcPr>
            <w:tcW w:w="720" w:type="dxa"/>
            <w:noWrap w:val="0"/>
            <w:vAlign w:val="center"/>
          </w:tcPr>
          <w:p w14:paraId="2C31E983">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w:t>
            </w:r>
          </w:p>
        </w:tc>
        <w:tc>
          <w:tcPr>
            <w:tcW w:w="8080" w:type="dxa"/>
            <w:noWrap w:val="0"/>
            <w:vAlign w:val="center"/>
          </w:tcPr>
          <w:p w14:paraId="1D8D2D52">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监理工程师如在质量管理、计量和变更设计工作中弄虚作假，包括但不仅限于存在质量不合格项目或承包人未实施的项目进入月度计量的情况，每发现一次：</w:t>
            </w:r>
          </w:p>
          <w:p w14:paraId="3AC4CD11">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（1）扣除监理服务费5</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元，同时替换该监理工程师；</w:t>
            </w:r>
          </w:p>
          <w:p w14:paraId="75921226">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（2）如给委托人造成重大损失、情节严重的将移交司法机关处理。</w:t>
            </w:r>
          </w:p>
        </w:tc>
      </w:tr>
      <w:tr w14:paraId="000F3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201" w:hRule="atLeast"/>
          <w:jc w:val="center"/>
        </w:trPr>
        <w:tc>
          <w:tcPr>
            <w:tcW w:w="769" w:type="dxa"/>
            <w:vMerge w:val="continue"/>
            <w:noWrap w:val="0"/>
            <w:vAlign w:val="center"/>
          </w:tcPr>
          <w:p w14:paraId="1475628F">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739E14FA">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w:t>
            </w:r>
          </w:p>
        </w:tc>
        <w:tc>
          <w:tcPr>
            <w:tcW w:w="8080" w:type="dxa"/>
            <w:noWrap w:val="0"/>
            <w:vAlign w:val="center"/>
          </w:tcPr>
          <w:p w14:paraId="5A930B53">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监理工程师不得借职务之便违规向承包人介绍分包队伍、推销原材料、介绍务工人员，如有发生：</w:t>
            </w:r>
          </w:p>
          <w:p w14:paraId="5CAF68C2">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（1）扣除监理服务费5</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w:t>
            </w:r>
          </w:p>
          <w:p w14:paraId="31F8B2DB">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（2）撤换该监理工程师并将分包队伍、材料供应商及有关人员清除出场。</w:t>
            </w:r>
          </w:p>
        </w:tc>
      </w:tr>
      <w:tr w14:paraId="2C583E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422" w:hRule="atLeast"/>
          <w:jc w:val="center"/>
        </w:trPr>
        <w:tc>
          <w:tcPr>
            <w:tcW w:w="769" w:type="dxa"/>
            <w:vMerge w:val="continue"/>
            <w:noWrap w:val="0"/>
            <w:vAlign w:val="center"/>
          </w:tcPr>
          <w:p w14:paraId="0137E1B3">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0D12788C">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w:t>
            </w:r>
          </w:p>
        </w:tc>
        <w:tc>
          <w:tcPr>
            <w:tcW w:w="8080" w:type="dxa"/>
            <w:noWrap w:val="0"/>
            <w:vAlign w:val="center"/>
          </w:tcPr>
          <w:p w14:paraId="356F1515">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监理工程师在监理工作中发生越权审批或肢解变更项目、变相越权审批等行为，每次处以1万元的违约金，情节特别严重的处以3</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元的违约金，给委托人造成经济损失的，监理人应以损失额的30%（在合同条款11.5款规定的赔偿限额内）赔付给委托人，同时该人员必须被撤换。</w:t>
            </w:r>
          </w:p>
        </w:tc>
      </w:tr>
      <w:tr w14:paraId="589A0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13" w:hRule="atLeast"/>
          <w:jc w:val="center"/>
        </w:trPr>
        <w:tc>
          <w:tcPr>
            <w:tcW w:w="769" w:type="dxa"/>
            <w:vMerge w:val="continue"/>
            <w:noWrap w:val="0"/>
            <w:vAlign w:val="center"/>
          </w:tcPr>
          <w:p w14:paraId="53954484">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5A62D93D">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w:t>
            </w:r>
          </w:p>
        </w:tc>
        <w:tc>
          <w:tcPr>
            <w:tcW w:w="8080" w:type="dxa"/>
            <w:noWrap w:val="0"/>
            <w:vAlign w:val="center"/>
          </w:tcPr>
          <w:p w14:paraId="5E3703B7">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如发现监理人的投标文件中所报业绩资料有弄虚作假的：</w:t>
            </w:r>
          </w:p>
          <w:p w14:paraId="59FC895A">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（1）发现一项处以监理服务费5</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元的违约金；</w:t>
            </w:r>
          </w:p>
          <w:p w14:paraId="75A1E438">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（2）情况恶劣的，委托人有权单方面终止监理合同，并没收监理人的履约担保金。</w:t>
            </w:r>
          </w:p>
        </w:tc>
      </w:tr>
      <w:tr w14:paraId="3D3A7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041" w:hRule="atLeast"/>
          <w:jc w:val="center"/>
        </w:trPr>
        <w:tc>
          <w:tcPr>
            <w:tcW w:w="769" w:type="dxa"/>
            <w:vMerge w:val="continue"/>
            <w:noWrap w:val="0"/>
            <w:vAlign w:val="center"/>
          </w:tcPr>
          <w:p w14:paraId="59EE39B3">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653E82B7">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w:t>
            </w:r>
          </w:p>
        </w:tc>
        <w:tc>
          <w:tcPr>
            <w:tcW w:w="8080" w:type="dxa"/>
            <w:noWrap w:val="0"/>
            <w:vAlign w:val="center"/>
          </w:tcPr>
          <w:p w14:paraId="61545937">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投标文件中所报主要监理人员中的工作经历或证件有弄虚作假的：</w:t>
            </w:r>
          </w:p>
          <w:p w14:paraId="7F0F9604">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（1）发现一人处以监理服务费1</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元的违约金；</w:t>
            </w:r>
          </w:p>
          <w:p w14:paraId="23EC2FC0">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（2）情节恶劣的，委托人有权要求更换该人员。</w:t>
            </w:r>
          </w:p>
        </w:tc>
      </w:tr>
      <w:tr w14:paraId="636B2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825" w:hRule="atLeast"/>
          <w:jc w:val="center"/>
        </w:trPr>
        <w:tc>
          <w:tcPr>
            <w:tcW w:w="769" w:type="dxa"/>
            <w:vMerge w:val="continue"/>
            <w:noWrap w:val="0"/>
            <w:vAlign w:val="center"/>
          </w:tcPr>
          <w:p w14:paraId="0679326E">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24994BF0">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w:t>
            </w:r>
          </w:p>
        </w:tc>
        <w:tc>
          <w:tcPr>
            <w:tcW w:w="8080" w:type="dxa"/>
            <w:noWrap w:val="0"/>
            <w:vAlign w:val="center"/>
          </w:tcPr>
          <w:p w14:paraId="4E043C60">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投标时列报的人员不能满足40%为本单位自有人员的（自有人员是指为监理人服务年限不少于3年的人员），按下列条款处理：</w:t>
            </w:r>
          </w:p>
          <w:p w14:paraId="1AC82587">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（1）处以5万元的违约金；</w:t>
            </w:r>
          </w:p>
          <w:p w14:paraId="632D72ED">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（2）同时须按要求补足至最低限度要求，如不执行，委托人将处以500元/天/人的违约金直至监理人纠正至满足要求为止。</w:t>
            </w:r>
          </w:p>
        </w:tc>
      </w:tr>
      <w:tr w14:paraId="571E37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88" w:hRule="atLeast"/>
          <w:jc w:val="center"/>
        </w:trPr>
        <w:tc>
          <w:tcPr>
            <w:tcW w:w="769" w:type="dxa"/>
            <w:vMerge w:val="continue"/>
            <w:noWrap w:val="0"/>
            <w:vAlign w:val="center"/>
          </w:tcPr>
          <w:p w14:paraId="5AB61D3E">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62309C4A">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w:t>
            </w:r>
          </w:p>
        </w:tc>
        <w:tc>
          <w:tcPr>
            <w:tcW w:w="8080" w:type="dxa"/>
            <w:noWrap w:val="0"/>
            <w:vAlign w:val="center"/>
          </w:tcPr>
          <w:p w14:paraId="5843DF18">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监理人或监理人员不得以任何名义向承包人索要各种费用、物品或器具等，每发现一次处以监理服务费</w:t>
            </w:r>
            <w:r>
              <w:rPr>
                <w:rFonts w:hint="eastAsia" w:ascii="宋体" w:hAnsi="宋体" w:eastAsia="宋体" w:cs="宋体"/>
                <w:color w:val="auto"/>
                <w:kern w:val="21"/>
                <w:sz w:val="24"/>
                <w:szCs w:val="24"/>
                <w:highlight w:val="none"/>
                <w:lang w:val="en-US" w:eastAsia="zh-CN"/>
              </w:rPr>
              <w:t>5</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元的违约金，并撤换该人员。</w:t>
            </w:r>
          </w:p>
        </w:tc>
      </w:tr>
      <w:tr w14:paraId="2BEA2F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48" w:hRule="atLeast"/>
          <w:jc w:val="center"/>
        </w:trPr>
        <w:tc>
          <w:tcPr>
            <w:tcW w:w="769" w:type="dxa"/>
            <w:vMerge w:val="continue"/>
            <w:noWrap w:val="0"/>
            <w:vAlign w:val="center"/>
          </w:tcPr>
          <w:p w14:paraId="7E5F3458">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78B63943">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8</w:t>
            </w:r>
          </w:p>
        </w:tc>
        <w:tc>
          <w:tcPr>
            <w:tcW w:w="8080" w:type="dxa"/>
            <w:noWrap w:val="0"/>
            <w:vAlign w:val="center"/>
          </w:tcPr>
          <w:p w14:paraId="7E248B68">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监理人违反监理合同的规定，将监理服务的任何部分转让或分包的，委托人有权单方面终止监理合同，并没收监理人的履约担保金。</w:t>
            </w:r>
          </w:p>
        </w:tc>
      </w:tr>
      <w:tr w14:paraId="6DD80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675" w:hRule="atLeast"/>
          <w:jc w:val="center"/>
        </w:trPr>
        <w:tc>
          <w:tcPr>
            <w:tcW w:w="769" w:type="dxa"/>
            <w:vMerge w:val="continue"/>
            <w:noWrap w:val="0"/>
            <w:vAlign w:val="center"/>
          </w:tcPr>
          <w:p w14:paraId="5571C8A6">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4CEA3FDC">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9</w:t>
            </w:r>
          </w:p>
        </w:tc>
        <w:tc>
          <w:tcPr>
            <w:tcW w:w="8080" w:type="dxa"/>
            <w:noWrap w:val="0"/>
            <w:vAlign w:val="center"/>
          </w:tcPr>
          <w:p w14:paraId="419C6D61">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监理人不履行职责，造成工程质量、安全事故或与承包人串通损害委托人利益的，委托人有权采取以下措施：</w:t>
            </w:r>
          </w:p>
          <w:p w14:paraId="550E50F8">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（1）处以2万元的违约金。给委托人造成经济损失的，监理人应以损失额的30%（在合同条款4.4款规定的赔偿限额内）赔付给委托人。</w:t>
            </w:r>
          </w:p>
          <w:p w14:paraId="10F09F75">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（2）情节严重的，委托人将单方面终止监理合同，并没收监理人的履约担保。</w:t>
            </w:r>
          </w:p>
        </w:tc>
      </w:tr>
      <w:tr w14:paraId="6F834F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011" w:hRule="atLeast"/>
          <w:jc w:val="center"/>
        </w:trPr>
        <w:tc>
          <w:tcPr>
            <w:tcW w:w="769" w:type="dxa"/>
            <w:vMerge w:val="restart"/>
            <w:noWrap w:val="0"/>
            <w:vAlign w:val="center"/>
          </w:tcPr>
          <w:p w14:paraId="6CB04B19">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工作态度</w:t>
            </w:r>
          </w:p>
        </w:tc>
        <w:tc>
          <w:tcPr>
            <w:tcW w:w="720" w:type="dxa"/>
            <w:noWrap w:val="0"/>
            <w:vAlign w:val="center"/>
          </w:tcPr>
          <w:p w14:paraId="4D4AAC11">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10</w:t>
            </w:r>
          </w:p>
        </w:tc>
        <w:tc>
          <w:tcPr>
            <w:tcW w:w="8080" w:type="dxa"/>
            <w:noWrap w:val="0"/>
            <w:vAlign w:val="center"/>
          </w:tcPr>
          <w:p w14:paraId="65119196">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最新《公路工程施工监理规范》附录A中规定的工序、部位必须进行旁站，隐蔽工程必须全过程旁站。若发现无旁站时，每发现一次给予监理人</w:t>
            </w:r>
            <w:r>
              <w:rPr>
                <w:rFonts w:hint="eastAsia" w:ascii="宋体" w:hAnsi="宋体" w:eastAsia="宋体" w:cs="宋体"/>
                <w:color w:val="auto"/>
                <w:kern w:val="21"/>
                <w:sz w:val="24"/>
                <w:szCs w:val="24"/>
                <w:highlight w:val="none"/>
                <w:lang w:val="en-US" w:eastAsia="zh-CN"/>
              </w:rPr>
              <w:t>1</w:t>
            </w:r>
            <w:r>
              <w:rPr>
                <w:rFonts w:hint="eastAsia" w:ascii="宋体" w:hAnsi="宋体" w:eastAsia="宋体" w:cs="宋体"/>
                <w:color w:val="auto"/>
                <w:kern w:val="21"/>
                <w:sz w:val="24"/>
                <w:szCs w:val="24"/>
                <w:highlight w:val="none"/>
              </w:rPr>
              <w:t>000元的经济违约金。</w:t>
            </w:r>
          </w:p>
        </w:tc>
      </w:tr>
      <w:tr w14:paraId="48BB9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43" w:hRule="atLeast"/>
          <w:jc w:val="center"/>
        </w:trPr>
        <w:tc>
          <w:tcPr>
            <w:tcW w:w="769" w:type="dxa"/>
            <w:vMerge w:val="continue"/>
            <w:noWrap w:val="0"/>
            <w:vAlign w:val="center"/>
          </w:tcPr>
          <w:p w14:paraId="087AFF2E">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17B5CD97">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w:t>
            </w:r>
          </w:p>
        </w:tc>
        <w:tc>
          <w:tcPr>
            <w:tcW w:w="8080" w:type="dxa"/>
            <w:noWrap w:val="0"/>
            <w:vAlign w:val="center"/>
          </w:tcPr>
          <w:p w14:paraId="01712724">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监理人员必须及时检查和签认现场资料，如违反处以</w:t>
            </w:r>
            <w:r>
              <w:rPr>
                <w:rFonts w:hint="eastAsia" w:ascii="宋体" w:hAnsi="宋体" w:eastAsia="宋体" w:cs="宋体"/>
                <w:color w:val="auto"/>
                <w:kern w:val="21"/>
                <w:sz w:val="24"/>
                <w:szCs w:val="24"/>
                <w:highlight w:val="none"/>
                <w:lang w:val="en-US" w:eastAsia="zh-CN"/>
              </w:rPr>
              <w:t>1</w:t>
            </w:r>
            <w:r>
              <w:rPr>
                <w:rFonts w:hint="eastAsia" w:ascii="宋体" w:hAnsi="宋体" w:eastAsia="宋体" w:cs="宋体"/>
                <w:color w:val="auto"/>
                <w:kern w:val="21"/>
                <w:sz w:val="24"/>
                <w:szCs w:val="24"/>
                <w:highlight w:val="none"/>
              </w:rPr>
              <w:t>000元/项/次的违约金。</w:t>
            </w:r>
          </w:p>
        </w:tc>
      </w:tr>
      <w:tr w14:paraId="08B4E0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738" w:hRule="atLeast"/>
          <w:jc w:val="center"/>
        </w:trPr>
        <w:tc>
          <w:tcPr>
            <w:tcW w:w="769" w:type="dxa"/>
            <w:vMerge w:val="continue"/>
            <w:noWrap w:val="0"/>
            <w:vAlign w:val="center"/>
          </w:tcPr>
          <w:p w14:paraId="25BABF42">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352F1267">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12</w:t>
            </w:r>
          </w:p>
        </w:tc>
        <w:tc>
          <w:tcPr>
            <w:tcW w:w="8080" w:type="dxa"/>
            <w:noWrap w:val="0"/>
            <w:vAlign w:val="center"/>
          </w:tcPr>
          <w:p w14:paraId="40BC7D92">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监理人员未发现施工现场严重违规作业或发现但没有采取有效措施制止的，处以</w:t>
            </w:r>
            <w:r>
              <w:rPr>
                <w:rFonts w:hint="eastAsia" w:ascii="宋体" w:hAnsi="宋体" w:eastAsia="宋体" w:cs="宋体"/>
                <w:color w:val="auto"/>
                <w:kern w:val="21"/>
                <w:sz w:val="24"/>
                <w:szCs w:val="24"/>
                <w:highlight w:val="none"/>
                <w:lang w:val="en-US" w:eastAsia="zh-CN"/>
              </w:rPr>
              <w:t>3</w:t>
            </w:r>
            <w:r>
              <w:rPr>
                <w:rFonts w:hint="eastAsia" w:ascii="宋体" w:hAnsi="宋体" w:eastAsia="宋体" w:cs="宋体"/>
                <w:color w:val="auto"/>
                <w:kern w:val="21"/>
                <w:sz w:val="24"/>
                <w:szCs w:val="24"/>
                <w:highlight w:val="none"/>
              </w:rPr>
              <w:t>000元/次的违约金，撤换有关人员。</w:t>
            </w:r>
          </w:p>
        </w:tc>
      </w:tr>
      <w:tr w14:paraId="4E364F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8" w:hRule="atLeast"/>
          <w:jc w:val="center"/>
        </w:trPr>
        <w:tc>
          <w:tcPr>
            <w:tcW w:w="769" w:type="dxa"/>
            <w:vMerge w:val="continue"/>
            <w:noWrap w:val="0"/>
            <w:vAlign w:val="center"/>
          </w:tcPr>
          <w:p w14:paraId="2B8A9F30">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0C4198DD">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13</w:t>
            </w:r>
          </w:p>
        </w:tc>
        <w:tc>
          <w:tcPr>
            <w:tcW w:w="8080" w:type="dxa"/>
            <w:noWrap w:val="0"/>
            <w:vAlign w:val="center"/>
          </w:tcPr>
          <w:p w14:paraId="0E650E24">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监理工程师抽验频率达不到20%或规范规定的频率的：按被检项目单元每少一个百分点给予</w:t>
            </w:r>
            <w:r>
              <w:rPr>
                <w:rFonts w:hint="eastAsia" w:ascii="宋体" w:hAnsi="宋体" w:eastAsia="宋体" w:cs="宋体"/>
                <w:color w:val="auto"/>
                <w:kern w:val="21"/>
                <w:sz w:val="24"/>
                <w:szCs w:val="24"/>
                <w:highlight w:val="none"/>
                <w:lang w:val="en-US" w:eastAsia="zh-CN"/>
              </w:rPr>
              <w:t>1</w:t>
            </w:r>
            <w:r>
              <w:rPr>
                <w:rFonts w:hint="eastAsia" w:ascii="宋体" w:hAnsi="宋体" w:eastAsia="宋体" w:cs="宋体"/>
                <w:color w:val="auto"/>
                <w:kern w:val="21"/>
                <w:sz w:val="24"/>
                <w:szCs w:val="24"/>
                <w:highlight w:val="none"/>
              </w:rPr>
              <w:t>000元的经济违约金，同时视实际情况进行补检；</w:t>
            </w:r>
          </w:p>
        </w:tc>
      </w:tr>
      <w:tr w14:paraId="4A6D99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34" w:hRule="atLeast"/>
          <w:jc w:val="center"/>
        </w:trPr>
        <w:tc>
          <w:tcPr>
            <w:tcW w:w="769" w:type="dxa"/>
            <w:vMerge w:val="continue"/>
            <w:noWrap w:val="0"/>
            <w:vAlign w:val="center"/>
          </w:tcPr>
          <w:p w14:paraId="2E23D3E8">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1134B05C">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14</w:t>
            </w:r>
          </w:p>
        </w:tc>
        <w:tc>
          <w:tcPr>
            <w:tcW w:w="8080" w:type="dxa"/>
            <w:noWrap w:val="0"/>
            <w:vAlign w:val="center"/>
          </w:tcPr>
          <w:p w14:paraId="50D839B7">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监理工程师不得利用承包人的试验室或采取旁站的方式采集抽验数据，发现一次给予1000元的经济违约金。</w:t>
            </w:r>
          </w:p>
        </w:tc>
      </w:tr>
      <w:tr w14:paraId="28E757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299" w:hRule="atLeast"/>
          <w:jc w:val="center"/>
        </w:trPr>
        <w:tc>
          <w:tcPr>
            <w:tcW w:w="769" w:type="dxa"/>
            <w:vMerge w:val="continue"/>
            <w:noWrap w:val="0"/>
            <w:vAlign w:val="center"/>
          </w:tcPr>
          <w:p w14:paraId="61EE1FD6">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64CF8AF6">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15</w:t>
            </w:r>
          </w:p>
        </w:tc>
        <w:tc>
          <w:tcPr>
            <w:tcW w:w="8080" w:type="dxa"/>
            <w:noWrap w:val="0"/>
            <w:vAlign w:val="center"/>
          </w:tcPr>
          <w:p w14:paraId="7A0EC93C">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经监理工程师审核后上报的计划统计报表、计量支付报表及工程变更资料，如出现未按规定时间报送，处以1000元/项/次的违约金；出现人为错漏、不负责任乱签字、不按合同条款规定计量导致出现偏差且单项偏差达到20%或以上的，处以</w:t>
            </w:r>
            <w:r>
              <w:rPr>
                <w:rFonts w:hint="eastAsia" w:ascii="宋体" w:hAnsi="宋体" w:eastAsia="宋体" w:cs="宋体"/>
                <w:color w:val="auto"/>
                <w:kern w:val="21"/>
                <w:sz w:val="24"/>
                <w:szCs w:val="24"/>
                <w:highlight w:val="none"/>
                <w:lang w:val="en-US" w:eastAsia="zh-CN"/>
              </w:rPr>
              <w:t>1</w:t>
            </w:r>
            <w:r>
              <w:rPr>
                <w:rFonts w:hint="eastAsia" w:ascii="宋体" w:hAnsi="宋体" w:eastAsia="宋体" w:cs="宋体"/>
                <w:color w:val="auto"/>
                <w:kern w:val="21"/>
                <w:sz w:val="24"/>
                <w:szCs w:val="24"/>
                <w:highlight w:val="none"/>
              </w:rPr>
              <w:t>000元/项/次的违约金，撤换有关人员。</w:t>
            </w:r>
          </w:p>
        </w:tc>
      </w:tr>
      <w:tr w14:paraId="7E54E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056" w:hRule="atLeast"/>
          <w:jc w:val="center"/>
        </w:trPr>
        <w:tc>
          <w:tcPr>
            <w:tcW w:w="769" w:type="dxa"/>
            <w:vMerge w:val="continue"/>
            <w:noWrap w:val="0"/>
            <w:vAlign w:val="center"/>
          </w:tcPr>
          <w:p w14:paraId="27E40748">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0EE0D618">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16</w:t>
            </w:r>
          </w:p>
        </w:tc>
        <w:tc>
          <w:tcPr>
            <w:tcW w:w="8080" w:type="dxa"/>
            <w:noWrap w:val="0"/>
            <w:vAlign w:val="center"/>
          </w:tcPr>
          <w:p w14:paraId="041CA638">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监理人未按要求建立有关台帐及整理有关资料的，或台帐及资料反映的内容与工程实施进展脱节的，发现一次给予</w:t>
            </w:r>
            <w:r>
              <w:rPr>
                <w:rFonts w:hint="eastAsia" w:ascii="宋体" w:hAnsi="宋体" w:eastAsia="宋体" w:cs="宋体"/>
                <w:color w:val="auto"/>
                <w:kern w:val="21"/>
                <w:sz w:val="24"/>
                <w:szCs w:val="24"/>
                <w:highlight w:val="none"/>
                <w:lang w:val="en-US" w:eastAsia="zh-CN"/>
              </w:rPr>
              <w:t>1</w:t>
            </w:r>
            <w:r>
              <w:rPr>
                <w:rFonts w:hint="eastAsia" w:ascii="宋体" w:hAnsi="宋体" w:eastAsia="宋体" w:cs="宋体"/>
                <w:color w:val="auto"/>
                <w:kern w:val="21"/>
                <w:sz w:val="24"/>
                <w:szCs w:val="24"/>
                <w:highlight w:val="none"/>
              </w:rPr>
              <w:t>000元的违约金；监理人未按委托人要求提供有关资料及工程汇报材料，或未及时提供的，发现一次处以</w:t>
            </w:r>
            <w:r>
              <w:rPr>
                <w:rFonts w:hint="eastAsia" w:ascii="宋体" w:hAnsi="宋体" w:eastAsia="宋体" w:cs="宋体"/>
                <w:color w:val="auto"/>
                <w:kern w:val="21"/>
                <w:sz w:val="24"/>
                <w:szCs w:val="24"/>
                <w:highlight w:val="none"/>
                <w:lang w:val="en-US" w:eastAsia="zh-CN"/>
              </w:rPr>
              <w:t>1</w:t>
            </w:r>
            <w:r>
              <w:rPr>
                <w:rFonts w:hint="eastAsia" w:ascii="宋体" w:hAnsi="宋体" w:eastAsia="宋体" w:cs="宋体"/>
                <w:color w:val="auto"/>
                <w:kern w:val="21"/>
                <w:sz w:val="24"/>
                <w:szCs w:val="24"/>
                <w:highlight w:val="none"/>
              </w:rPr>
              <w:t>000元的违约金。</w:t>
            </w:r>
          </w:p>
        </w:tc>
      </w:tr>
      <w:tr w14:paraId="33857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18" w:hRule="atLeast"/>
          <w:jc w:val="center"/>
        </w:trPr>
        <w:tc>
          <w:tcPr>
            <w:tcW w:w="769" w:type="dxa"/>
            <w:vMerge w:val="continue"/>
            <w:noWrap w:val="0"/>
            <w:vAlign w:val="center"/>
          </w:tcPr>
          <w:p w14:paraId="22424596">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65D0B371">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17</w:t>
            </w:r>
          </w:p>
        </w:tc>
        <w:tc>
          <w:tcPr>
            <w:tcW w:w="8080" w:type="dxa"/>
            <w:noWrap w:val="0"/>
            <w:vAlign w:val="center"/>
          </w:tcPr>
          <w:p w14:paraId="7B4A70A0">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监理人应负责编制竣工档案与结算文件的一致性，重点审查竣工图工程量与结算工程量的一致性，若发现竣工图工程量与结算工程量不一致，每发现一违约金款500元。</w:t>
            </w:r>
          </w:p>
        </w:tc>
      </w:tr>
      <w:tr w14:paraId="3A4978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16" w:hRule="atLeast"/>
          <w:jc w:val="center"/>
        </w:trPr>
        <w:tc>
          <w:tcPr>
            <w:tcW w:w="769" w:type="dxa"/>
            <w:vMerge w:val="restart"/>
            <w:noWrap w:val="0"/>
            <w:vAlign w:val="center"/>
          </w:tcPr>
          <w:p w14:paraId="24BC38FE">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人员</w:t>
            </w:r>
          </w:p>
        </w:tc>
        <w:tc>
          <w:tcPr>
            <w:tcW w:w="720" w:type="dxa"/>
            <w:noWrap w:val="0"/>
            <w:vAlign w:val="center"/>
          </w:tcPr>
          <w:p w14:paraId="521D2B3F">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18</w:t>
            </w:r>
          </w:p>
        </w:tc>
        <w:tc>
          <w:tcPr>
            <w:tcW w:w="8080" w:type="dxa"/>
            <w:noWrap w:val="0"/>
            <w:vAlign w:val="center"/>
          </w:tcPr>
          <w:p w14:paraId="7033BABA">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监理人未经委托人同意擅自更换档案管理人员的，处以2</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元/人的违约金。</w:t>
            </w:r>
          </w:p>
        </w:tc>
      </w:tr>
      <w:tr w14:paraId="7526B6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974" w:hRule="atLeast"/>
          <w:jc w:val="center"/>
        </w:trPr>
        <w:tc>
          <w:tcPr>
            <w:tcW w:w="769" w:type="dxa"/>
            <w:vMerge w:val="continue"/>
            <w:noWrap w:val="0"/>
            <w:vAlign w:val="center"/>
          </w:tcPr>
          <w:p w14:paraId="07F6774A">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3144F179">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19</w:t>
            </w:r>
          </w:p>
        </w:tc>
        <w:tc>
          <w:tcPr>
            <w:tcW w:w="8080" w:type="dxa"/>
            <w:noWrap w:val="0"/>
            <w:vAlign w:val="center"/>
          </w:tcPr>
          <w:p w14:paraId="1060C868">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委托人要求核查的监理人员的证件原件（执业资格证、职称证等）不能提供或不能按时提供的，按下列条款处理：</w:t>
            </w:r>
          </w:p>
          <w:p w14:paraId="7B01FF11">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（1）处以1</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元/人次的违约金；</w:t>
            </w:r>
          </w:p>
          <w:p w14:paraId="0A4C8671">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（2）同时委托人有权要求监理人进行更换，如不按要求进行更换的，处以1000元/天的违约金直至监理人更换为止。</w:t>
            </w:r>
          </w:p>
        </w:tc>
      </w:tr>
      <w:tr w14:paraId="34709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038" w:hRule="atLeast"/>
          <w:jc w:val="center"/>
        </w:trPr>
        <w:tc>
          <w:tcPr>
            <w:tcW w:w="769" w:type="dxa"/>
            <w:vMerge w:val="continue"/>
            <w:noWrap w:val="0"/>
            <w:vAlign w:val="center"/>
          </w:tcPr>
          <w:p w14:paraId="362C5FFC">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20C8A900">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20</w:t>
            </w:r>
          </w:p>
        </w:tc>
        <w:tc>
          <w:tcPr>
            <w:tcW w:w="8080" w:type="dxa"/>
            <w:noWrap w:val="0"/>
            <w:vAlign w:val="center"/>
          </w:tcPr>
          <w:p w14:paraId="73BD5920">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委托人发现监理人在投标时列报的监理人员不完全满足相应岗位资格要求（如工作经验，工作能力、监理服务年限、年龄、执业资格证等）的，按下列条款处理：</w:t>
            </w:r>
          </w:p>
          <w:p w14:paraId="3C19BE99">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（1）处以3</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元/人的违约金；</w:t>
            </w:r>
          </w:p>
          <w:p w14:paraId="610E8B82">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（2）同时委托人有权要求监理人进行更换，如不按要求进行更换的，处以100元/天/人的违约金直至监理人更换为止。</w:t>
            </w:r>
          </w:p>
        </w:tc>
      </w:tr>
      <w:tr w14:paraId="72266B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315" w:hRule="atLeast"/>
          <w:jc w:val="center"/>
        </w:trPr>
        <w:tc>
          <w:tcPr>
            <w:tcW w:w="769" w:type="dxa"/>
            <w:vMerge w:val="continue"/>
            <w:noWrap w:val="0"/>
            <w:vAlign w:val="center"/>
          </w:tcPr>
          <w:p w14:paraId="76618783">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5F56FF19">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21</w:t>
            </w:r>
          </w:p>
        </w:tc>
        <w:tc>
          <w:tcPr>
            <w:tcW w:w="8080" w:type="dxa"/>
            <w:noWrap w:val="0"/>
            <w:vAlign w:val="center"/>
          </w:tcPr>
          <w:p w14:paraId="53F2250C">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委托人有权根据工程进展和工程建设需要增加监理人员，监理人必须无条件服从，否则处以100元/天/人的违约金直至监理人员到位为止。</w:t>
            </w:r>
          </w:p>
        </w:tc>
      </w:tr>
      <w:tr w14:paraId="08554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627" w:hRule="atLeast"/>
          <w:jc w:val="center"/>
        </w:trPr>
        <w:tc>
          <w:tcPr>
            <w:tcW w:w="769" w:type="dxa"/>
            <w:vMerge w:val="continue"/>
            <w:noWrap w:val="0"/>
            <w:vAlign w:val="center"/>
          </w:tcPr>
          <w:p w14:paraId="78FE7452">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25FD700B">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22</w:t>
            </w:r>
          </w:p>
        </w:tc>
        <w:tc>
          <w:tcPr>
            <w:tcW w:w="8080" w:type="dxa"/>
            <w:noWrap w:val="0"/>
            <w:vAlign w:val="center"/>
          </w:tcPr>
          <w:p w14:paraId="422FC7A1">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拟投入本项目的总监（驻地）、专业监理工程师等必须为本项目专职人员，不得兼任其他项目监理职务；必须保证每月22天以上留在施工现场；离开施工现场超过2天（含2天）时间须经委托人批准。如违反：</w:t>
            </w:r>
          </w:p>
          <w:p w14:paraId="1AFBD889">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（1）兼任其他项目监理职务的，处以5</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元/人的违约金，同时处以500元/天/人次的违约金直至监理人纠正为止；</w:t>
            </w:r>
          </w:p>
          <w:p w14:paraId="0737B2AD">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（2）不足22天/月留在现场的，同时处以不足天数的违约金：500元/天；</w:t>
            </w:r>
          </w:p>
          <w:p w14:paraId="696396CE">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（3）未经委托人同意擅自离开现场超过2天时间的，按超过天数处以500元/天的违约金。</w:t>
            </w:r>
          </w:p>
        </w:tc>
      </w:tr>
      <w:tr w14:paraId="37C8D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613" w:hRule="atLeast"/>
          <w:jc w:val="center"/>
        </w:trPr>
        <w:tc>
          <w:tcPr>
            <w:tcW w:w="769" w:type="dxa"/>
            <w:vMerge w:val="continue"/>
            <w:noWrap w:val="0"/>
            <w:vAlign w:val="center"/>
          </w:tcPr>
          <w:p w14:paraId="041BEFDC">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0C2F36F8">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23</w:t>
            </w:r>
          </w:p>
        </w:tc>
        <w:tc>
          <w:tcPr>
            <w:tcW w:w="8080" w:type="dxa"/>
            <w:noWrap w:val="0"/>
            <w:vAlign w:val="center"/>
          </w:tcPr>
          <w:p w14:paraId="0152251E">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监理人应按合同规定自行配备试验、检测等必要设备并要按合同规定的规格保质保量按时到位投入使用，否则按不到位仪器设备清单价格或市场价格（如无清单价格）的两倍从监理服务费总额中予以扣除，并处以</w:t>
            </w:r>
            <w:r>
              <w:rPr>
                <w:rFonts w:hint="eastAsia" w:ascii="宋体" w:hAnsi="宋体" w:eastAsia="宋体" w:cs="宋体"/>
                <w:color w:val="auto"/>
                <w:kern w:val="21"/>
                <w:sz w:val="24"/>
                <w:szCs w:val="24"/>
                <w:highlight w:val="none"/>
                <w:lang w:val="en-US" w:eastAsia="zh-CN"/>
              </w:rPr>
              <w:t>5</w:t>
            </w:r>
            <w:r>
              <w:rPr>
                <w:rFonts w:hint="eastAsia" w:ascii="宋体" w:hAnsi="宋体" w:eastAsia="宋体" w:cs="宋体"/>
                <w:color w:val="auto"/>
                <w:kern w:val="21"/>
                <w:sz w:val="24"/>
                <w:szCs w:val="24"/>
                <w:highlight w:val="none"/>
              </w:rPr>
              <w:t>00元/天的违约金直至该仪器或设备到位为止</w:t>
            </w:r>
          </w:p>
        </w:tc>
      </w:tr>
      <w:tr w14:paraId="2C4612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221" w:hRule="atLeast"/>
          <w:jc w:val="center"/>
        </w:trPr>
        <w:tc>
          <w:tcPr>
            <w:tcW w:w="769" w:type="dxa"/>
            <w:noWrap w:val="0"/>
            <w:vAlign w:val="center"/>
          </w:tcPr>
          <w:p w14:paraId="4EE6ABD2">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设备</w:t>
            </w:r>
          </w:p>
        </w:tc>
        <w:tc>
          <w:tcPr>
            <w:tcW w:w="720" w:type="dxa"/>
            <w:noWrap w:val="0"/>
            <w:vAlign w:val="center"/>
          </w:tcPr>
          <w:p w14:paraId="77736816">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24</w:t>
            </w:r>
          </w:p>
        </w:tc>
        <w:tc>
          <w:tcPr>
            <w:tcW w:w="8080" w:type="dxa"/>
            <w:noWrap w:val="0"/>
            <w:vAlign w:val="center"/>
          </w:tcPr>
          <w:p w14:paraId="2489C35F">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根据工程实际需要，委托人有权要求监理人增加仪器、设备的数量或新增部分仪器或设备，如监理人拒绝执行，委托人将按书面通知要求到位的最后期限起算，处以</w:t>
            </w:r>
            <w:r>
              <w:rPr>
                <w:rFonts w:hint="eastAsia" w:ascii="宋体" w:hAnsi="宋体" w:eastAsia="宋体" w:cs="宋体"/>
                <w:color w:val="auto"/>
                <w:kern w:val="21"/>
                <w:sz w:val="24"/>
                <w:szCs w:val="24"/>
                <w:highlight w:val="none"/>
                <w:lang w:val="en-US" w:eastAsia="zh-CN"/>
              </w:rPr>
              <w:t>5</w:t>
            </w:r>
            <w:r>
              <w:rPr>
                <w:rFonts w:hint="eastAsia" w:ascii="宋体" w:hAnsi="宋体" w:eastAsia="宋体" w:cs="宋体"/>
                <w:color w:val="auto"/>
                <w:kern w:val="21"/>
                <w:sz w:val="24"/>
                <w:szCs w:val="24"/>
                <w:highlight w:val="none"/>
              </w:rPr>
              <w:t>00元/天的违约金直至该仪器或设备到位为止。</w:t>
            </w:r>
          </w:p>
        </w:tc>
      </w:tr>
      <w:tr w14:paraId="343C0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183" w:hRule="atLeast"/>
          <w:jc w:val="center"/>
        </w:trPr>
        <w:tc>
          <w:tcPr>
            <w:tcW w:w="769" w:type="dxa"/>
            <w:noWrap w:val="0"/>
            <w:vAlign w:val="center"/>
          </w:tcPr>
          <w:p w14:paraId="3F03E818">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工期</w:t>
            </w:r>
          </w:p>
        </w:tc>
        <w:tc>
          <w:tcPr>
            <w:tcW w:w="720" w:type="dxa"/>
            <w:noWrap w:val="0"/>
            <w:vAlign w:val="center"/>
          </w:tcPr>
          <w:p w14:paraId="65416A53">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25</w:t>
            </w:r>
          </w:p>
        </w:tc>
        <w:tc>
          <w:tcPr>
            <w:tcW w:w="8080" w:type="dxa"/>
            <w:noWrap w:val="0"/>
            <w:vAlign w:val="center"/>
          </w:tcPr>
          <w:p w14:paraId="3625BE74">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因监理原因整个工程未按期完工（包括任何一个合同段没有按期完工），监理人须承担以下责任：每拖延一天，委托人按未按期完工合同段承包人的拖期损失偿金的5%计罚。</w:t>
            </w:r>
          </w:p>
        </w:tc>
      </w:tr>
      <w:tr w14:paraId="648192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183" w:hRule="atLeast"/>
          <w:jc w:val="center"/>
        </w:trPr>
        <w:tc>
          <w:tcPr>
            <w:tcW w:w="769" w:type="dxa"/>
            <w:noWrap w:val="0"/>
            <w:vAlign w:val="center"/>
          </w:tcPr>
          <w:p w14:paraId="17A03E58">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其他</w:t>
            </w:r>
          </w:p>
        </w:tc>
        <w:tc>
          <w:tcPr>
            <w:tcW w:w="720" w:type="dxa"/>
            <w:noWrap w:val="0"/>
            <w:vAlign w:val="center"/>
          </w:tcPr>
          <w:p w14:paraId="28757CAB">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26</w:t>
            </w:r>
          </w:p>
        </w:tc>
        <w:tc>
          <w:tcPr>
            <w:tcW w:w="8080" w:type="dxa"/>
            <w:noWrap w:val="0"/>
            <w:vAlign w:val="center"/>
          </w:tcPr>
          <w:p w14:paraId="48CE0553">
            <w:pPr>
              <w:keepNext w:val="0"/>
              <w:keepLines w:val="0"/>
              <w:bidi w:val="0"/>
              <w:jc w:val="left"/>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未按照《广东省公路施工标准化指南》和《广东省高速公路工程施工组织设计和施工方案标准化管理指南》有关规定进行管理或开展监理工作的，每次违约</w:t>
            </w:r>
            <w:r>
              <w:rPr>
                <w:rFonts w:hint="eastAsia" w:ascii="宋体" w:hAnsi="宋体" w:eastAsia="宋体" w:cs="宋体"/>
                <w:color w:val="auto"/>
                <w:kern w:val="21"/>
                <w:sz w:val="24"/>
                <w:szCs w:val="24"/>
                <w:highlight w:val="none"/>
                <w:lang w:val="en-US" w:eastAsia="zh-CN"/>
              </w:rPr>
              <w:t>500-</w:t>
            </w:r>
            <w:r>
              <w:rPr>
                <w:rFonts w:hint="eastAsia" w:ascii="宋体" w:hAnsi="宋体" w:eastAsia="宋体" w:cs="宋体"/>
                <w:color w:val="auto"/>
                <w:kern w:val="21"/>
                <w:sz w:val="24"/>
                <w:szCs w:val="24"/>
                <w:highlight w:val="none"/>
              </w:rPr>
              <w:t>1000元。</w:t>
            </w:r>
          </w:p>
        </w:tc>
      </w:tr>
    </w:tbl>
    <w:p w14:paraId="30D96A0C">
      <w:pPr>
        <w:keepNext w:val="0"/>
        <w:keepLines w:val="0"/>
        <w:widowControl w:val="0"/>
        <w:tabs>
          <w:tab w:val="left" w:pos="3996"/>
        </w:tabs>
        <w:kinsoku w:val="0"/>
        <w:overflowPunct w:val="0"/>
        <w:autoSpaceDE w:val="0"/>
        <w:autoSpaceDN w:val="0"/>
        <w:bidi w:val="0"/>
        <w:adjustRightInd w:val="0"/>
        <w:spacing w:before="73" w:line="288" w:lineRule="auto"/>
        <w:ind w:left="144" w:right="126" w:firstLine="439"/>
        <w:jc w:val="left"/>
        <w:rPr>
          <w:rFonts w:hint="eastAsia" w:ascii="宋体" w:hAnsi="宋体" w:eastAsia="宋体" w:cs="宋体"/>
          <w:color w:val="auto"/>
          <w:sz w:val="22"/>
          <w:highlight w:val="none"/>
        </w:rPr>
      </w:pPr>
    </w:p>
    <w:p w14:paraId="4FBE60AD">
      <w:pPr>
        <w:keepNext w:val="0"/>
        <w:keepLines w:val="0"/>
        <w:widowControl w:val="0"/>
        <w:kinsoku w:val="0"/>
        <w:overflowPunct w:val="0"/>
        <w:autoSpaceDE w:val="0"/>
        <w:autoSpaceDN w:val="0"/>
        <w:bidi w:val="0"/>
        <w:adjustRightInd w:val="0"/>
        <w:spacing w:line="379" w:lineRule="exact"/>
        <w:ind w:left="144"/>
        <w:jc w:val="left"/>
        <w:rPr>
          <w:rFonts w:hint="eastAsia" w:ascii="宋体" w:hAnsi="宋体" w:eastAsia="宋体" w:cs="宋体"/>
          <w:color w:val="auto"/>
          <w:sz w:val="24"/>
          <w:szCs w:val="24"/>
          <w:highlight w:val="none"/>
        </w:rPr>
      </w:pPr>
      <w:bookmarkStart w:id="600" w:name="_Toc29667_WPSOffice_Level2"/>
      <w:r>
        <w:rPr>
          <w:rFonts w:hint="eastAsia" w:ascii="宋体" w:hAnsi="宋体" w:eastAsia="宋体" w:cs="宋体"/>
          <w:b/>
          <w:color w:val="auto"/>
          <w:sz w:val="24"/>
          <w:szCs w:val="24"/>
          <w:highlight w:val="none"/>
        </w:rPr>
        <w:t>11</w:t>
      </w:r>
      <w:r>
        <w:rPr>
          <w:rFonts w:hint="eastAsia" w:ascii="宋体" w:hAnsi="宋体" w:eastAsia="宋体" w:cs="宋体"/>
          <w:b/>
          <w:color w:val="auto"/>
          <w:spacing w:val="-4"/>
          <w:sz w:val="24"/>
          <w:szCs w:val="24"/>
          <w:highlight w:val="none"/>
        </w:rPr>
        <w:t>.</w:t>
      </w:r>
      <w:r>
        <w:rPr>
          <w:rFonts w:hint="eastAsia" w:ascii="宋体" w:hAnsi="宋体" w:eastAsia="宋体" w:cs="宋体"/>
          <w:b/>
          <w:color w:val="auto"/>
          <w:sz w:val="24"/>
          <w:szCs w:val="24"/>
          <w:highlight w:val="none"/>
        </w:rPr>
        <w:t>2</w:t>
      </w:r>
      <w:r>
        <w:rPr>
          <w:rFonts w:hint="eastAsia" w:ascii="宋体" w:hAnsi="宋体" w:eastAsia="宋体" w:cs="宋体"/>
          <w:color w:val="auto"/>
          <w:spacing w:val="2"/>
          <w:sz w:val="24"/>
          <w:szCs w:val="24"/>
          <w:highlight w:val="none"/>
        </w:rPr>
        <w:t>委</w:t>
      </w:r>
      <w:r>
        <w:rPr>
          <w:rFonts w:hint="eastAsia" w:ascii="宋体" w:hAnsi="宋体" w:eastAsia="宋体" w:cs="宋体"/>
          <w:color w:val="auto"/>
          <w:sz w:val="24"/>
          <w:szCs w:val="24"/>
          <w:highlight w:val="none"/>
        </w:rPr>
        <w:t>托人违约</w:t>
      </w:r>
      <w:bookmarkEnd w:id="600"/>
    </w:p>
    <w:p w14:paraId="20996900">
      <w:pPr>
        <w:keepNext w:val="0"/>
        <w:keepLines w:val="0"/>
        <w:widowControl w:val="0"/>
        <w:tabs>
          <w:tab w:val="left" w:pos="3996"/>
        </w:tabs>
        <w:kinsoku w:val="0"/>
        <w:overflowPunct w:val="0"/>
        <w:autoSpaceDE w:val="0"/>
        <w:autoSpaceDN w:val="0"/>
        <w:bidi w:val="0"/>
        <w:adjustRightInd w:val="0"/>
        <w:spacing w:before="71" w:line="288" w:lineRule="auto"/>
        <w:ind w:right="126"/>
        <w:jc w:val="left"/>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w:t>
      </w:r>
      <w:r>
        <w:rPr>
          <w:rFonts w:hint="eastAsia" w:ascii="宋体" w:hAnsi="宋体" w:eastAsia="宋体" w:cs="宋体"/>
          <w:color w:val="auto"/>
          <w:sz w:val="24"/>
          <w:szCs w:val="24"/>
          <w:highlight w:val="none"/>
        </w:rPr>
        <w:t>1.2.2</w:t>
      </w:r>
      <w:r>
        <w:rPr>
          <w:rFonts w:hint="eastAsia" w:ascii="宋体" w:hAnsi="宋体" w:eastAsia="宋体" w:cs="宋体"/>
          <w:color w:val="auto"/>
          <w:spacing w:val="24"/>
          <w:sz w:val="24"/>
          <w:szCs w:val="24"/>
          <w:highlight w:val="none"/>
        </w:rPr>
        <w:t>委托</w:t>
      </w:r>
      <w:r>
        <w:rPr>
          <w:rFonts w:hint="eastAsia" w:ascii="宋体" w:hAnsi="宋体" w:eastAsia="宋体" w:cs="宋体"/>
          <w:color w:val="auto"/>
          <w:sz w:val="24"/>
          <w:szCs w:val="24"/>
          <w:highlight w:val="none"/>
        </w:rPr>
        <w:t>人发生违约情况时，</w:t>
      </w:r>
      <w:r>
        <w:rPr>
          <w:rFonts w:hint="eastAsia" w:ascii="宋体" w:hAnsi="宋体" w:eastAsia="宋体" w:cs="宋体"/>
          <w:color w:val="auto"/>
          <w:spacing w:val="24"/>
          <w:sz w:val="24"/>
          <w:szCs w:val="24"/>
          <w:highlight w:val="none"/>
        </w:rPr>
        <w:t>监理</w:t>
      </w:r>
      <w:r>
        <w:rPr>
          <w:rFonts w:hint="eastAsia" w:ascii="宋体" w:hAnsi="宋体" w:eastAsia="宋体" w:cs="宋体"/>
          <w:color w:val="auto"/>
          <w:sz w:val="24"/>
          <w:szCs w:val="24"/>
          <w:highlight w:val="none"/>
        </w:rPr>
        <w:t>人</w:t>
      </w:r>
      <w:r>
        <w:rPr>
          <w:rFonts w:hint="eastAsia" w:ascii="宋体" w:hAnsi="宋体" w:eastAsia="宋体" w:cs="宋体"/>
          <w:color w:val="auto"/>
          <w:spacing w:val="24"/>
          <w:sz w:val="24"/>
          <w:szCs w:val="24"/>
          <w:highlight w:val="none"/>
        </w:rPr>
        <w:t>有权</w:t>
      </w:r>
      <w:r>
        <w:rPr>
          <w:rFonts w:hint="eastAsia" w:ascii="宋体" w:hAnsi="宋体" w:eastAsia="宋体" w:cs="宋体"/>
          <w:color w:val="auto"/>
          <w:sz w:val="24"/>
          <w:szCs w:val="24"/>
          <w:highlight w:val="none"/>
        </w:rPr>
        <w:t>向</w:t>
      </w:r>
      <w:r>
        <w:rPr>
          <w:rFonts w:hint="eastAsia" w:ascii="宋体" w:hAnsi="宋体" w:eastAsia="宋体" w:cs="宋体"/>
          <w:color w:val="auto"/>
          <w:spacing w:val="24"/>
          <w:sz w:val="24"/>
          <w:szCs w:val="24"/>
          <w:highlight w:val="none"/>
        </w:rPr>
        <w:t>委托</w:t>
      </w:r>
      <w:r>
        <w:rPr>
          <w:rFonts w:hint="eastAsia" w:ascii="宋体" w:hAnsi="宋体" w:eastAsia="宋体" w:cs="宋体"/>
          <w:color w:val="auto"/>
          <w:sz w:val="24"/>
          <w:szCs w:val="24"/>
          <w:highlight w:val="none"/>
        </w:rPr>
        <w:t>人课以违约金，具体约定如下:</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4DA69718">
      <w:pPr>
        <w:keepNext w:val="0"/>
        <w:keepLines w:val="0"/>
        <w:widowControl w:val="0"/>
        <w:kinsoku w:val="0"/>
        <w:overflowPunct w:val="0"/>
        <w:autoSpaceDE w:val="0"/>
        <w:autoSpaceDN w:val="0"/>
        <w:bidi w:val="0"/>
        <w:adjustRightInd w:val="0"/>
        <w:spacing w:before="4" w:line="130" w:lineRule="exact"/>
        <w:jc w:val="left"/>
        <w:rPr>
          <w:rFonts w:hint="eastAsia" w:ascii="宋体" w:hAnsi="宋体" w:eastAsia="宋体" w:cs="宋体"/>
          <w:color w:val="auto"/>
          <w:sz w:val="24"/>
          <w:szCs w:val="24"/>
          <w:highlight w:val="none"/>
        </w:rPr>
      </w:pPr>
    </w:p>
    <w:p w14:paraId="6CA5F74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6DCF13D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582E8CCC">
      <w:pPr>
        <w:keepNext w:val="0"/>
        <w:keepLines w:val="0"/>
        <w:widowControl w:val="0"/>
        <w:kinsoku w:val="0"/>
        <w:overflowPunct w:val="0"/>
        <w:autoSpaceDE w:val="0"/>
        <w:autoSpaceDN w:val="0"/>
        <w:bidi w:val="0"/>
        <w:adjustRightInd w:val="0"/>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12.</w:t>
      </w:r>
      <w:r>
        <w:rPr>
          <w:rFonts w:hint="eastAsia" w:ascii="宋体" w:hAnsi="宋体" w:eastAsia="宋体" w:cs="宋体"/>
          <w:b/>
          <w:bCs w:val="0"/>
          <w:color w:val="auto"/>
          <w:spacing w:val="2"/>
          <w:sz w:val="24"/>
          <w:szCs w:val="24"/>
          <w:highlight w:val="none"/>
        </w:rPr>
        <w:t>争议的解决</w:t>
      </w:r>
    </w:p>
    <w:p w14:paraId="03F2C058">
      <w:pPr>
        <w:keepNext w:val="0"/>
        <w:keepLines w:val="0"/>
        <w:widowControl w:val="0"/>
        <w:tabs>
          <w:tab w:val="left" w:pos="1384"/>
        </w:tabs>
        <w:autoSpaceDE w:val="0"/>
        <w:autoSpaceDN w:val="0"/>
        <w:bidi w:val="0"/>
        <w:spacing w:line="360" w:lineRule="auto"/>
        <w:ind w:left="420" w:leftChars="200" w:firstLine="484" w:firstLineChars="20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争议的最终解决方式：</w:t>
      </w:r>
      <w:r>
        <w:rPr>
          <w:rFonts w:hint="eastAsia" w:ascii="宋体" w:hAnsi="宋体" w:eastAsia="宋体" w:cs="宋体"/>
          <w:color w:val="auto"/>
          <w:spacing w:val="1"/>
          <w:sz w:val="24"/>
          <w:szCs w:val="24"/>
          <w:highlight w:val="none"/>
          <w:u w:val="single"/>
        </w:rPr>
        <w:t>诉讼</w:t>
      </w:r>
    </w:p>
    <w:p w14:paraId="665A5EB4">
      <w:pPr>
        <w:keepNext w:val="0"/>
        <w:keepLines w:val="0"/>
        <w:widowControl w:val="0"/>
        <w:tabs>
          <w:tab w:val="left" w:pos="1384"/>
        </w:tabs>
        <w:autoSpaceDE w:val="0"/>
        <w:autoSpaceDN w:val="0"/>
        <w:bidi w:val="0"/>
        <w:spacing w:line="360" w:lineRule="auto"/>
        <w:ind w:left="420" w:leftChars="200" w:firstLine="484" w:firstLineChars="20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如采用诉讼，诉讼机构名称：</w:t>
      </w:r>
      <w:r>
        <w:rPr>
          <w:rFonts w:hint="eastAsia" w:ascii="宋体" w:hAnsi="宋体" w:eastAsia="宋体" w:cs="宋体"/>
          <w:color w:val="auto"/>
          <w:spacing w:val="1"/>
          <w:sz w:val="24"/>
          <w:szCs w:val="24"/>
          <w:highlight w:val="none"/>
          <w:u w:val="single"/>
          <w:lang w:val="en-US" w:eastAsia="zh-CN" w:bidi="ar-SA"/>
        </w:rPr>
        <w:t>韶关市人民法院</w:t>
      </w:r>
      <w:r>
        <w:rPr>
          <w:rFonts w:hint="eastAsia" w:ascii="宋体" w:hAnsi="宋体" w:eastAsia="宋体" w:cs="宋体"/>
          <w:color w:val="auto"/>
          <w:spacing w:val="1"/>
          <w:sz w:val="24"/>
          <w:szCs w:val="24"/>
          <w:highlight w:val="none"/>
        </w:rPr>
        <w:t>。</w:t>
      </w:r>
    </w:p>
    <w:p w14:paraId="23AEF814">
      <w:pPr>
        <w:keepNext w:val="0"/>
        <w:keepLines w:val="0"/>
        <w:widowControl w:val="0"/>
        <w:tabs>
          <w:tab w:val="left" w:pos="720"/>
        </w:tabs>
        <w:autoSpaceDE w:val="0"/>
        <w:autoSpaceDN w:val="0"/>
        <w:bidi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w w:val="95"/>
          <w:sz w:val="24"/>
          <w:szCs w:val="24"/>
          <w:highlight w:val="none"/>
        </w:rPr>
        <w:t>13.其</w:t>
      </w:r>
      <w:r>
        <w:rPr>
          <w:rFonts w:hint="eastAsia" w:ascii="宋体" w:hAnsi="宋体" w:eastAsia="宋体" w:cs="宋体"/>
          <w:b/>
          <w:color w:val="auto"/>
          <w:spacing w:val="-10"/>
          <w:sz w:val="24"/>
          <w:szCs w:val="24"/>
          <w:highlight w:val="none"/>
        </w:rPr>
        <w:t>他</w:t>
      </w:r>
    </w:p>
    <w:p w14:paraId="49285BD3">
      <w:pPr>
        <w:keepNext w:val="0"/>
        <w:keepLines w:val="0"/>
        <w:widowControl w:val="0"/>
        <w:tabs>
          <w:tab w:val="left" w:pos="1384"/>
        </w:tabs>
        <w:autoSpaceDE w:val="0"/>
        <w:autoSpaceDN w:val="0"/>
        <w:bidi w:val="0"/>
        <w:spacing w:line="360" w:lineRule="auto"/>
        <w:ind w:firstLine="484" w:firstLineChars="200"/>
        <w:rPr>
          <w:rFonts w:hint="eastAsia" w:ascii="宋体" w:hAnsi="宋体" w:eastAsia="宋体" w:cs="宋体"/>
          <w:b/>
          <w:color w:val="auto"/>
          <w:sz w:val="24"/>
          <w:szCs w:val="24"/>
          <w:highlight w:val="none"/>
        </w:rPr>
      </w:pPr>
      <w:r>
        <w:rPr>
          <w:rFonts w:hint="eastAsia" w:ascii="宋体" w:hAnsi="宋体" w:eastAsia="宋体" w:cs="宋体"/>
          <w:color w:val="auto"/>
          <w:spacing w:val="1"/>
          <w:sz w:val="24"/>
          <w:szCs w:val="24"/>
          <w:highlight w:val="none"/>
        </w:rPr>
        <w:t>13.1本项目建设期间临时用地严禁占用基本农田，严格控制占用耕地、林地；如</w:t>
      </w:r>
      <w:r>
        <w:rPr>
          <w:rFonts w:hint="eastAsia" w:ascii="宋体" w:hAnsi="宋体" w:eastAsia="宋体" w:cs="宋体"/>
          <w:color w:val="auto"/>
          <w:spacing w:val="3"/>
          <w:sz w:val="24"/>
          <w:szCs w:val="24"/>
          <w:highlight w:val="none"/>
        </w:rPr>
        <w:t>确需占用耕地、林地的，必须按规定到当地主管部门办理相关手续。预制场、搅拌场等容易造成永久性破坏的临时用地一般不得占用耕地；取土场应选址在荒山、荒坡等</w:t>
      </w:r>
      <w:r>
        <w:rPr>
          <w:rFonts w:hint="eastAsia" w:ascii="宋体" w:hAnsi="宋体" w:eastAsia="宋体" w:cs="宋体"/>
          <w:color w:val="auto"/>
          <w:spacing w:val="4"/>
          <w:sz w:val="24"/>
          <w:szCs w:val="24"/>
          <w:highlight w:val="none"/>
        </w:rPr>
        <w:t>劣质地，合理设计控制取土深度，严禁在基本农田范围内取土；弃</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4"/>
          <w:sz w:val="24"/>
          <w:szCs w:val="24"/>
          <w:highlight w:val="none"/>
        </w:rPr>
        <w:t>土）</w:t>
      </w:r>
      <w:r>
        <w:rPr>
          <w:rFonts w:hint="eastAsia" w:ascii="宋体" w:hAnsi="宋体" w:eastAsia="宋体" w:cs="宋体"/>
          <w:color w:val="auto"/>
          <w:spacing w:val="3"/>
          <w:sz w:val="24"/>
          <w:szCs w:val="24"/>
          <w:highlight w:val="none"/>
        </w:rPr>
        <w:t>渣场不得占</w:t>
      </w:r>
      <w:r>
        <w:rPr>
          <w:rFonts w:hint="eastAsia" w:ascii="宋体" w:hAnsi="宋体" w:eastAsia="宋体" w:cs="宋体"/>
          <w:color w:val="auto"/>
          <w:spacing w:val="4"/>
          <w:sz w:val="24"/>
          <w:szCs w:val="24"/>
          <w:highlight w:val="none"/>
        </w:rPr>
        <w:t>用耕地，要充分考虑永久性征收与临时用地相结合，合理划定弃（</w:t>
      </w:r>
      <w:r>
        <w:rPr>
          <w:rFonts w:hint="eastAsia" w:ascii="宋体" w:hAnsi="宋体" w:eastAsia="宋体" w:cs="宋体"/>
          <w:color w:val="auto"/>
          <w:spacing w:val="7"/>
          <w:sz w:val="24"/>
          <w:szCs w:val="24"/>
          <w:highlight w:val="none"/>
        </w:rPr>
        <w:t>土</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3"/>
          <w:sz w:val="24"/>
          <w:szCs w:val="24"/>
          <w:highlight w:val="none"/>
        </w:rPr>
        <w:t>渣场范围；租用临时用地协议必须有复垦条款。</w:t>
      </w:r>
    </w:p>
    <w:p w14:paraId="621F9082">
      <w:pPr>
        <w:keepNext w:val="0"/>
        <w:keepLines w:val="0"/>
        <w:widowControl w:val="0"/>
        <w:tabs>
          <w:tab w:val="left" w:pos="1384"/>
        </w:tabs>
        <w:autoSpaceDE w:val="0"/>
        <w:autoSpaceDN w:val="0"/>
        <w:bidi w:val="0"/>
        <w:spacing w:line="360" w:lineRule="auto"/>
        <w:ind w:firstLine="484" w:firstLineChars="200"/>
        <w:rPr>
          <w:rFonts w:hint="eastAsia" w:ascii="宋体" w:hAnsi="宋体" w:eastAsia="宋体" w:cs="宋体"/>
          <w:b/>
          <w:color w:val="auto"/>
          <w:sz w:val="24"/>
          <w:szCs w:val="24"/>
          <w:highlight w:val="none"/>
        </w:rPr>
      </w:pPr>
      <w:r>
        <w:rPr>
          <w:rFonts w:hint="eastAsia" w:ascii="宋体" w:hAnsi="宋体" w:eastAsia="宋体" w:cs="宋体"/>
          <w:color w:val="auto"/>
          <w:spacing w:val="1"/>
          <w:sz w:val="24"/>
          <w:szCs w:val="24"/>
          <w:highlight w:val="none"/>
        </w:rPr>
        <w:t>13.2监理人应按照《广东省水利厅广东省交通运输厅关于进一步加强交通建设项</w:t>
      </w:r>
      <w:r>
        <w:rPr>
          <w:rFonts w:hint="eastAsia" w:ascii="宋体" w:hAnsi="宋体" w:eastAsia="宋体" w:cs="宋体"/>
          <w:color w:val="auto"/>
          <w:spacing w:val="-9"/>
          <w:sz w:val="24"/>
          <w:szCs w:val="24"/>
          <w:highlight w:val="none"/>
        </w:rPr>
        <w:t>目水土保持工作的通知》</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2"/>
          <w:sz w:val="24"/>
          <w:szCs w:val="24"/>
          <w:highlight w:val="none"/>
        </w:rPr>
        <w:t>粤水水保〔</w:t>
      </w:r>
      <w:r>
        <w:rPr>
          <w:rFonts w:hint="eastAsia" w:ascii="宋体" w:hAnsi="宋体" w:eastAsia="宋体" w:cs="宋体"/>
          <w:color w:val="auto"/>
          <w:sz w:val="24"/>
          <w:szCs w:val="24"/>
          <w:highlight w:val="none"/>
        </w:rPr>
        <w:t>202</w:t>
      </w:r>
      <w:r>
        <w:rPr>
          <w:rFonts w:hint="eastAsia" w:ascii="宋体" w:hAnsi="宋体" w:eastAsia="宋体" w:cs="宋体"/>
          <w:color w:val="auto"/>
          <w:spacing w:val="2"/>
          <w:sz w:val="24"/>
          <w:szCs w:val="24"/>
          <w:highlight w:val="none"/>
        </w:rPr>
        <w:t>0</w:t>
      </w:r>
      <w:r>
        <w:rPr>
          <w:rFonts w:hint="eastAsia" w:ascii="宋体" w:hAnsi="宋体" w:eastAsia="宋体" w:cs="宋体"/>
          <w:color w:val="auto"/>
          <w:spacing w:val="4"/>
          <w:sz w:val="24"/>
          <w:szCs w:val="24"/>
          <w:highlight w:val="none"/>
        </w:rPr>
        <w:t>〕</w:t>
      </w:r>
      <w:r>
        <w:rPr>
          <w:rFonts w:hint="eastAsia" w:ascii="宋体" w:hAnsi="宋体" w:eastAsia="宋体" w:cs="宋体"/>
          <w:color w:val="auto"/>
          <w:sz w:val="24"/>
          <w:szCs w:val="24"/>
          <w:highlight w:val="none"/>
        </w:rPr>
        <w:t>2</w:t>
      </w:r>
      <w:r>
        <w:rPr>
          <w:rFonts w:hint="eastAsia" w:ascii="宋体" w:hAnsi="宋体" w:eastAsia="宋体" w:cs="宋体"/>
          <w:color w:val="auto"/>
          <w:spacing w:val="-26"/>
          <w:sz w:val="24"/>
          <w:szCs w:val="24"/>
          <w:highlight w:val="none"/>
        </w:rPr>
        <w:t>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
          <w:sz w:val="24"/>
          <w:szCs w:val="24"/>
          <w:highlight w:val="none"/>
        </w:rPr>
        <w:t>的要求开展水土保持监理工作，为</w:t>
      </w:r>
      <w:r>
        <w:rPr>
          <w:rFonts w:hint="eastAsia" w:ascii="宋体" w:hAnsi="宋体" w:eastAsia="宋体" w:cs="宋体"/>
          <w:color w:val="auto"/>
          <w:spacing w:val="3"/>
          <w:sz w:val="24"/>
          <w:szCs w:val="24"/>
          <w:highlight w:val="none"/>
        </w:rPr>
        <w:t>在项目交工验收后及时完成水保验收工作，各监理人应负责协调、配合水土保持设施</w:t>
      </w:r>
      <w:r>
        <w:rPr>
          <w:rFonts w:hint="eastAsia" w:ascii="宋体" w:hAnsi="宋体" w:eastAsia="宋体" w:cs="宋体"/>
          <w:color w:val="auto"/>
          <w:spacing w:val="4"/>
          <w:sz w:val="24"/>
          <w:szCs w:val="24"/>
          <w:highlight w:val="none"/>
        </w:rPr>
        <w:t>竣工验收技术报告编制的单位（含施工期水土流失监测、技术评估等工作）</w:t>
      </w:r>
      <w:r>
        <w:rPr>
          <w:rFonts w:hint="eastAsia" w:ascii="宋体" w:hAnsi="宋体" w:eastAsia="宋体" w:cs="宋体"/>
          <w:color w:val="auto"/>
          <w:spacing w:val="3"/>
          <w:sz w:val="24"/>
          <w:szCs w:val="24"/>
          <w:highlight w:val="none"/>
        </w:rPr>
        <w:t>开展相关工作，并且按水土保持设施竣工验收技术报告编制单位提交的检测方案安排相关的水土保持监理工作。水土保持监理具体工作为：</w:t>
      </w:r>
    </w:p>
    <w:p w14:paraId="28820EBB">
      <w:pPr>
        <w:keepNext w:val="0"/>
        <w:keepLines w:val="0"/>
        <w:widowControl w:val="0"/>
        <w:tabs>
          <w:tab w:val="left" w:pos="1621"/>
        </w:tabs>
        <w:autoSpaceDE w:val="0"/>
        <w:autoSpaceDN w:val="0"/>
        <w:bidi w:val="0"/>
        <w:spacing w:line="360" w:lineRule="auto"/>
        <w:ind w:firstLine="711" w:firstLineChars="3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13.2.1施工准备阶段的水土保持监理工作</w:t>
      </w:r>
    </w:p>
    <w:p w14:paraId="24275574">
      <w:pPr>
        <w:keepNext w:val="0"/>
        <w:keepLines w:val="0"/>
        <w:widowControl w:val="0"/>
        <w:tabs>
          <w:tab w:val="left" w:pos="1621"/>
        </w:tabs>
        <w:autoSpaceDE w:val="0"/>
        <w:autoSpaceDN w:val="0"/>
        <w:bidi w:val="0"/>
        <w:spacing w:line="360" w:lineRule="auto"/>
        <w:ind w:firstLine="708" w:firstLineChars="3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(1)成立水保监理领导小组，明确职责分工。</w:t>
      </w:r>
    </w:p>
    <w:p w14:paraId="672E97A2">
      <w:pPr>
        <w:keepNext w:val="0"/>
        <w:keepLines w:val="0"/>
        <w:widowControl w:val="0"/>
        <w:tabs>
          <w:tab w:val="left" w:pos="1621"/>
        </w:tabs>
        <w:autoSpaceDE w:val="0"/>
        <w:autoSpaceDN w:val="0"/>
        <w:bidi w:val="0"/>
        <w:spacing w:line="360" w:lineRule="auto"/>
        <w:ind w:firstLine="708" w:firstLineChars="30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(2)</w:t>
      </w:r>
      <w:r>
        <w:rPr>
          <w:rFonts w:hint="eastAsia" w:ascii="宋体" w:hAnsi="宋体" w:eastAsia="宋体" w:cs="宋体"/>
          <w:color w:val="auto"/>
          <w:spacing w:val="-1"/>
          <w:sz w:val="24"/>
          <w:szCs w:val="24"/>
          <w:highlight w:val="none"/>
        </w:rPr>
        <w:t>熟悉和学习设计图纸和水土保持方案报告和相关文件、法律法规。</w:t>
      </w:r>
    </w:p>
    <w:p w14:paraId="28C95E41">
      <w:pPr>
        <w:keepNext w:val="0"/>
        <w:keepLines w:val="0"/>
        <w:widowControl w:val="0"/>
        <w:tabs>
          <w:tab w:val="left" w:pos="1621"/>
        </w:tabs>
        <w:autoSpaceDE w:val="0"/>
        <w:autoSpaceDN w:val="0"/>
        <w:bidi w:val="0"/>
        <w:spacing w:line="360" w:lineRule="auto"/>
        <w:ind w:firstLine="708" w:firstLineChars="3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(3)编制水保监理计划和单位工程水保监理实施细则，明确工程水土保持监理的重点，难点、具体要求及监理的方法步骤等。</w:t>
      </w:r>
    </w:p>
    <w:p w14:paraId="6F9A8268">
      <w:pPr>
        <w:keepNext w:val="0"/>
        <w:keepLines w:val="0"/>
        <w:widowControl w:val="0"/>
        <w:tabs>
          <w:tab w:val="left" w:pos="1621"/>
        </w:tabs>
        <w:autoSpaceDE w:val="0"/>
        <w:autoSpaceDN w:val="0"/>
        <w:bidi w:val="0"/>
        <w:spacing w:line="360" w:lineRule="auto"/>
        <w:ind w:firstLine="708" w:firstLineChars="30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1"/>
          <w:sz w:val="24"/>
          <w:szCs w:val="24"/>
          <w:highlight w:val="none"/>
        </w:rPr>
        <w:t>督促施工单位建立水保管理体系。</w:t>
      </w:r>
    </w:p>
    <w:p w14:paraId="0816156A">
      <w:pPr>
        <w:keepNext w:val="0"/>
        <w:keepLines w:val="0"/>
        <w:widowControl w:val="0"/>
        <w:tabs>
          <w:tab w:val="left" w:pos="1621"/>
        </w:tabs>
        <w:autoSpaceDE w:val="0"/>
        <w:autoSpaceDN w:val="0"/>
        <w:bidi w:val="0"/>
        <w:spacing w:line="360" w:lineRule="auto"/>
        <w:ind w:firstLine="708" w:firstLineChars="300"/>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(5)审查承包人编制的《施工组织设计》中边坡防护、取弃土场、临建设施、排水工程、临时防护等分项工程技术方案和措施是否可行。</w:t>
      </w:r>
    </w:p>
    <w:p w14:paraId="5F2E989A">
      <w:pPr>
        <w:keepNext w:val="0"/>
        <w:keepLines w:val="0"/>
        <w:widowControl w:val="0"/>
        <w:tabs>
          <w:tab w:val="left" w:pos="1621"/>
        </w:tabs>
        <w:autoSpaceDE w:val="0"/>
        <w:autoSpaceDN w:val="0"/>
        <w:bidi w:val="0"/>
        <w:spacing w:line="360" w:lineRule="auto"/>
        <w:ind w:firstLine="711" w:firstLineChars="3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13.2.2施工阶段的水土保持监理工作</w:t>
      </w:r>
    </w:p>
    <w:p w14:paraId="1CA3A5A1">
      <w:pPr>
        <w:keepNext w:val="0"/>
        <w:keepLines w:val="0"/>
        <w:widowControl w:val="0"/>
        <w:autoSpaceDE w:val="0"/>
        <w:autoSpaceDN w:val="0"/>
        <w:bidi w:val="0"/>
        <w:spacing w:line="360" w:lineRule="auto"/>
        <w:ind w:firstLine="480" w:firstLineChars="200"/>
        <w:jc w:val="left"/>
        <w:rPr>
          <w:rFonts w:hint="eastAsia" w:ascii="宋体" w:hAnsi="宋体" w:eastAsia="宋体" w:cs="宋体"/>
          <w:color w:val="auto"/>
          <w:spacing w:val="-6"/>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6"/>
          <w:sz w:val="24"/>
          <w:szCs w:val="24"/>
          <w:highlight w:val="none"/>
        </w:rPr>
        <w:t>审查开工报告中涉及水保工作内容的方案和措施是否可行。</w:t>
      </w:r>
    </w:p>
    <w:p w14:paraId="491D4696">
      <w:pPr>
        <w:keepNext w:val="0"/>
        <w:keepLines w:val="0"/>
        <w:widowControl w:val="0"/>
        <w:autoSpaceDE w:val="0"/>
        <w:autoSpaceDN w:val="0"/>
        <w:bidi w:val="0"/>
        <w:spacing w:line="360" w:lineRule="auto"/>
        <w:ind w:firstLine="472"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(2)水保监理巡视和检查</w:t>
      </w:r>
    </w:p>
    <w:p w14:paraId="6FF14524">
      <w:pPr>
        <w:keepNext w:val="0"/>
        <w:keepLines w:val="0"/>
        <w:widowControl w:val="0"/>
        <w:autoSpaceDE w:val="0"/>
        <w:autoSpaceDN w:val="0"/>
        <w:bidi w:val="0"/>
        <w:spacing w:line="360" w:lineRule="auto"/>
        <w:ind w:firstLine="47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监理工程师在巡视、旁站中，应随时检查施工单位制订的水保措施的落实情况，</w:t>
      </w:r>
      <w:r>
        <w:rPr>
          <w:rFonts w:hint="eastAsia" w:ascii="宋体" w:hAnsi="宋体" w:eastAsia="宋体" w:cs="宋体"/>
          <w:color w:val="auto"/>
          <w:spacing w:val="4"/>
          <w:sz w:val="24"/>
          <w:szCs w:val="24"/>
          <w:highlight w:val="none"/>
        </w:rPr>
        <w:t>检查的主要内容有：</w:t>
      </w:r>
      <w:r>
        <w:rPr>
          <w:rFonts w:hint="eastAsia" w:ascii="宋体" w:hAnsi="宋体" w:eastAsia="宋体" w:cs="宋体"/>
          <w:color w:val="auto"/>
          <w:sz w:val="24"/>
          <w:szCs w:val="24"/>
          <w:highlight w:val="none"/>
        </w:rPr>
        <w:t>a.</w:t>
      </w:r>
      <w:r>
        <w:rPr>
          <w:rFonts w:hint="eastAsia" w:ascii="宋体" w:hAnsi="宋体" w:eastAsia="宋体" w:cs="宋体"/>
          <w:color w:val="auto"/>
          <w:spacing w:val="4"/>
          <w:sz w:val="24"/>
          <w:szCs w:val="24"/>
          <w:highlight w:val="none"/>
        </w:rPr>
        <w:t>水保管理体系。</w:t>
      </w:r>
      <w:r>
        <w:rPr>
          <w:rFonts w:hint="eastAsia" w:ascii="宋体" w:hAnsi="宋体" w:eastAsia="宋体" w:cs="宋体"/>
          <w:color w:val="auto"/>
          <w:sz w:val="24"/>
          <w:szCs w:val="24"/>
          <w:highlight w:val="none"/>
        </w:rPr>
        <w:t>b.</w:t>
      </w:r>
      <w:r>
        <w:rPr>
          <w:rFonts w:hint="eastAsia" w:ascii="宋体" w:hAnsi="宋体" w:eastAsia="宋体" w:cs="宋体"/>
          <w:color w:val="auto"/>
          <w:spacing w:val="4"/>
          <w:sz w:val="24"/>
          <w:szCs w:val="24"/>
          <w:highlight w:val="none"/>
        </w:rPr>
        <w:t>水保教育。</w:t>
      </w:r>
      <w:r>
        <w:rPr>
          <w:rFonts w:hint="eastAsia" w:ascii="宋体" w:hAnsi="宋体" w:eastAsia="宋体" w:cs="宋体"/>
          <w:color w:val="auto"/>
          <w:sz w:val="24"/>
          <w:szCs w:val="24"/>
          <w:highlight w:val="none"/>
        </w:rPr>
        <w:t>c</w:t>
      </w:r>
      <w:r>
        <w:rPr>
          <w:rFonts w:hint="eastAsia" w:ascii="宋体" w:hAnsi="宋体" w:eastAsia="宋体" w:cs="宋体"/>
          <w:color w:val="auto"/>
          <w:spacing w:val="3"/>
          <w:sz w:val="24"/>
          <w:szCs w:val="24"/>
          <w:highlight w:val="none"/>
        </w:rPr>
        <w:t>.临建设施和施工便道排水和</w:t>
      </w:r>
      <w:r>
        <w:rPr>
          <w:rFonts w:hint="eastAsia" w:ascii="宋体" w:hAnsi="宋体" w:eastAsia="宋体" w:cs="宋体"/>
          <w:color w:val="auto"/>
          <w:spacing w:val="1"/>
          <w:sz w:val="24"/>
          <w:szCs w:val="24"/>
          <w:highlight w:val="none"/>
        </w:rPr>
        <w:t>防护是否符合要求。</w:t>
      </w:r>
      <w:r>
        <w:rPr>
          <w:rFonts w:hint="eastAsia" w:ascii="宋体" w:hAnsi="宋体" w:eastAsia="宋体" w:cs="宋体"/>
          <w:color w:val="auto"/>
          <w:sz w:val="24"/>
          <w:szCs w:val="24"/>
          <w:highlight w:val="none"/>
        </w:rPr>
        <w:t>d.边坡防护是否及时进行防护，检查绿化工程成活率，是否做到了边坡无雨水冲刷、水土流失现象。e.</w:t>
      </w:r>
      <w:r>
        <w:rPr>
          <w:rFonts w:hint="eastAsia" w:ascii="宋体" w:hAnsi="宋体" w:eastAsia="宋体" w:cs="宋体"/>
          <w:color w:val="auto"/>
          <w:spacing w:val="1"/>
          <w:sz w:val="24"/>
          <w:szCs w:val="24"/>
          <w:highlight w:val="none"/>
        </w:rPr>
        <w:t>排水工程施工质量</w:t>
      </w:r>
      <w:r>
        <w:rPr>
          <w:rFonts w:hint="eastAsia" w:ascii="宋体" w:hAnsi="宋体" w:eastAsia="宋体" w:cs="宋体"/>
          <w:color w:val="auto"/>
          <w:sz w:val="24"/>
          <w:szCs w:val="24"/>
          <w:highlight w:val="none"/>
        </w:rPr>
        <w:t>（</w:t>
      </w:r>
      <w:r>
        <w:rPr>
          <w:rFonts w:hint="eastAsia" w:ascii="宋体" w:hAnsi="宋体" w:eastAsia="宋体" w:cs="宋体"/>
          <w:color w:val="auto"/>
          <w:spacing w:val="1"/>
          <w:sz w:val="24"/>
          <w:szCs w:val="24"/>
          <w:highlight w:val="none"/>
        </w:rPr>
        <w:t>包括路基临时排水设施</w:t>
      </w:r>
      <w:r>
        <w:rPr>
          <w:rFonts w:hint="eastAsia" w:ascii="宋体" w:hAnsi="宋体" w:eastAsia="宋体" w:cs="宋体"/>
          <w:color w:val="auto"/>
          <w:sz w:val="24"/>
          <w:szCs w:val="24"/>
          <w:highlight w:val="none"/>
        </w:rPr>
        <w:t>）</w:t>
      </w:r>
      <w:r>
        <w:rPr>
          <w:rFonts w:hint="eastAsia" w:ascii="宋体" w:hAnsi="宋体" w:eastAsia="宋体" w:cs="宋体"/>
          <w:color w:val="auto"/>
          <w:spacing w:val="4"/>
          <w:sz w:val="24"/>
          <w:szCs w:val="24"/>
          <w:highlight w:val="none"/>
        </w:rPr>
        <w:t>和连通情况，是否将地面水及地下水排入相应的涵洞，从而保证水土不流失。</w:t>
      </w:r>
      <w:r>
        <w:rPr>
          <w:rFonts w:hint="eastAsia" w:ascii="宋体" w:hAnsi="宋体" w:eastAsia="宋体" w:cs="宋体"/>
          <w:color w:val="auto"/>
          <w:sz w:val="24"/>
          <w:szCs w:val="24"/>
          <w:highlight w:val="none"/>
        </w:rPr>
        <w:t>f</w:t>
      </w:r>
      <w:r>
        <w:rPr>
          <w:rFonts w:hint="eastAsia" w:ascii="宋体" w:hAnsi="宋体" w:eastAsia="宋体" w:cs="宋体"/>
          <w:color w:val="auto"/>
          <w:spacing w:val="2"/>
          <w:sz w:val="24"/>
          <w:szCs w:val="24"/>
          <w:highlight w:val="none"/>
        </w:rPr>
        <w:t>.取、</w:t>
      </w:r>
      <w:r>
        <w:rPr>
          <w:rFonts w:hint="eastAsia" w:ascii="宋体" w:hAnsi="宋体" w:eastAsia="宋体" w:cs="宋体"/>
          <w:color w:val="auto"/>
          <w:spacing w:val="4"/>
          <w:sz w:val="24"/>
          <w:szCs w:val="24"/>
          <w:highlight w:val="none"/>
        </w:rPr>
        <w:t>弃土场排水和防护措施是否符合要求。</w:t>
      </w:r>
      <w:r>
        <w:rPr>
          <w:rFonts w:hint="eastAsia" w:ascii="宋体" w:hAnsi="宋体" w:eastAsia="宋体" w:cs="宋体"/>
          <w:color w:val="auto"/>
          <w:sz w:val="24"/>
          <w:szCs w:val="24"/>
          <w:highlight w:val="none"/>
        </w:rPr>
        <w:t>g.</w:t>
      </w:r>
      <w:r>
        <w:rPr>
          <w:rFonts w:hint="eastAsia" w:ascii="宋体" w:hAnsi="宋体" w:eastAsia="宋体" w:cs="宋体"/>
          <w:color w:val="auto"/>
          <w:spacing w:val="4"/>
          <w:sz w:val="24"/>
          <w:szCs w:val="24"/>
          <w:highlight w:val="none"/>
        </w:rPr>
        <w:t>桥梁桩基泥浆处理是否符合要求。</w:t>
      </w:r>
      <w:r>
        <w:rPr>
          <w:rFonts w:hint="eastAsia" w:ascii="宋体" w:hAnsi="宋体" w:eastAsia="宋体" w:cs="宋体"/>
          <w:color w:val="auto"/>
          <w:sz w:val="24"/>
          <w:szCs w:val="24"/>
          <w:highlight w:val="none"/>
        </w:rPr>
        <w:t>h.</w:t>
      </w:r>
      <w:r>
        <w:rPr>
          <w:rFonts w:hint="eastAsia" w:ascii="宋体" w:hAnsi="宋体" w:eastAsia="宋体" w:cs="宋体"/>
          <w:color w:val="auto"/>
          <w:spacing w:val="2"/>
          <w:sz w:val="24"/>
          <w:szCs w:val="24"/>
          <w:highlight w:val="none"/>
        </w:rPr>
        <w:t>涉江</w:t>
      </w:r>
      <w:r>
        <w:rPr>
          <w:rFonts w:hint="eastAsia" w:ascii="宋体" w:hAnsi="宋体" w:eastAsia="宋体" w:cs="宋体"/>
          <w:color w:val="auto"/>
          <w:sz w:val="24"/>
          <w:szCs w:val="24"/>
          <w:highlight w:val="none"/>
        </w:rPr>
        <w:t>涉河工程和生态敏感区水土保持措施是否符合要求。i.如发现施工中存在违反有关水保规定、未按合同要求落实水保措施的情况，监理工程师应书面指令施工单位整改。</w:t>
      </w:r>
    </w:p>
    <w:p w14:paraId="4DABA6D0">
      <w:pPr>
        <w:keepNext w:val="0"/>
        <w:keepLines w:val="0"/>
        <w:widowControl w:val="0"/>
        <w:numPr>
          <w:ilvl w:val="0"/>
          <w:numId w:val="6"/>
        </w:numPr>
        <w:autoSpaceDE w:val="0"/>
        <w:autoSpaceDN w:val="0"/>
        <w:bidi w:val="0"/>
        <w:spacing w:line="360" w:lineRule="auto"/>
        <w:ind w:firstLine="472" w:firstLineChars="2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协调水保监测</w:t>
      </w:r>
    </w:p>
    <w:p w14:paraId="0D82778F">
      <w:pPr>
        <w:keepNext w:val="0"/>
        <w:keepLines w:val="0"/>
        <w:widowControl w:val="0"/>
        <w:autoSpaceDE w:val="0"/>
        <w:autoSpaceDN w:val="0"/>
        <w:bidi w:val="0"/>
        <w:spacing w:line="360" w:lineRule="auto"/>
        <w:ind w:firstLine="472" w:firstLineChars="2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根据施工过程中的重点和施工进度，协调外部监督监测单位进行相关监测工作。定时收集外部监督监测单位的水保监测报告，根据监测报告判断水保措施执行效果并指导后续各项水保措施修订和落实工作。</w:t>
      </w:r>
    </w:p>
    <w:p w14:paraId="3E9667A2">
      <w:pPr>
        <w:keepNext w:val="0"/>
        <w:keepLines w:val="0"/>
        <w:widowControl w:val="0"/>
        <w:autoSpaceDE w:val="0"/>
        <w:autoSpaceDN w:val="0"/>
        <w:bidi w:val="0"/>
        <w:spacing w:line="360" w:lineRule="auto"/>
        <w:ind w:firstLine="472" w:firstLineChars="2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(4)协助水保主管部门和建设单位处理突发水保事件。</w:t>
      </w:r>
    </w:p>
    <w:p w14:paraId="2919EE63">
      <w:pPr>
        <w:keepNext w:val="0"/>
        <w:keepLines w:val="0"/>
        <w:widowControl w:val="0"/>
        <w:autoSpaceDE w:val="0"/>
        <w:autoSpaceDN w:val="0"/>
        <w:bidi w:val="0"/>
        <w:spacing w:line="360" w:lineRule="auto"/>
        <w:ind w:firstLine="472" w:firstLineChars="2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(5)建立、保管水保监理资料档案及影像资料。</w:t>
      </w:r>
    </w:p>
    <w:p w14:paraId="381D9131">
      <w:pPr>
        <w:keepNext w:val="0"/>
        <w:keepLines w:val="0"/>
        <w:widowControl w:val="0"/>
        <w:tabs>
          <w:tab w:val="left" w:pos="1621"/>
        </w:tabs>
        <w:autoSpaceDE w:val="0"/>
        <w:autoSpaceDN w:val="0"/>
        <w:bidi w:val="0"/>
        <w:spacing w:line="360" w:lineRule="auto"/>
        <w:ind w:firstLine="711" w:firstLineChars="3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13.2.3交、竣工阶段及缺陷责任期的水土保持监理工作</w:t>
      </w:r>
    </w:p>
    <w:p w14:paraId="1EBD69BE">
      <w:pPr>
        <w:keepNext w:val="0"/>
        <w:keepLines w:val="0"/>
        <w:widowControl w:val="0"/>
        <w:numPr>
          <w:ilvl w:val="0"/>
          <w:numId w:val="0"/>
        </w:numPr>
        <w:tabs>
          <w:tab w:val="left" w:pos="131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交工验收水保监理工作内容</w:t>
      </w:r>
    </w:p>
    <w:p w14:paraId="07BDBDC6">
      <w:pPr>
        <w:keepNext w:val="0"/>
        <w:keepLines w:val="0"/>
        <w:widowControl w:val="0"/>
        <w:autoSpaceDE w:val="0"/>
        <w:autoSpaceDN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a．组织交工验收前的水保工作内容初验，审查施工单位水保遗留问题的处理方案和实施计划，并督促落实。</w:t>
      </w:r>
    </w:p>
    <w:p w14:paraId="492DBB54">
      <w:pPr>
        <w:keepNext w:val="0"/>
        <w:keepLines w:val="0"/>
        <w:widowControl w:val="0"/>
        <w:autoSpaceDE w:val="0"/>
        <w:autoSpaceDN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b.整理水保监理资料，并归档。</w:t>
      </w:r>
    </w:p>
    <w:p w14:paraId="35155BAC">
      <w:pPr>
        <w:keepNext w:val="0"/>
        <w:keepLines w:val="0"/>
        <w:widowControl w:val="0"/>
        <w:numPr>
          <w:ilvl w:val="0"/>
          <w:numId w:val="0"/>
        </w:numPr>
        <w:tabs>
          <w:tab w:val="left" w:pos="131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交(竣)工验收及缺陷责任期内水保监理的工作内容。</w:t>
      </w:r>
    </w:p>
    <w:p w14:paraId="21006FF8">
      <w:pPr>
        <w:keepNext w:val="0"/>
        <w:keepLines w:val="0"/>
        <w:widowControl w:val="0"/>
        <w:autoSpaceDE w:val="0"/>
        <w:autoSpaceDN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a定期检查现场水保缺陷问题，审查施工单位水保缺陷问题的处理方案和实施计</w:t>
      </w:r>
      <w:r>
        <w:rPr>
          <w:rFonts w:hint="eastAsia" w:ascii="宋体" w:hAnsi="宋体" w:eastAsia="宋体" w:cs="宋体"/>
          <w:color w:val="auto"/>
          <w:spacing w:val="-2"/>
          <w:sz w:val="24"/>
          <w:szCs w:val="24"/>
          <w:highlight w:val="none"/>
        </w:rPr>
        <w:t>划，并督促落实。</w:t>
      </w:r>
    </w:p>
    <w:p w14:paraId="644B2F5A">
      <w:pPr>
        <w:keepNext w:val="0"/>
        <w:keepLines w:val="0"/>
        <w:widowControl w:val="0"/>
        <w:autoSpaceDE w:val="0"/>
        <w:autoSpaceDN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w:t>
      </w:r>
      <w:r>
        <w:rPr>
          <w:rFonts w:hint="eastAsia" w:ascii="宋体" w:hAnsi="宋体" w:eastAsia="宋体" w:cs="宋体"/>
          <w:color w:val="auto"/>
          <w:spacing w:val="-9"/>
          <w:sz w:val="24"/>
          <w:szCs w:val="24"/>
          <w:highlight w:val="none"/>
        </w:rPr>
        <w:t>对项目水保修复工程的施工进行现场监理。</w:t>
      </w:r>
    </w:p>
    <w:p w14:paraId="60155744">
      <w:pPr>
        <w:keepNext w:val="0"/>
        <w:keepLines w:val="0"/>
        <w:widowControl w:val="0"/>
        <w:autoSpaceDE w:val="0"/>
        <w:autoSpaceDN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w:t>
      </w:r>
      <w:r>
        <w:rPr>
          <w:rFonts w:hint="eastAsia" w:ascii="宋体" w:hAnsi="宋体" w:eastAsia="宋体" w:cs="宋体"/>
          <w:color w:val="auto"/>
          <w:spacing w:val="-8"/>
          <w:sz w:val="24"/>
          <w:szCs w:val="24"/>
          <w:highlight w:val="none"/>
        </w:rPr>
        <w:t>督促各施工单位按合同及有关规定完成水保竣工资料的整理、归档，编写水保工</w:t>
      </w:r>
      <w:r>
        <w:rPr>
          <w:rFonts w:hint="eastAsia" w:ascii="宋体" w:hAnsi="宋体" w:eastAsia="宋体" w:cs="宋体"/>
          <w:color w:val="auto"/>
          <w:spacing w:val="-2"/>
          <w:sz w:val="24"/>
          <w:szCs w:val="24"/>
          <w:highlight w:val="none"/>
        </w:rPr>
        <w:t>作总结报告。</w:t>
      </w:r>
    </w:p>
    <w:p w14:paraId="13A72EE9">
      <w:pPr>
        <w:keepNext w:val="0"/>
        <w:keepLines w:val="0"/>
        <w:widowControl w:val="0"/>
        <w:autoSpaceDE w:val="0"/>
        <w:autoSpaceDN w:val="0"/>
        <w:bidi w:val="0"/>
        <w:spacing w:line="360" w:lineRule="auto"/>
        <w:ind w:firstLine="472" w:firstLineChars="2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d</w:t>
      </w:r>
      <w:r>
        <w:rPr>
          <w:rFonts w:hint="eastAsia" w:ascii="宋体" w:hAnsi="宋体" w:eastAsia="宋体" w:cs="宋体"/>
          <w:color w:val="auto"/>
          <w:spacing w:val="-9"/>
          <w:sz w:val="24"/>
          <w:szCs w:val="24"/>
          <w:highlight w:val="none"/>
        </w:rPr>
        <w:t>整理和完善水保监理竣工资料，并编写水保监理工作总结报告。</w:t>
      </w:r>
    </w:p>
    <w:p w14:paraId="004AAEE7">
      <w:pPr>
        <w:keepNext w:val="0"/>
        <w:keepLines w:val="0"/>
        <w:widowControl w:val="0"/>
        <w:autoSpaceDE w:val="0"/>
        <w:autoSpaceDN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w:t>
      </w:r>
      <w:r>
        <w:rPr>
          <w:rFonts w:hint="eastAsia" w:ascii="宋体" w:hAnsi="宋体" w:eastAsia="宋体" w:cs="宋体"/>
          <w:color w:val="auto"/>
          <w:spacing w:val="-7"/>
          <w:sz w:val="24"/>
          <w:szCs w:val="24"/>
          <w:highlight w:val="none"/>
        </w:rPr>
        <w:t>协助竣工水保验收。</w:t>
      </w:r>
    </w:p>
    <w:p w14:paraId="51A9B9B8">
      <w:pPr>
        <w:keepNext w:val="0"/>
        <w:keepLines w:val="0"/>
        <w:widowControl w:val="0"/>
        <w:tabs>
          <w:tab w:val="left" w:pos="1384"/>
        </w:tabs>
        <w:autoSpaceDE w:val="0"/>
        <w:autoSpaceDN w:val="0"/>
        <w:bidi w:val="0"/>
        <w:spacing w:line="360" w:lineRule="auto"/>
        <w:ind w:firstLine="484" w:firstLineChars="200"/>
        <w:rPr>
          <w:rFonts w:hint="eastAsia" w:ascii="宋体" w:hAnsi="宋体" w:eastAsia="宋体" w:cs="宋体"/>
          <w:b/>
          <w:color w:val="auto"/>
          <w:sz w:val="24"/>
          <w:szCs w:val="24"/>
          <w:highlight w:val="none"/>
        </w:rPr>
      </w:pPr>
      <w:r>
        <w:rPr>
          <w:rFonts w:hint="eastAsia" w:ascii="宋体" w:hAnsi="宋体" w:eastAsia="宋体" w:cs="宋体"/>
          <w:color w:val="auto"/>
          <w:spacing w:val="1"/>
          <w:sz w:val="24"/>
          <w:szCs w:val="24"/>
          <w:highlight w:val="none"/>
        </w:rPr>
        <w:t>13.3为在项目交工验收后及时完成项目竣工环境保护验收工作，各监理人应负责</w:t>
      </w:r>
      <w:r>
        <w:rPr>
          <w:rFonts w:hint="eastAsia" w:ascii="宋体" w:hAnsi="宋体" w:eastAsia="宋体" w:cs="宋体"/>
          <w:color w:val="auto"/>
          <w:spacing w:val="4"/>
          <w:sz w:val="24"/>
          <w:szCs w:val="24"/>
          <w:highlight w:val="none"/>
        </w:rPr>
        <w:t>协调、配合环境保护验收监测（</w:t>
      </w:r>
      <w:r>
        <w:rPr>
          <w:rFonts w:hint="eastAsia" w:ascii="宋体" w:hAnsi="宋体" w:eastAsia="宋体" w:cs="宋体"/>
          <w:color w:val="auto"/>
          <w:spacing w:val="5"/>
          <w:sz w:val="24"/>
          <w:szCs w:val="24"/>
          <w:highlight w:val="none"/>
        </w:rPr>
        <w:t>调查</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3"/>
          <w:sz w:val="24"/>
          <w:szCs w:val="24"/>
          <w:highlight w:val="none"/>
        </w:rPr>
        <w:t>报告编制单位开展相关工作，并且按环境保护</w:t>
      </w:r>
      <w:r>
        <w:rPr>
          <w:rFonts w:hint="eastAsia" w:ascii="宋体" w:hAnsi="宋体" w:eastAsia="宋体" w:cs="宋体"/>
          <w:color w:val="auto"/>
          <w:spacing w:val="4"/>
          <w:sz w:val="24"/>
          <w:szCs w:val="24"/>
          <w:highlight w:val="none"/>
        </w:rPr>
        <w:t>验收监测（</w:t>
      </w:r>
      <w:r>
        <w:rPr>
          <w:rFonts w:hint="eastAsia" w:ascii="宋体" w:hAnsi="宋体" w:eastAsia="宋体" w:cs="宋体"/>
          <w:color w:val="auto"/>
          <w:spacing w:val="5"/>
          <w:sz w:val="24"/>
          <w:szCs w:val="24"/>
          <w:highlight w:val="none"/>
        </w:rPr>
        <w:t>调查</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3"/>
          <w:sz w:val="24"/>
          <w:szCs w:val="24"/>
          <w:highlight w:val="none"/>
        </w:rPr>
        <w:t>报告单位提交的保护方案安排相关的环境监理工作。环保监理具体工作为：</w:t>
      </w:r>
    </w:p>
    <w:p w14:paraId="0C5214A3">
      <w:pPr>
        <w:keepNext w:val="0"/>
        <w:keepLines w:val="0"/>
        <w:widowControl w:val="0"/>
        <w:tabs>
          <w:tab w:val="left" w:pos="1621"/>
        </w:tabs>
        <w:autoSpaceDE w:val="0"/>
        <w:autoSpaceDN w:val="0"/>
        <w:bidi w:val="0"/>
        <w:spacing w:line="360" w:lineRule="auto"/>
        <w:ind w:firstLine="711" w:firstLineChars="3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13.3.1施工准备阶段的环境保护监理工作</w:t>
      </w:r>
    </w:p>
    <w:p w14:paraId="443C5668">
      <w:pPr>
        <w:keepNext w:val="0"/>
        <w:keepLines w:val="0"/>
        <w:widowControl w:val="0"/>
        <w:numPr>
          <w:ilvl w:val="0"/>
          <w:numId w:val="0"/>
        </w:numPr>
        <w:tabs>
          <w:tab w:val="left" w:pos="1197"/>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成立环保监理领导小组，明确职责分工。</w:t>
      </w:r>
    </w:p>
    <w:p w14:paraId="131D4F42">
      <w:pPr>
        <w:keepNext w:val="0"/>
        <w:keepLines w:val="0"/>
        <w:widowControl w:val="0"/>
        <w:numPr>
          <w:ilvl w:val="0"/>
          <w:numId w:val="0"/>
        </w:numPr>
        <w:tabs>
          <w:tab w:val="left" w:pos="1197"/>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熟悉环评报告和设计文件，掌握工程整体情况。</w:t>
      </w:r>
    </w:p>
    <w:p w14:paraId="560415F6">
      <w:pPr>
        <w:keepNext w:val="0"/>
        <w:keepLines w:val="0"/>
        <w:widowControl w:val="0"/>
        <w:numPr>
          <w:ilvl w:val="0"/>
          <w:numId w:val="0"/>
        </w:numPr>
        <w:tabs>
          <w:tab w:val="left" w:pos="1199"/>
        </w:tabs>
        <w:autoSpaceDE w:val="0"/>
        <w:autoSpaceDN w:val="0"/>
        <w:bidi w:val="0"/>
        <w:spacing w:line="360" w:lineRule="auto"/>
        <w:ind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rPr>
        <w:t>对照设计文件、环境影响评价文件，调查和了解工程附近环境保护目标和敏感点的分布情况。</w:t>
      </w:r>
    </w:p>
    <w:p w14:paraId="67CF4107">
      <w:pPr>
        <w:keepNext w:val="0"/>
        <w:keepLines w:val="0"/>
        <w:widowControl w:val="0"/>
        <w:numPr>
          <w:ilvl w:val="0"/>
          <w:numId w:val="0"/>
        </w:numPr>
        <w:tabs>
          <w:tab w:val="left" w:pos="1199"/>
        </w:tabs>
        <w:autoSpaceDE w:val="0"/>
        <w:autoSpaceDN w:val="0"/>
        <w:bidi w:val="0"/>
        <w:spacing w:line="360" w:lineRule="auto"/>
        <w:ind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rPr>
        <w:t>初步审查承包人提交的临时工程设计文件中的环境保护措施和方案，提交委托人组织审查。</w:t>
      </w:r>
    </w:p>
    <w:p w14:paraId="7D175530">
      <w:pPr>
        <w:keepNext w:val="0"/>
        <w:keepLines w:val="0"/>
        <w:widowControl w:val="0"/>
        <w:numPr>
          <w:ilvl w:val="0"/>
          <w:numId w:val="0"/>
        </w:numPr>
        <w:tabs>
          <w:tab w:val="left" w:pos="1197"/>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5</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rPr>
        <w:t>编制施工环境保护监理计划和各单位工程的环境保护监理实施细则。</w:t>
      </w:r>
    </w:p>
    <w:p w14:paraId="78688D36">
      <w:pPr>
        <w:keepNext w:val="0"/>
        <w:keepLines w:val="0"/>
        <w:widowControl w:val="0"/>
        <w:numPr>
          <w:ilvl w:val="0"/>
          <w:numId w:val="0"/>
        </w:numPr>
        <w:tabs>
          <w:tab w:val="left" w:pos="1197"/>
        </w:tabs>
        <w:autoSpaceDE w:val="0"/>
        <w:autoSpaceDN w:val="0"/>
        <w:bidi w:val="0"/>
        <w:spacing w:line="360" w:lineRule="auto"/>
        <w:ind w:left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6</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rPr>
        <w:t>督促施工单位建立环境保护管理体系。</w:t>
      </w:r>
    </w:p>
    <w:p w14:paraId="40133D5C">
      <w:pPr>
        <w:keepNext w:val="0"/>
        <w:keepLines w:val="0"/>
        <w:widowControl w:val="0"/>
        <w:numPr>
          <w:ilvl w:val="0"/>
          <w:numId w:val="0"/>
        </w:numPr>
        <w:tabs>
          <w:tab w:val="left" w:pos="1197"/>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7</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审查承包人编制的《施工组织设计》中施工污染防治方案。</w:t>
      </w:r>
    </w:p>
    <w:p w14:paraId="30E2703C">
      <w:pPr>
        <w:keepNext w:val="0"/>
        <w:keepLines w:val="0"/>
        <w:widowControl w:val="0"/>
        <w:tabs>
          <w:tab w:val="left" w:pos="1684"/>
        </w:tabs>
        <w:autoSpaceDE w:val="0"/>
        <w:autoSpaceDN w:val="0"/>
        <w:bidi w:val="0"/>
        <w:spacing w:line="360" w:lineRule="auto"/>
        <w:ind w:left="420" w:leftChars="2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13.3.2施工阶段的环境保护监理工作</w:t>
      </w:r>
    </w:p>
    <w:p w14:paraId="1734AF79">
      <w:pPr>
        <w:keepNext w:val="0"/>
        <w:keepLines w:val="0"/>
        <w:widowControl w:val="0"/>
        <w:tabs>
          <w:tab w:val="left" w:pos="1684"/>
        </w:tabs>
        <w:autoSpaceDE w:val="0"/>
        <w:autoSpaceDN w:val="0"/>
        <w:bidi w:val="0"/>
        <w:spacing w:line="360" w:lineRule="auto"/>
        <w:ind w:left="420" w:leftChars="200"/>
        <w:jc w:val="left"/>
        <w:rPr>
          <w:rFonts w:hint="eastAsia" w:ascii="宋体" w:hAnsi="宋体" w:eastAsia="宋体" w:cs="宋体"/>
          <w:b/>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rPr>
        <w:t>环保监理巡视和检查</w:t>
      </w:r>
    </w:p>
    <w:p w14:paraId="1BD55C2E">
      <w:pPr>
        <w:keepNext w:val="0"/>
        <w:keepLines w:val="0"/>
        <w:widowControl w:val="0"/>
        <w:autoSpaceDE w:val="0"/>
        <w:autoSpaceDN w:val="0"/>
        <w:bidi w:val="0"/>
        <w:spacing w:line="360" w:lineRule="auto"/>
        <w:ind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监理工程师在巡视、旁站中，应随时检查施工单位制订的环境保护措施的落实情</w:t>
      </w:r>
      <w:r>
        <w:rPr>
          <w:rFonts w:hint="eastAsia" w:ascii="宋体" w:hAnsi="宋体" w:eastAsia="宋体" w:cs="宋体"/>
          <w:color w:val="auto"/>
          <w:spacing w:val="1"/>
          <w:sz w:val="24"/>
          <w:szCs w:val="24"/>
          <w:highlight w:val="none"/>
        </w:rPr>
        <w:t>况，检查的主要内容有：</w:t>
      </w:r>
      <w:r>
        <w:rPr>
          <w:rFonts w:hint="eastAsia" w:ascii="宋体" w:hAnsi="宋体" w:eastAsia="宋体" w:cs="宋体"/>
          <w:color w:val="auto"/>
          <w:sz w:val="24"/>
          <w:szCs w:val="24"/>
          <w:highlight w:val="none"/>
        </w:rPr>
        <w:t>a.施工环境保护体系；b.</w:t>
      </w:r>
      <w:r>
        <w:rPr>
          <w:rFonts w:hint="eastAsia" w:ascii="宋体" w:hAnsi="宋体" w:eastAsia="宋体" w:cs="宋体"/>
          <w:color w:val="auto"/>
          <w:spacing w:val="1"/>
          <w:sz w:val="24"/>
          <w:szCs w:val="24"/>
          <w:highlight w:val="none"/>
        </w:rPr>
        <w:t>环保教育；</w:t>
      </w:r>
      <w:r>
        <w:rPr>
          <w:rFonts w:hint="eastAsia" w:ascii="宋体" w:hAnsi="宋体" w:eastAsia="宋体" w:cs="宋体"/>
          <w:color w:val="auto"/>
          <w:sz w:val="24"/>
          <w:szCs w:val="24"/>
          <w:highlight w:val="none"/>
        </w:rPr>
        <w:t>c.施工场地的布设是否符合相关环保要求；d.职业危害的防护措施是否健全；e.施工现场(含临时便道、拌和站、预制场等)和料场等是否洒水防尘；f.是否按有关要求采取降噪措施；g.材</w:t>
      </w:r>
      <w:r>
        <w:rPr>
          <w:rFonts w:hint="eastAsia" w:ascii="宋体" w:hAnsi="宋体" w:eastAsia="宋体" w:cs="宋体"/>
          <w:color w:val="auto"/>
          <w:spacing w:val="4"/>
          <w:sz w:val="24"/>
          <w:szCs w:val="24"/>
          <w:highlight w:val="none"/>
        </w:rPr>
        <w:t>料堆场设置环境的合理性及采取措施减少运输漏洒情况；</w:t>
      </w:r>
      <w:r>
        <w:rPr>
          <w:rFonts w:hint="eastAsia" w:ascii="宋体" w:hAnsi="宋体" w:eastAsia="宋体" w:cs="宋体"/>
          <w:color w:val="auto"/>
          <w:sz w:val="24"/>
          <w:szCs w:val="24"/>
          <w:highlight w:val="none"/>
        </w:rPr>
        <w:t>h</w:t>
      </w:r>
      <w:r>
        <w:rPr>
          <w:rFonts w:hint="eastAsia" w:ascii="宋体" w:hAnsi="宋体" w:eastAsia="宋体" w:cs="宋体"/>
          <w:color w:val="auto"/>
          <w:spacing w:val="3"/>
          <w:sz w:val="24"/>
          <w:szCs w:val="24"/>
          <w:highlight w:val="none"/>
        </w:rPr>
        <w:t>.施工废水、渣土、生活污</w:t>
      </w:r>
      <w:r>
        <w:rPr>
          <w:rFonts w:hint="eastAsia" w:ascii="宋体" w:hAnsi="宋体" w:eastAsia="宋体" w:cs="宋体"/>
          <w:color w:val="auto"/>
          <w:sz w:val="24"/>
          <w:szCs w:val="24"/>
          <w:highlight w:val="none"/>
        </w:rPr>
        <w:t>水、垃圾的处置是否合理；i.是否按照批准在拟定的取弃土场取弃土，取土结束后是否采取了有效的排水防护和植被恢复措施；j.如发现施工中存在违反有关环保规定、未按合同要求落实环保措施的情况，监理工程师应书面指令施工单位整改；k.</w:t>
      </w:r>
      <w:r>
        <w:rPr>
          <w:rFonts w:hint="eastAsia" w:ascii="宋体" w:hAnsi="宋体" w:eastAsia="宋体" w:cs="宋体"/>
          <w:color w:val="auto"/>
          <w:spacing w:val="1"/>
          <w:sz w:val="24"/>
          <w:szCs w:val="24"/>
          <w:highlight w:val="none"/>
        </w:rPr>
        <w:t>施工中</w:t>
      </w:r>
      <w:r>
        <w:rPr>
          <w:rFonts w:hint="eastAsia" w:ascii="宋体" w:hAnsi="宋体" w:eastAsia="宋体" w:cs="宋体"/>
          <w:color w:val="auto"/>
          <w:spacing w:val="11"/>
          <w:sz w:val="24"/>
          <w:szCs w:val="24"/>
          <w:highlight w:val="none"/>
        </w:rPr>
        <w:t>发现文物时，监理工程师应要求施工单位依法保护现场，并报告有关部门和建设单</w:t>
      </w:r>
      <w:r>
        <w:rPr>
          <w:rFonts w:hint="eastAsia" w:ascii="宋体" w:hAnsi="宋体" w:eastAsia="宋体" w:cs="宋体"/>
          <w:color w:val="auto"/>
          <w:sz w:val="24"/>
          <w:szCs w:val="24"/>
          <w:highlight w:val="none"/>
        </w:rPr>
        <w:t>位。</w:t>
      </w:r>
    </w:p>
    <w:p w14:paraId="135966CA">
      <w:pPr>
        <w:keepNext w:val="0"/>
        <w:keepLines w:val="0"/>
        <w:widowControl w:val="0"/>
        <w:numPr>
          <w:ilvl w:val="0"/>
          <w:numId w:val="0"/>
        </w:numPr>
        <w:tabs>
          <w:tab w:val="left" w:pos="1316"/>
        </w:tabs>
        <w:autoSpaceDE w:val="0"/>
        <w:autoSpaceDN w:val="0"/>
        <w:bidi w:val="0"/>
        <w:spacing w:line="360" w:lineRule="auto"/>
        <w:ind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rPr>
        <w:t>协调环保监测</w:t>
      </w:r>
    </w:p>
    <w:p w14:paraId="175DAAB0">
      <w:pPr>
        <w:keepNext w:val="0"/>
        <w:keepLines w:val="0"/>
        <w:widowControl w:val="0"/>
        <w:autoSpaceDE w:val="0"/>
        <w:autoSpaceDN w:val="0"/>
        <w:bidi w:val="0"/>
        <w:spacing w:line="360" w:lineRule="auto"/>
        <w:ind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根据施工过程中的重点和施工进度，协调外部监督监测单位进行空气质量、地表水水质、声环境质量等项目监测工作。定时收集外部监督监测单位的环境监测报告，根据监测报告判断环保措施执行效果并指导后续各项环保措施修订和落实工作。</w:t>
      </w:r>
    </w:p>
    <w:p w14:paraId="6ABBAF47">
      <w:pPr>
        <w:keepNext w:val="0"/>
        <w:keepLines w:val="0"/>
        <w:widowControl w:val="0"/>
        <w:numPr>
          <w:ilvl w:val="0"/>
          <w:numId w:val="0"/>
        </w:numPr>
        <w:tabs>
          <w:tab w:val="left" w:pos="131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协助环保主管部门和建设单位处理突发环保事件。</w:t>
      </w:r>
    </w:p>
    <w:p w14:paraId="5D5CEB2A">
      <w:pPr>
        <w:keepNext w:val="0"/>
        <w:keepLines w:val="0"/>
        <w:widowControl w:val="0"/>
        <w:numPr>
          <w:ilvl w:val="0"/>
          <w:numId w:val="0"/>
        </w:numPr>
        <w:tabs>
          <w:tab w:val="left" w:pos="131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建立、保管环境保护监理资料档案。</w:t>
      </w:r>
    </w:p>
    <w:p w14:paraId="38DB3A00">
      <w:pPr>
        <w:keepNext w:val="0"/>
        <w:keepLines w:val="0"/>
        <w:bidi w:val="0"/>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13.3.3交、竣工阶段及缺陷责任期的环境保护监理工作</w:t>
      </w:r>
    </w:p>
    <w:p w14:paraId="24DE36AB">
      <w:pPr>
        <w:keepNext w:val="0"/>
        <w:keepLines w:val="0"/>
        <w:widowControl w:val="0"/>
        <w:numPr>
          <w:ilvl w:val="0"/>
          <w:numId w:val="0"/>
        </w:numPr>
        <w:tabs>
          <w:tab w:val="left" w:pos="131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rPr>
        <w:t>交工验收环境保护监理工作内容</w:t>
      </w:r>
    </w:p>
    <w:p w14:paraId="1451FDC4">
      <w:pPr>
        <w:keepNext w:val="0"/>
        <w:keepLines w:val="0"/>
        <w:widowControl w:val="0"/>
        <w:numPr>
          <w:ilvl w:val="0"/>
          <w:numId w:val="0"/>
        </w:numPr>
        <w:tabs>
          <w:tab w:val="left" w:pos="1196"/>
        </w:tabs>
        <w:autoSpaceDE w:val="0"/>
        <w:autoSpaceDN w:val="0"/>
        <w:bidi w:val="0"/>
        <w:spacing w:line="360" w:lineRule="auto"/>
        <w:ind w:leftChars="20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a.</w:t>
      </w:r>
      <w:r>
        <w:rPr>
          <w:rFonts w:hint="eastAsia" w:ascii="宋体" w:hAnsi="宋体" w:eastAsia="宋体" w:cs="宋体"/>
          <w:color w:val="auto"/>
          <w:spacing w:val="-1"/>
          <w:sz w:val="24"/>
          <w:szCs w:val="24"/>
          <w:highlight w:val="none"/>
        </w:rPr>
        <w:t>组织交工验收前的环境保护工作内容初验；</w:t>
      </w:r>
    </w:p>
    <w:p w14:paraId="5EDD8F02">
      <w:pPr>
        <w:keepNext w:val="0"/>
        <w:keepLines w:val="0"/>
        <w:widowControl w:val="0"/>
        <w:numPr>
          <w:ilvl w:val="0"/>
          <w:numId w:val="0"/>
        </w:numPr>
        <w:tabs>
          <w:tab w:val="left" w:pos="1196"/>
        </w:tabs>
        <w:autoSpaceDE w:val="0"/>
        <w:autoSpaceDN w:val="0"/>
        <w:bidi w:val="0"/>
        <w:spacing w:line="360" w:lineRule="auto"/>
        <w:ind w:leftChars="20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b.</w:t>
      </w:r>
      <w:r>
        <w:rPr>
          <w:rFonts w:hint="eastAsia" w:ascii="宋体" w:hAnsi="宋体" w:eastAsia="宋体" w:cs="宋体"/>
          <w:color w:val="auto"/>
          <w:spacing w:val="-1"/>
          <w:sz w:val="24"/>
          <w:szCs w:val="24"/>
          <w:highlight w:val="none"/>
        </w:rPr>
        <w:t>整理环境监理资料，并归档；</w:t>
      </w:r>
    </w:p>
    <w:p w14:paraId="083C266B">
      <w:pPr>
        <w:keepNext w:val="0"/>
        <w:keepLines w:val="0"/>
        <w:widowControl w:val="0"/>
        <w:numPr>
          <w:ilvl w:val="0"/>
          <w:numId w:val="0"/>
        </w:numPr>
        <w:tabs>
          <w:tab w:val="left" w:pos="1077"/>
        </w:tabs>
        <w:autoSpaceDE w:val="0"/>
        <w:autoSpaceDN w:val="0"/>
        <w:bidi w:val="0"/>
        <w:spacing w:line="360" w:lineRule="auto"/>
        <w:ind w:leftChars="20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c.</w:t>
      </w:r>
      <w:r>
        <w:rPr>
          <w:rFonts w:hint="eastAsia" w:ascii="宋体" w:hAnsi="宋体" w:eastAsia="宋体" w:cs="宋体"/>
          <w:color w:val="auto"/>
          <w:spacing w:val="-1"/>
          <w:sz w:val="24"/>
          <w:szCs w:val="24"/>
          <w:highlight w:val="none"/>
        </w:rPr>
        <w:t>参加交工验收，协助委托人的交工验收工作。</w:t>
      </w:r>
    </w:p>
    <w:p w14:paraId="1BFD8B51">
      <w:pPr>
        <w:keepNext w:val="0"/>
        <w:keepLines w:val="0"/>
        <w:widowControl w:val="0"/>
        <w:numPr>
          <w:ilvl w:val="0"/>
          <w:numId w:val="0"/>
        </w:numPr>
        <w:tabs>
          <w:tab w:val="left" w:pos="131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rPr>
        <w:t>缺陷责任期内环境保护监理的工作内容。</w:t>
      </w:r>
    </w:p>
    <w:p w14:paraId="623096EE">
      <w:pPr>
        <w:keepNext w:val="0"/>
        <w:keepLines w:val="0"/>
        <w:widowControl w:val="0"/>
        <w:numPr>
          <w:ilvl w:val="0"/>
          <w:numId w:val="0"/>
        </w:numPr>
        <w:tabs>
          <w:tab w:val="left" w:pos="1081"/>
        </w:tabs>
        <w:autoSpaceDE w:val="0"/>
        <w:autoSpaceDN w:val="0"/>
        <w:bidi w:val="0"/>
        <w:spacing w:line="360" w:lineRule="auto"/>
        <w:ind w:leftChars="200"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a.</w:t>
      </w:r>
      <w:r>
        <w:rPr>
          <w:rFonts w:hint="eastAsia" w:ascii="宋体" w:hAnsi="宋体" w:eastAsia="宋体" w:cs="宋体"/>
          <w:color w:val="auto"/>
          <w:spacing w:val="3"/>
          <w:sz w:val="24"/>
          <w:szCs w:val="24"/>
          <w:highlight w:val="none"/>
        </w:rPr>
        <w:t>定期检查施工单位对交工环境保护验收提出的环境保护遗漏问题整改措施和计划的实施情况。</w:t>
      </w:r>
    </w:p>
    <w:p w14:paraId="00EC5762">
      <w:pPr>
        <w:keepNext w:val="0"/>
        <w:keepLines w:val="0"/>
        <w:widowControl w:val="0"/>
        <w:numPr>
          <w:ilvl w:val="0"/>
          <w:numId w:val="0"/>
        </w:numPr>
        <w:tabs>
          <w:tab w:val="left" w:pos="1081"/>
        </w:tabs>
        <w:autoSpaceDE w:val="0"/>
        <w:autoSpaceDN w:val="0"/>
        <w:bidi w:val="0"/>
        <w:spacing w:line="360" w:lineRule="auto"/>
        <w:ind w:leftChars="200"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b.</w:t>
      </w:r>
      <w:r>
        <w:rPr>
          <w:rFonts w:hint="eastAsia" w:ascii="宋体" w:hAnsi="宋体" w:eastAsia="宋体" w:cs="宋体"/>
          <w:color w:val="auto"/>
          <w:spacing w:val="3"/>
          <w:sz w:val="24"/>
          <w:szCs w:val="24"/>
          <w:highlight w:val="none"/>
        </w:rPr>
        <w:t>对项目环境保护设施工程的施工进行现场监理，并对环境保护设施运行情况进行检查，如不能达到环评报告书中的相关要求，及时督促其整改。</w:t>
      </w:r>
    </w:p>
    <w:p w14:paraId="18CDFEE9">
      <w:pPr>
        <w:keepNext w:val="0"/>
        <w:keepLines w:val="0"/>
        <w:widowControl w:val="0"/>
        <w:numPr>
          <w:ilvl w:val="0"/>
          <w:numId w:val="0"/>
        </w:numPr>
        <w:tabs>
          <w:tab w:val="left" w:pos="1081"/>
        </w:tabs>
        <w:autoSpaceDE w:val="0"/>
        <w:autoSpaceDN w:val="0"/>
        <w:bidi w:val="0"/>
        <w:spacing w:line="360" w:lineRule="auto"/>
        <w:ind w:leftChars="200"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c.</w:t>
      </w:r>
      <w:r>
        <w:rPr>
          <w:rFonts w:hint="eastAsia" w:ascii="宋体" w:hAnsi="宋体" w:eastAsia="宋体" w:cs="宋体"/>
          <w:color w:val="auto"/>
          <w:spacing w:val="3"/>
          <w:sz w:val="24"/>
          <w:szCs w:val="24"/>
          <w:highlight w:val="none"/>
        </w:rPr>
        <w:t>督促各施工单位按合同及有关规定完成施工环境保护竣工资料的整理、归档，编写施工环境保护工作总结报告。</w:t>
      </w:r>
    </w:p>
    <w:p w14:paraId="0D5A999A">
      <w:pPr>
        <w:keepNext w:val="0"/>
        <w:keepLines w:val="0"/>
        <w:widowControl w:val="0"/>
        <w:numPr>
          <w:ilvl w:val="0"/>
          <w:numId w:val="0"/>
        </w:numPr>
        <w:tabs>
          <w:tab w:val="left" w:pos="1077"/>
        </w:tabs>
        <w:autoSpaceDE w:val="0"/>
        <w:autoSpaceDN w:val="0"/>
        <w:bidi w:val="0"/>
        <w:spacing w:line="360" w:lineRule="auto"/>
        <w:ind w:leftChars="200" w:firstLine="472"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d.</w:t>
      </w:r>
      <w:r>
        <w:rPr>
          <w:rFonts w:hint="eastAsia" w:ascii="宋体" w:hAnsi="宋体" w:eastAsia="宋体" w:cs="宋体"/>
          <w:color w:val="auto"/>
          <w:spacing w:val="-2"/>
          <w:sz w:val="24"/>
          <w:szCs w:val="24"/>
          <w:highlight w:val="none"/>
        </w:rPr>
        <w:t>整理和完善环境保护监理竣工资料，并编写施工环境保护监理工作总结报告。</w:t>
      </w:r>
    </w:p>
    <w:p w14:paraId="14D877DA">
      <w:pPr>
        <w:keepNext w:val="0"/>
        <w:keepLines w:val="0"/>
        <w:widowControl w:val="0"/>
        <w:numPr>
          <w:ilvl w:val="0"/>
          <w:numId w:val="0"/>
        </w:numPr>
        <w:tabs>
          <w:tab w:val="left" w:pos="1077"/>
        </w:tabs>
        <w:autoSpaceDE w:val="0"/>
        <w:autoSpaceDN w:val="0"/>
        <w:bidi w:val="0"/>
        <w:spacing w:line="360" w:lineRule="auto"/>
        <w:ind w:leftChars="20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e.协助竣工环境保护验收。</w:t>
      </w:r>
    </w:p>
    <w:p w14:paraId="70F609AB">
      <w:pPr>
        <w:keepNext w:val="0"/>
        <w:keepLines w:val="0"/>
        <w:bidi w:val="0"/>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13.4关于竣工文件的补充条款：</w:t>
      </w:r>
    </w:p>
    <w:p w14:paraId="4F1F630E">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2"/>
          <w:sz w:val="24"/>
          <w:szCs w:val="24"/>
          <w:highlight w:val="none"/>
        </w:rPr>
        <w:t>监理文件必须与工程施工同步形成、同步收集，并按照档案预组卷的标准同步进行系统的整理。</w:t>
      </w:r>
    </w:p>
    <w:p w14:paraId="377C2F20">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
          <w:sz w:val="24"/>
          <w:szCs w:val="24"/>
          <w:highlight w:val="none"/>
        </w:rPr>
        <w:t>工程开工后，监理人应及时建立档案管理机构，明确分管领导、管理部门和配备适应工作需要的档案管理人员，并保持相对稳定。</w:t>
      </w:r>
    </w:p>
    <w:p w14:paraId="369DD42F">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（3）监理人应监督、指导施工用表、施工原始文件的填写及管理性文件的上报。</w:t>
      </w:r>
    </w:p>
    <w:p w14:paraId="3FF0A72B">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rPr>
        <w:t>）档案的装具和设施设备应满足档案管理的要求，保证文件材料和档案的安全。</w:t>
      </w:r>
    </w:p>
    <w:p w14:paraId="035E5A11">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5</w:t>
      </w:r>
      <w:r>
        <w:rPr>
          <w:rFonts w:hint="eastAsia" w:ascii="宋体" w:hAnsi="宋体" w:eastAsia="宋体" w:cs="宋体"/>
          <w:color w:val="auto"/>
          <w:spacing w:val="-1"/>
          <w:sz w:val="24"/>
          <w:szCs w:val="24"/>
          <w:highlight w:val="none"/>
        </w:rPr>
        <w:t>）监理文件的形成应规范、清晰，数据真实、准确。</w:t>
      </w:r>
    </w:p>
    <w:p w14:paraId="6B27B5A1">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6</w:t>
      </w:r>
      <w:r>
        <w:rPr>
          <w:rFonts w:hint="eastAsia" w:ascii="宋体" w:hAnsi="宋体" w:eastAsia="宋体" w:cs="宋体"/>
          <w:color w:val="auto"/>
          <w:spacing w:val="-1"/>
          <w:sz w:val="24"/>
          <w:szCs w:val="24"/>
          <w:highlight w:val="none"/>
        </w:rPr>
        <w:t>）监理文件应按照交通运输部关于公路建设项目档案的归档范围收集齐全、完</w:t>
      </w:r>
      <w:r>
        <w:rPr>
          <w:rFonts w:hint="eastAsia" w:ascii="宋体" w:hAnsi="宋体" w:eastAsia="宋体" w:cs="宋体"/>
          <w:color w:val="auto"/>
          <w:spacing w:val="-5"/>
          <w:sz w:val="24"/>
          <w:szCs w:val="24"/>
          <w:highlight w:val="none"/>
        </w:rPr>
        <w:t>整。</w:t>
      </w:r>
    </w:p>
    <w:p w14:paraId="1620A614">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7</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标段交工或项目通车前，监理文件应按照预组卷（</w:t>
      </w:r>
      <w:r>
        <w:rPr>
          <w:rFonts w:hint="eastAsia" w:ascii="宋体" w:hAnsi="宋体" w:eastAsia="宋体" w:cs="宋体"/>
          <w:color w:val="auto"/>
          <w:spacing w:val="-1"/>
          <w:sz w:val="24"/>
          <w:szCs w:val="24"/>
          <w:highlight w:val="none"/>
        </w:rPr>
        <w:t>除未装订和打页码外，其</w:t>
      </w:r>
      <w:r>
        <w:rPr>
          <w:rFonts w:hint="eastAsia" w:ascii="宋体" w:hAnsi="宋体" w:eastAsia="宋体" w:cs="宋体"/>
          <w:color w:val="auto"/>
          <w:sz w:val="24"/>
          <w:szCs w:val="24"/>
          <w:highlight w:val="none"/>
        </w:rPr>
        <w:t>余同档案专项验收的标准一样）</w:t>
      </w:r>
      <w:r>
        <w:rPr>
          <w:rFonts w:hint="eastAsia" w:ascii="宋体" w:hAnsi="宋体" w:eastAsia="宋体" w:cs="宋体"/>
          <w:color w:val="auto"/>
          <w:spacing w:val="-2"/>
          <w:sz w:val="24"/>
          <w:szCs w:val="24"/>
          <w:highlight w:val="none"/>
        </w:rPr>
        <w:t>的标准完成。</w:t>
      </w:r>
    </w:p>
    <w:p w14:paraId="419AFE10">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8</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项目交工或通车前，监理人应对各标段施工文件、对应中心试验室移交的试验检测资料的完整、准确、系统性进行检查，并形成书面评价意见。</w:t>
      </w:r>
    </w:p>
    <w:p w14:paraId="767F8FDC">
      <w:pPr>
        <w:keepNext w:val="0"/>
        <w:keepLines w:val="0"/>
        <w:widowControl w:val="0"/>
        <w:autoSpaceDE w:val="0"/>
        <w:autoSpaceDN w:val="0"/>
        <w:bidi w:val="0"/>
        <w:spacing w:line="360"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试验检测资料（验收试验等用于分部分项工程质量评定资料等）</w:t>
      </w:r>
      <w:r>
        <w:rPr>
          <w:rFonts w:hint="eastAsia" w:ascii="宋体" w:hAnsi="宋体" w:eastAsia="宋体" w:cs="宋体"/>
          <w:color w:val="auto"/>
          <w:spacing w:val="3"/>
          <w:sz w:val="24"/>
          <w:szCs w:val="24"/>
          <w:highlight w:val="none"/>
        </w:rPr>
        <w:t>由中心试验室定期向监理人提交，由监理人负责整理、归档。</w:t>
      </w:r>
    </w:p>
    <w:p w14:paraId="56F83DE8">
      <w:pPr>
        <w:keepNext w:val="0"/>
        <w:keepLines w:val="0"/>
        <w:widowControl w:val="0"/>
        <w:tabs>
          <w:tab w:val="left" w:pos="1456"/>
        </w:tabs>
        <w:autoSpaceDE w:val="0"/>
        <w:autoSpaceDN w:val="0"/>
        <w:bidi w:val="0"/>
        <w:spacing w:line="360" w:lineRule="auto"/>
        <w:ind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9</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4"/>
          <w:sz w:val="24"/>
          <w:szCs w:val="24"/>
          <w:highlight w:val="none"/>
        </w:rPr>
        <w:t>项目交工或通车6</w:t>
      </w:r>
      <w:r>
        <w:rPr>
          <w:rFonts w:hint="eastAsia" w:ascii="宋体" w:hAnsi="宋体" w:eastAsia="宋体" w:cs="宋体"/>
          <w:color w:val="auto"/>
          <w:spacing w:val="3"/>
          <w:sz w:val="24"/>
          <w:szCs w:val="24"/>
          <w:highlight w:val="none"/>
        </w:rPr>
        <w:t>个月内，监理文件应按照国家科技档案的标准和交通运输部规定的归档范围，全部完成组卷和编目。经委托人单位组织检查验收后，移交给委托人。</w:t>
      </w:r>
    </w:p>
    <w:p w14:paraId="6208098B">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10</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如监理人因竣工文件未按时完成或质量问题影响到本项目的交工验收以及项目档案专项验收，委托人有权视情节轻重从监理费或履约保函中扣除相关的费用。</w:t>
      </w:r>
    </w:p>
    <w:p w14:paraId="70B62F95">
      <w:pPr>
        <w:keepNext w:val="0"/>
        <w:keepLines w:val="0"/>
        <w:widowControl w:val="0"/>
        <w:tabs>
          <w:tab w:val="left" w:pos="1684"/>
        </w:tabs>
        <w:autoSpaceDE w:val="0"/>
        <w:autoSpaceDN w:val="0"/>
        <w:bidi w:val="0"/>
        <w:spacing w:line="360" w:lineRule="auto"/>
        <w:ind w:left="420" w:leftChars="2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13.5监理人驻地（含总监办、监理驻地办）</w:t>
      </w:r>
    </w:p>
    <w:p w14:paraId="76584DDA">
      <w:pPr>
        <w:keepNext w:val="0"/>
        <w:keepLines w:val="0"/>
        <w:widowControl w:val="0"/>
        <w:numPr>
          <w:ilvl w:val="0"/>
          <w:numId w:val="0"/>
        </w:numPr>
        <w:tabs>
          <w:tab w:val="left" w:pos="144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监理人不得以任何形式接受施工单位租借的场所作为驻地，也不得与施工单</w:t>
      </w:r>
      <w:r>
        <w:rPr>
          <w:rFonts w:hint="eastAsia" w:ascii="宋体" w:hAnsi="宋体" w:eastAsia="宋体" w:cs="宋体"/>
          <w:color w:val="auto"/>
          <w:spacing w:val="-4"/>
          <w:sz w:val="24"/>
          <w:szCs w:val="24"/>
          <w:highlight w:val="none"/>
        </w:rPr>
        <w:t>位共租。</w:t>
      </w:r>
    </w:p>
    <w:p w14:paraId="37D6CBBB">
      <w:pPr>
        <w:keepNext w:val="0"/>
        <w:keepLines w:val="0"/>
        <w:widowControl w:val="0"/>
        <w:numPr>
          <w:ilvl w:val="0"/>
          <w:numId w:val="0"/>
        </w:numPr>
        <w:tabs>
          <w:tab w:val="left" w:pos="144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2</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有条件的情况下，委托人可为监理人选择驻地，以便三方协调沟通，驻地建设装修、租金、水电及其它相关费用由各方按使用面积分担或协商确定。</w:t>
      </w:r>
    </w:p>
    <w:p w14:paraId="6860DD9B">
      <w:pPr>
        <w:keepNext w:val="0"/>
        <w:keepLines w:val="0"/>
        <w:widowControl w:val="0"/>
        <w:tabs>
          <w:tab w:val="left" w:pos="1684"/>
        </w:tabs>
        <w:autoSpaceDE w:val="0"/>
        <w:autoSpaceDN w:val="0"/>
        <w:bidi w:val="0"/>
        <w:spacing w:line="360" w:lineRule="auto"/>
        <w:ind w:left="420" w:leftChars="2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13.6监理人与中心试验室试验检测服务工程质量监管职责</w:t>
      </w:r>
    </w:p>
    <w:p w14:paraId="79B56EC1">
      <w:pPr>
        <w:keepNext w:val="0"/>
        <w:keepLines w:val="0"/>
        <w:widowControl w:val="0"/>
        <w:autoSpaceDE w:val="0"/>
        <w:autoSpaceDN w:val="0"/>
        <w:bidi w:val="0"/>
        <w:spacing w:line="360" w:lineRule="auto"/>
        <w:ind w:firstLine="492"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监理人与中心试验室的工程质量监管职责明确如下：</w:t>
      </w:r>
    </w:p>
    <w:p w14:paraId="2E1780AC">
      <w:pPr>
        <w:keepNext w:val="0"/>
        <w:keepLines w:val="0"/>
        <w:widowControl w:val="0"/>
        <w:tabs>
          <w:tab w:val="left" w:pos="1562"/>
        </w:tabs>
        <w:autoSpaceDE w:val="0"/>
        <w:autoSpaceDN w:val="0"/>
        <w:bidi w:val="0"/>
        <w:spacing w:line="360" w:lineRule="auto"/>
        <w:ind w:left="420" w:left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13.6.1监理人与中心试验室在试验检测方面的工作关系</w:t>
      </w:r>
    </w:p>
    <w:p w14:paraId="49E123D2">
      <w:pPr>
        <w:keepNext w:val="0"/>
        <w:keepLines w:val="0"/>
        <w:widowControl w:val="0"/>
        <w:numPr>
          <w:ilvl w:val="0"/>
          <w:numId w:val="0"/>
        </w:numPr>
        <w:tabs>
          <w:tab w:val="left" w:pos="144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监理人和中心试验室同属建设单位的委托机构并对建设单位负责，接受建设单位的监督和管理。</w:t>
      </w:r>
    </w:p>
    <w:p w14:paraId="76E6F838">
      <w:pPr>
        <w:keepNext w:val="0"/>
        <w:keepLines w:val="0"/>
        <w:widowControl w:val="0"/>
        <w:numPr>
          <w:ilvl w:val="0"/>
          <w:numId w:val="0"/>
        </w:numPr>
        <w:tabs>
          <w:tab w:val="left" w:pos="144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2</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7"/>
          <w:sz w:val="24"/>
          <w:szCs w:val="24"/>
          <w:highlight w:val="none"/>
        </w:rPr>
        <w:t>总监理工程师办公室(以下简称“总监办”，本“总监办”含监理驻地办)和</w:t>
      </w:r>
      <w:r>
        <w:rPr>
          <w:rFonts w:hint="eastAsia" w:ascii="宋体" w:hAnsi="宋体" w:eastAsia="宋体" w:cs="宋体"/>
          <w:color w:val="auto"/>
          <w:spacing w:val="3"/>
          <w:sz w:val="24"/>
          <w:szCs w:val="24"/>
          <w:highlight w:val="none"/>
        </w:rPr>
        <w:t>中心试验室是委托人通过招投标选中的或委托的两家法人单位的现场派出机构，在委托人合同授权范围内对共同管辖的施工合同段履行工程质量监管职责，在工作中既要严格遵守合同，坚持原则，又要沟通协调、互相配合，不得相互推诿。中心试验室以试验检测工作为主配合总监办做好工程质量监管工作，独立完成合同规定的试验检测任务。</w:t>
      </w:r>
    </w:p>
    <w:p w14:paraId="64F8779C">
      <w:pPr>
        <w:keepNext w:val="0"/>
        <w:keepLines w:val="0"/>
        <w:widowControl w:val="0"/>
        <w:numPr>
          <w:ilvl w:val="0"/>
          <w:numId w:val="0"/>
        </w:numPr>
        <w:tabs>
          <w:tab w:val="left" w:pos="1442"/>
        </w:tabs>
        <w:autoSpaceDE w:val="0"/>
        <w:autoSpaceDN w:val="0"/>
        <w:bidi w:val="0"/>
        <w:spacing w:line="360" w:lineRule="auto"/>
        <w:ind w:leftChars="200"/>
        <w:rPr>
          <w:rFonts w:hint="eastAsia" w:ascii="宋体" w:hAnsi="宋体" w:eastAsia="宋体" w:cs="宋体"/>
          <w:b/>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3</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总监办与中心试验室工作界面划分</w:t>
      </w:r>
    </w:p>
    <w:p w14:paraId="1C36F048">
      <w:pPr>
        <w:keepNext w:val="0"/>
        <w:keepLines w:val="0"/>
        <w:widowControl w:val="0"/>
        <w:tabs>
          <w:tab w:val="left" w:pos="1684"/>
        </w:tabs>
        <w:autoSpaceDE w:val="0"/>
        <w:autoSpaceDN w:val="0"/>
        <w:bidi w:val="0"/>
        <w:spacing w:line="360" w:lineRule="auto"/>
        <w:ind w:left="420" w:leftChars="2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A.中心试验室的试验检测工作范围</w:t>
      </w:r>
    </w:p>
    <w:p w14:paraId="4E633FFC">
      <w:pPr>
        <w:keepNext w:val="0"/>
        <w:keepLines w:val="0"/>
        <w:widowControl w:val="0"/>
        <w:numPr>
          <w:ilvl w:val="0"/>
          <w:numId w:val="0"/>
        </w:numPr>
        <w:tabs>
          <w:tab w:val="left" w:pos="1086"/>
        </w:tabs>
        <w:autoSpaceDE w:val="0"/>
        <w:autoSpaceDN w:val="0"/>
        <w:bidi w:val="0"/>
        <w:spacing w:line="360" w:lineRule="auto"/>
        <w:ind w:leftChars="200"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a.</w:t>
      </w:r>
      <w:r>
        <w:rPr>
          <w:rFonts w:hint="eastAsia" w:ascii="宋体" w:hAnsi="宋体" w:eastAsia="宋体" w:cs="宋体"/>
          <w:color w:val="auto"/>
          <w:spacing w:val="3"/>
          <w:sz w:val="24"/>
          <w:szCs w:val="24"/>
          <w:highlight w:val="none"/>
        </w:rPr>
        <w:t>承担按《公路工程施工监理规范》、《公路工程质量检验评定标准》规定的验</w:t>
      </w:r>
      <w:r>
        <w:rPr>
          <w:rFonts w:hint="eastAsia" w:ascii="宋体" w:hAnsi="宋体" w:eastAsia="宋体" w:cs="宋体"/>
          <w:color w:val="auto"/>
          <w:spacing w:val="4"/>
          <w:sz w:val="24"/>
          <w:szCs w:val="24"/>
          <w:highlight w:val="none"/>
        </w:rPr>
        <w:t>证试验、工艺试验、标准试验、抽样试验、验收试验等工作的取（</w:t>
      </w:r>
      <w:r>
        <w:rPr>
          <w:rFonts w:hint="eastAsia" w:ascii="宋体" w:hAnsi="宋体" w:eastAsia="宋体" w:cs="宋体"/>
          <w:color w:val="auto"/>
          <w:spacing w:val="7"/>
          <w:sz w:val="24"/>
          <w:szCs w:val="24"/>
          <w:highlight w:val="none"/>
        </w:rPr>
        <w:t>采</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3"/>
          <w:sz w:val="24"/>
          <w:szCs w:val="24"/>
          <w:highlight w:val="none"/>
        </w:rPr>
        <w:t>样和试验并出具试验报告，并对其真实性负责。</w:t>
      </w:r>
    </w:p>
    <w:p w14:paraId="6C6D6837">
      <w:pPr>
        <w:keepNext w:val="0"/>
        <w:keepLines w:val="0"/>
        <w:widowControl w:val="0"/>
        <w:numPr>
          <w:ilvl w:val="0"/>
          <w:numId w:val="0"/>
        </w:numPr>
        <w:tabs>
          <w:tab w:val="left" w:pos="1201"/>
        </w:tabs>
        <w:autoSpaceDE w:val="0"/>
        <w:autoSpaceDN w:val="0"/>
        <w:bidi w:val="0"/>
        <w:spacing w:line="360" w:lineRule="auto"/>
        <w:ind w:leftChars="20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b.</w:t>
      </w:r>
      <w:r>
        <w:rPr>
          <w:rFonts w:hint="eastAsia" w:ascii="宋体" w:hAnsi="宋体" w:eastAsia="宋体" w:cs="宋体"/>
          <w:color w:val="auto"/>
          <w:spacing w:val="-2"/>
          <w:sz w:val="24"/>
          <w:szCs w:val="24"/>
          <w:highlight w:val="none"/>
        </w:rPr>
        <w:t>代表委托人对原材料、构配件、实体工程质量进行抽检，以及委托人组织的质量大检查过程中需进行的试验检测工作。</w:t>
      </w:r>
    </w:p>
    <w:p w14:paraId="25425F1E">
      <w:pPr>
        <w:keepNext w:val="0"/>
        <w:keepLines w:val="0"/>
        <w:widowControl w:val="0"/>
        <w:numPr>
          <w:ilvl w:val="0"/>
          <w:numId w:val="0"/>
        </w:numPr>
        <w:tabs>
          <w:tab w:val="left" w:pos="1197"/>
        </w:tabs>
        <w:autoSpaceDE w:val="0"/>
        <w:autoSpaceDN w:val="0"/>
        <w:bidi w:val="0"/>
        <w:spacing w:line="360" w:lineRule="auto"/>
        <w:ind w:leftChars="20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c.</w:t>
      </w:r>
      <w:r>
        <w:rPr>
          <w:rFonts w:hint="eastAsia" w:ascii="宋体" w:hAnsi="宋体" w:eastAsia="宋体" w:cs="宋体"/>
          <w:color w:val="auto"/>
          <w:spacing w:val="-1"/>
          <w:sz w:val="24"/>
          <w:szCs w:val="24"/>
          <w:highlight w:val="none"/>
        </w:rPr>
        <w:t>承担原材料及混凝土、砂浆、压浆浆液等现场取样工作及强度试验。</w:t>
      </w:r>
    </w:p>
    <w:p w14:paraId="127974AD">
      <w:pPr>
        <w:keepNext w:val="0"/>
        <w:keepLines w:val="0"/>
        <w:widowControl w:val="0"/>
        <w:numPr>
          <w:ilvl w:val="0"/>
          <w:numId w:val="0"/>
        </w:numPr>
        <w:tabs>
          <w:tab w:val="left" w:pos="1081"/>
        </w:tabs>
        <w:autoSpaceDE w:val="0"/>
        <w:autoSpaceDN w:val="0"/>
        <w:bidi w:val="0"/>
        <w:spacing w:line="360" w:lineRule="auto"/>
        <w:ind w:leftChars="200"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d.</w:t>
      </w:r>
      <w:r>
        <w:rPr>
          <w:rFonts w:hint="eastAsia" w:ascii="宋体" w:hAnsi="宋体" w:eastAsia="宋体" w:cs="宋体"/>
          <w:color w:val="auto"/>
          <w:spacing w:val="3"/>
          <w:sz w:val="24"/>
          <w:szCs w:val="24"/>
          <w:highlight w:val="none"/>
        </w:rPr>
        <w:t>负责完成委托人组织的优质优价评比及质量检查时的混凝土回弹强度及钢筋保护层试验检测并及时出具试验检测报告，以作为质量评比检查依据及质检资料。</w:t>
      </w:r>
    </w:p>
    <w:p w14:paraId="1D015635">
      <w:pPr>
        <w:keepNext w:val="0"/>
        <w:keepLines w:val="0"/>
        <w:widowControl w:val="0"/>
        <w:numPr>
          <w:ilvl w:val="0"/>
          <w:numId w:val="0"/>
        </w:numPr>
        <w:tabs>
          <w:tab w:val="left" w:pos="1197"/>
        </w:tabs>
        <w:autoSpaceDE w:val="0"/>
        <w:autoSpaceDN w:val="0"/>
        <w:bidi w:val="0"/>
        <w:spacing w:line="360" w:lineRule="auto"/>
        <w:ind w:leftChars="20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e.</w:t>
      </w:r>
      <w:r>
        <w:rPr>
          <w:rFonts w:hint="eastAsia" w:ascii="宋体" w:hAnsi="宋体" w:eastAsia="宋体" w:cs="宋体"/>
          <w:color w:val="auto"/>
          <w:spacing w:val="-1"/>
          <w:sz w:val="24"/>
          <w:szCs w:val="24"/>
          <w:highlight w:val="none"/>
        </w:rPr>
        <w:t>完成委托人及质量监督机构安排的其他试验检测任务。</w:t>
      </w:r>
    </w:p>
    <w:p w14:paraId="3485ECE5">
      <w:pPr>
        <w:keepNext w:val="0"/>
        <w:keepLines w:val="0"/>
        <w:widowControl w:val="0"/>
        <w:numPr>
          <w:ilvl w:val="0"/>
          <w:numId w:val="0"/>
        </w:numPr>
        <w:tabs>
          <w:tab w:val="left" w:pos="1196"/>
        </w:tabs>
        <w:autoSpaceDE w:val="0"/>
        <w:autoSpaceDN w:val="0"/>
        <w:bidi w:val="0"/>
        <w:spacing w:line="360" w:lineRule="auto"/>
        <w:ind w:leftChars="20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f.</w:t>
      </w:r>
      <w:r>
        <w:rPr>
          <w:rFonts w:hint="eastAsia" w:ascii="宋体" w:hAnsi="宋体" w:eastAsia="宋体" w:cs="宋体"/>
          <w:color w:val="auto"/>
          <w:spacing w:val="-1"/>
          <w:sz w:val="24"/>
          <w:szCs w:val="24"/>
          <w:highlight w:val="none"/>
        </w:rPr>
        <w:t>协助委托人完成交工各项试验检测工作。</w:t>
      </w:r>
    </w:p>
    <w:p w14:paraId="499E0404">
      <w:pPr>
        <w:keepNext w:val="0"/>
        <w:keepLines w:val="0"/>
        <w:widowControl w:val="0"/>
        <w:autoSpaceDE w:val="0"/>
        <w:autoSpaceDN w:val="0"/>
        <w:bidi w:val="0"/>
        <w:spacing w:line="360" w:lineRule="auto"/>
        <w:ind w:firstLine="482"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B</w:t>
      </w:r>
      <w:r>
        <w:rPr>
          <w:rFonts w:hint="eastAsia" w:ascii="宋体" w:hAnsi="宋体" w:eastAsia="宋体" w:cs="宋体"/>
          <w:b/>
          <w:color w:val="auto"/>
          <w:spacing w:val="-5"/>
          <w:kern w:val="0"/>
          <w:sz w:val="24"/>
          <w:szCs w:val="24"/>
          <w:highlight w:val="none"/>
        </w:rPr>
        <w:t>.总监办监</w:t>
      </w:r>
      <w:r>
        <w:rPr>
          <w:rFonts w:hint="eastAsia" w:ascii="宋体" w:hAnsi="宋体" w:eastAsia="宋体" w:cs="宋体"/>
          <w:b/>
          <w:color w:val="auto"/>
          <w:kern w:val="0"/>
          <w:sz w:val="24"/>
          <w:szCs w:val="24"/>
          <w:highlight w:val="none"/>
        </w:rPr>
        <w:t>理工程师工作范</w:t>
      </w:r>
      <w:r>
        <w:rPr>
          <w:rFonts w:hint="eastAsia" w:ascii="宋体" w:hAnsi="宋体" w:eastAsia="宋体" w:cs="宋体"/>
          <w:b/>
          <w:color w:val="auto"/>
          <w:spacing w:val="-10"/>
          <w:kern w:val="0"/>
          <w:sz w:val="24"/>
          <w:szCs w:val="24"/>
          <w:highlight w:val="none"/>
        </w:rPr>
        <w:t>围</w:t>
      </w:r>
    </w:p>
    <w:p w14:paraId="06790DBC">
      <w:pPr>
        <w:keepNext w:val="0"/>
        <w:keepLines w:val="0"/>
        <w:widowControl w:val="0"/>
        <w:autoSpaceDE w:val="0"/>
        <w:autoSpaceDN w:val="0"/>
        <w:bidi w:val="0"/>
        <w:spacing w:line="360" w:lineRule="auto"/>
        <w:ind w:firstLine="492"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总监办进行中心试验室工作范围外以及为加强现场质量控制所进行的试验检测项目，包括但不限于：</w:t>
      </w:r>
    </w:p>
    <w:p w14:paraId="5645F032">
      <w:pPr>
        <w:keepNext w:val="0"/>
        <w:keepLines w:val="0"/>
        <w:widowControl w:val="0"/>
        <w:numPr>
          <w:ilvl w:val="0"/>
          <w:numId w:val="0"/>
        </w:numPr>
        <w:tabs>
          <w:tab w:val="left" w:pos="1081"/>
        </w:tabs>
        <w:autoSpaceDE w:val="0"/>
        <w:autoSpaceDN w:val="0"/>
        <w:bidi w:val="0"/>
        <w:spacing w:line="360" w:lineRule="auto"/>
        <w:ind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a.</w:t>
      </w:r>
      <w:r>
        <w:rPr>
          <w:rFonts w:hint="eastAsia" w:ascii="宋体" w:hAnsi="宋体" w:eastAsia="宋体" w:cs="宋体"/>
          <w:color w:val="auto"/>
          <w:spacing w:val="3"/>
          <w:sz w:val="24"/>
          <w:szCs w:val="24"/>
          <w:highlight w:val="none"/>
        </w:rPr>
        <w:t>对基准点引出的工程控制桩进行复测，对施工放线的路线平面控制点、各种结</w:t>
      </w:r>
      <w:r>
        <w:rPr>
          <w:rFonts w:hint="eastAsia" w:ascii="宋体" w:hAnsi="宋体" w:eastAsia="宋体" w:cs="宋体"/>
          <w:color w:val="auto"/>
          <w:spacing w:val="-2"/>
          <w:sz w:val="24"/>
          <w:szCs w:val="24"/>
          <w:highlight w:val="none"/>
        </w:rPr>
        <w:t>构物定位的轴线控制桩位以及各高程控制点等重点桩位进行不少于</w:t>
      </w:r>
      <w:r>
        <w:rPr>
          <w:rFonts w:hint="eastAsia" w:ascii="宋体" w:hAnsi="宋体" w:eastAsia="宋体" w:cs="宋体"/>
          <w:color w:val="auto"/>
          <w:sz w:val="24"/>
          <w:szCs w:val="24"/>
          <w:highlight w:val="none"/>
        </w:rPr>
        <w:t>30</w:t>
      </w:r>
      <w:r>
        <w:rPr>
          <w:rFonts w:hint="eastAsia" w:ascii="宋体" w:hAnsi="宋体" w:eastAsia="宋体" w:cs="宋体"/>
          <w:color w:val="auto"/>
          <w:spacing w:val="-2"/>
          <w:sz w:val="24"/>
          <w:szCs w:val="24"/>
          <w:highlight w:val="none"/>
        </w:rPr>
        <w:t>%复测，经复测不</w:t>
      </w:r>
      <w:r>
        <w:rPr>
          <w:rFonts w:hint="eastAsia" w:ascii="宋体" w:hAnsi="宋体" w:eastAsia="宋体" w:cs="宋体"/>
          <w:color w:val="auto"/>
          <w:sz w:val="24"/>
          <w:szCs w:val="24"/>
          <w:highlight w:val="none"/>
        </w:rPr>
        <w:t>符合规定时应要求其重新测设。</w:t>
      </w:r>
    </w:p>
    <w:p w14:paraId="63E25F4A">
      <w:pPr>
        <w:keepNext w:val="0"/>
        <w:keepLines w:val="0"/>
        <w:widowControl w:val="0"/>
        <w:numPr>
          <w:ilvl w:val="0"/>
          <w:numId w:val="0"/>
        </w:numPr>
        <w:tabs>
          <w:tab w:val="left" w:pos="1081"/>
        </w:tabs>
        <w:autoSpaceDE w:val="0"/>
        <w:autoSpaceDN w:val="0"/>
        <w:bidi w:val="0"/>
        <w:spacing w:line="360" w:lineRule="auto"/>
        <w:ind w:firstLine="492" w:firstLineChars="200"/>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b.</w:t>
      </w:r>
      <w:r>
        <w:rPr>
          <w:rFonts w:hint="eastAsia" w:ascii="宋体" w:hAnsi="宋体" w:eastAsia="宋体" w:cs="宋体"/>
          <w:color w:val="auto"/>
          <w:spacing w:val="3"/>
          <w:sz w:val="24"/>
          <w:szCs w:val="24"/>
          <w:highlight w:val="none"/>
        </w:rPr>
        <w:t>完成《公路工程质量检验评定标准》中规定的测量工作内容包括结构尺寸、标高等</w:t>
      </w:r>
      <w:r>
        <w:rPr>
          <w:rFonts w:hint="eastAsia" w:ascii="宋体" w:hAnsi="宋体" w:eastAsia="宋体" w:cs="宋体"/>
          <w:color w:val="auto"/>
          <w:spacing w:val="3"/>
          <w:sz w:val="24"/>
          <w:szCs w:val="24"/>
          <w:highlight w:val="none"/>
          <w:lang w:val="en-US" w:eastAsia="zh-CN"/>
        </w:rPr>
        <w:t>。</w:t>
      </w:r>
    </w:p>
    <w:p w14:paraId="5ADE1857">
      <w:pPr>
        <w:keepNext w:val="0"/>
        <w:keepLines w:val="0"/>
        <w:widowControl w:val="0"/>
        <w:numPr>
          <w:ilvl w:val="0"/>
          <w:numId w:val="0"/>
        </w:numPr>
        <w:tabs>
          <w:tab w:val="left" w:pos="1081"/>
        </w:tabs>
        <w:autoSpaceDE w:val="0"/>
        <w:autoSpaceDN w:val="0"/>
        <w:bidi w:val="0"/>
        <w:spacing w:line="360" w:lineRule="auto"/>
        <w:ind w:firstLine="472"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c.</w:t>
      </w:r>
      <w:r>
        <w:rPr>
          <w:rFonts w:hint="eastAsia" w:ascii="宋体" w:hAnsi="宋体" w:eastAsia="宋体" w:cs="宋体"/>
          <w:color w:val="auto"/>
          <w:spacing w:val="-2"/>
          <w:sz w:val="24"/>
          <w:szCs w:val="24"/>
          <w:highlight w:val="none"/>
        </w:rPr>
        <w:t>完成《公路工程施工监理规范》及《公路工程质量检验评定标准》中规定的除中心试验室承担的其它检测内容。</w:t>
      </w:r>
    </w:p>
    <w:p w14:paraId="2397E9F2">
      <w:pPr>
        <w:keepNext w:val="0"/>
        <w:keepLines w:val="0"/>
        <w:widowControl w:val="0"/>
        <w:numPr>
          <w:ilvl w:val="0"/>
          <w:numId w:val="0"/>
        </w:numPr>
        <w:tabs>
          <w:tab w:val="left" w:pos="1081"/>
        </w:tabs>
        <w:autoSpaceDE w:val="0"/>
        <w:autoSpaceDN w:val="0"/>
        <w:bidi w:val="0"/>
        <w:spacing w:line="360" w:lineRule="auto"/>
        <w:ind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eastAsia="zh-CN"/>
        </w:rPr>
        <w:t>d.</w:t>
      </w:r>
      <w:r>
        <w:rPr>
          <w:rFonts w:hint="eastAsia" w:ascii="宋体" w:hAnsi="宋体" w:eastAsia="宋体" w:cs="宋体"/>
          <w:color w:val="auto"/>
          <w:spacing w:val="6"/>
          <w:sz w:val="24"/>
          <w:szCs w:val="24"/>
          <w:highlight w:val="none"/>
        </w:rPr>
        <w:t>负责《公路工程质量检验评定标准》要求的评定指标以外但直接影响工程质量、结构性能的其他部分质量指标检测任务；</w:t>
      </w:r>
    </w:p>
    <w:p w14:paraId="672DE308">
      <w:pPr>
        <w:keepNext w:val="0"/>
        <w:keepLines w:val="0"/>
        <w:widowControl w:val="0"/>
        <w:numPr>
          <w:ilvl w:val="0"/>
          <w:numId w:val="0"/>
        </w:numPr>
        <w:tabs>
          <w:tab w:val="left" w:pos="1081"/>
        </w:tabs>
        <w:autoSpaceDE w:val="0"/>
        <w:autoSpaceDN w:val="0"/>
        <w:bidi w:val="0"/>
        <w:spacing w:line="360" w:lineRule="auto"/>
        <w:ind w:firstLine="476" w:firstLineChars="200"/>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lang w:val="en-US" w:eastAsia="zh-CN"/>
        </w:rPr>
        <w:t>e.</w:t>
      </w:r>
      <w:r>
        <w:rPr>
          <w:rFonts w:hint="eastAsia" w:ascii="宋体" w:hAnsi="宋体" w:eastAsia="宋体" w:cs="宋体"/>
          <w:color w:val="auto"/>
          <w:spacing w:val="-1"/>
          <w:sz w:val="24"/>
          <w:szCs w:val="24"/>
          <w:highlight w:val="none"/>
        </w:rPr>
        <w:t>监理机构应安排监理人员对合同约定和现行《公路工程施工监理规范》附录</w:t>
      </w:r>
      <w:r>
        <w:rPr>
          <w:rFonts w:hint="eastAsia" w:ascii="宋体" w:hAnsi="宋体" w:eastAsia="宋体" w:cs="宋体"/>
          <w:color w:val="auto"/>
          <w:sz w:val="24"/>
          <w:szCs w:val="24"/>
          <w:highlight w:val="none"/>
        </w:rPr>
        <w:t>A</w:t>
      </w:r>
      <w:r>
        <w:rPr>
          <w:rFonts w:hint="eastAsia" w:ascii="宋体" w:hAnsi="宋体" w:eastAsia="宋体" w:cs="宋体"/>
          <w:color w:val="auto"/>
          <w:spacing w:val="3"/>
          <w:sz w:val="24"/>
          <w:szCs w:val="24"/>
          <w:highlight w:val="none"/>
        </w:rPr>
        <w:t>所列旁站项目的施工过程进行旁站，对主要工程的关键项目进行检测见证，并签写旁站记录，签认检测见证结果。</w:t>
      </w:r>
    </w:p>
    <w:p w14:paraId="1589319F">
      <w:pPr>
        <w:keepNext w:val="0"/>
        <w:keepLines w:val="0"/>
        <w:widowControl w:val="0"/>
        <w:numPr>
          <w:ilvl w:val="0"/>
          <w:numId w:val="0"/>
        </w:numPr>
        <w:tabs>
          <w:tab w:val="left" w:pos="1081"/>
        </w:tabs>
        <w:autoSpaceDE w:val="0"/>
        <w:autoSpaceDN w:val="0"/>
        <w:bidi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f.</w:t>
      </w:r>
      <w:r>
        <w:rPr>
          <w:rFonts w:hint="eastAsia" w:ascii="宋体" w:hAnsi="宋体" w:eastAsia="宋体" w:cs="宋体"/>
          <w:color w:val="auto"/>
          <w:spacing w:val="-2"/>
          <w:sz w:val="24"/>
          <w:szCs w:val="24"/>
          <w:highlight w:val="none"/>
        </w:rPr>
        <w:t>负责施工过程中混凝土质量（坍落度、扩展度等）及钢筋保护层厚度的质量检查及验收评定。</w:t>
      </w:r>
    </w:p>
    <w:p w14:paraId="0F674CC1">
      <w:pPr>
        <w:keepNext w:val="0"/>
        <w:keepLines w:val="0"/>
        <w:widowControl w:val="0"/>
        <w:autoSpaceDE w:val="0"/>
        <w:autoSpaceDN w:val="0"/>
        <w:bidi w:val="0"/>
        <w:spacing w:line="360" w:lineRule="auto"/>
        <w:ind w:firstLine="458"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w w:val="95"/>
          <w:kern w:val="0"/>
          <w:sz w:val="24"/>
          <w:szCs w:val="24"/>
          <w:highlight w:val="none"/>
        </w:rPr>
        <w:t>C．试验检测结果争议的处</w:t>
      </w:r>
      <w:r>
        <w:rPr>
          <w:rFonts w:hint="eastAsia" w:ascii="宋体" w:hAnsi="宋体" w:eastAsia="宋体" w:cs="宋体"/>
          <w:b/>
          <w:color w:val="auto"/>
          <w:spacing w:val="-10"/>
          <w:w w:val="95"/>
          <w:kern w:val="0"/>
          <w:sz w:val="24"/>
          <w:szCs w:val="24"/>
          <w:highlight w:val="none"/>
        </w:rPr>
        <w:t>理</w:t>
      </w:r>
    </w:p>
    <w:p w14:paraId="1ECC3750">
      <w:pPr>
        <w:keepNext w:val="0"/>
        <w:keepLines w:val="0"/>
        <w:widowControl w:val="0"/>
        <w:autoSpaceDE w:val="0"/>
        <w:autoSpaceDN w:val="0"/>
        <w:bidi w:val="0"/>
        <w:spacing w:line="360" w:lineRule="auto"/>
        <w:ind w:firstLine="492"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当委托人或监理对中心试验室检测工作质量存疑或存在争议时，委托人将组织各方联合核查，必要时将提请质量监督单位进行仲裁。</w:t>
      </w:r>
    </w:p>
    <w:p w14:paraId="5C008848">
      <w:pPr>
        <w:keepNext w:val="0"/>
        <w:keepLines w:val="0"/>
        <w:widowControl w:val="0"/>
        <w:numPr>
          <w:ilvl w:val="0"/>
          <w:numId w:val="0"/>
        </w:numPr>
        <w:tabs>
          <w:tab w:val="left" w:pos="1801"/>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13.6.</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z w:val="24"/>
          <w:szCs w:val="24"/>
          <w:highlight w:val="none"/>
        </w:rPr>
        <w:t>总监办的工程质量监管职责（包含但不限于以下工作</w:t>
      </w:r>
      <w:r>
        <w:rPr>
          <w:rFonts w:hint="eastAsia" w:ascii="宋体" w:hAnsi="宋体" w:eastAsia="宋体" w:cs="宋体"/>
          <w:color w:val="auto"/>
          <w:spacing w:val="-10"/>
          <w:sz w:val="24"/>
          <w:szCs w:val="24"/>
          <w:highlight w:val="none"/>
        </w:rPr>
        <w:t>）</w:t>
      </w:r>
    </w:p>
    <w:p w14:paraId="0958DE7F">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负责督促施工准备阶段施工单位工地试验室的建设和审查试验室认定材料，参与委托人组织的施工单位工地试验室临时资质的考核。</w:t>
      </w:r>
    </w:p>
    <w:p w14:paraId="2E7CC397">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2</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rPr>
        <w:t>负责审查施工单位报审的原材料和混合料试验资料，对主要原材料取样委托中</w:t>
      </w:r>
      <w:r>
        <w:rPr>
          <w:rFonts w:hint="eastAsia" w:ascii="宋体" w:hAnsi="宋体" w:eastAsia="宋体" w:cs="宋体"/>
          <w:color w:val="auto"/>
          <w:spacing w:val="3"/>
          <w:sz w:val="24"/>
          <w:szCs w:val="24"/>
          <w:highlight w:val="none"/>
        </w:rPr>
        <w:t>心试验室进行平行试验，对主要混合料的配合比和路基填料的击实试验经三方见证取样后委托中心试验室进行验证试验，并根据验证报告进行批复审批。</w:t>
      </w:r>
    </w:p>
    <w:p w14:paraId="1F7339BF">
      <w:pPr>
        <w:keepNext w:val="0"/>
        <w:keepLines w:val="0"/>
        <w:widowControl w:val="0"/>
        <w:numPr>
          <w:ilvl w:val="0"/>
          <w:numId w:val="0"/>
        </w:numPr>
        <w:tabs>
          <w:tab w:val="left" w:pos="1202"/>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3</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负责审批施工单位的试验检测工作计划，检查计划执行情况。</w:t>
      </w:r>
    </w:p>
    <w:p w14:paraId="03323B30">
      <w:pPr>
        <w:keepNext w:val="0"/>
        <w:keepLines w:val="0"/>
        <w:widowControl w:val="0"/>
        <w:numPr>
          <w:ilvl w:val="0"/>
          <w:numId w:val="0"/>
        </w:numPr>
        <w:tabs>
          <w:tab w:val="left" w:pos="1202"/>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4</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审查和批准施工单位对外委托的检测单位，报委托人备案。</w:t>
      </w:r>
    </w:p>
    <w:p w14:paraId="0B803E68">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5</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1"/>
          <w:sz w:val="24"/>
          <w:szCs w:val="24"/>
          <w:highlight w:val="none"/>
        </w:rPr>
        <w:t>监理人按要求设置试验检测工程师，负责施工单位试验检测监理工作，对施工单位试验检测工作指导、检查、管理，负责与中心试验室的协调工作。</w:t>
      </w:r>
    </w:p>
    <w:p w14:paraId="06B2A5D1">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6</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3"/>
          <w:sz w:val="24"/>
          <w:szCs w:val="24"/>
          <w:highlight w:val="none"/>
        </w:rPr>
        <w:t>监理人应在施工单位自检合格基础上按最新《公路工程施工监理规范》相关规定进行抽检，并按相关附录格式填写抽检记录，并负责施工单位试验检测的见证、旁站和相关资料的签认。</w:t>
      </w:r>
    </w:p>
    <w:p w14:paraId="685B4CC9">
      <w:pPr>
        <w:keepNext w:val="0"/>
        <w:keepLines w:val="0"/>
        <w:widowControl w:val="0"/>
        <w:numPr>
          <w:ilvl w:val="0"/>
          <w:numId w:val="0"/>
        </w:numPr>
        <w:tabs>
          <w:tab w:val="left" w:pos="1202"/>
        </w:tabs>
        <w:autoSpaceDE w:val="0"/>
        <w:autoSpaceDN w:val="0"/>
        <w:bidi w:val="0"/>
        <w:spacing w:line="360" w:lineRule="auto"/>
        <w:ind w:leftChars="200"/>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7</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rPr>
        <w:t>负责检查施工单位工地试验室的试验管理工作，不定期检查其试验室，核查试</w:t>
      </w:r>
      <w:r>
        <w:rPr>
          <w:rFonts w:hint="eastAsia" w:ascii="宋体" w:hAnsi="宋体" w:eastAsia="宋体" w:cs="宋体"/>
          <w:color w:val="auto"/>
          <w:spacing w:val="3"/>
          <w:sz w:val="24"/>
          <w:szCs w:val="24"/>
          <w:highlight w:val="none"/>
        </w:rPr>
        <w:t>验室仪器设备完好情况、标定情况以及人员变更情况，并有权要求施工单位增加试验人员、更换不称职的试验人员和配备足够的试验仪器、设备等，必要情况下向委托人汇报。</w:t>
      </w:r>
    </w:p>
    <w:p w14:paraId="7B03138D">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8</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rPr>
        <w:t>施工单位有外委试验检测，监理人应派员参加送样见证工作。对施工单位外部</w:t>
      </w:r>
      <w:r>
        <w:rPr>
          <w:rFonts w:hint="eastAsia" w:ascii="宋体" w:hAnsi="宋体" w:eastAsia="宋体" w:cs="宋体"/>
          <w:color w:val="auto"/>
          <w:spacing w:val="3"/>
          <w:sz w:val="24"/>
          <w:szCs w:val="24"/>
          <w:highlight w:val="none"/>
        </w:rPr>
        <w:t>采购和委托制作的主要工程构配件或设备，监理工程师应检查产品合格证明文件和施工单位自检报告，进场后对关键项目进行抽检验收合格后方可使用，对监理不能检测项目可委托中心试验室进行试验或到厂家监督检验。</w:t>
      </w:r>
    </w:p>
    <w:p w14:paraId="1275A1B1">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9</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负责施工单位现场各道工序质量控制，并有义务为中心试验室提供施工现场与试验检测相关的信息，同时监理人的试验检测工作须接受中心试验室的技术指导。</w:t>
      </w:r>
    </w:p>
    <w:p w14:paraId="2892F39F">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10</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3"/>
          <w:sz w:val="24"/>
          <w:szCs w:val="24"/>
          <w:highlight w:val="none"/>
        </w:rPr>
        <w:t>为了对现场施工质量进行有效控制，总监办有权根据现场施工质量的动态变</w:t>
      </w:r>
      <w:r>
        <w:rPr>
          <w:rFonts w:hint="eastAsia" w:ascii="宋体" w:hAnsi="宋体" w:eastAsia="宋体" w:cs="宋体"/>
          <w:color w:val="auto"/>
          <w:spacing w:val="4"/>
          <w:sz w:val="24"/>
          <w:szCs w:val="24"/>
          <w:highlight w:val="none"/>
        </w:rPr>
        <w:t>化情况，通知中心试验室对现场施工质量进行必要的取样试验或必要的现场检测（</w:t>
      </w:r>
      <w:r>
        <w:rPr>
          <w:rFonts w:hint="eastAsia" w:ascii="宋体" w:hAnsi="宋体" w:eastAsia="宋体" w:cs="宋体"/>
          <w:color w:val="auto"/>
          <w:sz w:val="24"/>
          <w:szCs w:val="24"/>
          <w:highlight w:val="none"/>
        </w:rPr>
        <w:t>此项工作不受检测单位检测频率的约束）。</w:t>
      </w:r>
    </w:p>
    <w:p w14:paraId="3E45B903">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11</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3"/>
          <w:sz w:val="24"/>
          <w:szCs w:val="24"/>
          <w:highlight w:val="none"/>
        </w:rPr>
        <w:t>协助委托人调查处理施工单位的质量问题、事故，向中心试验室提供相关的信息，并向委托人报告有关情况。</w:t>
      </w:r>
    </w:p>
    <w:p w14:paraId="4A17D2A6">
      <w:pPr>
        <w:keepNext w:val="0"/>
        <w:keepLines w:val="0"/>
        <w:widowControl w:val="0"/>
        <w:numPr>
          <w:ilvl w:val="0"/>
          <w:numId w:val="0"/>
        </w:numPr>
        <w:tabs>
          <w:tab w:val="left" w:pos="1437"/>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12</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1"/>
          <w:sz w:val="24"/>
          <w:szCs w:val="24"/>
          <w:highlight w:val="none"/>
        </w:rPr>
        <w:t>负责组织工程的中间交工验收检测和单位、分部工程质量评定工作。</w:t>
      </w:r>
    </w:p>
    <w:p w14:paraId="25B0493E">
      <w:pPr>
        <w:keepNext w:val="0"/>
        <w:keepLines w:val="0"/>
        <w:widowControl w:val="0"/>
        <w:numPr>
          <w:ilvl w:val="0"/>
          <w:numId w:val="0"/>
        </w:numPr>
        <w:tabs>
          <w:tab w:val="left" w:pos="1465"/>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13</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6"/>
          <w:sz w:val="24"/>
          <w:szCs w:val="24"/>
          <w:highlight w:val="none"/>
        </w:rPr>
        <w:t>参加委托人组织的交工验收和上级行业质监主管部门组织的检查及竣工验收。</w:t>
      </w:r>
    </w:p>
    <w:p w14:paraId="617A9514">
      <w:pPr>
        <w:keepNext w:val="0"/>
        <w:keepLines w:val="0"/>
        <w:widowControl w:val="0"/>
        <w:numPr>
          <w:ilvl w:val="0"/>
          <w:numId w:val="0"/>
        </w:numPr>
        <w:tabs>
          <w:tab w:val="left" w:pos="1437"/>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14</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1"/>
          <w:sz w:val="24"/>
          <w:szCs w:val="24"/>
          <w:highlight w:val="none"/>
        </w:rPr>
        <w:t>根据合同文件，承担委托人授予的其他权力和义务。</w:t>
      </w:r>
    </w:p>
    <w:p w14:paraId="7D0C3633">
      <w:pPr>
        <w:keepNext w:val="0"/>
        <w:keepLines w:val="0"/>
        <w:widowControl w:val="0"/>
        <w:numPr>
          <w:ilvl w:val="0"/>
          <w:numId w:val="0"/>
        </w:numPr>
        <w:tabs>
          <w:tab w:val="left" w:pos="1437"/>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15</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1"/>
          <w:sz w:val="24"/>
          <w:szCs w:val="24"/>
          <w:highlight w:val="none"/>
        </w:rPr>
        <w:t>详细的界面划分如下表所示</w:t>
      </w:r>
    </w:p>
    <w:p w14:paraId="0D6BE02E">
      <w:pPr>
        <w:keepNext w:val="0"/>
        <w:keepLines w:val="0"/>
        <w:widowControl w:val="0"/>
        <w:autoSpaceDE w:val="0"/>
        <w:autoSpaceDN w:val="0"/>
        <w:bidi w:val="0"/>
        <w:spacing w:before="4"/>
        <w:jc w:val="left"/>
        <w:rPr>
          <w:rFonts w:hint="eastAsia" w:ascii="宋体" w:hAnsi="宋体" w:eastAsia="宋体" w:cs="宋体"/>
          <w:color w:val="auto"/>
          <w:sz w:val="12"/>
          <w:szCs w:val="24"/>
          <w:highlight w:val="none"/>
        </w:rPr>
      </w:pPr>
    </w:p>
    <w:tbl>
      <w:tblPr>
        <w:tblStyle w:val="21"/>
        <w:tblW w:w="88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82"/>
        <w:gridCol w:w="1554"/>
        <w:gridCol w:w="1855"/>
      </w:tblGrid>
      <w:tr w14:paraId="4D81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trPr>
        <w:tc>
          <w:tcPr>
            <w:tcW w:w="5482" w:type="dxa"/>
            <w:vMerge w:val="restart"/>
            <w:noWrap w:val="0"/>
            <w:vAlign w:val="center"/>
          </w:tcPr>
          <w:p w14:paraId="50C8534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试验检测工作内容</w:t>
            </w:r>
          </w:p>
        </w:tc>
        <w:tc>
          <w:tcPr>
            <w:tcW w:w="3409" w:type="dxa"/>
            <w:gridSpan w:val="2"/>
            <w:noWrap w:val="0"/>
            <w:vAlign w:val="center"/>
          </w:tcPr>
          <w:p w14:paraId="4D1EDBF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试验检测工作界面划分</w:t>
            </w:r>
          </w:p>
        </w:tc>
      </w:tr>
      <w:tr w14:paraId="1A1C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vMerge w:val="continue"/>
            <w:noWrap w:val="0"/>
            <w:vAlign w:val="center"/>
          </w:tcPr>
          <w:p w14:paraId="7F2A0F7F">
            <w:pPr>
              <w:keepNext w:val="0"/>
              <w:keepLines w:val="0"/>
              <w:bidi w:val="0"/>
              <w:jc w:val="center"/>
              <w:rPr>
                <w:rFonts w:hint="eastAsia" w:ascii="宋体" w:hAnsi="宋体" w:eastAsia="宋体" w:cs="宋体"/>
                <w:color w:val="auto"/>
                <w:sz w:val="24"/>
                <w:szCs w:val="24"/>
                <w:highlight w:val="none"/>
              </w:rPr>
            </w:pPr>
          </w:p>
        </w:tc>
        <w:tc>
          <w:tcPr>
            <w:tcW w:w="1554" w:type="dxa"/>
            <w:noWrap w:val="0"/>
            <w:vAlign w:val="center"/>
          </w:tcPr>
          <w:p w14:paraId="2EE754A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主要负责</w:t>
            </w:r>
          </w:p>
        </w:tc>
        <w:tc>
          <w:tcPr>
            <w:tcW w:w="1855" w:type="dxa"/>
            <w:noWrap w:val="0"/>
            <w:vAlign w:val="center"/>
          </w:tcPr>
          <w:p w14:paraId="744408A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配合</w:t>
            </w:r>
          </w:p>
        </w:tc>
      </w:tr>
      <w:tr w14:paraId="0DB4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336FA13C">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1.承包人工地试验室筹备督导；</w:t>
            </w:r>
          </w:p>
        </w:tc>
        <w:tc>
          <w:tcPr>
            <w:tcW w:w="1554" w:type="dxa"/>
            <w:noWrap w:val="0"/>
            <w:vAlign w:val="center"/>
          </w:tcPr>
          <w:p w14:paraId="4AC1CD0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6060F24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5D3D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482" w:type="dxa"/>
            <w:noWrap w:val="0"/>
            <w:vAlign w:val="center"/>
          </w:tcPr>
          <w:p w14:paraId="22FCD85F">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2.承包人工地试验室资质备案材料审查；</w:t>
            </w:r>
          </w:p>
        </w:tc>
        <w:tc>
          <w:tcPr>
            <w:tcW w:w="1554" w:type="dxa"/>
            <w:noWrap w:val="0"/>
            <w:vAlign w:val="center"/>
          </w:tcPr>
          <w:p w14:paraId="757C8DC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699238C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66B7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trPr>
        <w:tc>
          <w:tcPr>
            <w:tcW w:w="5482" w:type="dxa"/>
            <w:noWrap w:val="0"/>
            <w:vAlign w:val="center"/>
          </w:tcPr>
          <w:p w14:paraId="703948CC">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3.承包人工地试验室试验检测人员、设备的进场、变更的审核（试验室）；</w:t>
            </w:r>
          </w:p>
        </w:tc>
        <w:tc>
          <w:tcPr>
            <w:tcW w:w="1554" w:type="dxa"/>
            <w:noWrap w:val="0"/>
            <w:vAlign w:val="center"/>
          </w:tcPr>
          <w:p w14:paraId="4928C4F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1D9D80E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4C5C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59A9C376">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4.月度工地试验室检查及督促整改；</w:t>
            </w:r>
          </w:p>
        </w:tc>
        <w:tc>
          <w:tcPr>
            <w:tcW w:w="1554" w:type="dxa"/>
            <w:noWrap w:val="0"/>
            <w:vAlign w:val="center"/>
          </w:tcPr>
          <w:p w14:paraId="333A38C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320F128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36EC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482" w:type="dxa"/>
            <w:noWrap w:val="0"/>
            <w:vAlign w:val="center"/>
          </w:tcPr>
          <w:p w14:paraId="708E5CF0">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5.内业资料表格、台账的统一；</w:t>
            </w:r>
          </w:p>
        </w:tc>
        <w:tc>
          <w:tcPr>
            <w:tcW w:w="1554" w:type="dxa"/>
            <w:noWrap w:val="0"/>
            <w:vAlign w:val="center"/>
          </w:tcPr>
          <w:p w14:paraId="070863C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79FB3FB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6D46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3C3B3D63">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6.原材料厂家考察、审核（批）；</w:t>
            </w:r>
          </w:p>
        </w:tc>
        <w:tc>
          <w:tcPr>
            <w:tcW w:w="1554" w:type="dxa"/>
            <w:noWrap w:val="0"/>
            <w:vAlign w:val="center"/>
          </w:tcPr>
          <w:p w14:paraId="26FB25A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34273CE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56C0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482" w:type="dxa"/>
            <w:noWrap w:val="0"/>
            <w:vAlign w:val="center"/>
          </w:tcPr>
          <w:p w14:paraId="42EAF0DA">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7.进场材料使用前审批；</w:t>
            </w:r>
          </w:p>
        </w:tc>
        <w:tc>
          <w:tcPr>
            <w:tcW w:w="1554" w:type="dxa"/>
            <w:noWrap w:val="0"/>
            <w:vAlign w:val="center"/>
          </w:tcPr>
          <w:p w14:paraId="4C54EEA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75EF808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6A9B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5E427C16">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8.平行验证试验；</w:t>
            </w:r>
          </w:p>
        </w:tc>
        <w:tc>
          <w:tcPr>
            <w:tcW w:w="1554" w:type="dxa"/>
            <w:noWrap w:val="0"/>
            <w:vAlign w:val="center"/>
          </w:tcPr>
          <w:p w14:paraId="3974672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228E468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1994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62A0EF38">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9.施工配合比审批；</w:t>
            </w:r>
          </w:p>
        </w:tc>
        <w:tc>
          <w:tcPr>
            <w:tcW w:w="1554" w:type="dxa"/>
            <w:noWrap w:val="0"/>
            <w:vAlign w:val="center"/>
          </w:tcPr>
          <w:p w14:paraId="4BF657E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6CD90BE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032B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4C06372C">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10.原材料、成品、半成品取样、送样；</w:t>
            </w:r>
          </w:p>
        </w:tc>
        <w:tc>
          <w:tcPr>
            <w:tcW w:w="1554" w:type="dxa"/>
            <w:noWrap w:val="0"/>
            <w:vAlign w:val="center"/>
          </w:tcPr>
          <w:p w14:paraId="5EC645E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405D84E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6B4D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22C8ADA0">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11.原材料、成品、半成品试验检测；</w:t>
            </w:r>
          </w:p>
        </w:tc>
        <w:tc>
          <w:tcPr>
            <w:tcW w:w="1554" w:type="dxa"/>
            <w:noWrap w:val="0"/>
            <w:vAlign w:val="center"/>
          </w:tcPr>
          <w:p w14:paraId="538E647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037C096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70EB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482" w:type="dxa"/>
            <w:noWrap w:val="0"/>
            <w:vAlign w:val="center"/>
          </w:tcPr>
          <w:p w14:paraId="33E5D58D">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12.工地试验室自检试验过程监督及资料签认；</w:t>
            </w:r>
          </w:p>
        </w:tc>
        <w:tc>
          <w:tcPr>
            <w:tcW w:w="1554" w:type="dxa"/>
            <w:noWrap w:val="0"/>
            <w:vAlign w:val="center"/>
          </w:tcPr>
          <w:p w14:paraId="18F703F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3308132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273E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3F9000A0">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13.需出具试验检测报告的现场原位测试；</w:t>
            </w:r>
          </w:p>
        </w:tc>
        <w:tc>
          <w:tcPr>
            <w:tcW w:w="1554" w:type="dxa"/>
            <w:noWrap w:val="0"/>
            <w:vAlign w:val="center"/>
          </w:tcPr>
          <w:p w14:paraId="500022B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77D7CFF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6D2F5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162A0FDA">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14.不需出具试验检测报告的现场原位测试；</w:t>
            </w:r>
          </w:p>
        </w:tc>
        <w:tc>
          <w:tcPr>
            <w:tcW w:w="1554" w:type="dxa"/>
            <w:noWrap w:val="0"/>
            <w:vAlign w:val="center"/>
          </w:tcPr>
          <w:p w14:paraId="0986DD7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575C46C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37C0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482" w:type="dxa"/>
            <w:noWrap w:val="0"/>
            <w:vAlign w:val="center"/>
          </w:tcPr>
          <w:p w14:paraId="0A510090">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15.混凝土拌合站施工配合比使用监控及施工配合比配料</w:t>
            </w:r>
          </w:p>
          <w:p w14:paraId="0C1CDB28">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单的签认；</w:t>
            </w:r>
          </w:p>
        </w:tc>
        <w:tc>
          <w:tcPr>
            <w:tcW w:w="1554" w:type="dxa"/>
            <w:noWrap w:val="0"/>
            <w:vAlign w:val="center"/>
          </w:tcPr>
          <w:p w14:paraId="3605EB3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08514C2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3822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5482" w:type="dxa"/>
            <w:noWrap w:val="0"/>
            <w:vAlign w:val="center"/>
          </w:tcPr>
          <w:p w14:paraId="7D3BF97A">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16.混凝土施工过程中混凝土取样、送样等；</w:t>
            </w:r>
          </w:p>
        </w:tc>
        <w:tc>
          <w:tcPr>
            <w:tcW w:w="1554" w:type="dxa"/>
            <w:noWrap w:val="0"/>
            <w:vAlign w:val="center"/>
          </w:tcPr>
          <w:p w14:paraId="2A73E6F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56C9286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30943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482" w:type="dxa"/>
            <w:noWrap w:val="0"/>
            <w:vAlign w:val="center"/>
          </w:tcPr>
          <w:p w14:paraId="1832E722">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17.施工现场工艺试验内容（如：锚杆、锚索、路基试验</w:t>
            </w:r>
          </w:p>
          <w:p w14:paraId="57940F69">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段等）</w:t>
            </w:r>
          </w:p>
        </w:tc>
        <w:tc>
          <w:tcPr>
            <w:tcW w:w="1554" w:type="dxa"/>
            <w:noWrap w:val="0"/>
            <w:vAlign w:val="center"/>
          </w:tcPr>
          <w:p w14:paraId="3107CFD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1D2B948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36FC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6B51ED16">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18.室内工艺性能试验（如：钢筋直螺纹加工、焊接等）</w:t>
            </w:r>
          </w:p>
        </w:tc>
        <w:tc>
          <w:tcPr>
            <w:tcW w:w="1554" w:type="dxa"/>
            <w:noWrap w:val="0"/>
            <w:vAlign w:val="center"/>
          </w:tcPr>
          <w:p w14:paraId="39C1FE8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2A7ABF6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55E8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5482" w:type="dxa"/>
            <w:noWrap w:val="0"/>
            <w:vAlign w:val="center"/>
          </w:tcPr>
          <w:p w14:paraId="00CC10E7">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19.工地试验室人员定期培训及考核</w:t>
            </w:r>
          </w:p>
        </w:tc>
        <w:tc>
          <w:tcPr>
            <w:tcW w:w="1554" w:type="dxa"/>
            <w:noWrap w:val="0"/>
            <w:vAlign w:val="center"/>
          </w:tcPr>
          <w:p w14:paraId="661AF5A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2ED0310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7E81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5482" w:type="dxa"/>
            <w:noWrap w:val="0"/>
            <w:vAlign w:val="center"/>
          </w:tcPr>
          <w:p w14:paraId="7F825AD3">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20.定期比对试验等；</w:t>
            </w:r>
          </w:p>
        </w:tc>
        <w:tc>
          <w:tcPr>
            <w:tcW w:w="1554" w:type="dxa"/>
            <w:noWrap w:val="0"/>
            <w:vAlign w:val="center"/>
          </w:tcPr>
          <w:p w14:paraId="5F94032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38AAD98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6016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23AB80C0">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21.施工单位自检试验委托单位的审核、审批；</w:t>
            </w:r>
          </w:p>
        </w:tc>
        <w:tc>
          <w:tcPr>
            <w:tcW w:w="1554" w:type="dxa"/>
            <w:noWrap w:val="0"/>
            <w:vAlign w:val="center"/>
          </w:tcPr>
          <w:p w14:paraId="7C8AE3F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53D1555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7F6B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5482" w:type="dxa"/>
            <w:noWrap w:val="0"/>
            <w:vAlign w:val="center"/>
          </w:tcPr>
          <w:p w14:paraId="1CDC8D3F">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22.施工单位特殊材料外委材料的取送样监督；</w:t>
            </w:r>
          </w:p>
        </w:tc>
        <w:tc>
          <w:tcPr>
            <w:tcW w:w="1554" w:type="dxa"/>
            <w:noWrap w:val="0"/>
            <w:vAlign w:val="center"/>
          </w:tcPr>
          <w:p w14:paraId="4EC0CAC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5B42E37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5E1E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0DA02AFB">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23.施工单位自检频率的监控及统计审核；</w:t>
            </w:r>
          </w:p>
        </w:tc>
        <w:tc>
          <w:tcPr>
            <w:tcW w:w="1554" w:type="dxa"/>
            <w:noWrap w:val="0"/>
            <w:vAlign w:val="center"/>
          </w:tcPr>
          <w:p w14:paraId="54342D1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1C60551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31FA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2E786883">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24.监理试验抽检频率的统计及跟踪、钢筋保护层测定；</w:t>
            </w:r>
          </w:p>
        </w:tc>
        <w:tc>
          <w:tcPr>
            <w:tcW w:w="1554" w:type="dxa"/>
            <w:noWrap w:val="0"/>
            <w:vAlign w:val="center"/>
          </w:tcPr>
          <w:p w14:paraId="7E1B26F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50A733F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01D6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7" w:hRule="atLeast"/>
        </w:trPr>
        <w:tc>
          <w:tcPr>
            <w:tcW w:w="5482" w:type="dxa"/>
            <w:noWrap w:val="0"/>
            <w:vAlign w:val="center"/>
          </w:tcPr>
          <w:p w14:paraId="22E71FF7">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25.中间交工验收试验检测工作（结构物外形尺寸、偏位等）</w:t>
            </w:r>
          </w:p>
        </w:tc>
        <w:tc>
          <w:tcPr>
            <w:tcW w:w="1554" w:type="dxa"/>
            <w:noWrap w:val="0"/>
            <w:vAlign w:val="center"/>
          </w:tcPr>
          <w:p w14:paraId="2D6234A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1ABA7B7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5F18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482" w:type="dxa"/>
            <w:noWrap w:val="0"/>
            <w:vAlign w:val="center"/>
          </w:tcPr>
          <w:p w14:paraId="0360AA65">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26.中间交工验收试验检测工作（路基压实度、结构物回弹、保护层等）</w:t>
            </w:r>
          </w:p>
        </w:tc>
        <w:tc>
          <w:tcPr>
            <w:tcW w:w="1554" w:type="dxa"/>
            <w:noWrap w:val="0"/>
            <w:vAlign w:val="center"/>
          </w:tcPr>
          <w:p w14:paraId="3472941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36BD981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05D2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7CFD96D1">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27.交工验收过程中的试验检测工作。</w:t>
            </w:r>
          </w:p>
        </w:tc>
        <w:tc>
          <w:tcPr>
            <w:tcW w:w="1554" w:type="dxa"/>
            <w:noWrap w:val="0"/>
            <w:vAlign w:val="center"/>
          </w:tcPr>
          <w:p w14:paraId="165E57E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330D638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6BEE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1A274BF4">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28.代表委托人日常质量巡查</w:t>
            </w:r>
          </w:p>
        </w:tc>
        <w:tc>
          <w:tcPr>
            <w:tcW w:w="1554" w:type="dxa"/>
            <w:noWrap w:val="0"/>
            <w:vAlign w:val="center"/>
          </w:tcPr>
          <w:p w14:paraId="1738C96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73D313B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1A27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482" w:type="dxa"/>
            <w:noWrap w:val="0"/>
            <w:vAlign w:val="center"/>
          </w:tcPr>
          <w:p w14:paraId="11A931D8">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29.全部结构物构件强度回弹</w:t>
            </w:r>
          </w:p>
        </w:tc>
        <w:tc>
          <w:tcPr>
            <w:tcW w:w="1554" w:type="dxa"/>
            <w:noWrap w:val="0"/>
            <w:vAlign w:val="center"/>
          </w:tcPr>
          <w:p w14:paraId="335D495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6BC22A4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bl>
    <w:p w14:paraId="75690523">
      <w:pPr>
        <w:keepNext w:val="0"/>
        <w:keepLines w:val="0"/>
        <w:widowControl w:val="0"/>
        <w:autoSpaceDE w:val="0"/>
        <w:autoSpaceDN w:val="0"/>
        <w:bidi w:val="0"/>
        <w:spacing w:before="3"/>
        <w:jc w:val="left"/>
        <w:rPr>
          <w:rFonts w:hint="eastAsia" w:ascii="宋体" w:hAnsi="宋体" w:eastAsia="宋体" w:cs="宋体"/>
          <w:color w:val="auto"/>
          <w:sz w:val="20"/>
          <w:szCs w:val="24"/>
          <w:highlight w:val="none"/>
        </w:rPr>
      </w:pPr>
    </w:p>
    <w:p w14:paraId="0E4A6433">
      <w:pPr>
        <w:keepNext w:val="0"/>
        <w:keepLines w:val="0"/>
        <w:widowControl w:val="0"/>
        <w:numPr>
          <w:ilvl w:val="0"/>
          <w:numId w:val="0"/>
        </w:numPr>
        <w:tabs>
          <w:tab w:val="left" w:pos="1801"/>
        </w:tabs>
        <w:autoSpaceDE w:val="0"/>
        <w:autoSpaceDN w:val="0"/>
        <w:bidi w:val="0"/>
        <w:spacing w:before="67"/>
        <w:ind w:firstLine="238" w:firstLineChars="100"/>
        <w:rPr>
          <w:rFonts w:hint="eastAsia" w:ascii="宋体" w:hAnsi="宋体" w:eastAsia="宋体" w:cs="宋体"/>
          <w:color w:val="auto"/>
          <w:sz w:val="24"/>
          <w:szCs w:val="22"/>
          <w:highlight w:val="none"/>
        </w:rPr>
      </w:pPr>
      <w:r>
        <w:rPr>
          <w:rFonts w:hint="eastAsia" w:ascii="宋体" w:hAnsi="宋体" w:eastAsia="宋体" w:cs="宋体"/>
          <w:color w:val="auto"/>
          <w:spacing w:val="-1"/>
          <w:sz w:val="24"/>
          <w:szCs w:val="24"/>
          <w:highlight w:val="none"/>
        </w:rPr>
        <w:t>13.6.</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z w:val="24"/>
          <w:szCs w:val="22"/>
          <w:highlight w:val="none"/>
        </w:rPr>
        <w:t>中心试验室的工程质量监管职责（包含但不限于以下工作</w:t>
      </w:r>
      <w:r>
        <w:rPr>
          <w:rFonts w:hint="eastAsia" w:ascii="宋体" w:hAnsi="宋体" w:eastAsia="宋体" w:cs="宋体"/>
          <w:color w:val="auto"/>
          <w:spacing w:val="-10"/>
          <w:sz w:val="24"/>
          <w:szCs w:val="22"/>
          <w:highlight w:val="none"/>
        </w:rPr>
        <w:t>）</w:t>
      </w:r>
    </w:p>
    <w:p w14:paraId="46495A74">
      <w:pPr>
        <w:keepNext w:val="0"/>
        <w:keepLines w:val="0"/>
        <w:widowControl w:val="0"/>
        <w:numPr>
          <w:ilvl w:val="0"/>
          <w:numId w:val="7"/>
        </w:numPr>
        <w:tabs>
          <w:tab w:val="left" w:pos="1446"/>
        </w:tabs>
        <w:autoSpaceDE w:val="0"/>
        <w:autoSpaceDN w:val="0"/>
        <w:bidi w:val="0"/>
        <w:spacing w:before="160" w:line="364"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按照合同、最新《公路水运工程试验检测管理办法》和《公路工程施工监理</w:t>
      </w:r>
      <w:r>
        <w:rPr>
          <w:rFonts w:hint="eastAsia" w:ascii="宋体" w:hAnsi="宋体" w:eastAsia="宋体" w:cs="宋体"/>
          <w:color w:val="auto"/>
          <w:spacing w:val="3"/>
          <w:sz w:val="24"/>
          <w:szCs w:val="22"/>
          <w:highlight w:val="none"/>
        </w:rPr>
        <w:t>规范》有关规定，负责工程检测服务合同范围内的验证试验、工艺试验、标准试验、抽检试验、验收试验等工作的采样和试验并出具结论报告，并对其真实性负责。</w:t>
      </w:r>
    </w:p>
    <w:p w14:paraId="2C47F392">
      <w:pPr>
        <w:keepNext w:val="0"/>
        <w:keepLines w:val="0"/>
        <w:widowControl w:val="0"/>
        <w:numPr>
          <w:ilvl w:val="0"/>
          <w:numId w:val="7"/>
        </w:numPr>
        <w:tabs>
          <w:tab w:val="left" w:pos="1446"/>
        </w:tabs>
        <w:autoSpaceDE w:val="0"/>
        <w:autoSpaceDN w:val="0"/>
        <w:bidi w:val="0"/>
        <w:spacing w:line="362"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pacing w:val="-2"/>
          <w:sz w:val="24"/>
          <w:szCs w:val="22"/>
          <w:highlight w:val="none"/>
        </w:rPr>
        <w:t>应及时、准确地为委托人或监理工程师提供试验报告、委托人认为有必要的试验检测分析意见，为监理工程师进行工程质量控制和评估提供依据。</w:t>
      </w:r>
    </w:p>
    <w:p w14:paraId="5A427668">
      <w:pPr>
        <w:keepNext w:val="0"/>
        <w:keepLines w:val="0"/>
        <w:widowControl w:val="0"/>
        <w:numPr>
          <w:ilvl w:val="0"/>
          <w:numId w:val="7"/>
        </w:numPr>
        <w:tabs>
          <w:tab w:val="left" w:pos="1446"/>
        </w:tabs>
        <w:autoSpaceDE w:val="0"/>
        <w:autoSpaceDN w:val="0"/>
        <w:bidi w:val="0"/>
        <w:spacing w:before="5" w:line="362"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pacing w:val="-2"/>
          <w:sz w:val="24"/>
          <w:szCs w:val="22"/>
          <w:highlight w:val="none"/>
        </w:rPr>
        <w:t>依据监理工程师的工作计划同步编写试验检测工作计划，并报送委托人，同时中心试验室应据此安排做好试验检测服务工作。</w:t>
      </w:r>
    </w:p>
    <w:p w14:paraId="75E605C6">
      <w:pPr>
        <w:keepNext w:val="0"/>
        <w:keepLines w:val="0"/>
        <w:widowControl w:val="0"/>
        <w:numPr>
          <w:ilvl w:val="0"/>
          <w:numId w:val="7"/>
        </w:numPr>
        <w:tabs>
          <w:tab w:val="left" w:pos="1468"/>
        </w:tabs>
        <w:autoSpaceDE w:val="0"/>
        <w:autoSpaceDN w:val="0"/>
        <w:bidi w:val="0"/>
        <w:spacing w:before="41" w:line="362"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pacing w:val="6"/>
          <w:sz w:val="24"/>
          <w:szCs w:val="22"/>
          <w:highlight w:val="none"/>
        </w:rPr>
        <w:t>根据总监办编制、审批的监理实施细则，参照编制相应的试验检测实施细则，并报送委托人。</w:t>
      </w:r>
    </w:p>
    <w:p w14:paraId="5787265A">
      <w:pPr>
        <w:keepNext w:val="0"/>
        <w:keepLines w:val="0"/>
        <w:widowControl w:val="0"/>
        <w:numPr>
          <w:ilvl w:val="0"/>
          <w:numId w:val="7"/>
        </w:numPr>
        <w:tabs>
          <w:tab w:val="left" w:pos="1442"/>
        </w:tabs>
        <w:autoSpaceDE w:val="0"/>
        <w:autoSpaceDN w:val="0"/>
        <w:bidi w:val="0"/>
        <w:spacing w:before="5"/>
        <w:ind w:left="1441" w:hanging="602"/>
        <w:rPr>
          <w:rFonts w:hint="eastAsia" w:ascii="宋体" w:hAnsi="宋体" w:eastAsia="宋体" w:cs="宋体"/>
          <w:color w:val="auto"/>
          <w:sz w:val="24"/>
          <w:szCs w:val="22"/>
          <w:highlight w:val="none"/>
        </w:rPr>
      </w:pPr>
      <w:r>
        <w:rPr>
          <w:rFonts w:hint="eastAsia" w:ascii="宋体" w:hAnsi="宋体" w:eastAsia="宋体" w:cs="宋体"/>
          <w:color w:val="auto"/>
          <w:spacing w:val="-1"/>
          <w:sz w:val="24"/>
          <w:szCs w:val="22"/>
          <w:highlight w:val="none"/>
        </w:rPr>
        <w:t>参与委托人组织的施工单位工地试验室临时资质的考核和验收工作。</w:t>
      </w:r>
    </w:p>
    <w:p w14:paraId="32D09FF6">
      <w:pPr>
        <w:keepNext w:val="0"/>
        <w:keepLines w:val="0"/>
        <w:widowControl w:val="0"/>
        <w:numPr>
          <w:ilvl w:val="0"/>
          <w:numId w:val="7"/>
        </w:numPr>
        <w:tabs>
          <w:tab w:val="left" w:pos="1446"/>
        </w:tabs>
        <w:autoSpaceDE w:val="0"/>
        <w:autoSpaceDN w:val="0"/>
        <w:bidi w:val="0"/>
        <w:spacing w:before="158" w:line="364"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执行监理工程师试验、检测工作指令，以《试验检测业务联系单》的形式传</w:t>
      </w:r>
      <w:r>
        <w:rPr>
          <w:rFonts w:hint="eastAsia" w:ascii="宋体" w:hAnsi="宋体" w:eastAsia="宋体" w:cs="宋体"/>
          <w:color w:val="auto"/>
          <w:spacing w:val="3"/>
          <w:sz w:val="24"/>
          <w:szCs w:val="22"/>
          <w:highlight w:val="none"/>
        </w:rPr>
        <w:t>递，《试验检测业务联系单》发件人及接收人须签字，相关信息力求详细，具有可操作性。</w:t>
      </w:r>
    </w:p>
    <w:p w14:paraId="31FBEF06">
      <w:pPr>
        <w:keepNext w:val="0"/>
        <w:keepLines w:val="0"/>
        <w:widowControl w:val="0"/>
        <w:numPr>
          <w:ilvl w:val="0"/>
          <w:numId w:val="7"/>
        </w:numPr>
        <w:tabs>
          <w:tab w:val="left" w:pos="1446"/>
        </w:tabs>
        <w:autoSpaceDE w:val="0"/>
        <w:autoSpaceDN w:val="0"/>
        <w:bidi w:val="0"/>
        <w:spacing w:line="362"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pacing w:val="-2"/>
          <w:sz w:val="24"/>
          <w:szCs w:val="22"/>
          <w:highlight w:val="none"/>
        </w:rPr>
        <w:t>参加委托人、监理工程师主持召开的工地例会及相关质量专题分析会议，通报有关工程质量检测实施情况和试验检测结果。</w:t>
      </w:r>
    </w:p>
    <w:p w14:paraId="6244AC4F">
      <w:pPr>
        <w:keepNext w:val="0"/>
        <w:keepLines w:val="0"/>
        <w:widowControl w:val="0"/>
        <w:numPr>
          <w:ilvl w:val="0"/>
          <w:numId w:val="7"/>
        </w:numPr>
        <w:tabs>
          <w:tab w:val="left" w:pos="1446"/>
        </w:tabs>
        <w:autoSpaceDE w:val="0"/>
        <w:autoSpaceDN w:val="0"/>
        <w:bidi w:val="0"/>
        <w:spacing w:before="4" w:line="362"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pacing w:val="-2"/>
          <w:sz w:val="24"/>
          <w:szCs w:val="22"/>
          <w:highlight w:val="none"/>
        </w:rPr>
        <w:t>协助委托人调查处理施工单位的质量问题、事故，并向监理工程师和委托人报告在检测中发现的问题。</w:t>
      </w:r>
    </w:p>
    <w:p w14:paraId="156C72C6">
      <w:pPr>
        <w:keepNext w:val="0"/>
        <w:keepLines w:val="0"/>
        <w:widowControl w:val="0"/>
        <w:numPr>
          <w:ilvl w:val="0"/>
          <w:numId w:val="7"/>
        </w:numPr>
        <w:tabs>
          <w:tab w:val="left" w:pos="1446"/>
        </w:tabs>
        <w:autoSpaceDE w:val="0"/>
        <w:autoSpaceDN w:val="0"/>
        <w:bidi w:val="0"/>
        <w:spacing w:before="5" w:line="362"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pacing w:val="-2"/>
          <w:sz w:val="24"/>
          <w:szCs w:val="22"/>
          <w:highlight w:val="none"/>
        </w:rPr>
        <w:t>参与监理工程师组织的工程质量评定工作，编制中心试验室试验检测工作总</w:t>
      </w:r>
      <w:r>
        <w:rPr>
          <w:rFonts w:hint="eastAsia" w:ascii="宋体" w:hAnsi="宋体" w:eastAsia="宋体" w:cs="宋体"/>
          <w:color w:val="auto"/>
          <w:spacing w:val="-4"/>
          <w:sz w:val="24"/>
          <w:szCs w:val="22"/>
          <w:highlight w:val="none"/>
        </w:rPr>
        <w:t>结报告。</w:t>
      </w:r>
    </w:p>
    <w:p w14:paraId="410D8DEF">
      <w:pPr>
        <w:keepNext w:val="0"/>
        <w:keepLines w:val="0"/>
        <w:widowControl w:val="0"/>
        <w:numPr>
          <w:ilvl w:val="0"/>
          <w:numId w:val="7"/>
        </w:numPr>
        <w:tabs>
          <w:tab w:val="left" w:pos="1576"/>
        </w:tabs>
        <w:autoSpaceDE w:val="0"/>
        <w:autoSpaceDN w:val="0"/>
        <w:bidi w:val="0"/>
        <w:spacing w:before="5" w:line="364"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pacing w:val="3"/>
          <w:sz w:val="24"/>
          <w:szCs w:val="22"/>
          <w:highlight w:val="none"/>
        </w:rPr>
        <w:t>参加监理工程师组织的中间交工验收、委托人组织的交工验收和上级行业质监主管部门组织的检查及竣工验收。</w:t>
      </w:r>
    </w:p>
    <w:p w14:paraId="1A6A5F02">
      <w:pPr>
        <w:keepNext w:val="0"/>
        <w:keepLines w:val="0"/>
        <w:widowControl w:val="0"/>
        <w:numPr>
          <w:ilvl w:val="0"/>
          <w:numId w:val="7"/>
        </w:numPr>
        <w:tabs>
          <w:tab w:val="left" w:pos="1562"/>
        </w:tabs>
        <w:autoSpaceDE w:val="0"/>
        <w:autoSpaceDN w:val="0"/>
        <w:bidi w:val="0"/>
        <w:spacing w:line="306" w:lineRule="exact"/>
        <w:ind w:left="1561" w:hanging="722"/>
        <w:rPr>
          <w:rFonts w:hint="eastAsia" w:ascii="宋体" w:hAnsi="宋体" w:eastAsia="宋体" w:cs="宋体"/>
          <w:color w:val="auto"/>
          <w:sz w:val="24"/>
          <w:szCs w:val="22"/>
          <w:highlight w:val="none"/>
        </w:rPr>
      </w:pPr>
      <w:r>
        <w:rPr>
          <w:rFonts w:hint="eastAsia" w:ascii="宋体" w:hAnsi="宋体" w:eastAsia="宋体" w:cs="宋体"/>
          <w:color w:val="auto"/>
          <w:spacing w:val="-1"/>
          <w:sz w:val="24"/>
          <w:szCs w:val="22"/>
          <w:highlight w:val="none"/>
        </w:rPr>
        <w:t>根据合同文件规定，承担委托人授予的其他权力和义务。</w:t>
      </w:r>
    </w:p>
    <w:p w14:paraId="72FBB72D">
      <w:pPr>
        <w:keepNext w:val="0"/>
        <w:keepLines w:val="0"/>
        <w:widowControl w:val="0"/>
        <w:autoSpaceDE w:val="0"/>
        <w:autoSpaceDN w:val="0"/>
        <w:bidi w:val="0"/>
        <w:spacing w:before="161" w:line="362" w:lineRule="auto"/>
        <w:ind w:left="355" w:right="356"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13.6.4如监理人与中心试验室在试验检测工作界面存在冲突或模糊，或根据工程</w:t>
      </w:r>
      <w:r>
        <w:rPr>
          <w:rFonts w:hint="eastAsia" w:ascii="宋体" w:hAnsi="宋体" w:eastAsia="宋体" w:cs="宋体"/>
          <w:color w:val="auto"/>
          <w:spacing w:val="3"/>
          <w:sz w:val="24"/>
          <w:szCs w:val="24"/>
          <w:highlight w:val="none"/>
        </w:rPr>
        <w:t>实际需要调整工作界面时，委托人将予以进一步明确或重新调整工作界面划分，监理人与中心试验室均须无条件服从委托人的协调和安排。</w:t>
      </w:r>
    </w:p>
    <w:p w14:paraId="39343E51">
      <w:pPr>
        <w:keepNext w:val="0"/>
        <w:keepLines w:val="0"/>
        <w:widowControl w:val="0"/>
        <w:autoSpaceDE w:val="0"/>
        <w:autoSpaceDN w:val="0"/>
        <w:bidi w:val="0"/>
        <w:spacing w:before="161" w:line="362" w:lineRule="auto"/>
        <w:ind w:left="355" w:right="356" w:firstLine="480"/>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3"/>
          <w:sz w:val="24"/>
          <w:szCs w:val="24"/>
          <w:highlight w:val="none"/>
        </w:rPr>
        <w:t>13.7</w:t>
      </w:r>
      <w:r>
        <w:rPr>
          <w:rFonts w:hint="eastAsia" w:ascii="宋体" w:hAnsi="宋体" w:eastAsia="宋体" w:cs="宋体"/>
          <w:color w:val="auto"/>
          <w:spacing w:val="3"/>
          <w:sz w:val="24"/>
          <w:szCs w:val="24"/>
          <w:highlight w:val="none"/>
        </w:rPr>
        <w:t>监理人应根据本项目施工图纸及合同等相关要求，对承包人的线外工程及取弃土场进行监理。</w:t>
      </w:r>
    </w:p>
    <w:p w14:paraId="73DBA195">
      <w:pPr>
        <w:keepNext w:val="0"/>
        <w:keepLines w:val="0"/>
        <w:widowControl w:val="0"/>
        <w:tabs>
          <w:tab w:val="left" w:pos="1381"/>
        </w:tabs>
        <w:autoSpaceDE w:val="0"/>
        <w:autoSpaceDN w:val="0"/>
        <w:bidi w:val="0"/>
        <w:spacing w:line="306" w:lineRule="exact"/>
        <w:ind w:left="835"/>
        <w:rPr>
          <w:rFonts w:hint="eastAsia" w:ascii="宋体" w:hAnsi="宋体" w:eastAsia="宋体" w:cs="宋体"/>
          <w:b/>
          <w:color w:val="auto"/>
          <w:sz w:val="24"/>
          <w:szCs w:val="22"/>
          <w:highlight w:val="none"/>
        </w:rPr>
      </w:pPr>
      <w:r>
        <w:rPr>
          <w:rFonts w:hint="eastAsia" w:ascii="宋体" w:hAnsi="宋体" w:eastAsia="宋体" w:cs="宋体"/>
          <w:b/>
          <w:color w:val="auto"/>
          <w:w w:val="95"/>
          <w:sz w:val="24"/>
          <w:szCs w:val="22"/>
          <w:highlight w:val="none"/>
        </w:rPr>
        <w:t>13.8关于过程结算的补充条</w:t>
      </w:r>
      <w:r>
        <w:rPr>
          <w:rFonts w:hint="eastAsia" w:ascii="宋体" w:hAnsi="宋体" w:eastAsia="宋体" w:cs="宋体"/>
          <w:b/>
          <w:color w:val="auto"/>
          <w:spacing w:val="-10"/>
          <w:w w:val="95"/>
          <w:sz w:val="24"/>
          <w:szCs w:val="22"/>
          <w:highlight w:val="none"/>
        </w:rPr>
        <w:t>款</w:t>
      </w:r>
    </w:p>
    <w:p w14:paraId="72FA2FA4">
      <w:pPr>
        <w:keepNext w:val="0"/>
        <w:keepLines w:val="0"/>
        <w:widowControl w:val="0"/>
        <w:numPr>
          <w:ilvl w:val="0"/>
          <w:numId w:val="0"/>
        </w:numPr>
        <w:tabs>
          <w:tab w:val="left" w:pos="1444"/>
        </w:tabs>
        <w:autoSpaceDE w:val="0"/>
        <w:autoSpaceDN w:val="0"/>
        <w:bidi w:val="0"/>
        <w:spacing w:before="161" w:line="364" w:lineRule="auto"/>
        <w:ind w:right="356" w:rightChars="0" w:firstLine="472" w:firstLineChars="200"/>
        <w:rPr>
          <w:rFonts w:hint="eastAsia" w:ascii="宋体" w:hAnsi="宋体" w:eastAsia="宋体" w:cs="宋体"/>
          <w:color w:val="auto"/>
          <w:sz w:val="24"/>
          <w:szCs w:val="22"/>
          <w:highlight w:val="none"/>
        </w:rPr>
      </w:pPr>
      <w:r>
        <w:rPr>
          <w:rFonts w:hint="eastAsia" w:ascii="宋体" w:hAnsi="宋体" w:eastAsia="宋体" w:cs="宋体"/>
          <w:color w:val="auto"/>
          <w:spacing w:val="-2"/>
          <w:sz w:val="24"/>
          <w:szCs w:val="22"/>
          <w:highlight w:val="none"/>
          <w:lang w:eastAsia="zh-CN"/>
        </w:rPr>
        <w:t>（</w:t>
      </w:r>
      <w:r>
        <w:rPr>
          <w:rFonts w:hint="eastAsia" w:ascii="宋体" w:hAnsi="宋体" w:eastAsia="宋体" w:cs="宋体"/>
          <w:color w:val="auto"/>
          <w:spacing w:val="-2"/>
          <w:sz w:val="24"/>
          <w:szCs w:val="22"/>
          <w:highlight w:val="none"/>
          <w:lang w:val="en-US" w:eastAsia="zh-CN"/>
        </w:rPr>
        <w:t>1</w:t>
      </w:r>
      <w:r>
        <w:rPr>
          <w:rFonts w:hint="eastAsia" w:ascii="宋体" w:hAnsi="宋体" w:eastAsia="宋体" w:cs="宋体"/>
          <w:color w:val="auto"/>
          <w:spacing w:val="-2"/>
          <w:sz w:val="24"/>
          <w:szCs w:val="22"/>
          <w:highlight w:val="none"/>
          <w:lang w:eastAsia="zh-CN"/>
        </w:rPr>
        <w:t>）</w:t>
      </w:r>
      <w:r>
        <w:rPr>
          <w:rFonts w:hint="eastAsia" w:ascii="宋体" w:hAnsi="宋体" w:eastAsia="宋体" w:cs="宋体"/>
          <w:color w:val="auto"/>
          <w:spacing w:val="-2"/>
          <w:sz w:val="24"/>
          <w:szCs w:val="22"/>
          <w:highlight w:val="none"/>
        </w:rPr>
        <w:t>按照《广东省交通运输厅关于印发广东省公路建设项目过程结算工作指导意</w:t>
      </w:r>
      <w:r>
        <w:rPr>
          <w:rFonts w:hint="eastAsia" w:ascii="宋体" w:hAnsi="宋体" w:eastAsia="宋体" w:cs="宋体"/>
          <w:color w:val="auto"/>
          <w:spacing w:val="-7"/>
          <w:sz w:val="24"/>
          <w:szCs w:val="22"/>
          <w:highlight w:val="none"/>
        </w:rPr>
        <w:t>见的通知》(粤交基〔</w:t>
      </w:r>
      <w:r>
        <w:rPr>
          <w:rFonts w:hint="eastAsia" w:ascii="宋体" w:hAnsi="宋体" w:eastAsia="宋体" w:cs="宋体"/>
          <w:color w:val="auto"/>
          <w:sz w:val="24"/>
          <w:szCs w:val="22"/>
          <w:highlight w:val="none"/>
        </w:rPr>
        <w:t>2022〕488</w:t>
      </w:r>
      <w:r>
        <w:rPr>
          <w:rFonts w:hint="eastAsia" w:ascii="宋体" w:hAnsi="宋体" w:eastAsia="宋体" w:cs="宋体"/>
          <w:color w:val="auto"/>
          <w:spacing w:val="-6"/>
          <w:sz w:val="24"/>
          <w:szCs w:val="22"/>
          <w:highlight w:val="none"/>
        </w:rPr>
        <w:t>号)的规定，委托人根据实际情况开展监理费用的的</w:t>
      </w:r>
      <w:r>
        <w:rPr>
          <w:rFonts w:hint="eastAsia" w:ascii="宋体" w:hAnsi="宋体" w:eastAsia="宋体" w:cs="宋体"/>
          <w:color w:val="auto"/>
          <w:spacing w:val="-2"/>
          <w:sz w:val="24"/>
          <w:szCs w:val="22"/>
          <w:highlight w:val="none"/>
        </w:rPr>
        <w:t>过程结算时，监理人应无条件配合。</w:t>
      </w:r>
    </w:p>
    <w:p w14:paraId="0860750D">
      <w:pPr>
        <w:keepNext w:val="0"/>
        <w:keepLines w:val="0"/>
        <w:widowControl w:val="0"/>
        <w:numPr>
          <w:ilvl w:val="0"/>
          <w:numId w:val="0"/>
        </w:numPr>
        <w:tabs>
          <w:tab w:val="left" w:pos="1444"/>
        </w:tabs>
        <w:autoSpaceDE w:val="0"/>
        <w:autoSpaceDN w:val="0"/>
        <w:bidi w:val="0"/>
        <w:spacing w:line="362" w:lineRule="auto"/>
        <w:ind w:right="353" w:rightChars="0" w:firstLine="472" w:firstLineChars="200"/>
        <w:rPr>
          <w:rFonts w:hint="eastAsia" w:ascii="宋体" w:hAnsi="宋体" w:eastAsia="宋体" w:cs="宋体"/>
          <w:color w:val="auto"/>
          <w:sz w:val="24"/>
          <w:szCs w:val="22"/>
          <w:highlight w:val="none"/>
        </w:rPr>
      </w:pPr>
      <w:r>
        <w:rPr>
          <w:rFonts w:hint="eastAsia" w:ascii="宋体" w:hAnsi="宋体" w:eastAsia="宋体" w:cs="宋体"/>
          <w:color w:val="auto"/>
          <w:spacing w:val="-2"/>
          <w:sz w:val="24"/>
          <w:szCs w:val="22"/>
          <w:highlight w:val="none"/>
          <w:lang w:eastAsia="zh-CN"/>
        </w:rPr>
        <w:t>（</w:t>
      </w:r>
      <w:r>
        <w:rPr>
          <w:rFonts w:hint="eastAsia" w:ascii="宋体" w:hAnsi="宋体" w:eastAsia="宋体" w:cs="宋体"/>
          <w:color w:val="auto"/>
          <w:spacing w:val="-2"/>
          <w:sz w:val="24"/>
          <w:szCs w:val="22"/>
          <w:highlight w:val="none"/>
          <w:lang w:val="en-US" w:eastAsia="zh-CN"/>
        </w:rPr>
        <w:t>2</w:t>
      </w:r>
      <w:r>
        <w:rPr>
          <w:rFonts w:hint="eastAsia" w:ascii="宋体" w:hAnsi="宋体" w:eastAsia="宋体" w:cs="宋体"/>
          <w:color w:val="auto"/>
          <w:spacing w:val="-2"/>
          <w:sz w:val="24"/>
          <w:szCs w:val="22"/>
          <w:highlight w:val="none"/>
          <w:lang w:eastAsia="zh-CN"/>
        </w:rPr>
        <w:t>）</w:t>
      </w:r>
      <w:r>
        <w:rPr>
          <w:rFonts w:hint="eastAsia" w:ascii="宋体" w:hAnsi="宋体" w:eastAsia="宋体" w:cs="宋体"/>
          <w:color w:val="auto"/>
          <w:spacing w:val="-2"/>
          <w:sz w:val="24"/>
          <w:szCs w:val="22"/>
          <w:highlight w:val="none"/>
        </w:rPr>
        <w:t>施工过程中，监理人应督促各施工单位按施工合同要求编制过程结算文件，并对其编制的过程结算进行初审。</w:t>
      </w:r>
    </w:p>
    <w:p w14:paraId="0F3A4A0B">
      <w:pPr>
        <w:keepNext w:val="0"/>
        <w:keepLines w:val="0"/>
        <w:widowControl w:val="0"/>
        <w:tabs>
          <w:tab w:val="left" w:pos="4061"/>
        </w:tabs>
        <w:kinsoku w:val="0"/>
        <w:overflowPunct w:val="0"/>
        <w:autoSpaceDE w:val="0"/>
        <w:autoSpaceDN w:val="0"/>
        <w:bidi w:val="0"/>
        <w:adjustRightInd w:val="0"/>
        <w:spacing w:line="520" w:lineRule="exact"/>
        <w:ind w:left="2381"/>
        <w:jc w:val="left"/>
        <w:rPr>
          <w:rFonts w:hint="eastAsia" w:ascii="宋体" w:hAnsi="宋体" w:eastAsia="宋体" w:cs="宋体"/>
          <w:color w:val="auto"/>
          <w:sz w:val="42"/>
          <w:highlight w:val="none"/>
        </w:rPr>
      </w:pPr>
      <w:bookmarkStart w:id="601" w:name="_Toc14497_WPSOffice_Level2"/>
      <w:r>
        <w:rPr>
          <w:rFonts w:hint="eastAsia" w:ascii="宋体" w:hAnsi="宋体" w:eastAsia="宋体" w:cs="宋体"/>
          <w:color w:val="auto"/>
          <w:sz w:val="42"/>
          <w:highlight w:val="none"/>
        </w:rPr>
        <w:br w:type="page"/>
      </w:r>
      <w:r>
        <w:rPr>
          <w:rFonts w:hint="eastAsia" w:ascii="宋体" w:hAnsi="宋体" w:eastAsia="宋体" w:cs="宋体"/>
          <w:color w:val="auto"/>
          <w:sz w:val="42"/>
          <w:highlight w:val="none"/>
        </w:rPr>
        <w:t>第三节</w:t>
      </w:r>
      <w:r>
        <w:rPr>
          <w:rFonts w:hint="eastAsia" w:ascii="宋体" w:hAnsi="宋体" w:eastAsia="宋体" w:cs="宋体"/>
          <w:color w:val="auto"/>
          <w:sz w:val="42"/>
          <w:highlight w:val="none"/>
        </w:rPr>
        <w:tab/>
      </w:r>
      <w:r>
        <w:rPr>
          <w:rFonts w:hint="eastAsia" w:ascii="宋体" w:hAnsi="宋体" w:eastAsia="宋体" w:cs="宋体"/>
          <w:color w:val="auto"/>
          <w:sz w:val="42"/>
          <w:highlight w:val="none"/>
        </w:rPr>
        <w:t>合同附件格式</w:t>
      </w:r>
      <w:bookmarkEnd w:id="601"/>
    </w:p>
    <w:p w14:paraId="1ABAE1B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EEF6FD5">
      <w:pPr>
        <w:keepNext w:val="0"/>
        <w:keepLines w:val="0"/>
        <w:widowControl w:val="0"/>
        <w:kinsoku w:val="0"/>
        <w:overflowPunct w:val="0"/>
        <w:autoSpaceDE w:val="0"/>
        <w:autoSpaceDN w:val="0"/>
        <w:bidi w:val="0"/>
        <w:adjustRightInd w:val="0"/>
        <w:spacing w:before="20" w:line="280" w:lineRule="exact"/>
        <w:jc w:val="left"/>
        <w:rPr>
          <w:rFonts w:hint="eastAsia" w:ascii="宋体" w:hAnsi="宋体" w:eastAsia="宋体" w:cs="宋体"/>
          <w:color w:val="auto"/>
          <w:sz w:val="28"/>
          <w:highlight w:val="none"/>
        </w:rPr>
      </w:pPr>
    </w:p>
    <w:p w14:paraId="76E0CD39">
      <w:pPr>
        <w:pStyle w:val="3"/>
        <w:keepNext w:val="0"/>
        <w:keepLines w:val="0"/>
        <w:kinsoku w:val="0"/>
        <w:overflowPunct w:val="0"/>
        <w:bidi w:val="0"/>
        <w:spacing w:line="340" w:lineRule="exact"/>
        <w:ind w:left="144"/>
        <w:rPr>
          <w:rFonts w:hint="eastAsia" w:ascii="宋体" w:hAnsi="宋体" w:eastAsia="宋体" w:cs="宋体"/>
          <w:color w:val="auto"/>
          <w:highlight w:val="none"/>
        </w:rPr>
      </w:pPr>
      <w:bookmarkStart w:id="602" w:name="bookmark121"/>
      <w:bookmarkEnd w:id="602"/>
      <w:bookmarkStart w:id="603" w:name="_Toc22536_WPSOffice_Level2"/>
      <w:r>
        <w:rPr>
          <w:rFonts w:hint="eastAsia" w:ascii="宋体" w:hAnsi="宋体" w:eastAsia="宋体" w:cs="宋体"/>
          <w:color w:val="auto"/>
          <w:highlight w:val="none"/>
        </w:rPr>
        <w:t>附件一合同协议书</w:t>
      </w:r>
      <w:bookmarkEnd w:id="603"/>
    </w:p>
    <w:p w14:paraId="7F0D534A">
      <w:pPr>
        <w:keepNext w:val="0"/>
        <w:keepLines w:val="0"/>
        <w:widowControl w:val="0"/>
        <w:kinsoku w:val="0"/>
        <w:overflowPunct w:val="0"/>
        <w:autoSpaceDE w:val="0"/>
        <w:autoSpaceDN w:val="0"/>
        <w:bidi w:val="0"/>
        <w:adjustRightInd w:val="0"/>
        <w:spacing w:before="5" w:line="150" w:lineRule="exact"/>
        <w:jc w:val="left"/>
        <w:rPr>
          <w:rFonts w:hint="eastAsia" w:ascii="宋体" w:hAnsi="宋体" w:eastAsia="宋体" w:cs="宋体"/>
          <w:color w:val="auto"/>
          <w:sz w:val="15"/>
          <w:highlight w:val="none"/>
        </w:rPr>
      </w:pPr>
    </w:p>
    <w:p w14:paraId="24338D4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58A4004">
      <w:pPr>
        <w:keepNext w:val="0"/>
        <w:keepLines w:val="0"/>
        <w:widowControl w:val="0"/>
        <w:kinsoku w:val="0"/>
        <w:overflowPunct w:val="0"/>
        <w:autoSpaceDE w:val="0"/>
        <w:autoSpaceDN w:val="0"/>
        <w:bidi w:val="0"/>
        <w:adjustRightInd w:val="0"/>
        <w:ind w:left="144"/>
        <w:jc w:val="center"/>
        <w:rPr>
          <w:rFonts w:hint="eastAsia" w:ascii="宋体" w:hAnsi="宋体" w:eastAsia="宋体" w:cs="宋体"/>
          <w:color w:val="auto"/>
          <w:sz w:val="28"/>
          <w:highlight w:val="none"/>
        </w:rPr>
      </w:pPr>
      <w:bookmarkStart w:id="604" w:name="_Toc7200_WPSOffice_Level2"/>
      <w:r>
        <w:rPr>
          <w:rFonts w:hint="eastAsia" w:ascii="宋体" w:hAnsi="宋体" w:eastAsia="宋体" w:cs="宋体"/>
          <w:color w:val="auto"/>
          <w:sz w:val="28"/>
          <w:highlight w:val="none"/>
        </w:rPr>
        <w:t>合同协议书</w:t>
      </w:r>
      <w:bookmarkEnd w:id="604"/>
    </w:p>
    <w:p w14:paraId="5E77173E">
      <w:pPr>
        <w:keepNext w:val="0"/>
        <w:keepLines w:val="0"/>
        <w:widowControl w:val="0"/>
        <w:kinsoku w:val="0"/>
        <w:overflowPunct w:val="0"/>
        <w:autoSpaceDE w:val="0"/>
        <w:autoSpaceDN w:val="0"/>
        <w:bidi w:val="0"/>
        <w:adjustRightInd w:val="0"/>
        <w:spacing w:before="5" w:line="130" w:lineRule="exact"/>
        <w:jc w:val="left"/>
        <w:rPr>
          <w:rFonts w:hint="eastAsia" w:ascii="宋体" w:hAnsi="宋体" w:eastAsia="宋体" w:cs="宋体"/>
          <w:color w:val="auto"/>
          <w:sz w:val="13"/>
          <w:highlight w:val="none"/>
        </w:rPr>
      </w:pPr>
    </w:p>
    <w:p w14:paraId="76EDBE7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5F0499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4C740431">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（委托人名称，以下简称“委托人”）为实施</w:t>
      </w:r>
      <w:r>
        <w:rPr>
          <w:rFonts w:hint="eastAsia" w:ascii="宋体" w:hAnsi="宋体" w:eastAsia="宋体" w:cs="宋体"/>
          <w:color w:val="auto"/>
          <w:kern w:val="21"/>
          <w:sz w:val="24"/>
          <w:szCs w:val="24"/>
          <w:highlight w:val="none"/>
          <w:u w:val="single"/>
        </w:rPr>
        <w:t>（项目名称）</w:t>
      </w:r>
      <w:r>
        <w:rPr>
          <w:rFonts w:hint="eastAsia" w:ascii="宋体" w:hAnsi="宋体" w:eastAsia="宋体" w:cs="宋体"/>
          <w:color w:val="auto"/>
          <w:kern w:val="21"/>
          <w:sz w:val="24"/>
          <w:szCs w:val="24"/>
          <w:highlight w:val="none"/>
        </w:rPr>
        <w:t>，已接受（监理人名称，以下简称“监理人”）对该项目标段施工监理的投标。委托人和监理人共同达成如下协议。</w:t>
      </w:r>
    </w:p>
    <w:p w14:paraId="6D340597">
      <w:pPr>
        <w:keepNext w:val="0"/>
        <w:keepLines w:val="0"/>
        <w:numPr>
          <w:ilvl w:val="0"/>
          <w:numId w:val="8"/>
        </w:numPr>
        <w:bidi w:val="0"/>
        <w:spacing w:line="500" w:lineRule="exact"/>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第标段由K＋至K＋，长约km，公路等级为，设计速度为，路面，有立交处；特大桥座，计长m；大中桥座，计长m；隧道座，计长m以及其他构造物工程等。</w:t>
      </w:r>
    </w:p>
    <w:p w14:paraId="63C7B2C1">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2.下列文件应视为构成合同文件的组成部分：</w:t>
      </w:r>
    </w:p>
    <w:p w14:paraId="246171A9">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（1）本合同协议书及各种合同附件；</w:t>
      </w:r>
    </w:p>
    <w:p w14:paraId="283BB868">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（2）中标通知书；</w:t>
      </w:r>
    </w:p>
    <w:p w14:paraId="6AA9044B">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（3）投标函；</w:t>
      </w:r>
    </w:p>
    <w:p w14:paraId="2FF070BD">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（4）项目专用合同条款；</w:t>
      </w:r>
    </w:p>
    <w:p w14:paraId="61270FA0">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（5）公路工程专用合同条款；</w:t>
      </w:r>
    </w:p>
    <w:p w14:paraId="7E80EA5B">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（6）通用合同条款；</w:t>
      </w:r>
    </w:p>
    <w:p w14:paraId="33BFD264">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（7）委托人要求；</w:t>
      </w:r>
    </w:p>
    <w:p w14:paraId="328CB341">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（8）监理服务费用清单；</w:t>
      </w:r>
    </w:p>
    <w:p w14:paraId="3A9D2ABF">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（9）监理人有关人员、试验检测设备投入的承诺；</w:t>
      </w:r>
    </w:p>
    <w:p w14:paraId="2E0FA31F">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（10）其他合同文件。</w:t>
      </w:r>
    </w:p>
    <w:p w14:paraId="4329678C">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上述合同文件互相补充和解释。如果合同文件之间存在矛盾或不一致之处，以上述文件的排列顺序在先者为准。</w:t>
      </w:r>
    </w:p>
    <w:p w14:paraId="7E866604">
      <w:pPr>
        <w:keepNext w:val="0"/>
        <w:keepLines w:val="0"/>
        <w:bidi w:val="0"/>
        <w:spacing w:line="500" w:lineRule="exact"/>
        <w:ind w:firstLine="480" w:firstLineChars="200"/>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rPr>
        <w:t>3.签约合同价：人民币（大写）元（¥）。</w:t>
      </w:r>
      <w:r>
        <w:rPr>
          <w:rFonts w:hint="eastAsia" w:ascii="宋体" w:hAnsi="宋体" w:eastAsia="宋体" w:cs="宋体"/>
          <w:color w:val="auto"/>
          <w:kern w:val="21"/>
          <w:sz w:val="24"/>
          <w:szCs w:val="24"/>
          <w:highlight w:val="none"/>
          <w:lang w:eastAsia="zh-CN"/>
        </w:rPr>
        <w:t>（最终监理费按预算审定金额计算为准）。</w:t>
      </w:r>
    </w:p>
    <w:p w14:paraId="10955D76">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其中：施工阶段（包括施工准备阶段）元；</w:t>
      </w:r>
    </w:p>
    <w:p w14:paraId="2BC29F5F">
      <w:pPr>
        <w:keepNext w:val="0"/>
        <w:keepLines w:val="0"/>
        <w:bidi w:val="0"/>
        <w:spacing w:line="500" w:lineRule="exact"/>
        <w:ind w:firstLine="1200" w:firstLineChars="5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验收与缺陷责任期阶段元；</w:t>
      </w:r>
    </w:p>
    <w:p w14:paraId="1440887A">
      <w:pPr>
        <w:keepNext w:val="0"/>
        <w:keepLines w:val="0"/>
        <w:numPr>
          <w:ilvl w:val="0"/>
          <w:numId w:val="9"/>
        </w:numPr>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总监理工程师或驻地监理工程师：。</w:t>
      </w:r>
    </w:p>
    <w:p w14:paraId="611C557C">
      <w:pPr>
        <w:keepNext w:val="0"/>
        <w:keepLines w:val="0"/>
        <w:numPr>
          <w:ilvl w:val="0"/>
          <w:numId w:val="9"/>
        </w:numPr>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监理工作质量符合的标准和要求：；安全目标：。</w:t>
      </w:r>
    </w:p>
    <w:p w14:paraId="7EFE0BA9">
      <w:pPr>
        <w:keepNext w:val="0"/>
        <w:keepLines w:val="0"/>
        <w:numPr>
          <w:ilvl w:val="0"/>
          <w:numId w:val="9"/>
        </w:numPr>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监理人承诺按合同约定承担工程的施工监理。</w:t>
      </w:r>
    </w:p>
    <w:p w14:paraId="3ED7E959">
      <w:pPr>
        <w:keepNext w:val="0"/>
        <w:keepLines w:val="0"/>
        <w:numPr>
          <w:ilvl w:val="0"/>
          <w:numId w:val="9"/>
        </w:numPr>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委托人承诺按合同约定的条件、时间和方式向监理人支付合同价款。</w:t>
      </w:r>
    </w:p>
    <w:p w14:paraId="1B2FA55C">
      <w:pPr>
        <w:keepNext w:val="0"/>
        <w:keepLines w:val="0"/>
        <w:numPr>
          <w:ilvl w:val="0"/>
          <w:numId w:val="9"/>
        </w:numPr>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监理人计划开始监理日期：，实际日期按照合同条款中约定的开始监理日期为准。</w:t>
      </w:r>
      <w:r>
        <w:rPr>
          <w:rFonts w:hint="eastAsia" w:ascii="宋体" w:hAnsi="宋体" w:eastAsia="宋体" w:cs="宋体"/>
          <w:color w:val="auto"/>
          <w:sz w:val="24"/>
          <w:szCs w:val="24"/>
          <w:highlight w:val="none"/>
        </w:rPr>
        <w:t>监理服务期限：日历天，其中：施工阶段（含施工准备阶段）监理日历天，缺陷责任期阶段监理日历天。</w:t>
      </w:r>
    </w:p>
    <w:p w14:paraId="75C5B5FF">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9.本协议书在监理人提供履约保证金后，由双方法定代表人或其委托代理人签署并加盖单位章后生效。全部工程完工后经交工验收合格、缺陷责任期满签发缺陷责任终止证书后失效。</w:t>
      </w:r>
    </w:p>
    <w:p w14:paraId="7BE196A8">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10.本协议书正本二份、副本份，合同双方各执正本一份，副本份，当正本与副本的内容不一致时，以正本为准。</w:t>
      </w:r>
    </w:p>
    <w:p w14:paraId="23A9F809">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11.合同未尽事宜，双方另行签订补充协议。补充协议是合同的组成部分。</w:t>
      </w:r>
    </w:p>
    <w:p w14:paraId="6D7E8ED5">
      <w:pPr>
        <w:keepNext w:val="0"/>
        <w:keepLines w:val="0"/>
        <w:widowControl w:val="0"/>
        <w:kinsoku w:val="0"/>
        <w:overflowPunct w:val="0"/>
        <w:autoSpaceDE w:val="0"/>
        <w:autoSpaceDN w:val="0"/>
        <w:bidi w:val="0"/>
        <w:adjustRightInd w:val="0"/>
        <w:spacing w:before="8" w:line="140" w:lineRule="exact"/>
        <w:jc w:val="left"/>
        <w:rPr>
          <w:rFonts w:hint="eastAsia" w:ascii="宋体" w:hAnsi="宋体" w:eastAsia="宋体" w:cs="宋体"/>
          <w:color w:val="auto"/>
          <w:sz w:val="14"/>
          <w:highlight w:val="none"/>
        </w:rPr>
      </w:pPr>
    </w:p>
    <w:p w14:paraId="3A2F2FB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119F3F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59FCB6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C98643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E778AAC">
      <w:pPr>
        <w:pStyle w:val="3"/>
        <w:keepNext w:val="0"/>
        <w:keepLines w:val="0"/>
        <w:tabs>
          <w:tab w:val="left" w:pos="2655"/>
          <w:tab w:val="left" w:pos="4894"/>
          <w:tab w:val="left" w:pos="7518"/>
        </w:tabs>
        <w:kinsoku w:val="0"/>
        <w:overflowPunct w:val="0"/>
        <w:bidi w:val="0"/>
        <w:spacing w:line="297" w:lineRule="auto"/>
        <w:ind w:left="144" w:right="104"/>
        <w:rPr>
          <w:rFonts w:hint="eastAsia" w:ascii="宋体" w:hAnsi="宋体" w:eastAsia="宋体" w:cs="宋体"/>
          <w:color w:val="auto"/>
          <w:highlight w:val="none"/>
        </w:rPr>
      </w:pPr>
      <w:r>
        <w:rPr>
          <w:rFonts w:hint="eastAsia" w:ascii="宋体" w:hAnsi="宋体" w:eastAsia="宋体" w:cs="宋体"/>
          <w:color w:val="auto"/>
          <w:highlight w:val="none"/>
        </w:rPr>
        <w:t>委托</w:t>
      </w:r>
      <w:r>
        <w:rPr>
          <w:rFonts w:hint="eastAsia" w:ascii="宋体" w:hAnsi="宋体" w:eastAsia="宋体" w:cs="宋体"/>
          <w:color w:val="auto"/>
          <w:spacing w:val="-1"/>
          <w:highlight w:val="none"/>
        </w:rPr>
        <w:t>人</w:t>
      </w:r>
      <w:r>
        <w:rPr>
          <w:rFonts w:hint="eastAsia" w:ascii="宋体" w:hAnsi="宋体" w:eastAsia="宋体" w:cs="宋体"/>
          <w:color w:val="auto"/>
          <w:spacing w:val="-17"/>
          <w:highlight w:val="none"/>
        </w:rPr>
        <w:t>：</w:t>
      </w:r>
      <w:r>
        <w:rPr>
          <w:rFonts w:hint="eastAsia" w:ascii="宋体" w:hAnsi="宋体" w:eastAsia="宋体" w:cs="宋体"/>
          <w:color w:val="auto"/>
          <w:highlight w:val="none"/>
          <w:u w:val="single"/>
        </w:rPr>
        <w:tab/>
      </w:r>
      <w:r>
        <w:rPr>
          <w:rFonts w:hint="eastAsia" w:ascii="宋体" w:hAnsi="宋体" w:eastAsia="宋体" w:cs="宋体"/>
          <w:color w:val="auto"/>
          <w:highlight w:val="none"/>
        </w:rPr>
        <w:t>（盖单位章）监理人</w:t>
      </w:r>
      <w:r>
        <w:rPr>
          <w:rFonts w:hint="eastAsia" w:ascii="宋体" w:hAnsi="宋体" w:eastAsia="宋体" w:cs="宋体"/>
          <w:color w:val="auto"/>
          <w:spacing w:val="-17"/>
          <w:highlight w:val="none"/>
        </w:rPr>
        <w:t>：</w:t>
      </w:r>
      <w:r>
        <w:rPr>
          <w:rFonts w:hint="eastAsia" w:ascii="宋体" w:hAnsi="宋体" w:eastAsia="宋体" w:cs="宋体"/>
          <w:color w:val="auto"/>
          <w:highlight w:val="none"/>
        </w:rPr>
        <w:t>（盖单位章）</w:t>
      </w:r>
    </w:p>
    <w:p w14:paraId="2BF71A4E">
      <w:pPr>
        <w:pStyle w:val="3"/>
        <w:keepNext w:val="0"/>
        <w:keepLines w:val="0"/>
        <w:tabs>
          <w:tab w:val="left" w:pos="2888"/>
          <w:tab w:val="left" w:pos="4894"/>
          <w:tab w:val="left" w:pos="7518"/>
        </w:tabs>
        <w:kinsoku w:val="0"/>
        <w:overflowPunct w:val="0"/>
        <w:bidi w:val="0"/>
        <w:spacing w:line="297" w:lineRule="auto"/>
        <w:ind w:left="144" w:right="104"/>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spacing w:val="-41"/>
          <w:highlight w:val="none"/>
        </w:rPr>
        <w:t>：</w:t>
      </w:r>
      <w:r>
        <w:rPr>
          <w:rFonts w:hint="eastAsia" w:ascii="宋体" w:hAnsi="宋体" w:eastAsia="宋体" w:cs="宋体"/>
          <w:color w:val="auto"/>
          <w:highlight w:val="none"/>
          <w:u w:val="single"/>
        </w:rPr>
        <w:t>（签</w:t>
      </w:r>
      <w:r>
        <w:rPr>
          <w:rFonts w:hint="eastAsia" w:ascii="宋体" w:hAnsi="宋体" w:eastAsia="宋体" w:cs="宋体"/>
          <w:color w:val="auto"/>
          <w:highlight w:val="none"/>
        </w:rPr>
        <w:t>字）法定代表人或其委托代理人</w:t>
      </w:r>
      <w:r>
        <w:rPr>
          <w:rFonts w:hint="eastAsia" w:ascii="宋体" w:hAnsi="宋体" w:eastAsia="宋体" w:cs="宋体"/>
          <w:color w:val="auto"/>
          <w:spacing w:val="-40"/>
          <w:highlight w:val="none"/>
        </w:rPr>
        <w:t>：</w:t>
      </w:r>
      <w:r>
        <w:rPr>
          <w:rFonts w:hint="eastAsia" w:ascii="宋体" w:hAnsi="宋体" w:eastAsia="宋体" w:cs="宋体"/>
          <w:color w:val="auto"/>
          <w:highlight w:val="none"/>
          <w:u w:val="single"/>
        </w:rPr>
        <w:t>（签</w:t>
      </w:r>
      <w:r>
        <w:rPr>
          <w:rFonts w:hint="eastAsia" w:ascii="宋体" w:hAnsi="宋体" w:eastAsia="宋体" w:cs="宋体"/>
          <w:color w:val="auto"/>
          <w:highlight w:val="none"/>
        </w:rPr>
        <w:t>字）</w:t>
      </w:r>
    </w:p>
    <w:p w14:paraId="5532C29B">
      <w:pPr>
        <w:pStyle w:val="3"/>
        <w:keepNext w:val="0"/>
        <w:keepLines w:val="0"/>
        <w:tabs>
          <w:tab w:val="left" w:pos="1203"/>
          <w:tab w:val="left" w:pos="2284"/>
          <w:tab w:val="left" w:pos="3124"/>
          <w:tab w:val="left" w:pos="4564"/>
          <w:tab w:val="left" w:pos="5644"/>
          <w:tab w:val="left" w:pos="6724"/>
          <w:tab w:val="left" w:pos="7925"/>
        </w:tabs>
        <w:kinsoku w:val="0"/>
        <w:overflowPunct w:val="0"/>
        <w:bidi w:val="0"/>
        <w:spacing w:before="30"/>
        <w:ind w:left="124"/>
        <w:jc w:val="center"/>
        <w:rPr>
          <w:rFonts w:hint="eastAsia" w:ascii="宋体" w:hAnsi="宋体" w:eastAsia="宋体" w:cs="宋体"/>
          <w:color w:val="auto"/>
          <w:highlight w:val="none"/>
        </w:rPr>
      </w:pP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r>
        <w:rPr>
          <w:rFonts w:hint="eastAsia" w:ascii="宋体" w:hAnsi="宋体" w:eastAsia="宋体" w:cs="宋体"/>
          <w:color w:val="auto"/>
          <w:highlight w:val="none"/>
        </w:rPr>
        <w:tab/>
      </w: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4AFC1442">
      <w:pPr>
        <w:pStyle w:val="3"/>
        <w:keepNext w:val="0"/>
        <w:keepLines w:val="0"/>
        <w:kinsoku w:val="0"/>
        <w:overflowPunct w:val="0"/>
        <w:bidi w:val="0"/>
        <w:spacing w:line="340" w:lineRule="exact"/>
        <w:ind w:left="144"/>
        <w:rPr>
          <w:rFonts w:hint="eastAsia" w:ascii="宋体" w:hAnsi="宋体" w:eastAsia="宋体" w:cs="宋体"/>
          <w:color w:val="auto"/>
          <w:highlight w:val="none"/>
        </w:rPr>
      </w:pPr>
      <w:bookmarkStart w:id="605" w:name="bookmark122"/>
      <w:bookmarkEnd w:id="605"/>
      <w:bookmarkStart w:id="606" w:name="_Toc26466_WPSOffice_Level2"/>
    </w:p>
    <w:p w14:paraId="6D023F8E">
      <w:pPr>
        <w:pStyle w:val="3"/>
        <w:keepNext w:val="0"/>
        <w:keepLines w:val="0"/>
        <w:kinsoku w:val="0"/>
        <w:overflowPunct w:val="0"/>
        <w:bidi w:val="0"/>
        <w:spacing w:line="340" w:lineRule="exact"/>
        <w:ind w:left="144"/>
        <w:rPr>
          <w:rFonts w:hint="eastAsia" w:ascii="宋体" w:hAnsi="宋体" w:eastAsia="宋体" w:cs="宋体"/>
          <w:color w:val="auto"/>
          <w:highlight w:val="none"/>
        </w:rPr>
      </w:pPr>
    </w:p>
    <w:p w14:paraId="71033B97">
      <w:pPr>
        <w:pStyle w:val="3"/>
        <w:keepNext w:val="0"/>
        <w:keepLines w:val="0"/>
        <w:kinsoku w:val="0"/>
        <w:overflowPunct w:val="0"/>
        <w:bidi w:val="0"/>
        <w:spacing w:line="340" w:lineRule="exact"/>
        <w:ind w:left="144"/>
        <w:rPr>
          <w:rFonts w:hint="eastAsia" w:ascii="宋体" w:hAnsi="宋体" w:eastAsia="宋体" w:cs="宋体"/>
          <w:color w:val="auto"/>
          <w:highlight w:val="none"/>
        </w:rPr>
      </w:pPr>
    </w:p>
    <w:p w14:paraId="40CF75A9">
      <w:pPr>
        <w:pStyle w:val="3"/>
        <w:keepNext w:val="0"/>
        <w:keepLines w:val="0"/>
        <w:kinsoku w:val="0"/>
        <w:overflowPunct w:val="0"/>
        <w:bidi w:val="0"/>
        <w:spacing w:line="340" w:lineRule="exact"/>
        <w:ind w:left="144"/>
        <w:rPr>
          <w:rFonts w:hint="eastAsia" w:ascii="宋体" w:hAnsi="宋体" w:eastAsia="宋体" w:cs="宋体"/>
          <w:color w:val="auto"/>
          <w:highlight w:val="none"/>
        </w:rPr>
      </w:pPr>
    </w:p>
    <w:bookmarkEnd w:id="606"/>
    <w:p w14:paraId="355952F4">
      <w:pPr>
        <w:keepNext w:val="0"/>
        <w:keepLines w:val="0"/>
        <w:widowControl w:val="0"/>
        <w:kinsoku w:val="0"/>
        <w:overflowPunct w:val="0"/>
        <w:autoSpaceDE w:val="0"/>
        <w:autoSpaceDN w:val="0"/>
        <w:bidi w:val="0"/>
        <w:adjustRightInd w:val="0"/>
        <w:spacing w:before="5" w:line="150" w:lineRule="exact"/>
        <w:jc w:val="left"/>
        <w:rPr>
          <w:rFonts w:hint="eastAsia" w:ascii="宋体" w:hAnsi="宋体" w:eastAsia="宋体" w:cs="宋体"/>
          <w:color w:val="auto"/>
          <w:sz w:val="28"/>
          <w:highlight w:val="none"/>
        </w:rPr>
      </w:pPr>
      <w:r>
        <w:rPr>
          <w:rFonts w:hint="eastAsia" w:ascii="宋体" w:hAnsi="宋体" w:eastAsia="宋体" w:cs="宋体"/>
          <w:color w:val="auto"/>
          <w:sz w:val="24"/>
          <w:highlight w:val="none"/>
        </w:rPr>
        <w:br w:type="column"/>
      </w:r>
      <w:bookmarkStart w:id="607" w:name="_Toc942_WPSOffice_Level2"/>
    </w:p>
    <w:p w14:paraId="54659B69">
      <w:pPr>
        <w:pStyle w:val="3"/>
        <w:keepNext w:val="0"/>
        <w:keepLines w:val="0"/>
        <w:kinsoku w:val="0"/>
        <w:overflowPunct w:val="0"/>
        <w:bidi w:val="0"/>
        <w:ind w:left="0"/>
        <w:rPr>
          <w:rFonts w:hint="eastAsia" w:ascii="宋体" w:hAnsi="宋体" w:eastAsia="宋体" w:cs="宋体"/>
          <w:color w:val="auto"/>
          <w:highlight w:val="none"/>
        </w:rPr>
      </w:pPr>
      <w:r>
        <w:rPr>
          <w:rFonts w:hint="eastAsia" w:ascii="宋体" w:hAnsi="宋体" w:eastAsia="宋体" w:cs="宋体"/>
          <w:color w:val="auto"/>
          <w:highlight w:val="none"/>
        </w:rPr>
        <w:t>附件二廉政合同</w:t>
      </w:r>
    </w:p>
    <w:p w14:paraId="30FCB5D1">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8"/>
          <w:highlight w:val="none"/>
        </w:rPr>
      </w:pPr>
    </w:p>
    <w:p w14:paraId="38AAEDE3">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8"/>
          <w:highlight w:val="none"/>
        </w:rPr>
      </w:pPr>
    </w:p>
    <w:p w14:paraId="4346EB50">
      <w:pPr>
        <w:keepNext w:val="0"/>
        <w:keepLines w:val="0"/>
        <w:widowControl w:val="0"/>
        <w:kinsoku w:val="0"/>
        <w:overflowPunct w:val="0"/>
        <w:autoSpaceDE w:val="0"/>
        <w:autoSpaceDN w:val="0"/>
        <w:bidi w:val="0"/>
        <w:adjustRightInd w:val="0"/>
        <w:ind w:left="144"/>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rPr>
        <w:t>廉政合同</w:t>
      </w:r>
      <w:bookmarkEnd w:id="607"/>
    </w:p>
    <w:p w14:paraId="774DDFE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9491F59">
      <w:pPr>
        <w:keepNext w:val="0"/>
        <w:keepLines w:val="0"/>
        <w:widowControl w:val="0"/>
        <w:kinsoku w:val="0"/>
        <w:overflowPunct w:val="0"/>
        <w:autoSpaceDE w:val="0"/>
        <w:autoSpaceDN w:val="0"/>
        <w:bidi w:val="0"/>
        <w:adjustRightInd w:val="0"/>
        <w:spacing w:before="10" w:line="260" w:lineRule="exact"/>
        <w:jc w:val="left"/>
        <w:rPr>
          <w:rFonts w:hint="eastAsia" w:ascii="宋体" w:hAnsi="宋体" w:eastAsia="宋体" w:cs="宋体"/>
          <w:color w:val="auto"/>
          <w:sz w:val="26"/>
          <w:highlight w:val="none"/>
        </w:rPr>
      </w:pPr>
    </w:p>
    <w:p w14:paraId="2A14FF0A">
      <w:pPr>
        <w:pStyle w:val="3"/>
        <w:keepNext w:val="0"/>
        <w:keepLines w:val="0"/>
        <w:tabs>
          <w:tab w:val="left" w:pos="2205"/>
          <w:tab w:val="left" w:pos="3024"/>
          <w:tab w:val="left" w:pos="6896"/>
          <w:tab w:val="left" w:pos="7859"/>
        </w:tabs>
        <w:kinsoku w:val="0"/>
        <w:overflowPunct w:val="0"/>
        <w:bidi w:val="0"/>
        <w:spacing w:before="47" w:line="264" w:lineRule="auto"/>
        <w:ind w:left="144" w:right="108" w:firstLine="480" w:firstLineChars="200"/>
        <w:rPr>
          <w:rFonts w:hint="eastAsia" w:ascii="宋体" w:hAnsi="宋体" w:eastAsia="宋体" w:cs="宋体"/>
          <w:color w:val="auto"/>
          <w:highlight w:val="none"/>
        </w:rPr>
      </w:pPr>
      <w:r>
        <w:rPr>
          <w:rFonts w:hint="eastAsia" w:ascii="宋体" w:hAnsi="宋体" w:eastAsia="宋体" w:cs="宋体"/>
          <w:color w:val="auto"/>
          <w:szCs w:val="24"/>
          <w:highlight w:val="none"/>
        </w:rPr>
        <w:t>根</w:t>
      </w:r>
      <w:r>
        <w:rPr>
          <w:rFonts w:hint="eastAsia" w:ascii="宋体" w:hAnsi="宋体" w:eastAsia="宋体" w:cs="宋体"/>
          <w:color w:val="auto"/>
          <w:spacing w:val="-51"/>
          <w:szCs w:val="24"/>
          <w:highlight w:val="none"/>
        </w:rPr>
        <w:t>据</w:t>
      </w:r>
      <w:r>
        <w:rPr>
          <w:rFonts w:hint="eastAsia" w:ascii="宋体" w:hAnsi="宋体" w:eastAsia="宋体" w:cs="宋体"/>
          <w:color w:val="auto"/>
          <w:szCs w:val="24"/>
          <w:highlight w:val="none"/>
        </w:rPr>
        <w:t>《关于在交通基础设施建设中加强廉政建设的若干意见</w:t>
      </w:r>
      <w:r>
        <w:rPr>
          <w:rFonts w:hint="eastAsia" w:ascii="宋体" w:hAnsi="宋体" w:eastAsia="宋体" w:cs="宋体"/>
          <w:color w:val="auto"/>
          <w:spacing w:val="-51"/>
          <w:szCs w:val="24"/>
          <w:highlight w:val="none"/>
        </w:rPr>
        <w:t>》</w:t>
      </w:r>
      <w:r>
        <w:rPr>
          <w:rFonts w:hint="eastAsia" w:ascii="宋体" w:hAnsi="宋体" w:eastAsia="宋体" w:cs="宋体"/>
          <w:color w:val="auto"/>
          <w:szCs w:val="24"/>
          <w:highlight w:val="none"/>
        </w:rPr>
        <w:t>以及有关工程建设</w:t>
      </w:r>
      <w:r>
        <w:rPr>
          <w:rFonts w:hint="eastAsia" w:ascii="宋体" w:hAnsi="宋体" w:eastAsia="宋体" w:cs="宋体"/>
          <w:color w:val="auto"/>
          <w:spacing w:val="-29"/>
          <w:szCs w:val="24"/>
          <w:highlight w:val="none"/>
        </w:rPr>
        <w:t>、</w:t>
      </w:r>
      <w:r>
        <w:rPr>
          <w:rFonts w:hint="eastAsia" w:ascii="宋体" w:hAnsi="宋体" w:eastAsia="宋体" w:cs="宋体"/>
          <w:color w:val="auto"/>
          <w:szCs w:val="24"/>
          <w:highlight w:val="none"/>
        </w:rPr>
        <w:t>廉政建设的规定</w:t>
      </w:r>
      <w:r>
        <w:rPr>
          <w:rFonts w:hint="eastAsia" w:ascii="宋体" w:hAnsi="宋体" w:eastAsia="宋体" w:cs="宋体"/>
          <w:color w:val="auto"/>
          <w:spacing w:val="-29"/>
          <w:szCs w:val="24"/>
          <w:highlight w:val="none"/>
        </w:rPr>
        <w:t>，</w:t>
      </w:r>
      <w:r>
        <w:rPr>
          <w:rFonts w:hint="eastAsia" w:ascii="宋体" w:hAnsi="宋体" w:eastAsia="宋体" w:cs="宋体"/>
          <w:color w:val="auto"/>
          <w:szCs w:val="24"/>
          <w:highlight w:val="none"/>
        </w:rPr>
        <w:t>为做好工程建设中的党风廉政建设</w:t>
      </w:r>
      <w:r>
        <w:rPr>
          <w:rFonts w:hint="eastAsia" w:ascii="宋体" w:hAnsi="宋体" w:eastAsia="宋体" w:cs="宋体"/>
          <w:color w:val="auto"/>
          <w:spacing w:val="-29"/>
          <w:szCs w:val="24"/>
          <w:highlight w:val="none"/>
        </w:rPr>
        <w:t>，</w:t>
      </w:r>
      <w:r>
        <w:rPr>
          <w:rFonts w:hint="eastAsia" w:ascii="宋体" w:hAnsi="宋体" w:eastAsia="宋体" w:cs="宋体"/>
          <w:color w:val="auto"/>
          <w:szCs w:val="24"/>
          <w:highlight w:val="none"/>
        </w:rPr>
        <w:t>保证工程建设高效优质，保证建设资金的安全和有效使用以及投资效益，</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（项目名称）的项目法人</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（项目法人名称，以下简称“委托人”）与该项目</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标段的施工监</w:t>
      </w:r>
      <w:r>
        <w:rPr>
          <w:rFonts w:hint="eastAsia" w:ascii="宋体" w:hAnsi="宋体" w:eastAsia="宋体" w:cs="宋体"/>
          <w:color w:val="auto"/>
          <w:spacing w:val="-1"/>
          <w:szCs w:val="24"/>
          <w:highlight w:val="none"/>
        </w:rPr>
        <w:t>理</w:t>
      </w:r>
      <w:r>
        <w:rPr>
          <w:rFonts w:hint="eastAsia" w:ascii="宋体" w:hAnsi="宋体" w:eastAsia="宋体" w:cs="宋体"/>
          <w:color w:val="auto"/>
          <w:szCs w:val="24"/>
          <w:highlight w:val="none"/>
        </w:rPr>
        <w:t>单位</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（施工监理单位名称</w:t>
      </w:r>
      <w:r>
        <w:rPr>
          <w:rFonts w:hint="eastAsia" w:ascii="宋体" w:hAnsi="宋体" w:eastAsia="宋体" w:cs="宋体"/>
          <w:color w:val="auto"/>
          <w:spacing w:val="-19"/>
          <w:szCs w:val="24"/>
          <w:highlight w:val="none"/>
        </w:rPr>
        <w:t>，</w:t>
      </w:r>
      <w:r>
        <w:rPr>
          <w:rFonts w:hint="eastAsia" w:ascii="宋体" w:hAnsi="宋体" w:eastAsia="宋体" w:cs="宋体"/>
          <w:color w:val="auto"/>
          <w:szCs w:val="24"/>
          <w:highlight w:val="none"/>
        </w:rPr>
        <w:t>以下简称</w:t>
      </w:r>
      <w:r>
        <w:rPr>
          <w:rFonts w:hint="eastAsia" w:ascii="宋体" w:hAnsi="宋体" w:eastAsia="宋体" w:cs="宋体"/>
          <w:color w:val="auto"/>
          <w:spacing w:val="-1"/>
          <w:szCs w:val="24"/>
          <w:highlight w:val="none"/>
        </w:rPr>
        <w:t>“</w:t>
      </w:r>
      <w:r>
        <w:rPr>
          <w:rFonts w:hint="eastAsia" w:ascii="宋体" w:hAnsi="宋体" w:eastAsia="宋体" w:cs="宋体"/>
          <w:color w:val="auto"/>
          <w:szCs w:val="24"/>
          <w:highlight w:val="none"/>
        </w:rPr>
        <w:t>监理人”</w:t>
      </w:r>
      <w:r>
        <w:rPr>
          <w:rFonts w:hint="eastAsia" w:ascii="宋体" w:hAnsi="宋体" w:eastAsia="宋体" w:cs="宋体"/>
          <w:color w:val="auto"/>
          <w:spacing w:val="-120"/>
          <w:szCs w:val="24"/>
          <w:highlight w:val="none"/>
        </w:rPr>
        <w:t>）</w:t>
      </w:r>
      <w:r>
        <w:rPr>
          <w:rFonts w:hint="eastAsia" w:ascii="宋体" w:hAnsi="宋体" w:eastAsia="宋体" w:cs="宋体"/>
          <w:color w:val="auto"/>
          <w:spacing w:val="-20"/>
          <w:szCs w:val="24"/>
          <w:highlight w:val="none"/>
        </w:rPr>
        <w:t>，</w:t>
      </w:r>
      <w:r>
        <w:rPr>
          <w:rFonts w:hint="eastAsia" w:ascii="宋体" w:hAnsi="宋体" w:eastAsia="宋体" w:cs="宋体"/>
          <w:color w:val="auto"/>
          <w:szCs w:val="24"/>
          <w:highlight w:val="none"/>
        </w:rPr>
        <w:t>特订立如下合同。</w:t>
      </w:r>
    </w:p>
    <w:p w14:paraId="0ED710FF">
      <w:pPr>
        <w:pStyle w:val="3"/>
        <w:keepNext w:val="0"/>
        <w:keepLines w:val="0"/>
        <w:kinsoku w:val="0"/>
        <w:overflowPunct w:val="0"/>
        <w:bidi w:val="0"/>
        <w:spacing w:before="19"/>
        <w:ind w:left="761"/>
        <w:rPr>
          <w:rFonts w:hint="eastAsia" w:ascii="宋体" w:hAnsi="宋体" w:eastAsia="宋体" w:cs="宋体"/>
          <w:color w:val="auto"/>
          <w:highlight w:val="none"/>
        </w:rPr>
      </w:pPr>
      <w:r>
        <w:rPr>
          <w:rFonts w:hint="eastAsia" w:ascii="宋体" w:hAnsi="宋体" w:eastAsia="宋体" w:cs="宋体"/>
          <w:color w:val="auto"/>
          <w:highlight w:val="none"/>
        </w:rPr>
        <w:t>1.委托人和监理人双方的权利和义务</w:t>
      </w:r>
    </w:p>
    <w:p w14:paraId="18665C05">
      <w:pPr>
        <w:keepNext w:val="0"/>
        <w:keepLines w:val="0"/>
        <w:widowControl w:val="0"/>
        <w:kinsoku w:val="0"/>
        <w:overflowPunct w:val="0"/>
        <w:autoSpaceDE w:val="0"/>
        <w:autoSpaceDN w:val="0"/>
        <w:bidi w:val="0"/>
        <w:adjustRightInd w:val="0"/>
        <w:spacing w:before="68"/>
        <w:ind w:left="76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（1）严格遵守党的政策规定和国家有关法律法规及交通运输部的有关规定。</w:t>
      </w:r>
    </w:p>
    <w:p w14:paraId="456178F5">
      <w:pPr>
        <w:keepNext w:val="0"/>
        <w:keepLines w:val="0"/>
        <w:widowControl w:val="0"/>
        <w:tabs>
          <w:tab w:val="left" w:pos="3408"/>
          <w:tab w:val="left" w:pos="5456"/>
        </w:tabs>
        <w:kinsoku w:val="0"/>
        <w:overflowPunct w:val="0"/>
        <w:autoSpaceDE w:val="0"/>
        <w:autoSpaceDN w:val="0"/>
        <w:bidi w:val="0"/>
        <w:adjustRightInd w:val="0"/>
        <w:spacing w:before="68" w:line="288" w:lineRule="auto"/>
        <w:ind w:left="144" w:right="223"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（2）严格执行</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标段施工监理合同文件，自觉按合同办事。</w:t>
      </w:r>
    </w:p>
    <w:p w14:paraId="0B85EAA6">
      <w:pPr>
        <w:keepNext w:val="0"/>
        <w:keepLines w:val="0"/>
        <w:widowControl w:val="0"/>
        <w:kinsoku w:val="0"/>
        <w:overflowPunct w:val="0"/>
        <w:autoSpaceDE w:val="0"/>
        <w:autoSpaceDN w:val="0"/>
        <w:bidi w:val="0"/>
        <w:adjustRightInd w:val="0"/>
        <w:spacing w:before="38" w:line="297" w:lineRule="auto"/>
        <w:ind w:left="144" w:right="225" w:firstLine="616"/>
        <w:rPr>
          <w:rFonts w:hint="eastAsia" w:ascii="宋体" w:hAnsi="宋体" w:eastAsia="宋体" w:cs="宋体"/>
          <w:color w:val="auto"/>
          <w:spacing w:val="-13"/>
          <w:sz w:val="24"/>
          <w:szCs w:val="24"/>
          <w:highlight w:val="none"/>
        </w:rPr>
      </w:pPr>
      <w:r>
        <w:rPr>
          <w:rFonts w:hint="eastAsia" w:ascii="宋体" w:hAnsi="宋体" w:eastAsia="宋体" w:cs="宋体"/>
          <w:color w:val="auto"/>
          <w:sz w:val="24"/>
          <w:szCs w:val="24"/>
          <w:highlight w:val="none"/>
        </w:rPr>
        <w:t>（3）双方的业务活动坚持公开、公正、诚信、透明的原则（法律认定的商业秘密和合同文件另有规定除外</w:t>
      </w:r>
      <w:r>
        <w:rPr>
          <w:rFonts w:hint="eastAsia" w:ascii="宋体" w:hAnsi="宋体" w:eastAsia="宋体" w:cs="宋体"/>
          <w:color w:val="auto"/>
          <w:spacing w:val="-82"/>
          <w:sz w:val="24"/>
          <w:szCs w:val="24"/>
          <w:highlight w:val="none"/>
        </w:rPr>
        <w:t>）</w:t>
      </w:r>
      <w:r>
        <w:rPr>
          <w:rFonts w:hint="eastAsia" w:ascii="宋体" w:hAnsi="宋体" w:eastAsia="宋体" w:cs="宋体"/>
          <w:color w:val="auto"/>
          <w:spacing w:val="-13"/>
          <w:sz w:val="24"/>
          <w:szCs w:val="24"/>
          <w:highlight w:val="none"/>
        </w:rPr>
        <w:t>，不得损害国家和集体利益，不得违反工程建设管理规章制度。</w:t>
      </w:r>
    </w:p>
    <w:p w14:paraId="370B7114">
      <w:pPr>
        <w:keepNext w:val="0"/>
        <w:keepLines w:val="0"/>
        <w:widowControl w:val="0"/>
        <w:kinsoku w:val="0"/>
        <w:overflowPunct w:val="0"/>
        <w:autoSpaceDE w:val="0"/>
        <w:autoSpaceDN w:val="0"/>
        <w:bidi w:val="0"/>
        <w:adjustRightInd w:val="0"/>
        <w:spacing w:before="29" w:line="290" w:lineRule="auto"/>
        <w:ind w:left="144" w:right="141"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（4）建立健全廉政制度，开展廉政教育，设立廉政告示牌，公布举报电话，监督并认真查处违法违纪行为。</w:t>
      </w:r>
    </w:p>
    <w:p w14:paraId="1EC88A7D">
      <w:pPr>
        <w:keepNext w:val="0"/>
        <w:keepLines w:val="0"/>
        <w:widowControl w:val="0"/>
        <w:kinsoku w:val="0"/>
        <w:overflowPunct w:val="0"/>
        <w:autoSpaceDE w:val="0"/>
        <w:autoSpaceDN w:val="0"/>
        <w:bidi w:val="0"/>
        <w:adjustRightInd w:val="0"/>
        <w:spacing w:before="34" w:line="290" w:lineRule="auto"/>
        <w:ind w:left="144" w:right="141"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（5）发现对方在业务活动中有违反廉政规定的行为，有及时提醒对方纠正的权利和义务。</w:t>
      </w:r>
    </w:p>
    <w:p w14:paraId="4B7ADAF0">
      <w:pPr>
        <w:pStyle w:val="3"/>
        <w:keepNext w:val="0"/>
        <w:keepLines w:val="0"/>
        <w:kinsoku w:val="0"/>
        <w:overflowPunct w:val="0"/>
        <w:bidi w:val="0"/>
        <w:spacing w:before="28" w:line="257" w:lineRule="auto"/>
        <w:ind w:left="144" w:right="229" w:firstLine="616"/>
        <w:rPr>
          <w:rFonts w:hint="eastAsia" w:ascii="宋体" w:hAnsi="宋体" w:eastAsia="宋体" w:cs="宋体"/>
          <w:color w:val="auto"/>
          <w:highlight w:val="none"/>
        </w:rPr>
      </w:pPr>
      <w:r>
        <w:rPr>
          <w:rFonts w:hint="eastAsia" w:ascii="宋体" w:hAnsi="宋体" w:eastAsia="宋体" w:cs="宋体"/>
          <w:color w:val="auto"/>
          <w:szCs w:val="24"/>
          <w:highlight w:val="none"/>
        </w:rPr>
        <w:t>（6）发现对方严重违反本合同义务条款的行为，有向其上级有关部门举报、建议给予处理并要求告知处理结果的权利。</w:t>
      </w:r>
    </w:p>
    <w:p w14:paraId="468D4A72">
      <w:pPr>
        <w:pStyle w:val="3"/>
        <w:keepNext w:val="0"/>
        <w:keepLines w:val="0"/>
        <w:kinsoku w:val="0"/>
        <w:overflowPunct w:val="0"/>
        <w:bidi w:val="0"/>
        <w:spacing w:before="30"/>
        <w:ind w:left="761"/>
        <w:rPr>
          <w:rFonts w:hint="eastAsia" w:ascii="宋体" w:hAnsi="宋体" w:eastAsia="宋体" w:cs="宋体"/>
          <w:color w:val="auto"/>
          <w:highlight w:val="none"/>
        </w:rPr>
      </w:pPr>
      <w:r>
        <w:rPr>
          <w:rFonts w:hint="eastAsia" w:ascii="宋体" w:hAnsi="宋体" w:eastAsia="宋体" w:cs="宋体"/>
          <w:color w:val="auto"/>
          <w:highlight w:val="none"/>
        </w:rPr>
        <w:t>2.委托人的义务</w:t>
      </w:r>
    </w:p>
    <w:p w14:paraId="42BBFD2E">
      <w:pPr>
        <w:keepNext w:val="0"/>
        <w:keepLines w:val="0"/>
        <w:widowControl w:val="0"/>
        <w:kinsoku w:val="0"/>
        <w:overflowPunct w:val="0"/>
        <w:autoSpaceDE w:val="0"/>
        <w:autoSpaceDN w:val="0"/>
        <w:bidi w:val="0"/>
        <w:adjustRightInd w:val="0"/>
        <w:spacing w:before="68" w:line="288" w:lineRule="auto"/>
        <w:ind w:left="144" w:right="141"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（1）委托人及其工作人员不得索要或接受监理人的礼金、有价证券和贵重物品，不得让监理人报销任何应由委托人或委托人工作人员个人支付的费用等。</w:t>
      </w:r>
    </w:p>
    <w:p w14:paraId="0EE301C5">
      <w:pPr>
        <w:keepNext w:val="0"/>
        <w:keepLines w:val="0"/>
        <w:widowControl w:val="0"/>
        <w:kinsoku w:val="0"/>
        <w:overflowPunct w:val="0"/>
        <w:autoSpaceDE w:val="0"/>
        <w:autoSpaceDN w:val="0"/>
        <w:bidi w:val="0"/>
        <w:adjustRightInd w:val="0"/>
        <w:spacing w:before="38" w:line="290" w:lineRule="auto"/>
        <w:ind w:left="144" w:right="141"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（2）委托人工作人员不得参加监理人安排的超标准宴请和娱乐活动；不得接受监理人提供的通信工具、交通工具和高档办公用品等。</w:t>
      </w:r>
    </w:p>
    <w:p w14:paraId="380D653E">
      <w:pPr>
        <w:keepNext w:val="0"/>
        <w:keepLines w:val="0"/>
        <w:widowControl w:val="0"/>
        <w:kinsoku w:val="0"/>
        <w:overflowPunct w:val="0"/>
        <w:autoSpaceDE w:val="0"/>
        <w:autoSpaceDN w:val="0"/>
        <w:bidi w:val="0"/>
        <w:adjustRightInd w:val="0"/>
        <w:spacing w:before="34" w:line="290" w:lineRule="auto"/>
        <w:ind w:left="144" w:right="141"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（3）委托人及其工作人员不得要求或者接受监理人为其住房装修、婚丧嫁娶活动、配偶子女的工作安排以及出国出境、旅游等提供方便等。</w:t>
      </w:r>
    </w:p>
    <w:p w14:paraId="59B4C355">
      <w:pPr>
        <w:keepNext w:val="0"/>
        <w:keepLines w:val="0"/>
        <w:widowControl w:val="0"/>
        <w:kinsoku w:val="0"/>
        <w:overflowPunct w:val="0"/>
        <w:autoSpaceDE w:val="0"/>
        <w:autoSpaceDN w:val="0"/>
        <w:bidi w:val="0"/>
        <w:adjustRightInd w:val="0"/>
        <w:spacing w:before="37" w:line="288" w:lineRule="auto"/>
        <w:ind w:left="144" w:right="141"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（4）委托人工作人员及其配偶、子女不得从事与委托人工程有关的材料设备供应、工程分包、劳务等经济活动等。</w:t>
      </w:r>
    </w:p>
    <w:p w14:paraId="27C68FC1">
      <w:pPr>
        <w:keepNext w:val="0"/>
        <w:keepLines w:val="0"/>
        <w:bidi w:val="0"/>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委</w:t>
      </w:r>
      <w:r>
        <w:rPr>
          <w:rFonts w:hint="eastAsia" w:ascii="宋体" w:hAnsi="宋体" w:eastAsia="宋体" w:cs="宋体"/>
          <w:color w:val="auto"/>
          <w:sz w:val="24"/>
          <w:szCs w:val="24"/>
          <w:highlight w:val="none"/>
        </w:rPr>
        <w:t>托人及其工作人员不得以任何理由向监理人推荐分包单位或推销材料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不得要求监理人购买合同规定外的材料和设备。</w:t>
      </w:r>
    </w:p>
    <w:p w14:paraId="6098AF80">
      <w:pPr>
        <w:keepNext w:val="0"/>
        <w:keepLines w:val="0"/>
        <w:bidi w:val="0"/>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（6）委托人工作人员要秉公办事，不准营私舞弊，不准利用职权从事各种个人有偿中介活动和安排个人施工监理队伍。</w:t>
      </w:r>
    </w:p>
    <w:p w14:paraId="0B245464">
      <w:pPr>
        <w:pStyle w:val="3"/>
        <w:keepNext w:val="0"/>
        <w:keepLines w:val="0"/>
        <w:kinsoku w:val="0"/>
        <w:overflowPunct w:val="0"/>
        <w:bidi w:val="0"/>
        <w:spacing w:before="47"/>
        <w:ind w:left="76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3.监理人的义务</w:t>
      </w:r>
    </w:p>
    <w:p w14:paraId="736FFC75">
      <w:pPr>
        <w:keepNext w:val="0"/>
        <w:keepLines w:val="0"/>
        <w:widowControl w:val="0"/>
        <w:kinsoku w:val="0"/>
        <w:overflowPunct w:val="0"/>
        <w:autoSpaceDE w:val="0"/>
        <w:autoSpaceDN w:val="0"/>
        <w:bidi w:val="0"/>
        <w:adjustRightInd w:val="0"/>
        <w:spacing w:before="68" w:line="288" w:lineRule="auto"/>
        <w:ind w:left="144" w:right="228"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（1）监理人不得以任何理由向委托人及其工作人员行贿或馈赠礼金、有价证券、贵重礼品。</w:t>
      </w:r>
    </w:p>
    <w:p w14:paraId="017B46FA">
      <w:pPr>
        <w:keepNext w:val="0"/>
        <w:keepLines w:val="0"/>
        <w:widowControl w:val="0"/>
        <w:kinsoku w:val="0"/>
        <w:overflowPunct w:val="0"/>
        <w:autoSpaceDE w:val="0"/>
        <w:autoSpaceDN w:val="0"/>
        <w:bidi w:val="0"/>
        <w:adjustRightInd w:val="0"/>
        <w:spacing w:before="38" w:line="290" w:lineRule="auto"/>
        <w:ind w:left="144" w:right="227"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（2）监理人不得以任何名义为委托人及其工作人员报销应由委托人单位或个人支付的任何费用。</w:t>
      </w:r>
    </w:p>
    <w:p w14:paraId="19B9574D">
      <w:pPr>
        <w:keepNext w:val="0"/>
        <w:keepLines w:val="0"/>
        <w:widowControl w:val="0"/>
        <w:kinsoku w:val="0"/>
        <w:overflowPunct w:val="0"/>
        <w:autoSpaceDE w:val="0"/>
        <w:autoSpaceDN w:val="0"/>
        <w:bidi w:val="0"/>
        <w:adjustRightInd w:val="0"/>
        <w:spacing w:before="34"/>
        <w:ind w:left="76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pacing w:val="-104"/>
          <w:sz w:val="24"/>
          <w:szCs w:val="24"/>
          <w:highlight w:val="none"/>
        </w:rPr>
        <w:t>）</w:t>
      </w:r>
      <w:r>
        <w:rPr>
          <w:rFonts w:hint="eastAsia" w:ascii="宋体" w:hAnsi="宋体" w:eastAsia="宋体" w:cs="宋体"/>
          <w:color w:val="auto"/>
          <w:sz w:val="24"/>
          <w:szCs w:val="24"/>
          <w:highlight w:val="none"/>
        </w:rPr>
        <w:t>监理人不得以任何理由安排委托人工作人员参加超标准宴请及娱乐活动。</w:t>
      </w:r>
    </w:p>
    <w:p w14:paraId="5A1C6761">
      <w:pPr>
        <w:pStyle w:val="3"/>
        <w:keepNext w:val="0"/>
        <w:keepLines w:val="0"/>
        <w:kinsoku w:val="0"/>
        <w:overflowPunct w:val="0"/>
        <w:bidi w:val="0"/>
        <w:spacing w:before="28" w:line="258" w:lineRule="auto"/>
        <w:ind w:left="144" w:right="230" w:firstLine="616"/>
        <w:jc w:val="both"/>
        <w:rPr>
          <w:rFonts w:hint="eastAsia" w:ascii="宋体" w:hAnsi="宋体" w:eastAsia="宋体" w:cs="宋体"/>
          <w:color w:val="auto"/>
          <w:highlight w:val="none"/>
        </w:rPr>
      </w:pPr>
      <w:r>
        <w:rPr>
          <w:rFonts w:hint="eastAsia" w:ascii="宋体" w:hAnsi="宋体" w:eastAsia="宋体" w:cs="宋体"/>
          <w:color w:val="auto"/>
          <w:szCs w:val="24"/>
          <w:highlight w:val="none"/>
        </w:rPr>
        <w:t>（4）监理人不得为委托人单位和个人购置或提供通信工具、交通工具和高档办公用品等。</w:t>
      </w:r>
    </w:p>
    <w:p w14:paraId="269A631E">
      <w:pPr>
        <w:pStyle w:val="3"/>
        <w:keepNext w:val="0"/>
        <w:keepLines w:val="0"/>
        <w:kinsoku w:val="0"/>
        <w:overflowPunct w:val="0"/>
        <w:bidi w:val="0"/>
        <w:spacing w:before="26"/>
        <w:ind w:left="761"/>
        <w:rPr>
          <w:rFonts w:hint="eastAsia" w:ascii="宋体" w:hAnsi="宋体" w:eastAsia="宋体" w:cs="宋体"/>
          <w:color w:val="auto"/>
          <w:highlight w:val="none"/>
        </w:rPr>
      </w:pPr>
      <w:r>
        <w:rPr>
          <w:rFonts w:hint="eastAsia" w:ascii="宋体" w:hAnsi="宋体" w:eastAsia="宋体" w:cs="宋体"/>
          <w:color w:val="auto"/>
          <w:highlight w:val="none"/>
        </w:rPr>
        <w:t>4.违约责任</w:t>
      </w:r>
    </w:p>
    <w:p w14:paraId="7041EAF8">
      <w:pPr>
        <w:pStyle w:val="3"/>
        <w:keepNext w:val="0"/>
        <w:keepLines w:val="0"/>
        <w:kinsoku w:val="0"/>
        <w:overflowPunct w:val="0"/>
        <w:bidi w:val="0"/>
        <w:spacing w:before="28" w:line="264" w:lineRule="auto"/>
        <w:ind w:left="144" w:right="227" w:firstLine="616"/>
        <w:jc w:val="both"/>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pacing w:val="-27"/>
          <w:highlight w:val="none"/>
        </w:rPr>
        <w:t>）</w:t>
      </w:r>
      <w:r>
        <w:rPr>
          <w:rFonts w:hint="eastAsia" w:ascii="宋体" w:hAnsi="宋体" w:eastAsia="宋体" w:cs="宋体"/>
          <w:color w:val="auto"/>
          <w:highlight w:val="none"/>
        </w:rPr>
        <w:t>委托人及其工作人员违反本合同第1</w:t>
      </w:r>
      <w:r>
        <w:rPr>
          <w:rFonts w:hint="eastAsia" w:ascii="宋体" w:hAnsi="宋体" w:eastAsia="宋体" w:cs="宋体"/>
          <w:color w:val="auto"/>
          <w:spacing w:val="-27"/>
          <w:highlight w:val="none"/>
        </w:rPr>
        <w:t>、</w:t>
      </w:r>
      <w:r>
        <w:rPr>
          <w:rFonts w:hint="eastAsia" w:ascii="宋体" w:hAnsi="宋体" w:eastAsia="宋体" w:cs="宋体"/>
          <w:color w:val="auto"/>
          <w:highlight w:val="none"/>
        </w:rPr>
        <w:t>2条</w:t>
      </w:r>
      <w:r>
        <w:rPr>
          <w:rFonts w:hint="eastAsia" w:ascii="宋体" w:hAnsi="宋体" w:eastAsia="宋体" w:cs="宋体"/>
          <w:color w:val="auto"/>
          <w:spacing w:val="-27"/>
          <w:highlight w:val="none"/>
        </w:rPr>
        <w:t>，</w:t>
      </w:r>
      <w:r>
        <w:rPr>
          <w:rFonts w:hint="eastAsia" w:ascii="宋体" w:hAnsi="宋体" w:eastAsia="宋体" w:cs="宋体"/>
          <w:color w:val="auto"/>
          <w:highlight w:val="none"/>
        </w:rPr>
        <w:t>按管理权限</w:t>
      </w:r>
      <w:r>
        <w:rPr>
          <w:rFonts w:hint="eastAsia" w:ascii="宋体" w:hAnsi="宋体" w:eastAsia="宋体" w:cs="宋体"/>
          <w:color w:val="auto"/>
          <w:spacing w:val="-27"/>
          <w:highlight w:val="none"/>
        </w:rPr>
        <w:t>，</w:t>
      </w:r>
      <w:r>
        <w:rPr>
          <w:rFonts w:hint="eastAsia" w:ascii="宋体" w:hAnsi="宋体" w:eastAsia="宋体" w:cs="宋体"/>
          <w:color w:val="auto"/>
          <w:spacing w:val="2"/>
          <w:highlight w:val="none"/>
        </w:rPr>
        <w:t>依</w:t>
      </w:r>
      <w:r>
        <w:rPr>
          <w:rFonts w:hint="eastAsia" w:ascii="宋体" w:hAnsi="宋体" w:eastAsia="宋体" w:cs="宋体"/>
          <w:color w:val="auto"/>
          <w:highlight w:val="none"/>
        </w:rPr>
        <w:t>据有关规定给予</w:t>
      </w:r>
      <w:r>
        <w:rPr>
          <w:rFonts w:hint="eastAsia" w:ascii="宋体" w:hAnsi="宋体" w:eastAsia="宋体" w:cs="宋体"/>
          <w:color w:val="auto"/>
          <w:spacing w:val="2"/>
          <w:highlight w:val="none"/>
        </w:rPr>
        <w:t>党</w:t>
      </w:r>
      <w:r>
        <w:rPr>
          <w:rFonts w:hint="eastAsia" w:ascii="宋体" w:hAnsi="宋体" w:eastAsia="宋体" w:cs="宋体"/>
          <w:color w:val="auto"/>
          <w:highlight w:val="none"/>
        </w:rPr>
        <w:t>纪</w:t>
      </w:r>
      <w:r>
        <w:rPr>
          <w:rFonts w:hint="eastAsia" w:ascii="宋体" w:hAnsi="宋体" w:eastAsia="宋体" w:cs="宋体"/>
          <w:color w:val="auto"/>
          <w:spacing w:val="2"/>
          <w:highlight w:val="none"/>
        </w:rPr>
        <w:t>、</w:t>
      </w:r>
      <w:r>
        <w:rPr>
          <w:rFonts w:hint="eastAsia" w:ascii="宋体" w:hAnsi="宋体" w:eastAsia="宋体" w:cs="宋体"/>
          <w:color w:val="auto"/>
          <w:highlight w:val="none"/>
        </w:rPr>
        <w:t>政纪</w:t>
      </w:r>
      <w:r>
        <w:rPr>
          <w:rFonts w:hint="eastAsia" w:ascii="宋体" w:hAnsi="宋体" w:eastAsia="宋体" w:cs="宋体"/>
          <w:color w:val="auto"/>
          <w:spacing w:val="2"/>
          <w:highlight w:val="none"/>
        </w:rPr>
        <w:t>或</w:t>
      </w:r>
      <w:r>
        <w:rPr>
          <w:rFonts w:hint="eastAsia" w:ascii="宋体" w:hAnsi="宋体" w:eastAsia="宋体" w:cs="宋体"/>
          <w:color w:val="auto"/>
          <w:highlight w:val="none"/>
        </w:rPr>
        <w:t>组</w:t>
      </w:r>
      <w:r>
        <w:rPr>
          <w:rFonts w:hint="eastAsia" w:ascii="宋体" w:hAnsi="宋体" w:eastAsia="宋体" w:cs="宋体"/>
          <w:color w:val="auto"/>
          <w:spacing w:val="2"/>
          <w:highlight w:val="none"/>
        </w:rPr>
        <w:t>织</w:t>
      </w:r>
      <w:r>
        <w:rPr>
          <w:rFonts w:hint="eastAsia" w:ascii="宋体" w:hAnsi="宋体" w:eastAsia="宋体" w:cs="宋体"/>
          <w:color w:val="auto"/>
          <w:highlight w:val="none"/>
        </w:rPr>
        <w:t>处理</w:t>
      </w:r>
      <w:r>
        <w:rPr>
          <w:rFonts w:hint="eastAsia" w:ascii="宋体" w:hAnsi="宋体" w:eastAsia="宋体" w:cs="宋体"/>
          <w:color w:val="auto"/>
          <w:spacing w:val="2"/>
          <w:highlight w:val="none"/>
        </w:rPr>
        <w:t>；</w:t>
      </w:r>
      <w:r>
        <w:rPr>
          <w:rFonts w:hint="eastAsia" w:ascii="宋体" w:hAnsi="宋体" w:eastAsia="宋体" w:cs="宋体"/>
          <w:color w:val="auto"/>
          <w:highlight w:val="none"/>
        </w:rPr>
        <w:t>涉</w:t>
      </w:r>
      <w:r>
        <w:rPr>
          <w:rFonts w:hint="eastAsia" w:ascii="宋体" w:hAnsi="宋体" w:eastAsia="宋体" w:cs="宋体"/>
          <w:color w:val="auto"/>
          <w:spacing w:val="2"/>
          <w:highlight w:val="none"/>
        </w:rPr>
        <w:t>嫌</w:t>
      </w:r>
      <w:r>
        <w:rPr>
          <w:rFonts w:hint="eastAsia" w:ascii="宋体" w:hAnsi="宋体" w:eastAsia="宋体" w:cs="宋体"/>
          <w:color w:val="auto"/>
          <w:highlight w:val="none"/>
        </w:rPr>
        <w:t>犯罪</w:t>
      </w:r>
      <w:r>
        <w:rPr>
          <w:rFonts w:hint="eastAsia" w:ascii="宋体" w:hAnsi="宋体" w:eastAsia="宋体" w:cs="宋体"/>
          <w:color w:val="auto"/>
          <w:spacing w:val="2"/>
          <w:highlight w:val="none"/>
        </w:rPr>
        <w:t>的</w:t>
      </w:r>
      <w:r>
        <w:rPr>
          <w:rFonts w:hint="eastAsia" w:ascii="宋体" w:hAnsi="宋体" w:eastAsia="宋体" w:cs="宋体"/>
          <w:color w:val="auto"/>
          <w:highlight w:val="none"/>
        </w:rPr>
        <w:t>，</w:t>
      </w:r>
      <w:r>
        <w:rPr>
          <w:rFonts w:hint="eastAsia" w:ascii="宋体" w:hAnsi="宋体" w:eastAsia="宋体" w:cs="宋体"/>
          <w:color w:val="auto"/>
          <w:spacing w:val="2"/>
          <w:highlight w:val="none"/>
        </w:rPr>
        <w:t>移</w:t>
      </w:r>
      <w:r>
        <w:rPr>
          <w:rFonts w:hint="eastAsia" w:ascii="宋体" w:hAnsi="宋体" w:eastAsia="宋体" w:cs="宋体"/>
          <w:color w:val="auto"/>
          <w:highlight w:val="none"/>
        </w:rPr>
        <w:t>交司</w:t>
      </w:r>
      <w:r>
        <w:rPr>
          <w:rFonts w:hint="eastAsia" w:ascii="宋体" w:hAnsi="宋体" w:eastAsia="宋体" w:cs="宋体"/>
          <w:color w:val="auto"/>
          <w:spacing w:val="2"/>
          <w:highlight w:val="none"/>
        </w:rPr>
        <w:t>法</w:t>
      </w:r>
      <w:r>
        <w:rPr>
          <w:rFonts w:hint="eastAsia" w:ascii="宋体" w:hAnsi="宋体" w:eastAsia="宋体" w:cs="宋体"/>
          <w:color w:val="auto"/>
          <w:highlight w:val="none"/>
        </w:rPr>
        <w:t>机</w:t>
      </w:r>
      <w:r>
        <w:rPr>
          <w:rFonts w:hint="eastAsia" w:ascii="宋体" w:hAnsi="宋体" w:eastAsia="宋体" w:cs="宋体"/>
          <w:color w:val="auto"/>
          <w:spacing w:val="2"/>
          <w:highlight w:val="none"/>
        </w:rPr>
        <w:t>关</w:t>
      </w:r>
      <w:r>
        <w:rPr>
          <w:rFonts w:hint="eastAsia" w:ascii="宋体" w:hAnsi="宋体" w:eastAsia="宋体" w:cs="宋体"/>
          <w:color w:val="auto"/>
          <w:highlight w:val="none"/>
        </w:rPr>
        <w:t>追究</w:t>
      </w:r>
      <w:r>
        <w:rPr>
          <w:rFonts w:hint="eastAsia" w:ascii="宋体" w:hAnsi="宋体" w:eastAsia="宋体" w:cs="宋体"/>
          <w:color w:val="auto"/>
          <w:spacing w:val="2"/>
          <w:highlight w:val="none"/>
        </w:rPr>
        <w:t>刑</w:t>
      </w:r>
      <w:r>
        <w:rPr>
          <w:rFonts w:hint="eastAsia" w:ascii="宋体" w:hAnsi="宋体" w:eastAsia="宋体" w:cs="宋体"/>
          <w:color w:val="auto"/>
          <w:highlight w:val="none"/>
        </w:rPr>
        <w:t>事</w:t>
      </w:r>
      <w:r>
        <w:rPr>
          <w:rFonts w:hint="eastAsia" w:ascii="宋体" w:hAnsi="宋体" w:eastAsia="宋体" w:cs="宋体"/>
          <w:color w:val="auto"/>
          <w:spacing w:val="2"/>
          <w:highlight w:val="none"/>
        </w:rPr>
        <w:t>责</w:t>
      </w:r>
      <w:r>
        <w:rPr>
          <w:rFonts w:hint="eastAsia" w:ascii="宋体" w:hAnsi="宋体" w:eastAsia="宋体" w:cs="宋体"/>
          <w:color w:val="auto"/>
          <w:highlight w:val="none"/>
        </w:rPr>
        <w:t>任；</w:t>
      </w:r>
      <w:r>
        <w:rPr>
          <w:rFonts w:hint="eastAsia" w:ascii="宋体" w:hAnsi="宋体" w:eastAsia="宋体" w:cs="宋体"/>
          <w:color w:val="auto"/>
          <w:spacing w:val="6"/>
          <w:highlight w:val="none"/>
        </w:rPr>
        <w:t>给</w:t>
      </w:r>
      <w:r>
        <w:rPr>
          <w:rFonts w:hint="eastAsia" w:ascii="宋体" w:hAnsi="宋体" w:eastAsia="宋体" w:cs="宋体"/>
          <w:color w:val="auto"/>
          <w:highlight w:val="none"/>
        </w:rPr>
        <w:t>监理人单位造成经济损失的，应予以赔偿。</w:t>
      </w:r>
    </w:p>
    <w:p w14:paraId="7F32C639">
      <w:pPr>
        <w:pStyle w:val="3"/>
        <w:keepNext w:val="0"/>
        <w:keepLines w:val="0"/>
        <w:kinsoku w:val="0"/>
        <w:overflowPunct w:val="0"/>
        <w:bidi w:val="0"/>
        <w:spacing w:before="22" w:line="266" w:lineRule="auto"/>
        <w:ind w:left="144" w:right="227" w:firstLine="616"/>
        <w:jc w:val="both"/>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spacing w:val="-27"/>
          <w:highlight w:val="none"/>
        </w:rPr>
        <w:t>）</w:t>
      </w:r>
      <w:r>
        <w:rPr>
          <w:rFonts w:hint="eastAsia" w:ascii="宋体" w:hAnsi="宋体" w:eastAsia="宋体" w:cs="宋体"/>
          <w:color w:val="auto"/>
          <w:highlight w:val="none"/>
        </w:rPr>
        <w:t>监理人及其工作人员违反本合同第1</w:t>
      </w:r>
      <w:r>
        <w:rPr>
          <w:rFonts w:hint="eastAsia" w:ascii="宋体" w:hAnsi="宋体" w:eastAsia="宋体" w:cs="宋体"/>
          <w:color w:val="auto"/>
          <w:spacing w:val="-27"/>
          <w:highlight w:val="none"/>
        </w:rPr>
        <w:t>、</w:t>
      </w:r>
      <w:r>
        <w:rPr>
          <w:rFonts w:hint="eastAsia" w:ascii="宋体" w:hAnsi="宋体" w:eastAsia="宋体" w:cs="宋体"/>
          <w:color w:val="auto"/>
          <w:highlight w:val="none"/>
        </w:rPr>
        <w:t>3条</w:t>
      </w:r>
      <w:r>
        <w:rPr>
          <w:rFonts w:hint="eastAsia" w:ascii="宋体" w:hAnsi="宋体" w:eastAsia="宋体" w:cs="宋体"/>
          <w:color w:val="auto"/>
          <w:spacing w:val="-27"/>
          <w:highlight w:val="none"/>
        </w:rPr>
        <w:t>，</w:t>
      </w:r>
      <w:r>
        <w:rPr>
          <w:rFonts w:hint="eastAsia" w:ascii="宋体" w:hAnsi="宋体" w:eastAsia="宋体" w:cs="宋体"/>
          <w:color w:val="auto"/>
          <w:highlight w:val="none"/>
        </w:rPr>
        <w:t>按管理权限</w:t>
      </w:r>
      <w:r>
        <w:rPr>
          <w:rFonts w:hint="eastAsia" w:ascii="宋体" w:hAnsi="宋体" w:eastAsia="宋体" w:cs="宋体"/>
          <w:color w:val="auto"/>
          <w:spacing w:val="-27"/>
          <w:highlight w:val="none"/>
        </w:rPr>
        <w:t>，</w:t>
      </w:r>
      <w:r>
        <w:rPr>
          <w:rFonts w:hint="eastAsia" w:ascii="宋体" w:hAnsi="宋体" w:eastAsia="宋体" w:cs="宋体"/>
          <w:color w:val="auto"/>
          <w:spacing w:val="2"/>
          <w:highlight w:val="none"/>
        </w:rPr>
        <w:t>依</w:t>
      </w:r>
      <w:r>
        <w:rPr>
          <w:rFonts w:hint="eastAsia" w:ascii="宋体" w:hAnsi="宋体" w:eastAsia="宋体" w:cs="宋体"/>
          <w:color w:val="auto"/>
          <w:highlight w:val="none"/>
        </w:rPr>
        <w:t>据有关规定给予</w:t>
      </w:r>
      <w:r>
        <w:rPr>
          <w:rFonts w:hint="eastAsia" w:ascii="宋体" w:hAnsi="宋体" w:eastAsia="宋体" w:cs="宋体"/>
          <w:color w:val="auto"/>
          <w:spacing w:val="2"/>
          <w:highlight w:val="none"/>
        </w:rPr>
        <w:t>党</w:t>
      </w:r>
      <w:r>
        <w:rPr>
          <w:rFonts w:hint="eastAsia" w:ascii="宋体" w:hAnsi="宋体" w:eastAsia="宋体" w:cs="宋体"/>
          <w:color w:val="auto"/>
          <w:highlight w:val="none"/>
        </w:rPr>
        <w:t>纪</w:t>
      </w:r>
      <w:r>
        <w:rPr>
          <w:rFonts w:hint="eastAsia" w:ascii="宋体" w:hAnsi="宋体" w:eastAsia="宋体" w:cs="宋体"/>
          <w:color w:val="auto"/>
          <w:spacing w:val="2"/>
          <w:highlight w:val="none"/>
        </w:rPr>
        <w:t>、</w:t>
      </w:r>
      <w:r>
        <w:rPr>
          <w:rFonts w:hint="eastAsia" w:ascii="宋体" w:hAnsi="宋体" w:eastAsia="宋体" w:cs="宋体"/>
          <w:color w:val="auto"/>
          <w:highlight w:val="none"/>
        </w:rPr>
        <w:t>政纪</w:t>
      </w:r>
      <w:r>
        <w:rPr>
          <w:rFonts w:hint="eastAsia" w:ascii="宋体" w:hAnsi="宋体" w:eastAsia="宋体" w:cs="宋体"/>
          <w:color w:val="auto"/>
          <w:spacing w:val="2"/>
          <w:highlight w:val="none"/>
        </w:rPr>
        <w:t>或</w:t>
      </w:r>
      <w:r>
        <w:rPr>
          <w:rFonts w:hint="eastAsia" w:ascii="宋体" w:hAnsi="宋体" w:eastAsia="宋体" w:cs="宋体"/>
          <w:color w:val="auto"/>
          <w:highlight w:val="none"/>
        </w:rPr>
        <w:t>组</w:t>
      </w:r>
      <w:r>
        <w:rPr>
          <w:rFonts w:hint="eastAsia" w:ascii="宋体" w:hAnsi="宋体" w:eastAsia="宋体" w:cs="宋体"/>
          <w:color w:val="auto"/>
          <w:spacing w:val="2"/>
          <w:highlight w:val="none"/>
        </w:rPr>
        <w:t>织</w:t>
      </w:r>
      <w:r>
        <w:rPr>
          <w:rFonts w:hint="eastAsia" w:ascii="宋体" w:hAnsi="宋体" w:eastAsia="宋体" w:cs="宋体"/>
          <w:color w:val="auto"/>
          <w:highlight w:val="none"/>
        </w:rPr>
        <w:t>处理</w:t>
      </w:r>
      <w:r>
        <w:rPr>
          <w:rFonts w:hint="eastAsia" w:ascii="宋体" w:hAnsi="宋体" w:eastAsia="宋体" w:cs="宋体"/>
          <w:color w:val="auto"/>
          <w:spacing w:val="2"/>
          <w:highlight w:val="none"/>
        </w:rPr>
        <w:t>；</w:t>
      </w:r>
      <w:r>
        <w:rPr>
          <w:rFonts w:hint="eastAsia" w:ascii="宋体" w:hAnsi="宋体" w:eastAsia="宋体" w:cs="宋体"/>
          <w:color w:val="auto"/>
          <w:spacing w:val="1"/>
          <w:highlight w:val="none"/>
        </w:rPr>
        <w:t>给</w:t>
      </w:r>
      <w:r>
        <w:rPr>
          <w:rFonts w:hint="eastAsia" w:ascii="宋体" w:hAnsi="宋体" w:eastAsia="宋体" w:cs="宋体"/>
          <w:color w:val="auto"/>
          <w:spacing w:val="2"/>
          <w:highlight w:val="none"/>
        </w:rPr>
        <w:t>委</w:t>
      </w:r>
      <w:r>
        <w:rPr>
          <w:rFonts w:hint="eastAsia" w:ascii="宋体" w:hAnsi="宋体" w:eastAsia="宋体" w:cs="宋体"/>
          <w:color w:val="auto"/>
          <w:highlight w:val="none"/>
        </w:rPr>
        <w:t>托人</w:t>
      </w:r>
      <w:r>
        <w:rPr>
          <w:rFonts w:hint="eastAsia" w:ascii="宋体" w:hAnsi="宋体" w:eastAsia="宋体" w:cs="宋体"/>
          <w:color w:val="auto"/>
          <w:spacing w:val="2"/>
          <w:highlight w:val="none"/>
        </w:rPr>
        <w:t>单</w:t>
      </w:r>
      <w:r>
        <w:rPr>
          <w:rFonts w:hint="eastAsia" w:ascii="宋体" w:hAnsi="宋体" w:eastAsia="宋体" w:cs="宋体"/>
          <w:color w:val="auto"/>
          <w:highlight w:val="none"/>
        </w:rPr>
        <w:t>位</w:t>
      </w:r>
      <w:r>
        <w:rPr>
          <w:rFonts w:hint="eastAsia" w:ascii="宋体" w:hAnsi="宋体" w:eastAsia="宋体" w:cs="宋体"/>
          <w:color w:val="auto"/>
          <w:spacing w:val="2"/>
          <w:highlight w:val="none"/>
        </w:rPr>
        <w:t>造</w:t>
      </w:r>
      <w:r>
        <w:rPr>
          <w:rFonts w:hint="eastAsia" w:ascii="宋体" w:hAnsi="宋体" w:eastAsia="宋体" w:cs="宋体"/>
          <w:color w:val="auto"/>
          <w:highlight w:val="none"/>
        </w:rPr>
        <w:t>成经</w:t>
      </w:r>
      <w:r>
        <w:rPr>
          <w:rFonts w:hint="eastAsia" w:ascii="宋体" w:hAnsi="宋体" w:eastAsia="宋体" w:cs="宋体"/>
          <w:color w:val="auto"/>
          <w:spacing w:val="2"/>
          <w:highlight w:val="none"/>
        </w:rPr>
        <w:t>济</w:t>
      </w:r>
      <w:r>
        <w:rPr>
          <w:rFonts w:hint="eastAsia" w:ascii="宋体" w:hAnsi="宋体" w:eastAsia="宋体" w:cs="宋体"/>
          <w:color w:val="auto"/>
          <w:highlight w:val="none"/>
        </w:rPr>
        <w:t>损</w:t>
      </w:r>
      <w:r>
        <w:rPr>
          <w:rFonts w:hint="eastAsia" w:ascii="宋体" w:hAnsi="宋体" w:eastAsia="宋体" w:cs="宋体"/>
          <w:color w:val="auto"/>
          <w:spacing w:val="2"/>
          <w:highlight w:val="none"/>
        </w:rPr>
        <w:t>失</w:t>
      </w:r>
      <w:r>
        <w:rPr>
          <w:rFonts w:hint="eastAsia" w:ascii="宋体" w:hAnsi="宋体" w:eastAsia="宋体" w:cs="宋体"/>
          <w:color w:val="auto"/>
          <w:highlight w:val="none"/>
        </w:rPr>
        <w:t>的，</w:t>
      </w:r>
      <w:r>
        <w:rPr>
          <w:rFonts w:hint="eastAsia" w:ascii="宋体" w:hAnsi="宋体" w:eastAsia="宋体" w:cs="宋体"/>
          <w:color w:val="auto"/>
          <w:spacing w:val="2"/>
          <w:highlight w:val="none"/>
        </w:rPr>
        <w:t>应</w:t>
      </w:r>
      <w:r>
        <w:rPr>
          <w:rFonts w:hint="eastAsia" w:ascii="宋体" w:hAnsi="宋体" w:eastAsia="宋体" w:cs="宋体"/>
          <w:color w:val="auto"/>
          <w:highlight w:val="none"/>
        </w:rPr>
        <w:t>予</w:t>
      </w:r>
      <w:r>
        <w:rPr>
          <w:rFonts w:hint="eastAsia" w:ascii="宋体" w:hAnsi="宋体" w:eastAsia="宋体" w:cs="宋体"/>
          <w:color w:val="auto"/>
          <w:spacing w:val="2"/>
          <w:highlight w:val="none"/>
        </w:rPr>
        <w:t>以</w:t>
      </w:r>
      <w:r>
        <w:rPr>
          <w:rFonts w:hint="eastAsia" w:ascii="宋体" w:hAnsi="宋体" w:eastAsia="宋体" w:cs="宋体"/>
          <w:color w:val="auto"/>
          <w:highlight w:val="none"/>
        </w:rPr>
        <w:t>赔偿</w:t>
      </w:r>
      <w:r>
        <w:rPr>
          <w:rFonts w:hint="eastAsia" w:ascii="宋体" w:hAnsi="宋体" w:eastAsia="宋体" w:cs="宋体"/>
          <w:color w:val="auto"/>
          <w:spacing w:val="2"/>
          <w:highlight w:val="none"/>
        </w:rPr>
        <w:t>；</w:t>
      </w:r>
      <w:r>
        <w:rPr>
          <w:rFonts w:hint="eastAsia" w:ascii="宋体" w:hAnsi="宋体" w:eastAsia="宋体" w:cs="宋体"/>
          <w:color w:val="auto"/>
          <w:highlight w:val="none"/>
        </w:rPr>
        <w:t>情节严重的</w:t>
      </w:r>
      <w:r>
        <w:rPr>
          <w:rFonts w:hint="eastAsia" w:ascii="宋体" w:hAnsi="宋体" w:eastAsia="宋体" w:cs="宋体"/>
          <w:color w:val="auto"/>
          <w:spacing w:val="2"/>
          <w:highlight w:val="none"/>
        </w:rPr>
        <w:t>，</w:t>
      </w:r>
      <w:r>
        <w:rPr>
          <w:rFonts w:hint="eastAsia" w:ascii="宋体" w:hAnsi="宋体" w:eastAsia="宋体" w:cs="宋体"/>
          <w:color w:val="auto"/>
          <w:highlight w:val="none"/>
        </w:rPr>
        <w:t>委</w:t>
      </w:r>
      <w:r>
        <w:rPr>
          <w:rFonts w:hint="eastAsia" w:ascii="宋体" w:hAnsi="宋体" w:eastAsia="宋体" w:cs="宋体"/>
          <w:color w:val="auto"/>
          <w:spacing w:val="2"/>
          <w:highlight w:val="none"/>
        </w:rPr>
        <w:t>托</w:t>
      </w:r>
      <w:r>
        <w:rPr>
          <w:rFonts w:hint="eastAsia" w:ascii="宋体" w:hAnsi="宋体" w:eastAsia="宋体" w:cs="宋体"/>
          <w:color w:val="auto"/>
          <w:highlight w:val="none"/>
        </w:rPr>
        <w:t>人建</w:t>
      </w:r>
      <w:r>
        <w:rPr>
          <w:rFonts w:hint="eastAsia" w:ascii="宋体" w:hAnsi="宋体" w:eastAsia="宋体" w:cs="宋体"/>
          <w:color w:val="auto"/>
          <w:spacing w:val="2"/>
          <w:highlight w:val="none"/>
        </w:rPr>
        <w:t>议</w:t>
      </w:r>
      <w:r>
        <w:rPr>
          <w:rFonts w:hint="eastAsia" w:ascii="宋体" w:hAnsi="宋体" w:eastAsia="宋体" w:cs="宋体"/>
          <w:color w:val="auto"/>
          <w:highlight w:val="none"/>
        </w:rPr>
        <w:t>交</w:t>
      </w:r>
      <w:r>
        <w:rPr>
          <w:rFonts w:hint="eastAsia" w:ascii="宋体" w:hAnsi="宋体" w:eastAsia="宋体" w:cs="宋体"/>
          <w:color w:val="auto"/>
          <w:spacing w:val="2"/>
          <w:highlight w:val="none"/>
        </w:rPr>
        <w:t>通</w:t>
      </w:r>
      <w:r>
        <w:rPr>
          <w:rFonts w:hint="eastAsia" w:ascii="宋体" w:hAnsi="宋体" w:eastAsia="宋体" w:cs="宋体"/>
          <w:color w:val="auto"/>
          <w:highlight w:val="none"/>
        </w:rPr>
        <w:t>运输</w:t>
      </w:r>
      <w:r>
        <w:rPr>
          <w:rFonts w:hint="eastAsia" w:ascii="宋体" w:hAnsi="宋体" w:eastAsia="宋体" w:cs="宋体"/>
          <w:color w:val="auto"/>
          <w:spacing w:val="2"/>
          <w:highlight w:val="none"/>
        </w:rPr>
        <w:t>主</w:t>
      </w:r>
      <w:r>
        <w:rPr>
          <w:rFonts w:hint="eastAsia" w:ascii="宋体" w:hAnsi="宋体" w:eastAsia="宋体" w:cs="宋体"/>
          <w:color w:val="auto"/>
          <w:highlight w:val="none"/>
        </w:rPr>
        <w:t>管</w:t>
      </w:r>
      <w:r>
        <w:rPr>
          <w:rFonts w:hint="eastAsia" w:ascii="宋体" w:hAnsi="宋体" w:eastAsia="宋体" w:cs="宋体"/>
          <w:color w:val="auto"/>
          <w:spacing w:val="2"/>
          <w:highlight w:val="none"/>
        </w:rPr>
        <w:t>部</w:t>
      </w:r>
      <w:r>
        <w:rPr>
          <w:rFonts w:hint="eastAsia" w:ascii="宋体" w:hAnsi="宋体" w:eastAsia="宋体" w:cs="宋体"/>
          <w:color w:val="auto"/>
          <w:spacing w:val="1"/>
          <w:highlight w:val="none"/>
        </w:rPr>
        <w:t>门</w:t>
      </w:r>
      <w:r>
        <w:rPr>
          <w:rFonts w:hint="eastAsia" w:ascii="宋体" w:hAnsi="宋体" w:eastAsia="宋体" w:cs="宋体"/>
          <w:color w:val="auto"/>
          <w:highlight w:val="none"/>
        </w:rPr>
        <w:t>给</w:t>
      </w:r>
      <w:r>
        <w:rPr>
          <w:rFonts w:hint="eastAsia" w:ascii="宋体" w:hAnsi="宋体" w:eastAsia="宋体" w:cs="宋体"/>
          <w:color w:val="auto"/>
          <w:spacing w:val="2"/>
          <w:highlight w:val="none"/>
        </w:rPr>
        <w:t>予</w:t>
      </w:r>
      <w:r>
        <w:rPr>
          <w:rFonts w:hint="eastAsia" w:ascii="宋体" w:hAnsi="宋体" w:eastAsia="宋体" w:cs="宋体"/>
          <w:color w:val="auto"/>
          <w:highlight w:val="none"/>
        </w:rPr>
        <w:t>监</w:t>
      </w:r>
      <w:r>
        <w:rPr>
          <w:rFonts w:hint="eastAsia" w:ascii="宋体" w:hAnsi="宋体" w:eastAsia="宋体" w:cs="宋体"/>
          <w:color w:val="auto"/>
          <w:spacing w:val="2"/>
          <w:highlight w:val="none"/>
        </w:rPr>
        <w:t>理</w:t>
      </w:r>
      <w:r>
        <w:rPr>
          <w:rFonts w:hint="eastAsia" w:ascii="宋体" w:hAnsi="宋体" w:eastAsia="宋体" w:cs="宋体"/>
          <w:color w:val="auto"/>
          <w:highlight w:val="none"/>
        </w:rPr>
        <w:t>人一</w:t>
      </w:r>
      <w:r>
        <w:rPr>
          <w:rFonts w:hint="eastAsia" w:ascii="宋体" w:hAnsi="宋体" w:eastAsia="宋体" w:cs="宋体"/>
          <w:color w:val="auto"/>
          <w:spacing w:val="2"/>
          <w:highlight w:val="none"/>
        </w:rPr>
        <w:t>至</w:t>
      </w:r>
      <w:r>
        <w:rPr>
          <w:rFonts w:hint="eastAsia" w:ascii="宋体" w:hAnsi="宋体" w:eastAsia="宋体" w:cs="宋体"/>
          <w:color w:val="auto"/>
          <w:highlight w:val="none"/>
        </w:rPr>
        <w:t>三</w:t>
      </w:r>
      <w:r>
        <w:rPr>
          <w:rFonts w:hint="eastAsia" w:ascii="宋体" w:hAnsi="宋体" w:eastAsia="宋体" w:cs="宋体"/>
          <w:color w:val="auto"/>
          <w:spacing w:val="2"/>
          <w:highlight w:val="none"/>
        </w:rPr>
        <w:t>年</w:t>
      </w:r>
      <w:r>
        <w:rPr>
          <w:rFonts w:hint="eastAsia" w:ascii="宋体" w:hAnsi="宋体" w:eastAsia="宋体" w:cs="宋体"/>
          <w:color w:val="auto"/>
          <w:highlight w:val="none"/>
        </w:rPr>
        <w:t>内不</w:t>
      </w:r>
      <w:r>
        <w:rPr>
          <w:rFonts w:hint="eastAsia" w:ascii="宋体" w:hAnsi="宋体" w:eastAsia="宋体" w:cs="宋体"/>
          <w:color w:val="auto"/>
          <w:spacing w:val="2"/>
          <w:highlight w:val="none"/>
        </w:rPr>
        <w:t>得</w:t>
      </w:r>
      <w:r>
        <w:rPr>
          <w:rFonts w:hint="eastAsia" w:ascii="宋体" w:hAnsi="宋体" w:eastAsia="宋体" w:cs="宋体"/>
          <w:color w:val="auto"/>
          <w:highlight w:val="none"/>
        </w:rPr>
        <w:t>进</w:t>
      </w:r>
      <w:r>
        <w:rPr>
          <w:rFonts w:hint="eastAsia" w:ascii="宋体" w:hAnsi="宋体" w:eastAsia="宋体" w:cs="宋体"/>
          <w:color w:val="auto"/>
          <w:spacing w:val="2"/>
          <w:highlight w:val="none"/>
        </w:rPr>
        <w:t>入</w:t>
      </w:r>
      <w:r>
        <w:rPr>
          <w:rFonts w:hint="eastAsia" w:ascii="宋体" w:hAnsi="宋体" w:eastAsia="宋体" w:cs="宋体"/>
          <w:color w:val="auto"/>
          <w:spacing w:val="1"/>
          <w:highlight w:val="none"/>
        </w:rPr>
        <w:t>其</w:t>
      </w:r>
      <w:r>
        <w:rPr>
          <w:rFonts w:hint="eastAsia" w:ascii="宋体" w:hAnsi="宋体" w:eastAsia="宋体" w:cs="宋体"/>
          <w:color w:val="auto"/>
          <w:highlight w:val="none"/>
        </w:rPr>
        <w:t>主</w:t>
      </w:r>
      <w:r>
        <w:rPr>
          <w:rFonts w:hint="eastAsia" w:ascii="宋体" w:hAnsi="宋体" w:eastAsia="宋体" w:cs="宋体"/>
          <w:color w:val="auto"/>
          <w:spacing w:val="2"/>
          <w:highlight w:val="none"/>
        </w:rPr>
        <w:t>管</w:t>
      </w:r>
      <w:r>
        <w:rPr>
          <w:rFonts w:hint="eastAsia" w:ascii="宋体" w:hAnsi="宋体" w:eastAsia="宋体" w:cs="宋体"/>
          <w:color w:val="auto"/>
          <w:highlight w:val="none"/>
        </w:rPr>
        <w:t>的公路建设市场的处罚。</w:t>
      </w:r>
    </w:p>
    <w:p w14:paraId="641730F3">
      <w:pPr>
        <w:pStyle w:val="3"/>
        <w:keepNext w:val="0"/>
        <w:keepLines w:val="0"/>
        <w:kinsoku w:val="0"/>
        <w:overflowPunct w:val="0"/>
        <w:bidi w:val="0"/>
        <w:spacing w:before="20" w:line="264" w:lineRule="auto"/>
        <w:ind w:left="144" w:right="225" w:firstLine="616"/>
        <w:jc w:val="both"/>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spacing w:val="2"/>
          <w:highlight w:val="none"/>
        </w:rPr>
        <w:t>双方约定：本合同由双方或双方上级单位的纪检监</w:t>
      </w:r>
      <w:r>
        <w:rPr>
          <w:rFonts w:hint="eastAsia" w:ascii="宋体" w:hAnsi="宋体" w:eastAsia="宋体" w:cs="宋体"/>
          <w:color w:val="auto"/>
          <w:spacing w:val="3"/>
          <w:highlight w:val="none"/>
        </w:rPr>
        <w:t>察</w:t>
      </w:r>
      <w:r>
        <w:rPr>
          <w:rFonts w:hint="eastAsia" w:ascii="宋体" w:hAnsi="宋体" w:eastAsia="宋体" w:cs="宋体"/>
          <w:color w:val="auto"/>
          <w:spacing w:val="2"/>
          <w:highlight w:val="none"/>
        </w:rPr>
        <w:t>部门负责监督执行。</w:t>
      </w:r>
      <w:r>
        <w:rPr>
          <w:rFonts w:hint="eastAsia" w:ascii="宋体" w:hAnsi="宋体" w:eastAsia="宋体" w:cs="宋体"/>
          <w:color w:val="auto"/>
          <w:highlight w:val="none"/>
        </w:rPr>
        <w:t>由委</w:t>
      </w:r>
      <w:r>
        <w:rPr>
          <w:rFonts w:hint="eastAsia" w:ascii="宋体" w:hAnsi="宋体" w:eastAsia="宋体" w:cs="宋体"/>
          <w:color w:val="auto"/>
          <w:spacing w:val="2"/>
          <w:highlight w:val="none"/>
        </w:rPr>
        <w:t>托</w:t>
      </w:r>
      <w:r>
        <w:rPr>
          <w:rFonts w:hint="eastAsia" w:ascii="宋体" w:hAnsi="宋体" w:eastAsia="宋体" w:cs="宋体"/>
          <w:color w:val="auto"/>
          <w:highlight w:val="none"/>
        </w:rPr>
        <w:t>人</w:t>
      </w:r>
      <w:r>
        <w:rPr>
          <w:rFonts w:hint="eastAsia" w:ascii="宋体" w:hAnsi="宋体" w:eastAsia="宋体" w:cs="宋体"/>
          <w:color w:val="auto"/>
          <w:spacing w:val="2"/>
          <w:highlight w:val="none"/>
        </w:rPr>
        <w:t>或</w:t>
      </w:r>
      <w:r>
        <w:rPr>
          <w:rFonts w:hint="eastAsia" w:ascii="宋体" w:hAnsi="宋体" w:eastAsia="宋体" w:cs="宋体"/>
          <w:color w:val="auto"/>
          <w:highlight w:val="none"/>
        </w:rPr>
        <w:t>委托</w:t>
      </w:r>
      <w:r>
        <w:rPr>
          <w:rFonts w:hint="eastAsia" w:ascii="宋体" w:hAnsi="宋体" w:eastAsia="宋体" w:cs="宋体"/>
          <w:color w:val="auto"/>
          <w:spacing w:val="2"/>
          <w:highlight w:val="none"/>
        </w:rPr>
        <w:t>人</w:t>
      </w:r>
      <w:r>
        <w:rPr>
          <w:rFonts w:hint="eastAsia" w:ascii="宋体" w:hAnsi="宋体" w:eastAsia="宋体" w:cs="宋体"/>
          <w:color w:val="auto"/>
          <w:highlight w:val="none"/>
        </w:rPr>
        <w:t>上</w:t>
      </w:r>
      <w:r>
        <w:rPr>
          <w:rFonts w:hint="eastAsia" w:ascii="宋体" w:hAnsi="宋体" w:eastAsia="宋体" w:cs="宋体"/>
          <w:color w:val="auto"/>
          <w:spacing w:val="2"/>
          <w:highlight w:val="none"/>
        </w:rPr>
        <w:t>级</w:t>
      </w:r>
      <w:r>
        <w:rPr>
          <w:rFonts w:hint="eastAsia" w:ascii="宋体" w:hAnsi="宋体" w:eastAsia="宋体" w:cs="宋体"/>
          <w:color w:val="auto"/>
          <w:highlight w:val="none"/>
        </w:rPr>
        <w:t>单位</w:t>
      </w:r>
      <w:r>
        <w:rPr>
          <w:rFonts w:hint="eastAsia" w:ascii="宋体" w:hAnsi="宋体" w:eastAsia="宋体" w:cs="宋体"/>
          <w:color w:val="auto"/>
          <w:spacing w:val="2"/>
          <w:highlight w:val="none"/>
        </w:rPr>
        <w:t>的</w:t>
      </w:r>
      <w:r>
        <w:rPr>
          <w:rFonts w:hint="eastAsia" w:ascii="宋体" w:hAnsi="宋体" w:eastAsia="宋体" w:cs="宋体"/>
          <w:color w:val="auto"/>
          <w:highlight w:val="none"/>
        </w:rPr>
        <w:t>纪</w:t>
      </w:r>
      <w:r>
        <w:rPr>
          <w:rFonts w:hint="eastAsia" w:ascii="宋体" w:hAnsi="宋体" w:eastAsia="宋体" w:cs="宋体"/>
          <w:color w:val="auto"/>
          <w:spacing w:val="2"/>
          <w:highlight w:val="none"/>
        </w:rPr>
        <w:t>检</w:t>
      </w:r>
      <w:r>
        <w:rPr>
          <w:rFonts w:hint="eastAsia" w:ascii="宋体" w:hAnsi="宋体" w:eastAsia="宋体" w:cs="宋体"/>
          <w:color w:val="auto"/>
          <w:highlight w:val="none"/>
        </w:rPr>
        <w:t>监</w:t>
      </w:r>
      <w:r>
        <w:rPr>
          <w:rFonts w:hint="eastAsia" w:ascii="宋体" w:hAnsi="宋体" w:eastAsia="宋体" w:cs="宋体"/>
          <w:color w:val="auto"/>
          <w:spacing w:val="1"/>
          <w:highlight w:val="none"/>
        </w:rPr>
        <w:t>察</w:t>
      </w:r>
      <w:r>
        <w:rPr>
          <w:rFonts w:hint="eastAsia" w:ascii="宋体" w:hAnsi="宋体" w:eastAsia="宋体" w:cs="宋体"/>
          <w:color w:val="auto"/>
          <w:spacing w:val="2"/>
          <w:highlight w:val="none"/>
        </w:rPr>
        <w:t>部</w:t>
      </w:r>
      <w:r>
        <w:rPr>
          <w:rFonts w:hint="eastAsia" w:ascii="宋体" w:hAnsi="宋体" w:eastAsia="宋体" w:cs="宋体"/>
          <w:color w:val="auto"/>
          <w:highlight w:val="none"/>
        </w:rPr>
        <w:t>门</w:t>
      </w:r>
      <w:r>
        <w:rPr>
          <w:rFonts w:hint="eastAsia" w:ascii="宋体" w:hAnsi="宋体" w:eastAsia="宋体" w:cs="宋体"/>
          <w:color w:val="auto"/>
          <w:spacing w:val="2"/>
          <w:highlight w:val="none"/>
        </w:rPr>
        <w:t>约</w:t>
      </w:r>
      <w:r>
        <w:rPr>
          <w:rFonts w:hint="eastAsia" w:ascii="宋体" w:hAnsi="宋体" w:eastAsia="宋体" w:cs="宋体"/>
          <w:color w:val="auto"/>
          <w:highlight w:val="none"/>
        </w:rPr>
        <w:t>请监</w:t>
      </w:r>
      <w:r>
        <w:rPr>
          <w:rFonts w:hint="eastAsia" w:ascii="宋体" w:hAnsi="宋体" w:eastAsia="宋体" w:cs="宋体"/>
          <w:color w:val="auto"/>
          <w:spacing w:val="2"/>
          <w:highlight w:val="none"/>
        </w:rPr>
        <w:t>理</w:t>
      </w:r>
      <w:r>
        <w:rPr>
          <w:rFonts w:hint="eastAsia" w:ascii="宋体" w:hAnsi="宋体" w:eastAsia="宋体" w:cs="宋体"/>
          <w:color w:val="auto"/>
          <w:highlight w:val="none"/>
        </w:rPr>
        <w:t>人</w:t>
      </w:r>
      <w:r>
        <w:rPr>
          <w:rFonts w:hint="eastAsia" w:ascii="宋体" w:hAnsi="宋体" w:eastAsia="宋体" w:cs="宋体"/>
          <w:color w:val="auto"/>
          <w:spacing w:val="2"/>
          <w:highlight w:val="none"/>
        </w:rPr>
        <w:t>或</w:t>
      </w:r>
      <w:r>
        <w:rPr>
          <w:rFonts w:hint="eastAsia" w:ascii="宋体" w:hAnsi="宋体" w:eastAsia="宋体" w:cs="宋体"/>
          <w:color w:val="auto"/>
          <w:highlight w:val="none"/>
        </w:rPr>
        <w:t>监理</w:t>
      </w:r>
      <w:r>
        <w:rPr>
          <w:rFonts w:hint="eastAsia" w:ascii="宋体" w:hAnsi="宋体" w:eastAsia="宋体" w:cs="宋体"/>
          <w:color w:val="auto"/>
          <w:spacing w:val="2"/>
          <w:highlight w:val="none"/>
        </w:rPr>
        <w:t>人</w:t>
      </w:r>
      <w:r>
        <w:rPr>
          <w:rFonts w:hint="eastAsia" w:ascii="宋体" w:hAnsi="宋体" w:eastAsia="宋体" w:cs="宋体"/>
          <w:color w:val="auto"/>
          <w:highlight w:val="none"/>
        </w:rPr>
        <w:t>上</w:t>
      </w:r>
      <w:r>
        <w:rPr>
          <w:rFonts w:hint="eastAsia" w:ascii="宋体" w:hAnsi="宋体" w:eastAsia="宋体" w:cs="宋体"/>
          <w:color w:val="auto"/>
          <w:spacing w:val="2"/>
          <w:highlight w:val="none"/>
        </w:rPr>
        <w:t>级</w:t>
      </w:r>
      <w:r>
        <w:rPr>
          <w:rFonts w:hint="eastAsia" w:ascii="宋体" w:hAnsi="宋体" w:eastAsia="宋体" w:cs="宋体"/>
          <w:color w:val="auto"/>
          <w:highlight w:val="none"/>
        </w:rPr>
        <w:t>单位</w:t>
      </w:r>
      <w:r>
        <w:rPr>
          <w:rFonts w:hint="eastAsia" w:ascii="宋体" w:hAnsi="宋体" w:eastAsia="宋体" w:cs="宋体"/>
          <w:color w:val="auto"/>
          <w:spacing w:val="2"/>
          <w:highlight w:val="none"/>
        </w:rPr>
        <w:t>纪</w:t>
      </w:r>
      <w:r>
        <w:rPr>
          <w:rFonts w:hint="eastAsia" w:ascii="宋体" w:hAnsi="宋体" w:eastAsia="宋体" w:cs="宋体"/>
          <w:color w:val="auto"/>
          <w:highlight w:val="none"/>
        </w:rPr>
        <w:t>检监察部</w:t>
      </w:r>
      <w:r>
        <w:rPr>
          <w:rFonts w:hint="eastAsia" w:ascii="宋体" w:hAnsi="宋体" w:eastAsia="宋体" w:cs="宋体"/>
          <w:color w:val="auto"/>
          <w:spacing w:val="-1"/>
          <w:highlight w:val="none"/>
        </w:rPr>
        <w:t>门</w:t>
      </w:r>
      <w:r>
        <w:rPr>
          <w:rFonts w:hint="eastAsia" w:ascii="宋体" w:hAnsi="宋体" w:eastAsia="宋体" w:cs="宋体"/>
          <w:color w:val="auto"/>
          <w:highlight w:val="none"/>
        </w:rPr>
        <w:t>对本合同执行情况进行检查，提出在本合同规定范围内的裁定意见。</w:t>
      </w:r>
    </w:p>
    <w:p w14:paraId="3508B795">
      <w:pPr>
        <w:pStyle w:val="3"/>
        <w:keepNext w:val="0"/>
        <w:keepLines w:val="0"/>
        <w:kinsoku w:val="0"/>
        <w:overflowPunct w:val="0"/>
        <w:bidi w:val="0"/>
        <w:spacing w:before="22"/>
        <w:ind w:left="761"/>
        <w:rPr>
          <w:rFonts w:hint="eastAsia" w:ascii="宋体" w:hAnsi="宋体" w:eastAsia="宋体" w:cs="宋体"/>
          <w:color w:val="auto"/>
          <w:highlight w:val="none"/>
        </w:rPr>
      </w:pPr>
      <w:r>
        <w:rPr>
          <w:rFonts w:hint="eastAsia" w:ascii="宋体" w:hAnsi="宋体" w:eastAsia="宋体" w:cs="宋体"/>
          <w:color w:val="auto"/>
          <w:highlight w:val="none"/>
        </w:rPr>
        <w:t>6.本合同有效期为委托人和监理人签署之日起至该工程项目竣工验收后止。</w:t>
      </w:r>
    </w:p>
    <w:p w14:paraId="3EFACBA7">
      <w:pPr>
        <w:pStyle w:val="3"/>
        <w:keepNext w:val="0"/>
        <w:keepLines w:val="0"/>
        <w:tabs>
          <w:tab w:val="left" w:pos="3372"/>
          <w:tab w:val="left" w:pos="5435"/>
        </w:tabs>
        <w:kinsoku w:val="0"/>
        <w:overflowPunct w:val="0"/>
        <w:bidi w:val="0"/>
        <w:spacing w:before="26" w:line="258" w:lineRule="auto"/>
        <w:ind w:left="144" w:right="225" w:firstLine="616"/>
        <w:jc w:val="both"/>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szCs w:val="24"/>
          <w:highlight w:val="none"/>
        </w:rPr>
        <w:t>本合同作为</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（项目名称）标段施工监理合同的附件，与工程施工监理合同具有同等的法律效力，经合同双方签署后立即生效。</w:t>
      </w:r>
    </w:p>
    <w:p w14:paraId="117BE519">
      <w:pPr>
        <w:pStyle w:val="3"/>
        <w:keepNext w:val="0"/>
        <w:keepLines w:val="0"/>
        <w:kinsoku w:val="0"/>
        <w:overflowPunct w:val="0"/>
        <w:bidi w:val="0"/>
        <w:spacing w:before="28" w:line="257" w:lineRule="auto"/>
        <w:ind w:left="144" w:right="224" w:firstLine="616"/>
        <w:jc w:val="both"/>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spacing w:val="2"/>
          <w:highlight w:val="none"/>
        </w:rPr>
        <w:t>本合同一式四份，</w:t>
      </w:r>
      <w:r>
        <w:rPr>
          <w:rFonts w:hint="eastAsia" w:ascii="宋体" w:hAnsi="宋体" w:eastAsia="宋体" w:cs="宋体"/>
          <w:color w:val="auto"/>
          <w:spacing w:val="3"/>
          <w:highlight w:val="none"/>
        </w:rPr>
        <w:t>由</w:t>
      </w:r>
      <w:r>
        <w:rPr>
          <w:rFonts w:hint="eastAsia" w:ascii="宋体" w:hAnsi="宋体" w:eastAsia="宋体" w:cs="宋体"/>
          <w:color w:val="auto"/>
          <w:spacing w:val="2"/>
          <w:highlight w:val="none"/>
        </w:rPr>
        <w:t>委托人和监理人各执一份，送交委托人</w:t>
      </w:r>
      <w:r>
        <w:rPr>
          <w:rFonts w:hint="eastAsia" w:ascii="宋体" w:hAnsi="宋体" w:eastAsia="宋体" w:cs="宋体"/>
          <w:color w:val="auto"/>
          <w:spacing w:val="3"/>
          <w:highlight w:val="none"/>
        </w:rPr>
        <w:t>和</w:t>
      </w:r>
      <w:r>
        <w:rPr>
          <w:rFonts w:hint="eastAsia" w:ascii="宋体" w:hAnsi="宋体" w:eastAsia="宋体" w:cs="宋体"/>
          <w:color w:val="auto"/>
          <w:spacing w:val="2"/>
          <w:highlight w:val="none"/>
        </w:rPr>
        <w:t>监理人的监</w:t>
      </w:r>
      <w:r>
        <w:rPr>
          <w:rFonts w:hint="eastAsia" w:ascii="宋体" w:hAnsi="宋体" w:eastAsia="宋体" w:cs="宋体"/>
          <w:color w:val="auto"/>
          <w:highlight w:val="none"/>
        </w:rPr>
        <w:t>督单位各一份。</w:t>
      </w:r>
    </w:p>
    <w:p w14:paraId="4E4D6A8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173A5A5">
      <w:pPr>
        <w:keepNext w:val="0"/>
        <w:keepLines w:val="0"/>
        <w:widowControl w:val="0"/>
        <w:kinsoku w:val="0"/>
        <w:overflowPunct w:val="0"/>
        <w:autoSpaceDE w:val="0"/>
        <w:autoSpaceDN w:val="0"/>
        <w:bidi w:val="0"/>
        <w:adjustRightInd w:val="0"/>
        <w:spacing w:before="15" w:line="240" w:lineRule="exact"/>
        <w:jc w:val="left"/>
        <w:rPr>
          <w:rFonts w:hint="eastAsia" w:ascii="宋体" w:hAnsi="宋体" w:eastAsia="宋体" w:cs="宋体"/>
          <w:color w:val="auto"/>
          <w:sz w:val="24"/>
          <w:highlight w:val="none"/>
        </w:rPr>
      </w:pPr>
    </w:p>
    <w:p w14:paraId="4AAC2271">
      <w:pPr>
        <w:pStyle w:val="3"/>
        <w:keepNext w:val="0"/>
        <w:keepLines w:val="0"/>
        <w:tabs>
          <w:tab w:val="left" w:pos="2888"/>
          <w:tab w:val="left" w:pos="5370"/>
          <w:tab w:val="left" w:pos="8235"/>
        </w:tabs>
        <w:kinsoku w:val="0"/>
        <w:overflowPunct w:val="0"/>
        <w:bidi w:val="0"/>
        <w:spacing w:line="297" w:lineRule="auto"/>
        <w:ind w:left="144" w:right="104"/>
        <w:jc w:val="both"/>
        <w:rPr>
          <w:rFonts w:hint="eastAsia" w:ascii="宋体" w:hAnsi="宋体" w:eastAsia="宋体" w:cs="宋体"/>
          <w:color w:val="auto"/>
          <w:highlight w:val="none"/>
        </w:rPr>
      </w:pPr>
      <w:r>
        <w:rPr>
          <w:rFonts w:hint="eastAsia" w:ascii="宋体" w:hAnsi="宋体" w:eastAsia="宋体" w:cs="宋体"/>
          <w:color w:val="auto"/>
          <w:highlight w:val="none"/>
        </w:rPr>
        <w:t>委托</w:t>
      </w:r>
      <w:r>
        <w:rPr>
          <w:rFonts w:hint="eastAsia" w:ascii="宋体" w:hAnsi="宋体" w:eastAsia="宋体" w:cs="宋体"/>
          <w:color w:val="auto"/>
          <w:spacing w:val="-1"/>
          <w:highlight w:val="none"/>
        </w:rPr>
        <w:t>人</w:t>
      </w:r>
      <w:r>
        <w:rPr>
          <w:rFonts w:hint="eastAsia" w:ascii="宋体" w:hAnsi="宋体" w:eastAsia="宋体" w:cs="宋体"/>
          <w:color w:val="auto"/>
          <w:spacing w:val="-17"/>
          <w:highlight w:val="none"/>
        </w:rPr>
        <w:t>：</w:t>
      </w:r>
      <w:r>
        <w:rPr>
          <w:rFonts w:hint="eastAsia" w:ascii="宋体" w:hAnsi="宋体" w:eastAsia="宋体" w:cs="宋体"/>
          <w:color w:val="auto"/>
          <w:highlight w:val="none"/>
        </w:rPr>
        <w:t>（盖单位章）监理人</w:t>
      </w:r>
      <w:r>
        <w:rPr>
          <w:rFonts w:hint="eastAsia" w:ascii="宋体" w:hAnsi="宋体" w:eastAsia="宋体" w:cs="宋体"/>
          <w:color w:val="auto"/>
          <w:spacing w:val="-17"/>
          <w:highlight w:val="none"/>
        </w:rPr>
        <w:t>：</w:t>
      </w:r>
      <w:r>
        <w:rPr>
          <w:rFonts w:hint="eastAsia" w:ascii="宋体" w:hAnsi="宋体" w:eastAsia="宋体" w:cs="宋体"/>
          <w:color w:val="auto"/>
          <w:highlight w:val="none"/>
        </w:rPr>
        <w:t>（盖单位章）</w:t>
      </w:r>
    </w:p>
    <w:p w14:paraId="2AACF8DE">
      <w:pPr>
        <w:pStyle w:val="3"/>
        <w:keepNext w:val="0"/>
        <w:keepLines w:val="0"/>
        <w:tabs>
          <w:tab w:val="left" w:pos="2888"/>
          <w:tab w:val="left" w:pos="4894"/>
          <w:tab w:val="left" w:pos="7518"/>
        </w:tabs>
        <w:kinsoku w:val="0"/>
        <w:overflowPunct w:val="0"/>
        <w:bidi w:val="0"/>
        <w:spacing w:line="297" w:lineRule="auto"/>
        <w:ind w:left="144" w:right="104"/>
        <w:jc w:val="center"/>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spacing w:val="-41"/>
          <w:highlight w:val="none"/>
        </w:rPr>
        <w:t>：</w:t>
      </w:r>
      <w:r>
        <w:rPr>
          <w:rFonts w:hint="eastAsia" w:ascii="宋体" w:hAnsi="宋体" w:eastAsia="宋体" w:cs="宋体"/>
          <w:color w:val="auto"/>
          <w:highlight w:val="none"/>
          <w:u w:val="single"/>
        </w:rPr>
        <w:t>（</w:t>
      </w:r>
      <w:r>
        <w:rPr>
          <w:rFonts w:hint="eastAsia" w:ascii="宋体" w:hAnsi="宋体" w:eastAsia="宋体" w:cs="宋体"/>
          <w:color w:val="auto"/>
          <w:highlight w:val="none"/>
        </w:rPr>
        <w:t>签字）法定代表人或其委托代理人</w:t>
      </w:r>
      <w:r>
        <w:rPr>
          <w:rFonts w:hint="eastAsia" w:ascii="宋体" w:hAnsi="宋体" w:eastAsia="宋体" w:cs="宋体"/>
          <w:color w:val="auto"/>
          <w:spacing w:val="-40"/>
          <w:highlight w:val="none"/>
        </w:rPr>
        <w:t>：</w:t>
      </w:r>
      <w:r>
        <w:rPr>
          <w:rFonts w:hint="eastAsia" w:ascii="宋体" w:hAnsi="宋体" w:eastAsia="宋体" w:cs="宋体"/>
          <w:color w:val="auto"/>
          <w:highlight w:val="none"/>
          <w:u w:val="single"/>
        </w:rPr>
        <w:t>（</w:t>
      </w:r>
      <w:r>
        <w:rPr>
          <w:rFonts w:hint="eastAsia" w:ascii="宋体" w:hAnsi="宋体" w:eastAsia="宋体" w:cs="宋体"/>
          <w:color w:val="auto"/>
          <w:highlight w:val="none"/>
        </w:rPr>
        <w:t>签字）</w:t>
      </w:r>
    </w:p>
    <w:p w14:paraId="027AEFDB">
      <w:pPr>
        <w:pStyle w:val="3"/>
        <w:keepNext w:val="0"/>
        <w:keepLines w:val="0"/>
        <w:tabs>
          <w:tab w:val="left" w:pos="1305"/>
          <w:tab w:val="left" w:pos="2386"/>
          <w:tab w:val="left" w:pos="3226"/>
          <w:tab w:val="left" w:pos="4666"/>
          <w:tab w:val="left" w:pos="5746"/>
          <w:tab w:val="left" w:pos="6826"/>
          <w:tab w:val="left" w:pos="8027"/>
        </w:tabs>
        <w:kinsoku w:val="0"/>
        <w:overflowPunct w:val="0"/>
        <w:bidi w:val="0"/>
        <w:spacing w:before="27" w:line="581" w:lineRule="auto"/>
        <w:ind w:left="144" w:right="102" w:firstLine="81"/>
        <w:jc w:val="center"/>
        <w:rPr>
          <w:rFonts w:hint="eastAsia" w:ascii="宋体" w:hAnsi="宋体" w:eastAsia="宋体" w:cs="宋体"/>
          <w:color w:val="auto"/>
          <w:highlight w:val="none"/>
        </w:rPr>
      </w:pP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r>
        <w:rPr>
          <w:rFonts w:hint="eastAsia" w:ascii="宋体" w:hAnsi="宋体" w:eastAsia="宋体" w:cs="宋体"/>
          <w:color w:val="auto"/>
          <w:highlight w:val="none"/>
        </w:rPr>
        <w:tab/>
      </w: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2D613561">
      <w:pPr>
        <w:pStyle w:val="3"/>
        <w:keepNext w:val="0"/>
        <w:keepLines w:val="0"/>
        <w:tabs>
          <w:tab w:val="left" w:pos="1305"/>
          <w:tab w:val="left" w:pos="2386"/>
          <w:tab w:val="left" w:pos="3226"/>
          <w:tab w:val="left" w:pos="4666"/>
          <w:tab w:val="left" w:pos="5746"/>
          <w:tab w:val="left" w:pos="6826"/>
          <w:tab w:val="left" w:pos="8027"/>
        </w:tabs>
        <w:kinsoku w:val="0"/>
        <w:overflowPunct w:val="0"/>
        <w:bidi w:val="0"/>
        <w:spacing w:before="27" w:line="581" w:lineRule="auto"/>
        <w:ind w:left="144" w:right="102" w:firstLine="81"/>
        <w:jc w:val="center"/>
        <w:rPr>
          <w:rFonts w:hint="eastAsia" w:ascii="宋体" w:hAnsi="宋体" w:eastAsia="宋体" w:cs="宋体"/>
          <w:color w:val="auto"/>
          <w:highlight w:val="none"/>
        </w:rPr>
      </w:pPr>
      <w:r>
        <w:rPr>
          <w:rFonts w:hint="eastAsia" w:ascii="宋体" w:hAnsi="宋体" w:eastAsia="宋体" w:cs="宋体"/>
          <w:color w:val="auto"/>
          <w:highlight w:val="none"/>
        </w:rPr>
        <w:t>委托</w:t>
      </w:r>
      <w:r>
        <w:rPr>
          <w:rFonts w:hint="eastAsia" w:ascii="宋体" w:hAnsi="宋体" w:eastAsia="宋体" w:cs="宋体"/>
          <w:color w:val="auto"/>
          <w:spacing w:val="-1"/>
          <w:highlight w:val="none"/>
        </w:rPr>
        <w:t>人</w:t>
      </w:r>
      <w:r>
        <w:rPr>
          <w:rFonts w:hint="eastAsia" w:ascii="宋体" w:hAnsi="宋体" w:eastAsia="宋体" w:cs="宋体"/>
          <w:color w:val="auto"/>
          <w:highlight w:val="none"/>
        </w:rPr>
        <w:t>监督单位</w:t>
      </w:r>
      <w:r>
        <w:rPr>
          <w:rFonts w:hint="eastAsia" w:ascii="宋体" w:hAnsi="宋体" w:eastAsia="宋体" w:cs="宋体"/>
          <w:color w:val="auto"/>
          <w:spacing w:val="-154"/>
          <w:highlight w:val="none"/>
        </w:rPr>
        <w:t>：</w:t>
      </w:r>
      <w:r>
        <w:rPr>
          <w:rFonts w:hint="eastAsia" w:ascii="宋体" w:hAnsi="宋体" w:eastAsia="宋体" w:cs="宋体"/>
          <w:color w:val="auto"/>
          <w:highlight w:val="none"/>
          <w:u w:val="single"/>
        </w:rPr>
        <w:t>（全称</w:t>
      </w:r>
      <w:r>
        <w:rPr>
          <w:rFonts w:hint="eastAsia" w:ascii="宋体" w:hAnsi="宋体" w:eastAsia="宋体" w:cs="宋体"/>
          <w:color w:val="auto"/>
          <w:spacing w:val="-154"/>
          <w:highlight w:val="none"/>
          <w:u w:val="single"/>
        </w:rPr>
        <w:t>）（</w:t>
      </w:r>
      <w:r>
        <w:rPr>
          <w:rFonts w:hint="eastAsia" w:ascii="宋体" w:hAnsi="宋体" w:eastAsia="宋体" w:cs="宋体"/>
          <w:color w:val="auto"/>
          <w:highlight w:val="none"/>
          <w:u w:val="single"/>
        </w:rPr>
        <w:t>盖单位章）</w:t>
      </w:r>
      <w:r>
        <w:rPr>
          <w:rFonts w:hint="eastAsia" w:ascii="宋体" w:hAnsi="宋体" w:eastAsia="宋体" w:cs="宋体"/>
          <w:color w:val="auto"/>
          <w:highlight w:val="none"/>
        </w:rPr>
        <w:tab/>
      </w:r>
      <w:r>
        <w:rPr>
          <w:rFonts w:hint="eastAsia" w:ascii="宋体" w:hAnsi="宋体" w:eastAsia="宋体" w:cs="宋体"/>
          <w:color w:val="auto"/>
          <w:highlight w:val="none"/>
        </w:rPr>
        <w:t>监理人监督单位</w:t>
      </w:r>
      <w:r>
        <w:rPr>
          <w:rFonts w:hint="eastAsia" w:ascii="宋体" w:hAnsi="宋体" w:eastAsia="宋体" w:cs="宋体"/>
          <w:color w:val="auto"/>
          <w:spacing w:val="-154"/>
          <w:highlight w:val="none"/>
        </w:rPr>
        <w:t>：</w:t>
      </w:r>
      <w:r>
        <w:rPr>
          <w:rFonts w:hint="eastAsia" w:ascii="宋体" w:hAnsi="宋体" w:eastAsia="宋体" w:cs="宋体"/>
          <w:color w:val="auto"/>
          <w:highlight w:val="none"/>
          <w:u w:val="single"/>
        </w:rPr>
        <w:t>（全称）（盖单位章）</w:t>
      </w:r>
    </w:p>
    <w:p w14:paraId="7198E479">
      <w:pPr>
        <w:pStyle w:val="3"/>
        <w:keepNext w:val="0"/>
        <w:keepLines w:val="0"/>
        <w:tabs>
          <w:tab w:val="left" w:pos="1305"/>
          <w:tab w:val="left" w:pos="2386"/>
          <w:tab w:val="left" w:pos="3226"/>
          <w:tab w:val="left" w:pos="4666"/>
          <w:tab w:val="left" w:pos="5746"/>
          <w:tab w:val="left" w:pos="6826"/>
          <w:tab w:val="left" w:pos="8027"/>
        </w:tabs>
        <w:kinsoku w:val="0"/>
        <w:overflowPunct w:val="0"/>
        <w:bidi w:val="0"/>
        <w:spacing w:before="27" w:line="581" w:lineRule="auto"/>
        <w:ind w:left="144" w:right="102" w:firstLine="81"/>
        <w:jc w:val="center"/>
        <w:rPr>
          <w:rFonts w:hint="eastAsia" w:ascii="宋体" w:hAnsi="宋体" w:eastAsia="宋体" w:cs="宋体"/>
          <w:color w:val="auto"/>
          <w:highlight w:val="none"/>
        </w:rPr>
        <w:sectPr>
          <w:footerReference r:id="rId15" w:type="default"/>
          <w:pgSz w:w="11907" w:h="16838"/>
          <w:pgMar w:top="1134" w:right="1134" w:bottom="1134" w:left="1134" w:header="882" w:footer="1078" w:gutter="0"/>
          <w:lnNumType w:countBy="0" w:distance="360"/>
          <w:cols w:space="720" w:num="1"/>
        </w:sectPr>
      </w:pPr>
    </w:p>
    <w:p w14:paraId="6303C78C">
      <w:pPr>
        <w:pStyle w:val="3"/>
        <w:keepNext w:val="0"/>
        <w:keepLines w:val="0"/>
        <w:kinsoku w:val="0"/>
        <w:overflowPunct w:val="0"/>
        <w:bidi w:val="0"/>
        <w:spacing w:line="347" w:lineRule="exact"/>
        <w:ind w:left="224"/>
        <w:rPr>
          <w:rFonts w:hint="eastAsia" w:ascii="宋体" w:hAnsi="宋体" w:eastAsia="宋体" w:cs="宋体"/>
          <w:b/>
          <w:bCs/>
          <w:color w:val="auto"/>
          <w:highlight w:val="none"/>
        </w:rPr>
      </w:pPr>
      <w:bookmarkStart w:id="608" w:name="bookmark123"/>
      <w:bookmarkEnd w:id="608"/>
      <w:bookmarkStart w:id="609" w:name="_Toc9855_WPSOffice_Level2"/>
      <w:r>
        <w:rPr>
          <w:rFonts w:hint="eastAsia" w:ascii="宋体" w:hAnsi="宋体" w:eastAsia="宋体" w:cs="宋体"/>
          <w:b/>
          <w:bCs/>
          <w:color w:val="auto"/>
          <w:highlight w:val="none"/>
        </w:rPr>
        <w:t>附</w:t>
      </w:r>
      <w:r>
        <w:rPr>
          <w:rFonts w:hint="eastAsia" w:ascii="宋体" w:hAnsi="宋体" w:eastAsia="宋体" w:cs="宋体"/>
          <w:b/>
          <w:bCs/>
          <w:color w:val="auto"/>
          <w:spacing w:val="-1"/>
          <w:highlight w:val="none"/>
        </w:rPr>
        <w:t>件</w:t>
      </w:r>
      <w:r>
        <w:rPr>
          <w:rFonts w:hint="eastAsia" w:ascii="宋体" w:hAnsi="宋体" w:eastAsia="宋体" w:cs="宋体"/>
          <w:b/>
          <w:bCs/>
          <w:color w:val="auto"/>
          <w:highlight w:val="none"/>
        </w:rPr>
        <w:t>三其他主要监理人员最低要求</w:t>
      </w:r>
      <w:bookmarkEnd w:id="609"/>
    </w:p>
    <w:p w14:paraId="62E13A76">
      <w:pPr>
        <w:keepNext w:val="0"/>
        <w:keepLines w:val="0"/>
        <w:bidi w:val="0"/>
        <w:spacing w:before="292" w:line="221" w:lineRule="auto"/>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标段：</w:t>
      </w:r>
    </w:p>
    <w:tbl>
      <w:tblPr>
        <w:tblStyle w:val="21"/>
        <w:tblpPr w:leftFromText="180" w:rightFromText="180" w:vertAnchor="text" w:horzAnchor="page" w:tblpX="1385" w:tblpY="323"/>
        <w:tblOverlap w:val="never"/>
        <w:tblW w:w="5094" w:type="pct"/>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77"/>
        <w:gridCol w:w="1931"/>
        <w:gridCol w:w="751"/>
        <w:gridCol w:w="6667"/>
      </w:tblGrid>
      <w:tr w14:paraId="74147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1225" w:type="pct"/>
            <w:gridSpan w:val="2"/>
            <w:noWrap w:val="0"/>
            <w:vAlign w:val="center"/>
          </w:tcPr>
          <w:p w14:paraId="34931BB6">
            <w:pPr>
              <w:keepNext w:val="0"/>
              <w:keepLines w:val="0"/>
              <w:kinsoku w:val="0"/>
              <w:autoSpaceDE w:val="0"/>
              <w:autoSpaceDN w:val="0"/>
              <w:bidi w:val="0"/>
              <w:adjustRightInd w:val="0"/>
              <w:snapToGrid w:val="0"/>
              <w:spacing w:before="78" w:line="360" w:lineRule="auto"/>
              <w:jc w:val="center"/>
              <w:textAlignment w:val="baseline"/>
              <w:rPr>
                <w:rFonts w:hint="eastAsia" w:ascii="宋体" w:hAnsi="宋体" w:eastAsia="宋体" w:cs="宋体"/>
                <w:snapToGrid w:val="0"/>
                <w:color w:val="auto"/>
                <w:kern w:val="0"/>
                <w:szCs w:val="21"/>
                <w:highlight w:val="none"/>
                <w:lang w:eastAsia="en-US"/>
              </w:rPr>
            </w:pPr>
            <w:r>
              <w:rPr>
                <w:rFonts w:hint="eastAsia" w:ascii="宋体" w:hAnsi="宋体" w:eastAsia="宋体" w:cs="宋体"/>
                <w:snapToGrid w:val="0"/>
                <w:color w:val="auto"/>
                <w:spacing w:val="-6"/>
                <w:kern w:val="0"/>
                <w:szCs w:val="21"/>
                <w:highlight w:val="none"/>
                <w:lang w:eastAsia="en-US"/>
              </w:rPr>
              <w:t>人员</w:t>
            </w:r>
          </w:p>
        </w:tc>
        <w:tc>
          <w:tcPr>
            <w:tcW w:w="382" w:type="pct"/>
            <w:noWrap w:val="0"/>
            <w:vAlign w:val="center"/>
          </w:tcPr>
          <w:p w14:paraId="375C9218">
            <w:pPr>
              <w:keepNext w:val="0"/>
              <w:keepLines w:val="0"/>
              <w:kinsoku w:val="0"/>
              <w:autoSpaceDE w:val="0"/>
              <w:autoSpaceDN w:val="0"/>
              <w:bidi w:val="0"/>
              <w:adjustRightInd w:val="0"/>
              <w:snapToGrid w:val="0"/>
              <w:spacing w:before="78" w:line="360" w:lineRule="auto"/>
              <w:jc w:val="center"/>
              <w:textAlignment w:val="baseline"/>
              <w:rPr>
                <w:rFonts w:hint="eastAsia" w:ascii="宋体" w:hAnsi="宋体" w:eastAsia="宋体" w:cs="宋体"/>
                <w:snapToGrid w:val="0"/>
                <w:color w:val="auto"/>
                <w:kern w:val="0"/>
                <w:szCs w:val="21"/>
                <w:highlight w:val="none"/>
                <w:lang w:eastAsia="en-US"/>
              </w:rPr>
            </w:pPr>
            <w:r>
              <w:rPr>
                <w:rFonts w:hint="eastAsia" w:ascii="宋体" w:hAnsi="宋体" w:eastAsia="宋体" w:cs="宋体"/>
                <w:snapToGrid w:val="0"/>
                <w:color w:val="auto"/>
                <w:spacing w:val="-6"/>
                <w:kern w:val="0"/>
                <w:szCs w:val="21"/>
                <w:highlight w:val="none"/>
                <w:lang w:eastAsia="en-US"/>
              </w:rPr>
              <w:t>数量</w:t>
            </w:r>
          </w:p>
        </w:tc>
        <w:tc>
          <w:tcPr>
            <w:tcW w:w="3391" w:type="pct"/>
            <w:noWrap w:val="0"/>
            <w:vAlign w:val="center"/>
          </w:tcPr>
          <w:p w14:paraId="44E23199">
            <w:pPr>
              <w:keepNext w:val="0"/>
              <w:keepLines w:val="0"/>
              <w:kinsoku w:val="0"/>
              <w:autoSpaceDE w:val="0"/>
              <w:autoSpaceDN w:val="0"/>
              <w:bidi w:val="0"/>
              <w:adjustRightInd w:val="0"/>
              <w:snapToGrid w:val="0"/>
              <w:spacing w:before="78" w:line="360" w:lineRule="auto"/>
              <w:jc w:val="center"/>
              <w:textAlignment w:val="baseline"/>
              <w:rPr>
                <w:rFonts w:hint="eastAsia" w:ascii="宋体" w:hAnsi="宋体" w:eastAsia="宋体" w:cs="宋体"/>
                <w:snapToGrid w:val="0"/>
                <w:color w:val="auto"/>
                <w:spacing w:val="-10"/>
                <w:kern w:val="0"/>
                <w:szCs w:val="21"/>
                <w:highlight w:val="none"/>
                <w:lang w:eastAsia="en-US"/>
              </w:rPr>
            </w:pPr>
            <w:r>
              <w:rPr>
                <w:rFonts w:hint="eastAsia" w:ascii="宋体" w:hAnsi="宋体" w:eastAsia="宋体" w:cs="宋体"/>
                <w:snapToGrid w:val="0"/>
                <w:color w:val="auto"/>
                <w:spacing w:val="-10"/>
                <w:kern w:val="0"/>
                <w:szCs w:val="21"/>
                <w:highlight w:val="none"/>
                <w:lang w:eastAsia="en-US"/>
              </w:rPr>
              <w:t>资格要求</w:t>
            </w:r>
          </w:p>
        </w:tc>
      </w:tr>
      <w:tr w14:paraId="1D36A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243" w:type="pct"/>
            <w:vMerge w:val="restart"/>
            <w:noWrap w:val="0"/>
            <w:vAlign w:val="center"/>
          </w:tcPr>
          <w:p w14:paraId="669B8181">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专业监理工程师</w:t>
            </w:r>
          </w:p>
        </w:tc>
        <w:tc>
          <w:tcPr>
            <w:tcW w:w="982" w:type="pct"/>
            <w:noWrap w:val="0"/>
            <w:vAlign w:val="center"/>
          </w:tcPr>
          <w:p w14:paraId="71460817">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路基工程</w:t>
            </w:r>
          </w:p>
        </w:tc>
        <w:tc>
          <w:tcPr>
            <w:tcW w:w="382" w:type="pct"/>
            <w:noWrap w:val="0"/>
            <w:vAlign w:val="center"/>
          </w:tcPr>
          <w:p w14:paraId="20E46744">
            <w:pPr>
              <w:keepNext w:val="0"/>
              <w:keepLines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bidi="ar"/>
              </w:rPr>
            </w:pPr>
            <w:r>
              <w:rPr>
                <w:rFonts w:hint="eastAsia" w:ascii="宋体" w:hAnsi="宋体" w:eastAsia="宋体" w:cs="宋体"/>
                <w:snapToGrid w:val="0"/>
                <w:color w:val="auto"/>
                <w:kern w:val="0"/>
                <w:szCs w:val="21"/>
                <w:highlight w:val="none"/>
                <w:lang w:val="en-US" w:eastAsia="zh-CN" w:bidi="ar"/>
              </w:rPr>
              <w:t>1</w:t>
            </w:r>
          </w:p>
        </w:tc>
        <w:tc>
          <w:tcPr>
            <w:tcW w:w="3391" w:type="pct"/>
            <w:noWrap w:val="0"/>
            <w:vAlign w:val="center"/>
          </w:tcPr>
          <w:p w14:paraId="14646263">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eastAsia="en-US" w:bidi="ar"/>
              </w:rPr>
            </w:pPr>
            <w:r>
              <w:rPr>
                <w:rFonts w:hint="eastAsia" w:ascii="宋体" w:hAnsi="宋体" w:eastAsia="宋体" w:cs="宋体"/>
                <w:snapToGrid w:val="0"/>
                <w:color w:val="auto"/>
                <w:kern w:val="0"/>
                <w:szCs w:val="21"/>
                <w:highlight w:val="none"/>
                <w:lang w:val="en-US" w:eastAsia="zh-CN" w:bidi="ar"/>
              </w:rPr>
              <w:t>具有交通运输部用印的交通运输工程专业监理工程师职业资格证书（或电子证书）；或具有交通运输部核发的公路工程道桥专业监理工程师资格证书，具有路桥相关专业中级及以上技术职称，从事公路路基工程监理工作5年以上。</w:t>
            </w:r>
          </w:p>
        </w:tc>
      </w:tr>
      <w:tr w14:paraId="3F281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243" w:type="pct"/>
            <w:vMerge w:val="continue"/>
            <w:noWrap w:val="0"/>
            <w:vAlign w:val="center"/>
          </w:tcPr>
          <w:p w14:paraId="2F6A2DEE">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p>
        </w:tc>
        <w:tc>
          <w:tcPr>
            <w:tcW w:w="982" w:type="pct"/>
            <w:noWrap w:val="0"/>
            <w:vAlign w:val="center"/>
          </w:tcPr>
          <w:p w14:paraId="5FF44049">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试验检测</w:t>
            </w:r>
          </w:p>
        </w:tc>
        <w:tc>
          <w:tcPr>
            <w:tcW w:w="382" w:type="pct"/>
            <w:noWrap w:val="0"/>
            <w:vAlign w:val="center"/>
          </w:tcPr>
          <w:p w14:paraId="6D414876">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Cs w:val="21"/>
                <w:highlight w:val="none"/>
              </w:rPr>
              <w:t>1</w:t>
            </w:r>
          </w:p>
        </w:tc>
        <w:tc>
          <w:tcPr>
            <w:tcW w:w="3391" w:type="pct"/>
            <w:noWrap w:val="0"/>
            <w:vAlign w:val="center"/>
          </w:tcPr>
          <w:p w14:paraId="11C6F7CB">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Cs w:val="21"/>
                <w:highlight w:val="none"/>
                <w:lang w:bidi="ar"/>
              </w:rPr>
              <w:t>具有行政主管部门核发的公路水运试验检测师资格证书或试验检测工程师证书，具有路桥相关专业中级及以上技术职称，从事试验检测工作5年以上。</w:t>
            </w:r>
          </w:p>
        </w:tc>
      </w:tr>
      <w:tr w14:paraId="7C85A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243" w:type="pct"/>
            <w:vMerge w:val="continue"/>
            <w:noWrap w:val="0"/>
            <w:vAlign w:val="center"/>
          </w:tcPr>
          <w:p w14:paraId="759FAF40">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p>
        </w:tc>
        <w:tc>
          <w:tcPr>
            <w:tcW w:w="982" w:type="pct"/>
            <w:noWrap w:val="0"/>
            <w:vAlign w:val="center"/>
          </w:tcPr>
          <w:p w14:paraId="797C3979">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合同管理</w:t>
            </w:r>
          </w:p>
          <w:p w14:paraId="0F59DEEE">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p>
        </w:tc>
        <w:tc>
          <w:tcPr>
            <w:tcW w:w="382" w:type="pct"/>
            <w:noWrap w:val="0"/>
            <w:vAlign w:val="center"/>
          </w:tcPr>
          <w:p w14:paraId="12F4ACA9">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1</w:t>
            </w:r>
          </w:p>
        </w:tc>
        <w:tc>
          <w:tcPr>
            <w:tcW w:w="3391" w:type="pct"/>
            <w:noWrap w:val="0"/>
            <w:vAlign w:val="center"/>
          </w:tcPr>
          <w:p w14:paraId="4D92DE78">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bidi="ar"/>
              </w:rPr>
            </w:pPr>
            <w:r>
              <w:rPr>
                <w:rFonts w:hint="eastAsia" w:ascii="宋体" w:hAnsi="宋体" w:eastAsia="宋体" w:cs="宋体"/>
                <w:snapToGrid w:val="0"/>
                <w:color w:val="auto"/>
                <w:kern w:val="0"/>
                <w:szCs w:val="21"/>
                <w:highlight w:val="none"/>
                <w:lang w:bidi="ar"/>
              </w:rPr>
              <w:t>具有住房与城乡建设部颁发的注册造价工程师证书或一级造价工程师注册证（土木建筑工程专业），或交通运输部（原交通部）颁发的甲级造价人员证书或一级造价工程师注册证（交通运输工程专业），具有中级及以上技术职称，从事监理造价工作5年以上。</w:t>
            </w:r>
          </w:p>
        </w:tc>
      </w:tr>
      <w:tr w14:paraId="4E577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243" w:type="pct"/>
            <w:vMerge w:val="continue"/>
            <w:noWrap w:val="0"/>
            <w:vAlign w:val="center"/>
          </w:tcPr>
          <w:p w14:paraId="7C2A008E">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eastAsia="en-US"/>
              </w:rPr>
            </w:pPr>
          </w:p>
        </w:tc>
        <w:tc>
          <w:tcPr>
            <w:tcW w:w="982" w:type="pct"/>
            <w:noWrap w:val="0"/>
            <w:vAlign w:val="center"/>
          </w:tcPr>
          <w:p w14:paraId="27D7FC9E">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交通安全设施</w:t>
            </w:r>
          </w:p>
          <w:p w14:paraId="67E8726F">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p>
        </w:tc>
        <w:tc>
          <w:tcPr>
            <w:tcW w:w="382" w:type="pct"/>
            <w:noWrap w:val="0"/>
            <w:vAlign w:val="center"/>
          </w:tcPr>
          <w:p w14:paraId="5303C94B">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1</w:t>
            </w:r>
          </w:p>
        </w:tc>
        <w:tc>
          <w:tcPr>
            <w:tcW w:w="3391" w:type="pct"/>
            <w:noWrap w:val="0"/>
            <w:vAlign w:val="center"/>
          </w:tcPr>
          <w:p w14:paraId="55E13F3B">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bidi="ar"/>
              </w:rPr>
            </w:pPr>
            <w:r>
              <w:rPr>
                <w:rFonts w:hint="eastAsia" w:ascii="宋体" w:hAnsi="宋体" w:eastAsia="宋体" w:cs="宋体"/>
                <w:snapToGrid w:val="0"/>
                <w:color w:val="auto"/>
                <w:kern w:val="0"/>
                <w:szCs w:val="21"/>
                <w:highlight w:val="none"/>
                <w:lang w:val="en-US" w:eastAsia="zh-CN" w:bidi="ar"/>
              </w:rPr>
              <w:t>具有交通运输部用印的交通运输工程专业监理工程师职业资格证书（或电子证书），具有交通运输部核发的专业监理工程师资格证书，具有公路相关专业中级及以上技术职称，从事交通安全设施监理工作5年以上。</w:t>
            </w:r>
          </w:p>
          <w:p w14:paraId="47E2C57A">
            <w:pPr>
              <w:keepNext w:val="0"/>
              <w:keepLines w:val="0"/>
              <w:kinsoku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eastAsia="en-US"/>
              </w:rPr>
            </w:pPr>
          </w:p>
        </w:tc>
      </w:tr>
      <w:tr w14:paraId="176A4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1225" w:type="pct"/>
            <w:gridSpan w:val="2"/>
            <w:noWrap w:val="0"/>
            <w:vAlign w:val="center"/>
          </w:tcPr>
          <w:p w14:paraId="383F99C7">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监理员</w:t>
            </w:r>
          </w:p>
        </w:tc>
        <w:tc>
          <w:tcPr>
            <w:tcW w:w="382" w:type="pct"/>
            <w:noWrap w:val="0"/>
            <w:vAlign w:val="center"/>
          </w:tcPr>
          <w:p w14:paraId="1478F806">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w:t>
            </w:r>
          </w:p>
        </w:tc>
        <w:tc>
          <w:tcPr>
            <w:tcW w:w="3391" w:type="pct"/>
            <w:noWrap w:val="0"/>
            <w:vAlign w:val="center"/>
          </w:tcPr>
          <w:p w14:paraId="368955DD">
            <w:pPr>
              <w:keepNext w:val="0"/>
              <w:keepLines w:val="0"/>
              <w:kinsoku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eastAsia="en-US"/>
              </w:rPr>
            </w:pPr>
            <w:r>
              <w:rPr>
                <w:rFonts w:hint="eastAsia" w:ascii="宋体" w:hAnsi="宋体" w:eastAsia="宋体" w:cs="宋体"/>
                <w:snapToGrid w:val="0"/>
                <w:color w:val="auto"/>
                <w:kern w:val="0"/>
                <w:szCs w:val="21"/>
                <w:highlight w:val="none"/>
                <w:lang w:bidi="ar"/>
              </w:rPr>
              <w:t>具有监理人员培训证书，</w:t>
            </w:r>
            <w:r>
              <w:rPr>
                <w:rFonts w:hint="eastAsia" w:ascii="宋体" w:hAnsi="宋体" w:eastAsia="宋体" w:cs="宋体"/>
                <w:snapToGrid w:val="0"/>
                <w:color w:val="auto"/>
                <w:kern w:val="0"/>
                <w:szCs w:val="21"/>
                <w:highlight w:val="none"/>
                <w:lang w:val="en-US" w:eastAsia="zh-CN" w:bidi="ar"/>
              </w:rPr>
              <w:t>公路</w:t>
            </w:r>
            <w:r>
              <w:rPr>
                <w:rFonts w:hint="eastAsia" w:ascii="宋体" w:hAnsi="宋体" w:eastAsia="宋体" w:cs="宋体"/>
                <w:snapToGrid w:val="0"/>
                <w:color w:val="auto"/>
                <w:kern w:val="0"/>
                <w:szCs w:val="21"/>
                <w:highlight w:val="none"/>
                <w:lang w:bidi="ar"/>
              </w:rPr>
              <w:t>相关专业初级及以上技术职称，从事监理工作2年以上。</w:t>
            </w:r>
          </w:p>
        </w:tc>
      </w:tr>
    </w:tbl>
    <w:p w14:paraId="7EB5F04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F90905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8472BFB">
      <w:pPr>
        <w:pStyle w:val="3"/>
        <w:keepNext w:val="0"/>
        <w:keepLines w:val="0"/>
        <w:kinsoku w:val="0"/>
        <w:overflowPunct w:val="0"/>
        <w:bidi w:val="0"/>
        <w:spacing w:line="347" w:lineRule="exact"/>
        <w:ind w:left="144"/>
        <w:rPr>
          <w:rFonts w:hint="eastAsia" w:ascii="宋体" w:hAnsi="宋体" w:eastAsia="宋体" w:cs="宋体"/>
          <w:color w:val="auto"/>
          <w:sz w:val="12"/>
          <w:highlight w:val="none"/>
        </w:rPr>
      </w:pPr>
      <w:bookmarkStart w:id="610" w:name="bookmark124"/>
      <w:bookmarkEnd w:id="610"/>
      <w:bookmarkStart w:id="611" w:name="_Toc16670_WPSOffice_Level2"/>
      <w:r>
        <w:rPr>
          <w:rFonts w:hint="eastAsia" w:ascii="宋体" w:hAnsi="宋体" w:eastAsia="宋体" w:cs="宋体"/>
          <w:b/>
          <w:bCs/>
          <w:color w:val="auto"/>
          <w:highlight w:val="none"/>
        </w:rPr>
        <w:br w:type="page"/>
      </w:r>
      <w:r>
        <w:rPr>
          <w:rFonts w:hint="eastAsia" w:ascii="宋体" w:hAnsi="宋体" w:eastAsia="宋体" w:cs="宋体"/>
          <w:b/>
          <w:bCs/>
          <w:color w:val="auto"/>
          <w:highlight w:val="none"/>
        </w:rPr>
        <w:t>附</w:t>
      </w:r>
      <w:r>
        <w:rPr>
          <w:rFonts w:hint="eastAsia" w:ascii="宋体" w:hAnsi="宋体" w:eastAsia="宋体" w:cs="宋体"/>
          <w:b/>
          <w:bCs/>
          <w:color w:val="auto"/>
          <w:spacing w:val="-1"/>
          <w:highlight w:val="none"/>
        </w:rPr>
        <w:t>件</w:t>
      </w:r>
      <w:r>
        <w:rPr>
          <w:rFonts w:hint="eastAsia" w:ascii="宋体" w:hAnsi="宋体" w:eastAsia="宋体" w:cs="宋体"/>
          <w:b/>
          <w:bCs/>
          <w:color w:val="auto"/>
          <w:highlight w:val="none"/>
        </w:rPr>
        <w:t>四主要试验检测设备最低要求</w:t>
      </w:r>
      <w:bookmarkEnd w:id="611"/>
    </w:p>
    <w:tbl>
      <w:tblPr>
        <w:tblStyle w:val="21"/>
        <w:tblW w:w="9303" w:type="dxa"/>
        <w:jc w:val="right"/>
        <w:tblLayout w:type="fixed"/>
        <w:tblCellMar>
          <w:top w:w="0" w:type="dxa"/>
          <w:left w:w="10" w:type="dxa"/>
          <w:bottom w:w="0" w:type="dxa"/>
          <w:right w:w="10" w:type="dxa"/>
        </w:tblCellMar>
      </w:tblPr>
      <w:tblGrid>
        <w:gridCol w:w="773"/>
        <w:gridCol w:w="1306"/>
        <w:gridCol w:w="2501"/>
        <w:gridCol w:w="2621"/>
        <w:gridCol w:w="2102"/>
      </w:tblGrid>
      <w:tr w14:paraId="5E0D3AB6">
        <w:tblPrEx>
          <w:tblCellMar>
            <w:top w:w="0" w:type="dxa"/>
            <w:left w:w="10" w:type="dxa"/>
            <w:bottom w:w="0" w:type="dxa"/>
            <w:right w:w="10" w:type="dxa"/>
          </w:tblCellMar>
        </w:tblPrEx>
        <w:trPr>
          <w:trHeight w:val="750" w:hRule="exact"/>
          <w:jc w:val="right"/>
        </w:trPr>
        <w:tc>
          <w:tcPr>
            <w:tcW w:w="773" w:type="dxa"/>
            <w:tcBorders>
              <w:top w:val="single" w:color="auto" w:sz="4" w:space="0"/>
              <w:left w:val="single" w:color="auto" w:sz="4" w:space="0"/>
            </w:tcBorders>
            <w:noWrap w:val="0"/>
            <w:vAlign w:val="center"/>
          </w:tcPr>
          <w:p w14:paraId="60EE4B0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306" w:type="dxa"/>
            <w:tcBorders>
              <w:top w:val="single" w:color="auto" w:sz="4" w:space="0"/>
              <w:left w:val="single" w:color="auto" w:sz="4" w:space="0"/>
            </w:tcBorders>
            <w:noWrap w:val="0"/>
            <w:vAlign w:val="center"/>
          </w:tcPr>
          <w:p w14:paraId="3C2EF33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试验、检测</w:t>
            </w:r>
          </w:p>
          <w:p w14:paraId="7E5784C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w:t>
            </w:r>
          </w:p>
        </w:tc>
        <w:tc>
          <w:tcPr>
            <w:tcW w:w="2501" w:type="dxa"/>
            <w:tcBorders>
              <w:top w:val="single" w:color="auto" w:sz="4" w:space="0"/>
              <w:left w:val="single" w:color="auto" w:sz="4" w:space="0"/>
            </w:tcBorders>
            <w:noWrap w:val="0"/>
            <w:vAlign w:val="center"/>
          </w:tcPr>
          <w:p w14:paraId="38A50BF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设备名称</w:t>
            </w:r>
          </w:p>
        </w:tc>
        <w:tc>
          <w:tcPr>
            <w:tcW w:w="2621" w:type="dxa"/>
            <w:tcBorders>
              <w:top w:val="single" w:color="auto" w:sz="4" w:space="0"/>
              <w:left w:val="single" w:color="auto" w:sz="4" w:space="0"/>
            </w:tcBorders>
            <w:noWrap w:val="0"/>
            <w:vAlign w:val="center"/>
          </w:tcPr>
          <w:p w14:paraId="665C4D5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规格、功率及容量</w:t>
            </w:r>
          </w:p>
        </w:tc>
        <w:tc>
          <w:tcPr>
            <w:tcW w:w="2102" w:type="dxa"/>
            <w:tcBorders>
              <w:top w:val="single" w:color="auto" w:sz="4" w:space="0"/>
              <w:left w:val="single" w:color="auto" w:sz="4" w:space="0"/>
              <w:right w:val="single" w:color="auto" w:sz="4" w:space="0"/>
            </w:tcBorders>
            <w:noWrap w:val="0"/>
            <w:vAlign w:val="center"/>
          </w:tcPr>
          <w:p w14:paraId="442C887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最低数量要求（台、套）</w:t>
            </w:r>
          </w:p>
        </w:tc>
      </w:tr>
      <w:tr w14:paraId="50027834">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4EADA35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06" w:type="dxa"/>
            <w:vMerge w:val="restart"/>
            <w:tcBorders>
              <w:top w:val="single" w:color="auto" w:sz="4" w:space="0"/>
              <w:left w:val="single" w:color="auto" w:sz="4" w:space="0"/>
            </w:tcBorders>
            <w:noWrap w:val="0"/>
            <w:vAlign w:val="center"/>
          </w:tcPr>
          <w:p w14:paraId="53681A7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土工及复合材料试验</w:t>
            </w:r>
          </w:p>
        </w:tc>
        <w:tc>
          <w:tcPr>
            <w:tcW w:w="2501" w:type="dxa"/>
            <w:tcBorders>
              <w:top w:val="single" w:color="auto" w:sz="4" w:space="0"/>
              <w:left w:val="single" w:color="auto" w:sz="4" w:space="0"/>
            </w:tcBorders>
            <w:noWrap w:val="0"/>
            <w:vAlign w:val="center"/>
          </w:tcPr>
          <w:p w14:paraId="1904672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烘箱（中型）</w:t>
            </w:r>
          </w:p>
        </w:tc>
        <w:tc>
          <w:tcPr>
            <w:tcW w:w="2621" w:type="dxa"/>
            <w:tcBorders>
              <w:top w:val="single" w:color="auto" w:sz="4" w:space="0"/>
              <w:left w:val="single" w:color="auto" w:sz="4" w:space="0"/>
            </w:tcBorders>
            <w:noWrap w:val="0"/>
            <w:vAlign w:val="center"/>
          </w:tcPr>
          <w:p w14:paraId="434F4F8F">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5FD4A85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7D11173">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35F9B2F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306" w:type="dxa"/>
            <w:vMerge w:val="continue"/>
            <w:tcBorders>
              <w:left w:val="single" w:color="auto" w:sz="4" w:space="0"/>
            </w:tcBorders>
            <w:noWrap w:val="0"/>
            <w:vAlign w:val="center"/>
          </w:tcPr>
          <w:p w14:paraId="50EC7CD2">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65C899A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重型击实仪</w:t>
            </w:r>
          </w:p>
        </w:tc>
        <w:tc>
          <w:tcPr>
            <w:tcW w:w="2621" w:type="dxa"/>
            <w:tcBorders>
              <w:top w:val="single" w:color="auto" w:sz="4" w:space="0"/>
              <w:left w:val="single" w:color="auto" w:sz="4" w:space="0"/>
            </w:tcBorders>
            <w:noWrap w:val="0"/>
            <w:vAlign w:val="center"/>
          </w:tcPr>
          <w:p w14:paraId="423031A7">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7E2ECE0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3A1CC94">
        <w:tblPrEx>
          <w:tblCellMar>
            <w:top w:w="0" w:type="dxa"/>
            <w:left w:w="10" w:type="dxa"/>
            <w:bottom w:w="0" w:type="dxa"/>
            <w:right w:w="10" w:type="dxa"/>
          </w:tblCellMar>
        </w:tblPrEx>
        <w:trPr>
          <w:trHeight w:val="315" w:hRule="exact"/>
          <w:jc w:val="right"/>
        </w:trPr>
        <w:tc>
          <w:tcPr>
            <w:tcW w:w="773" w:type="dxa"/>
            <w:tcBorders>
              <w:top w:val="single" w:color="auto" w:sz="4" w:space="0"/>
              <w:left w:val="single" w:color="auto" w:sz="4" w:space="0"/>
            </w:tcBorders>
            <w:noWrap w:val="0"/>
            <w:vAlign w:val="center"/>
          </w:tcPr>
          <w:p w14:paraId="2E4F31BC">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306" w:type="dxa"/>
            <w:vMerge w:val="continue"/>
            <w:tcBorders>
              <w:left w:val="single" w:color="auto" w:sz="4" w:space="0"/>
            </w:tcBorders>
            <w:noWrap w:val="0"/>
            <w:vAlign w:val="center"/>
          </w:tcPr>
          <w:p w14:paraId="78F7BD9C">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4229640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膨胀量测定装置</w:t>
            </w:r>
          </w:p>
        </w:tc>
        <w:tc>
          <w:tcPr>
            <w:tcW w:w="2621" w:type="dxa"/>
            <w:tcBorders>
              <w:top w:val="single" w:color="auto" w:sz="4" w:space="0"/>
              <w:left w:val="single" w:color="auto" w:sz="4" w:space="0"/>
            </w:tcBorders>
            <w:noWrap w:val="0"/>
            <w:vAlign w:val="center"/>
          </w:tcPr>
          <w:p w14:paraId="6F433059">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3155E2B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7A2F53F">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629167EA">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306" w:type="dxa"/>
            <w:vMerge w:val="continue"/>
            <w:tcBorders>
              <w:left w:val="single" w:color="auto" w:sz="4" w:space="0"/>
            </w:tcBorders>
            <w:noWrap w:val="0"/>
            <w:vAlign w:val="center"/>
          </w:tcPr>
          <w:p w14:paraId="61AD434A">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157AC3E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CBR试验仪</w:t>
            </w:r>
          </w:p>
        </w:tc>
        <w:tc>
          <w:tcPr>
            <w:tcW w:w="2621" w:type="dxa"/>
            <w:tcBorders>
              <w:top w:val="single" w:color="auto" w:sz="4" w:space="0"/>
              <w:left w:val="single" w:color="auto" w:sz="4" w:space="0"/>
            </w:tcBorders>
            <w:noWrap w:val="0"/>
            <w:vAlign w:val="center"/>
          </w:tcPr>
          <w:p w14:paraId="7514D32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7.5kN 30kN</w:t>
            </w:r>
          </w:p>
        </w:tc>
        <w:tc>
          <w:tcPr>
            <w:tcW w:w="2102" w:type="dxa"/>
            <w:tcBorders>
              <w:top w:val="single" w:color="auto" w:sz="4" w:space="0"/>
              <w:left w:val="single" w:color="auto" w:sz="4" w:space="0"/>
              <w:right w:val="single" w:color="auto" w:sz="4" w:space="0"/>
            </w:tcBorders>
            <w:noWrap w:val="0"/>
            <w:vAlign w:val="center"/>
          </w:tcPr>
          <w:p w14:paraId="0CF5A69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0CD8F57">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06116C0D">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1306" w:type="dxa"/>
            <w:vMerge w:val="continue"/>
            <w:tcBorders>
              <w:left w:val="single" w:color="auto" w:sz="4" w:space="0"/>
            </w:tcBorders>
            <w:noWrap w:val="0"/>
            <w:vAlign w:val="center"/>
          </w:tcPr>
          <w:p w14:paraId="4F517CB9">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5F6FBBD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电子天平</w:t>
            </w:r>
          </w:p>
        </w:tc>
        <w:tc>
          <w:tcPr>
            <w:tcW w:w="2621" w:type="dxa"/>
            <w:tcBorders>
              <w:top w:val="single" w:color="auto" w:sz="4" w:space="0"/>
              <w:left w:val="single" w:color="auto" w:sz="4" w:space="0"/>
            </w:tcBorders>
            <w:noWrap w:val="0"/>
            <w:vAlign w:val="center"/>
          </w:tcPr>
          <w:p w14:paraId="7C75C2C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30kg 1g 3kg 0.1g 200g</w:t>
            </w:r>
          </w:p>
        </w:tc>
        <w:tc>
          <w:tcPr>
            <w:tcW w:w="2102" w:type="dxa"/>
            <w:tcBorders>
              <w:top w:val="single" w:color="auto" w:sz="4" w:space="0"/>
              <w:left w:val="single" w:color="auto" w:sz="4" w:space="0"/>
              <w:right w:val="single" w:color="auto" w:sz="4" w:space="0"/>
            </w:tcBorders>
            <w:noWrap w:val="0"/>
            <w:vAlign w:val="center"/>
          </w:tcPr>
          <w:p w14:paraId="0D46EC6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4DAE722">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bottom w:val="single" w:color="auto" w:sz="4" w:space="0"/>
            </w:tcBorders>
            <w:noWrap w:val="0"/>
            <w:vAlign w:val="center"/>
          </w:tcPr>
          <w:p w14:paraId="2241BF7B">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1306" w:type="dxa"/>
            <w:vMerge w:val="continue"/>
            <w:tcBorders>
              <w:left w:val="single" w:color="auto" w:sz="4" w:space="0"/>
              <w:bottom w:val="single" w:color="auto" w:sz="4" w:space="0"/>
            </w:tcBorders>
            <w:noWrap w:val="0"/>
            <w:vAlign w:val="center"/>
          </w:tcPr>
          <w:p w14:paraId="04587C87">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003ED47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脱模机</w:t>
            </w:r>
          </w:p>
        </w:tc>
        <w:tc>
          <w:tcPr>
            <w:tcW w:w="2621" w:type="dxa"/>
            <w:tcBorders>
              <w:top w:val="single" w:color="auto" w:sz="4" w:space="0"/>
              <w:left w:val="single" w:color="auto" w:sz="4" w:space="0"/>
            </w:tcBorders>
            <w:noWrap w:val="0"/>
            <w:vAlign w:val="center"/>
          </w:tcPr>
          <w:p w14:paraId="545FA78A">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793E8BF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5ABEE5D">
        <w:tblPrEx>
          <w:tblCellMar>
            <w:top w:w="0" w:type="dxa"/>
            <w:left w:w="10" w:type="dxa"/>
            <w:bottom w:w="0" w:type="dxa"/>
            <w:right w:w="10" w:type="dxa"/>
          </w:tblCellMar>
        </w:tblPrEx>
        <w:trPr>
          <w:trHeight w:val="396" w:hRule="exact"/>
          <w:jc w:val="right"/>
        </w:trPr>
        <w:tc>
          <w:tcPr>
            <w:tcW w:w="773" w:type="dxa"/>
            <w:tcBorders>
              <w:top w:val="single" w:color="auto" w:sz="4" w:space="0"/>
              <w:left w:val="single" w:color="auto" w:sz="4" w:space="0"/>
            </w:tcBorders>
            <w:noWrap w:val="0"/>
            <w:vAlign w:val="center"/>
          </w:tcPr>
          <w:p w14:paraId="25BAEA61">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306" w:type="dxa"/>
            <w:vMerge w:val="restart"/>
            <w:tcBorders>
              <w:top w:val="single" w:color="auto" w:sz="4" w:space="0"/>
              <w:left w:val="single" w:color="auto" w:sz="4" w:space="0"/>
            </w:tcBorders>
            <w:noWrap w:val="0"/>
            <w:vAlign w:val="center"/>
          </w:tcPr>
          <w:p w14:paraId="04690B6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水泥砼(砂</w:t>
            </w:r>
          </w:p>
          <w:p w14:paraId="4CADDA5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浆)试验</w:t>
            </w:r>
          </w:p>
        </w:tc>
        <w:tc>
          <w:tcPr>
            <w:tcW w:w="2501" w:type="dxa"/>
            <w:tcBorders>
              <w:top w:val="single" w:color="auto" w:sz="4" w:space="0"/>
              <w:left w:val="single" w:color="auto" w:sz="4" w:space="0"/>
            </w:tcBorders>
            <w:noWrap w:val="0"/>
            <w:vAlign w:val="center"/>
          </w:tcPr>
          <w:p w14:paraId="7B220E8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压力机</w:t>
            </w:r>
          </w:p>
        </w:tc>
        <w:tc>
          <w:tcPr>
            <w:tcW w:w="2621" w:type="dxa"/>
            <w:tcBorders>
              <w:top w:val="single" w:color="auto" w:sz="4" w:space="0"/>
              <w:left w:val="single" w:color="auto" w:sz="4" w:space="0"/>
            </w:tcBorders>
            <w:noWrap w:val="0"/>
            <w:vAlign w:val="center"/>
          </w:tcPr>
          <w:p w14:paraId="15AE0C8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2000kN</w:t>
            </w:r>
          </w:p>
        </w:tc>
        <w:tc>
          <w:tcPr>
            <w:tcW w:w="2102" w:type="dxa"/>
            <w:tcBorders>
              <w:top w:val="single" w:color="auto" w:sz="4" w:space="0"/>
              <w:left w:val="single" w:color="auto" w:sz="4" w:space="0"/>
              <w:right w:val="single" w:color="auto" w:sz="4" w:space="0"/>
            </w:tcBorders>
            <w:noWrap w:val="0"/>
            <w:vAlign w:val="center"/>
          </w:tcPr>
          <w:p w14:paraId="0AF403A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F5CC0BA">
        <w:tblPrEx>
          <w:tblCellMar>
            <w:top w:w="0" w:type="dxa"/>
            <w:left w:w="10" w:type="dxa"/>
            <w:bottom w:w="0" w:type="dxa"/>
            <w:right w:w="10" w:type="dxa"/>
          </w:tblCellMar>
        </w:tblPrEx>
        <w:trPr>
          <w:trHeight w:val="406" w:hRule="exact"/>
          <w:jc w:val="right"/>
        </w:trPr>
        <w:tc>
          <w:tcPr>
            <w:tcW w:w="773" w:type="dxa"/>
            <w:tcBorders>
              <w:top w:val="single" w:color="auto" w:sz="4" w:space="0"/>
              <w:left w:val="single" w:color="auto" w:sz="4" w:space="0"/>
            </w:tcBorders>
            <w:noWrap w:val="0"/>
            <w:vAlign w:val="center"/>
          </w:tcPr>
          <w:p w14:paraId="3AE745A0">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1306" w:type="dxa"/>
            <w:vMerge w:val="continue"/>
            <w:tcBorders>
              <w:left w:val="single" w:color="auto" w:sz="4" w:space="0"/>
            </w:tcBorders>
            <w:noWrap w:val="0"/>
            <w:vAlign w:val="center"/>
          </w:tcPr>
          <w:p w14:paraId="6B60C5F4">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04D09AC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砼坍落度仪</w:t>
            </w:r>
          </w:p>
        </w:tc>
        <w:tc>
          <w:tcPr>
            <w:tcW w:w="2621" w:type="dxa"/>
            <w:tcBorders>
              <w:top w:val="single" w:color="auto" w:sz="4" w:space="0"/>
              <w:left w:val="single" w:color="auto" w:sz="4" w:space="0"/>
            </w:tcBorders>
            <w:noWrap w:val="0"/>
            <w:vAlign w:val="center"/>
          </w:tcPr>
          <w:p w14:paraId="5B97C15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TLY-1</w:t>
            </w:r>
          </w:p>
        </w:tc>
        <w:tc>
          <w:tcPr>
            <w:tcW w:w="2102" w:type="dxa"/>
            <w:tcBorders>
              <w:top w:val="single" w:color="auto" w:sz="4" w:space="0"/>
              <w:left w:val="single" w:color="auto" w:sz="4" w:space="0"/>
              <w:right w:val="single" w:color="auto" w:sz="4" w:space="0"/>
            </w:tcBorders>
            <w:noWrap w:val="0"/>
            <w:vAlign w:val="center"/>
          </w:tcPr>
          <w:p w14:paraId="5B9D1FC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75209BF">
        <w:tblPrEx>
          <w:tblCellMar>
            <w:top w:w="0" w:type="dxa"/>
            <w:left w:w="10" w:type="dxa"/>
            <w:bottom w:w="0" w:type="dxa"/>
            <w:right w:w="10" w:type="dxa"/>
          </w:tblCellMar>
        </w:tblPrEx>
        <w:trPr>
          <w:trHeight w:val="406" w:hRule="exact"/>
          <w:jc w:val="right"/>
        </w:trPr>
        <w:tc>
          <w:tcPr>
            <w:tcW w:w="773" w:type="dxa"/>
            <w:tcBorders>
              <w:top w:val="single" w:color="auto" w:sz="4" w:space="0"/>
              <w:left w:val="single" w:color="auto" w:sz="4" w:space="0"/>
            </w:tcBorders>
            <w:noWrap w:val="0"/>
            <w:vAlign w:val="center"/>
          </w:tcPr>
          <w:p w14:paraId="307B7BA0">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306" w:type="dxa"/>
            <w:vMerge w:val="continue"/>
            <w:tcBorders>
              <w:left w:val="single" w:color="auto" w:sz="4" w:space="0"/>
            </w:tcBorders>
            <w:noWrap w:val="0"/>
            <w:vAlign w:val="center"/>
          </w:tcPr>
          <w:p w14:paraId="60CDEA19">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6DFCE41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砼拌和机</w:t>
            </w:r>
          </w:p>
        </w:tc>
        <w:tc>
          <w:tcPr>
            <w:tcW w:w="2621" w:type="dxa"/>
            <w:tcBorders>
              <w:top w:val="single" w:color="auto" w:sz="4" w:space="0"/>
              <w:left w:val="single" w:color="auto" w:sz="4" w:space="0"/>
            </w:tcBorders>
            <w:noWrap w:val="0"/>
            <w:vAlign w:val="center"/>
          </w:tcPr>
          <w:p w14:paraId="34C7629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60L</w:t>
            </w:r>
          </w:p>
        </w:tc>
        <w:tc>
          <w:tcPr>
            <w:tcW w:w="2102" w:type="dxa"/>
            <w:tcBorders>
              <w:top w:val="single" w:color="auto" w:sz="4" w:space="0"/>
              <w:left w:val="single" w:color="auto" w:sz="4" w:space="0"/>
              <w:right w:val="single" w:color="auto" w:sz="4" w:space="0"/>
            </w:tcBorders>
            <w:noWrap w:val="0"/>
            <w:vAlign w:val="center"/>
          </w:tcPr>
          <w:p w14:paraId="40DAE85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752CE3D">
        <w:tblPrEx>
          <w:tblCellMar>
            <w:top w:w="0" w:type="dxa"/>
            <w:left w:w="10" w:type="dxa"/>
            <w:bottom w:w="0" w:type="dxa"/>
            <w:right w:w="10" w:type="dxa"/>
          </w:tblCellMar>
        </w:tblPrEx>
        <w:trPr>
          <w:trHeight w:val="394" w:hRule="exact"/>
          <w:jc w:val="right"/>
        </w:trPr>
        <w:tc>
          <w:tcPr>
            <w:tcW w:w="773" w:type="dxa"/>
            <w:tcBorders>
              <w:top w:val="single" w:color="auto" w:sz="4" w:space="0"/>
              <w:left w:val="single" w:color="auto" w:sz="4" w:space="0"/>
            </w:tcBorders>
            <w:noWrap w:val="0"/>
            <w:vAlign w:val="center"/>
          </w:tcPr>
          <w:p w14:paraId="2DB78DFD">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306" w:type="dxa"/>
            <w:vMerge w:val="continue"/>
            <w:tcBorders>
              <w:left w:val="single" w:color="auto" w:sz="4" w:space="0"/>
            </w:tcBorders>
            <w:noWrap w:val="0"/>
            <w:vAlign w:val="center"/>
          </w:tcPr>
          <w:p w14:paraId="6BB370DF">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122F50F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砼振实台</w:t>
            </w:r>
          </w:p>
        </w:tc>
        <w:tc>
          <w:tcPr>
            <w:tcW w:w="2621" w:type="dxa"/>
            <w:tcBorders>
              <w:top w:val="single" w:color="auto" w:sz="4" w:space="0"/>
              <w:left w:val="single" w:color="auto" w:sz="4" w:space="0"/>
            </w:tcBorders>
            <w:noWrap w:val="0"/>
            <w:vAlign w:val="center"/>
          </w:tcPr>
          <w:p w14:paraId="2D64DEFC">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0E6AF9E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9AA8B92">
        <w:tblPrEx>
          <w:tblCellMar>
            <w:top w:w="0" w:type="dxa"/>
            <w:left w:w="10" w:type="dxa"/>
            <w:bottom w:w="0" w:type="dxa"/>
            <w:right w:w="10" w:type="dxa"/>
          </w:tblCellMar>
        </w:tblPrEx>
        <w:trPr>
          <w:trHeight w:val="382" w:hRule="exact"/>
          <w:jc w:val="right"/>
        </w:trPr>
        <w:tc>
          <w:tcPr>
            <w:tcW w:w="773" w:type="dxa"/>
            <w:tcBorders>
              <w:top w:val="single" w:color="auto" w:sz="4" w:space="0"/>
              <w:left w:val="single" w:color="auto" w:sz="4" w:space="0"/>
            </w:tcBorders>
            <w:noWrap w:val="0"/>
            <w:vAlign w:val="center"/>
          </w:tcPr>
          <w:p w14:paraId="346CF4DE">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p>
        </w:tc>
        <w:tc>
          <w:tcPr>
            <w:tcW w:w="1306" w:type="dxa"/>
            <w:vMerge w:val="continue"/>
            <w:tcBorders>
              <w:left w:val="single" w:color="auto" w:sz="4" w:space="0"/>
            </w:tcBorders>
            <w:noWrap w:val="0"/>
            <w:vAlign w:val="center"/>
          </w:tcPr>
          <w:p w14:paraId="72B00C22">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64F6993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压力试验机</w:t>
            </w:r>
          </w:p>
        </w:tc>
        <w:tc>
          <w:tcPr>
            <w:tcW w:w="2621" w:type="dxa"/>
            <w:tcBorders>
              <w:top w:val="single" w:color="auto" w:sz="4" w:space="0"/>
              <w:left w:val="single" w:color="auto" w:sz="4" w:space="0"/>
            </w:tcBorders>
            <w:noWrap w:val="0"/>
            <w:vAlign w:val="center"/>
          </w:tcPr>
          <w:p w14:paraId="143583AB">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1411309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E25C009">
        <w:tblPrEx>
          <w:tblCellMar>
            <w:top w:w="0" w:type="dxa"/>
            <w:left w:w="10" w:type="dxa"/>
            <w:bottom w:w="0" w:type="dxa"/>
            <w:right w:w="10" w:type="dxa"/>
          </w:tblCellMar>
        </w:tblPrEx>
        <w:trPr>
          <w:trHeight w:val="370" w:hRule="exact"/>
          <w:jc w:val="right"/>
        </w:trPr>
        <w:tc>
          <w:tcPr>
            <w:tcW w:w="773" w:type="dxa"/>
            <w:tcBorders>
              <w:top w:val="single" w:color="auto" w:sz="4" w:space="0"/>
              <w:left w:val="single" w:color="auto" w:sz="4" w:space="0"/>
            </w:tcBorders>
            <w:noWrap w:val="0"/>
            <w:vAlign w:val="center"/>
          </w:tcPr>
          <w:p w14:paraId="7B92E179">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p>
        </w:tc>
        <w:tc>
          <w:tcPr>
            <w:tcW w:w="1306" w:type="dxa"/>
            <w:vMerge w:val="continue"/>
            <w:tcBorders>
              <w:left w:val="single" w:color="auto" w:sz="4" w:space="0"/>
            </w:tcBorders>
            <w:noWrap w:val="0"/>
            <w:vAlign w:val="center"/>
          </w:tcPr>
          <w:p w14:paraId="3FA85CB3">
            <w:pPr>
              <w:keepNext w:val="0"/>
              <w:keepLines w:val="0"/>
              <w:bidi w:val="0"/>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13581F2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砼抗折机</w:t>
            </w:r>
          </w:p>
        </w:tc>
        <w:tc>
          <w:tcPr>
            <w:tcW w:w="2621" w:type="dxa"/>
            <w:tcBorders>
              <w:top w:val="single" w:color="auto" w:sz="4" w:space="0"/>
              <w:left w:val="single" w:color="auto" w:sz="4" w:space="0"/>
            </w:tcBorders>
            <w:noWrap w:val="0"/>
            <w:vAlign w:val="center"/>
          </w:tcPr>
          <w:p w14:paraId="5A223CA0">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7C96BE0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696BA09">
        <w:tblPrEx>
          <w:tblCellMar>
            <w:top w:w="0" w:type="dxa"/>
            <w:left w:w="10" w:type="dxa"/>
            <w:bottom w:w="0" w:type="dxa"/>
            <w:right w:w="10" w:type="dxa"/>
          </w:tblCellMar>
        </w:tblPrEx>
        <w:trPr>
          <w:trHeight w:val="382" w:hRule="exact"/>
          <w:jc w:val="right"/>
        </w:trPr>
        <w:tc>
          <w:tcPr>
            <w:tcW w:w="773" w:type="dxa"/>
            <w:tcBorders>
              <w:top w:val="single" w:color="auto" w:sz="4" w:space="0"/>
              <w:left w:val="single" w:color="auto" w:sz="4" w:space="0"/>
            </w:tcBorders>
            <w:noWrap w:val="0"/>
            <w:vAlign w:val="center"/>
          </w:tcPr>
          <w:p w14:paraId="737F46DB">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1306" w:type="dxa"/>
            <w:vMerge w:val="continue"/>
            <w:tcBorders>
              <w:left w:val="single" w:color="auto" w:sz="4" w:space="0"/>
            </w:tcBorders>
            <w:noWrap w:val="0"/>
            <w:vAlign w:val="center"/>
          </w:tcPr>
          <w:p w14:paraId="77538687">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4C0F864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砼抗压试模</w:t>
            </w:r>
          </w:p>
        </w:tc>
        <w:tc>
          <w:tcPr>
            <w:tcW w:w="2621" w:type="dxa"/>
            <w:tcBorders>
              <w:top w:val="single" w:color="auto" w:sz="4" w:space="0"/>
              <w:left w:val="single" w:color="auto" w:sz="4" w:space="0"/>
            </w:tcBorders>
            <w:noWrap w:val="0"/>
            <w:vAlign w:val="center"/>
          </w:tcPr>
          <w:p w14:paraId="7F63EA6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150*150*150mm</w:t>
            </w:r>
          </w:p>
        </w:tc>
        <w:tc>
          <w:tcPr>
            <w:tcW w:w="2102" w:type="dxa"/>
            <w:tcBorders>
              <w:top w:val="single" w:color="auto" w:sz="4" w:space="0"/>
              <w:left w:val="single" w:color="auto" w:sz="4" w:space="0"/>
              <w:right w:val="single" w:color="auto" w:sz="4" w:space="0"/>
            </w:tcBorders>
            <w:noWrap w:val="0"/>
            <w:vAlign w:val="center"/>
          </w:tcPr>
          <w:p w14:paraId="7311541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r>
      <w:tr w14:paraId="499C509E">
        <w:tblPrEx>
          <w:tblCellMar>
            <w:top w:w="0" w:type="dxa"/>
            <w:left w:w="10" w:type="dxa"/>
            <w:bottom w:w="0" w:type="dxa"/>
            <w:right w:w="10" w:type="dxa"/>
          </w:tblCellMar>
        </w:tblPrEx>
        <w:trPr>
          <w:trHeight w:val="418" w:hRule="exact"/>
          <w:jc w:val="right"/>
        </w:trPr>
        <w:tc>
          <w:tcPr>
            <w:tcW w:w="773" w:type="dxa"/>
            <w:tcBorders>
              <w:top w:val="single" w:color="auto" w:sz="4" w:space="0"/>
              <w:left w:val="single" w:color="auto" w:sz="4" w:space="0"/>
            </w:tcBorders>
            <w:noWrap w:val="0"/>
            <w:vAlign w:val="center"/>
          </w:tcPr>
          <w:p w14:paraId="7A320C53">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p>
        </w:tc>
        <w:tc>
          <w:tcPr>
            <w:tcW w:w="1306" w:type="dxa"/>
            <w:vMerge w:val="continue"/>
            <w:tcBorders>
              <w:left w:val="single" w:color="auto" w:sz="4" w:space="0"/>
            </w:tcBorders>
            <w:noWrap w:val="0"/>
            <w:vAlign w:val="center"/>
          </w:tcPr>
          <w:p w14:paraId="0E40A52D">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4103C78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砼抗折试模</w:t>
            </w:r>
          </w:p>
        </w:tc>
        <w:tc>
          <w:tcPr>
            <w:tcW w:w="2621" w:type="dxa"/>
            <w:tcBorders>
              <w:top w:val="single" w:color="auto" w:sz="4" w:space="0"/>
              <w:left w:val="single" w:color="auto" w:sz="4" w:space="0"/>
            </w:tcBorders>
            <w:noWrap w:val="0"/>
            <w:vAlign w:val="center"/>
          </w:tcPr>
          <w:p w14:paraId="2E95A18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150*150*550mm</w:t>
            </w:r>
          </w:p>
        </w:tc>
        <w:tc>
          <w:tcPr>
            <w:tcW w:w="2102" w:type="dxa"/>
            <w:tcBorders>
              <w:top w:val="single" w:color="auto" w:sz="4" w:space="0"/>
              <w:left w:val="single" w:color="auto" w:sz="4" w:space="0"/>
              <w:right w:val="single" w:color="auto" w:sz="4" w:space="0"/>
            </w:tcBorders>
            <w:noWrap w:val="0"/>
            <w:vAlign w:val="center"/>
          </w:tcPr>
          <w:p w14:paraId="7A639AC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r>
      <w:tr w14:paraId="5DB1962E">
        <w:tblPrEx>
          <w:tblCellMar>
            <w:top w:w="0" w:type="dxa"/>
            <w:left w:w="10" w:type="dxa"/>
            <w:bottom w:w="0" w:type="dxa"/>
            <w:right w:w="10" w:type="dxa"/>
          </w:tblCellMar>
        </w:tblPrEx>
        <w:trPr>
          <w:trHeight w:val="406" w:hRule="exact"/>
          <w:jc w:val="right"/>
        </w:trPr>
        <w:tc>
          <w:tcPr>
            <w:tcW w:w="773" w:type="dxa"/>
            <w:tcBorders>
              <w:top w:val="single" w:color="auto" w:sz="4" w:space="0"/>
              <w:left w:val="single" w:color="auto" w:sz="4" w:space="0"/>
            </w:tcBorders>
            <w:noWrap w:val="0"/>
            <w:vAlign w:val="center"/>
          </w:tcPr>
          <w:p w14:paraId="277D60C8">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1306" w:type="dxa"/>
            <w:vMerge w:val="continue"/>
            <w:tcBorders>
              <w:left w:val="single" w:color="auto" w:sz="4" w:space="0"/>
            </w:tcBorders>
            <w:noWrap w:val="0"/>
            <w:vAlign w:val="center"/>
          </w:tcPr>
          <w:p w14:paraId="66A0E0F2">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2FD3987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净浆稠度仪</w:t>
            </w:r>
          </w:p>
        </w:tc>
        <w:tc>
          <w:tcPr>
            <w:tcW w:w="2621" w:type="dxa"/>
            <w:tcBorders>
              <w:top w:val="single" w:color="auto" w:sz="4" w:space="0"/>
              <w:left w:val="single" w:color="auto" w:sz="4" w:space="0"/>
            </w:tcBorders>
            <w:noWrap w:val="0"/>
            <w:vAlign w:val="center"/>
          </w:tcPr>
          <w:p w14:paraId="7C925A47">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0384AAE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90F2E96">
        <w:tblPrEx>
          <w:tblCellMar>
            <w:top w:w="0" w:type="dxa"/>
            <w:left w:w="10" w:type="dxa"/>
            <w:bottom w:w="0" w:type="dxa"/>
            <w:right w:w="10" w:type="dxa"/>
          </w:tblCellMar>
        </w:tblPrEx>
        <w:trPr>
          <w:trHeight w:val="382" w:hRule="exact"/>
          <w:jc w:val="right"/>
        </w:trPr>
        <w:tc>
          <w:tcPr>
            <w:tcW w:w="773" w:type="dxa"/>
            <w:tcBorders>
              <w:top w:val="single" w:color="auto" w:sz="4" w:space="0"/>
              <w:left w:val="single" w:color="auto" w:sz="4" w:space="0"/>
            </w:tcBorders>
            <w:noWrap w:val="0"/>
            <w:vAlign w:val="center"/>
          </w:tcPr>
          <w:p w14:paraId="38A7D4C6">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w:t>
            </w:r>
          </w:p>
        </w:tc>
        <w:tc>
          <w:tcPr>
            <w:tcW w:w="1306" w:type="dxa"/>
            <w:vMerge w:val="continue"/>
            <w:tcBorders>
              <w:left w:val="single" w:color="auto" w:sz="4" w:space="0"/>
            </w:tcBorders>
            <w:noWrap w:val="0"/>
            <w:vAlign w:val="center"/>
          </w:tcPr>
          <w:p w14:paraId="1A142F4F">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224301C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雷氏夹</w:t>
            </w:r>
          </w:p>
        </w:tc>
        <w:tc>
          <w:tcPr>
            <w:tcW w:w="2621" w:type="dxa"/>
            <w:tcBorders>
              <w:top w:val="single" w:color="auto" w:sz="4" w:space="0"/>
              <w:left w:val="single" w:color="auto" w:sz="4" w:space="0"/>
            </w:tcBorders>
            <w:noWrap w:val="0"/>
            <w:vAlign w:val="center"/>
          </w:tcPr>
          <w:p w14:paraId="04170CD0">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18220F5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278E10B">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22DBC7E1">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w:t>
            </w:r>
          </w:p>
        </w:tc>
        <w:tc>
          <w:tcPr>
            <w:tcW w:w="1306" w:type="dxa"/>
            <w:vMerge w:val="continue"/>
            <w:tcBorders>
              <w:left w:val="single" w:color="auto" w:sz="4" w:space="0"/>
            </w:tcBorders>
            <w:noWrap w:val="0"/>
            <w:vAlign w:val="center"/>
          </w:tcPr>
          <w:p w14:paraId="7EF65D92">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204A334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标准养护箱</w:t>
            </w:r>
          </w:p>
        </w:tc>
        <w:tc>
          <w:tcPr>
            <w:tcW w:w="2621" w:type="dxa"/>
            <w:tcBorders>
              <w:top w:val="single" w:color="auto" w:sz="4" w:space="0"/>
              <w:left w:val="single" w:color="auto" w:sz="4" w:space="0"/>
            </w:tcBorders>
            <w:noWrap w:val="0"/>
            <w:vAlign w:val="center"/>
          </w:tcPr>
          <w:p w14:paraId="0EE0A666">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06FE5B1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30DF862">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0576537C">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w:t>
            </w:r>
          </w:p>
        </w:tc>
        <w:tc>
          <w:tcPr>
            <w:tcW w:w="1306" w:type="dxa"/>
            <w:vMerge w:val="continue"/>
            <w:tcBorders>
              <w:left w:val="single" w:color="auto" w:sz="4" w:space="0"/>
            </w:tcBorders>
            <w:noWrap w:val="0"/>
            <w:vAlign w:val="center"/>
          </w:tcPr>
          <w:p w14:paraId="01409CE6">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66E0E26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水泥净浆机</w:t>
            </w:r>
          </w:p>
        </w:tc>
        <w:tc>
          <w:tcPr>
            <w:tcW w:w="2621" w:type="dxa"/>
            <w:tcBorders>
              <w:top w:val="single" w:color="auto" w:sz="4" w:space="0"/>
              <w:left w:val="single" w:color="auto" w:sz="4" w:space="0"/>
            </w:tcBorders>
            <w:noWrap w:val="0"/>
            <w:vAlign w:val="center"/>
          </w:tcPr>
          <w:p w14:paraId="48D0942E">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4FB05B0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D56C77E">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57A8993B">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1306" w:type="dxa"/>
            <w:vMerge w:val="continue"/>
            <w:tcBorders>
              <w:left w:val="single" w:color="auto" w:sz="4" w:space="0"/>
            </w:tcBorders>
            <w:noWrap w:val="0"/>
            <w:vAlign w:val="center"/>
          </w:tcPr>
          <w:p w14:paraId="5FF0F47E">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6983B6F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水泥沸煮箱</w:t>
            </w:r>
          </w:p>
        </w:tc>
        <w:tc>
          <w:tcPr>
            <w:tcW w:w="2621" w:type="dxa"/>
            <w:tcBorders>
              <w:top w:val="single" w:color="auto" w:sz="4" w:space="0"/>
              <w:left w:val="single" w:color="auto" w:sz="4" w:space="0"/>
            </w:tcBorders>
            <w:noWrap w:val="0"/>
            <w:vAlign w:val="center"/>
          </w:tcPr>
          <w:p w14:paraId="4661CDC2">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4312ACF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6D7AC7C6">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7039514C">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1306" w:type="dxa"/>
            <w:vMerge w:val="continue"/>
            <w:tcBorders>
              <w:left w:val="single" w:color="auto" w:sz="4" w:space="0"/>
            </w:tcBorders>
            <w:noWrap w:val="0"/>
            <w:vAlign w:val="center"/>
          </w:tcPr>
          <w:p w14:paraId="3D4B75E1">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40CB1D3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水泥电动抗折机</w:t>
            </w:r>
          </w:p>
        </w:tc>
        <w:tc>
          <w:tcPr>
            <w:tcW w:w="2621" w:type="dxa"/>
            <w:tcBorders>
              <w:top w:val="single" w:color="auto" w:sz="4" w:space="0"/>
              <w:left w:val="single" w:color="auto" w:sz="4" w:space="0"/>
            </w:tcBorders>
            <w:noWrap w:val="0"/>
            <w:vAlign w:val="center"/>
          </w:tcPr>
          <w:p w14:paraId="48A8123E">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601A095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A602ED1">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47871018">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p>
        </w:tc>
        <w:tc>
          <w:tcPr>
            <w:tcW w:w="1306" w:type="dxa"/>
            <w:vMerge w:val="continue"/>
            <w:tcBorders>
              <w:left w:val="single" w:color="auto" w:sz="4" w:space="0"/>
            </w:tcBorders>
            <w:noWrap w:val="0"/>
            <w:vAlign w:val="center"/>
          </w:tcPr>
          <w:p w14:paraId="52AED694">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6BFC6A8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水泥细度负压筛</w:t>
            </w:r>
          </w:p>
        </w:tc>
        <w:tc>
          <w:tcPr>
            <w:tcW w:w="2621" w:type="dxa"/>
            <w:tcBorders>
              <w:top w:val="single" w:color="auto" w:sz="4" w:space="0"/>
              <w:left w:val="single" w:color="auto" w:sz="4" w:space="0"/>
            </w:tcBorders>
            <w:noWrap w:val="0"/>
            <w:vAlign w:val="center"/>
          </w:tcPr>
          <w:p w14:paraId="34D68EF5">
            <w:pPr>
              <w:keepNext w:val="0"/>
              <w:keepLines w:val="0"/>
              <w:bidi w:val="0"/>
              <w:jc w:val="center"/>
              <w:rPr>
                <w:rFonts w:hint="eastAsia" w:ascii="宋体" w:hAnsi="宋体" w:eastAsia="宋体" w:cs="宋体"/>
                <w:color w:val="auto"/>
                <w:sz w:val="24"/>
                <w:szCs w:val="24"/>
                <w:highlight w:val="none"/>
              </w:rPr>
            </w:pPr>
          </w:p>
          <w:p w14:paraId="27883549">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1283D28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6D5B341">
        <w:tblPrEx>
          <w:tblCellMar>
            <w:top w:w="0" w:type="dxa"/>
            <w:left w:w="10" w:type="dxa"/>
            <w:bottom w:w="0" w:type="dxa"/>
            <w:right w:w="10" w:type="dxa"/>
          </w:tblCellMar>
        </w:tblPrEx>
        <w:trPr>
          <w:trHeight w:val="430" w:hRule="exact"/>
          <w:jc w:val="right"/>
        </w:trPr>
        <w:tc>
          <w:tcPr>
            <w:tcW w:w="773" w:type="dxa"/>
            <w:tcBorders>
              <w:top w:val="single" w:color="auto" w:sz="4" w:space="0"/>
              <w:left w:val="single" w:color="auto" w:sz="4" w:space="0"/>
            </w:tcBorders>
            <w:noWrap w:val="0"/>
            <w:vAlign w:val="center"/>
          </w:tcPr>
          <w:p w14:paraId="40B0BBB6">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w:t>
            </w:r>
          </w:p>
        </w:tc>
        <w:tc>
          <w:tcPr>
            <w:tcW w:w="1306" w:type="dxa"/>
            <w:vMerge w:val="continue"/>
            <w:tcBorders>
              <w:left w:val="single" w:color="auto" w:sz="4" w:space="0"/>
            </w:tcBorders>
            <w:noWrap w:val="0"/>
            <w:vAlign w:val="center"/>
          </w:tcPr>
          <w:p w14:paraId="3D4779B9">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292CCCA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水泥比表面积仪</w:t>
            </w:r>
          </w:p>
        </w:tc>
        <w:tc>
          <w:tcPr>
            <w:tcW w:w="2621" w:type="dxa"/>
            <w:tcBorders>
              <w:top w:val="single" w:color="auto" w:sz="4" w:space="0"/>
              <w:left w:val="single" w:color="auto" w:sz="4" w:space="0"/>
            </w:tcBorders>
            <w:noWrap w:val="0"/>
            <w:vAlign w:val="center"/>
          </w:tcPr>
          <w:p w14:paraId="61A9333C">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27C066B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BEC3AE8">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bottom w:val="single" w:color="auto" w:sz="4" w:space="0"/>
            </w:tcBorders>
            <w:noWrap w:val="0"/>
            <w:vAlign w:val="center"/>
          </w:tcPr>
          <w:p w14:paraId="332E203B">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w:t>
            </w:r>
          </w:p>
        </w:tc>
        <w:tc>
          <w:tcPr>
            <w:tcW w:w="1306" w:type="dxa"/>
            <w:vMerge w:val="continue"/>
            <w:tcBorders>
              <w:left w:val="single" w:color="auto" w:sz="4" w:space="0"/>
              <w:bottom w:val="single" w:color="auto" w:sz="4" w:space="0"/>
            </w:tcBorders>
            <w:noWrap w:val="0"/>
            <w:vAlign w:val="center"/>
          </w:tcPr>
          <w:p w14:paraId="3CF6C693">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bottom w:val="single" w:color="auto" w:sz="4" w:space="0"/>
            </w:tcBorders>
            <w:noWrap w:val="0"/>
            <w:vAlign w:val="center"/>
          </w:tcPr>
          <w:p w14:paraId="6E90DE9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水泥软练试模</w:t>
            </w:r>
          </w:p>
        </w:tc>
        <w:tc>
          <w:tcPr>
            <w:tcW w:w="2621" w:type="dxa"/>
            <w:tcBorders>
              <w:top w:val="single" w:color="auto" w:sz="4" w:space="0"/>
              <w:left w:val="single" w:color="auto" w:sz="4" w:space="0"/>
              <w:bottom w:val="single" w:color="auto" w:sz="4" w:space="0"/>
            </w:tcBorders>
            <w:noWrap w:val="0"/>
            <w:vAlign w:val="center"/>
          </w:tcPr>
          <w:p w14:paraId="0258201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40*40*160mm</w:t>
            </w:r>
          </w:p>
        </w:tc>
        <w:tc>
          <w:tcPr>
            <w:tcW w:w="2102" w:type="dxa"/>
            <w:tcBorders>
              <w:top w:val="single" w:color="auto" w:sz="4" w:space="0"/>
              <w:left w:val="single" w:color="auto" w:sz="4" w:space="0"/>
              <w:bottom w:val="single" w:color="auto" w:sz="4" w:space="0"/>
              <w:right w:val="single" w:color="auto" w:sz="4" w:space="0"/>
            </w:tcBorders>
            <w:noWrap w:val="0"/>
            <w:vAlign w:val="center"/>
          </w:tcPr>
          <w:p w14:paraId="159CA4C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9D6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13055546">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w:t>
            </w:r>
          </w:p>
        </w:tc>
        <w:tc>
          <w:tcPr>
            <w:tcW w:w="1306" w:type="dxa"/>
            <w:vMerge w:val="restart"/>
            <w:noWrap w:val="0"/>
            <w:vAlign w:val="center"/>
          </w:tcPr>
          <w:p w14:paraId="0EA8636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水泥砼(砂</w:t>
            </w:r>
          </w:p>
          <w:p w14:paraId="0658C04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浆)试验</w:t>
            </w:r>
          </w:p>
        </w:tc>
        <w:tc>
          <w:tcPr>
            <w:tcW w:w="2501" w:type="dxa"/>
            <w:noWrap w:val="0"/>
            <w:vAlign w:val="center"/>
          </w:tcPr>
          <w:p w14:paraId="1A8FF64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砂浆稠度仪</w:t>
            </w:r>
          </w:p>
        </w:tc>
        <w:tc>
          <w:tcPr>
            <w:tcW w:w="2621" w:type="dxa"/>
            <w:noWrap w:val="0"/>
            <w:vAlign w:val="center"/>
          </w:tcPr>
          <w:p w14:paraId="0634195E">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30B6272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5BD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036D6F04">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w:t>
            </w:r>
          </w:p>
        </w:tc>
        <w:tc>
          <w:tcPr>
            <w:tcW w:w="1306" w:type="dxa"/>
            <w:vMerge w:val="continue"/>
            <w:noWrap w:val="0"/>
            <w:vAlign w:val="center"/>
          </w:tcPr>
          <w:p w14:paraId="677A1CFF">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6D6B395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电子称</w:t>
            </w:r>
          </w:p>
        </w:tc>
        <w:tc>
          <w:tcPr>
            <w:tcW w:w="2621" w:type="dxa"/>
            <w:noWrap w:val="0"/>
            <w:vAlign w:val="center"/>
          </w:tcPr>
          <w:p w14:paraId="0B5A3D8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100kg5g</w:t>
            </w:r>
          </w:p>
        </w:tc>
        <w:tc>
          <w:tcPr>
            <w:tcW w:w="2102" w:type="dxa"/>
            <w:noWrap w:val="0"/>
            <w:vAlign w:val="center"/>
          </w:tcPr>
          <w:p w14:paraId="5B260A0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FF2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7A94B036">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w:t>
            </w:r>
          </w:p>
        </w:tc>
        <w:tc>
          <w:tcPr>
            <w:tcW w:w="1306" w:type="dxa"/>
            <w:vMerge w:val="continue"/>
            <w:noWrap w:val="0"/>
            <w:vAlign w:val="center"/>
          </w:tcPr>
          <w:p w14:paraId="3B4697A6">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696F97D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砂浆试模</w:t>
            </w:r>
          </w:p>
        </w:tc>
        <w:tc>
          <w:tcPr>
            <w:tcW w:w="2621" w:type="dxa"/>
            <w:noWrap w:val="0"/>
            <w:vAlign w:val="center"/>
          </w:tcPr>
          <w:p w14:paraId="30DB4A7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70.7*70.7*70.7mm</w:t>
            </w:r>
          </w:p>
        </w:tc>
        <w:tc>
          <w:tcPr>
            <w:tcW w:w="2102" w:type="dxa"/>
            <w:noWrap w:val="0"/>
            <w:vAlign w:val="center"/>
          </w:tcPr>
          <w:p w14:paraId="57A1946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r>
      <w:tr w14:paraId="10B3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13D87A7C">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w:t>
            </w:r>
          </w:p>
        </w:tc>
        <w:tc>
          <w:tcPr>
            <w:tcW w:w="1306" w:type="dxa"/>
            <w:vMerge w:val="restart"/>
            <w:noWrap w:val="0"/>
            <w:vAlign w:val="center"/>
          </w:tcPr>
          <w:p w14:paraId="34C6F77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集料试验</w:t>
            </w:r>
          </w:p>
        </w:tc>
        <w:tc>
          <w:tcPr>
            <w:tcW w:w="2501" w:type="dxa"/>
            <w:noWrap w:val="0"/>
            <w:vAlign w:val="center"/>
          </w:tcPr>
          <w:p w14:paraId="1C8EA3E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压碎指标值测定仪</w:t>
            </w:r>
          </w:p>
        </w:tc>
        <w:tc>
          <w:tcPr>
            <w:tcW w:w="2621" w:type="dxa"/>
            <w:noWrap w:val="0"/>
            <w:vAlign w:val="center"/>
          </w:tcPr>
          <w:p w14:paraId="2EBB4A5F">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774C0EA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DA2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62FEB23A">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w:t>
            </w:r>
          </w:p>
        </w:tc>
        <w:tc>
          <w:tcPr>
            <w:tcW w:w="1306" w:type="dxa"/>
            <w:vMerge w:val="continue"/>
            <w:noWrap w:val="0"/>
            <w:vAlign w:val="center"/>
          </w:tcPr>
          <w:p w14:paraId="59A1B64A">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117390E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振筛机</w:t>
            </w:r>
          </w:p>
        </w:tc>
        <w:tc>
          <w:tcPr>
            <w:tcW w:w="2621" w:type="dxa"/>
            <w:noWrap w:val="0"/>
            <w:vAlign w:val="center"/>
          </w:tcPr>
          <w:p w14:paraId="4E58F3F4">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512DAE7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C79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6E260057">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w:t>
            </w:r>
          </w:p>
        </w:tc>
        <w:tc>
          <w:tcPr>
            <w:tcW w:w="1306" w:type="dxa"/>
            <w:vMerge w:val="continue"/>
            <w:noWrap w:val="0"/>
            <w:vAlign w:val="center"/>
          </w:tcPr>
          <w:p w14:paraId="7E55A1AC">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1AEB0C9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砂石标准筛</w:t>
            </w:r>
          </w:p>
        </w:tc>
        <w:tc>
          <w:tcPr>
            <w:tcW w:w="2621" w:type="dxa"/>
            <w:noWrap w:val="0"/>
            <w:vAlign w:val="center"/>
          </w:tcPr>
          <w:p w14:paraId="2C7DB474">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768FE16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E98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49CFE09C">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w:t>
            </w:r>
          </w:p>
        </w:tc>
        <w:tc>
          <w:tcPr>
            <w:tcW w:w="1306" w:type="dxa"/>
            <w:vMerge w:val="continue"/>
            <w:noWrap w:val="0"/>
            <w:vAlign w:val="center"/>
          </w:tcPr>
          <w:p w14:paraId="24D1A66E">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60A1DA2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针片状规准仪</w:t>
            </w:r>
          </w:p>
        </w:tc>
        <w:tc>
          <w:tcPr>
            <w:tcW w:w="2621" w:type="dxa"/>
            <w:noWrap w:val="0"/>
            <w:vAlign w:val="center"/>
          </w:tcPr>
          <w:p w14:paraId="2D87858B">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5E57CBC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36E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632B4385">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p>
        </w:tc>
        <w:tc>
          <w:tcPr>
            <w:tcW w:w="1306" w:type="dxa"/>
            <w:vMerge w:val="continue"/>
            <w:noWrap w:val="0"/>
            <w:vAlign w:val="center"/>
          </w:tcPr>
          <w:p w14:paraId="2E9998C2">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00AEE9F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游标卡尺</w:t>
            </w:r>
          </w:p>
        </w:tc>
        <w:tc>
          <w:tcPr>
            <w:tcW w:w="2621" w:type="dxa"/>
            <w:noWrap w:val="0"/>
            <w:vAlign w:val="center"/>
          </w:tcPr>
          <w:p w14:paraId="5B36E8D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300mm</w:t>
            </w:r>
          </w:p>
        </w:tc>
        <w:tc>
          <w:tcPr>
            <w:tcW w:w="2102" w:type="dxa"/>
            <w:noWrap w:val="0"/>
            <w:vAlign w:val="center"/>
          </w:tcPr>
          <w:p w14:paraId="4820316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862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347F1A42">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w:t>
            </w:r>
          </w:p>
        </w:tc>
        <w:tc>
          <w:tcPr>
            <w:tcW w:w="1306" w:type="dxa"/>
            <w:vMerge w:val="continue"/>
            <w:noWrap w:val="0"/>
            <w:vAlign w:val="center"/>
          </w:tcPr>
          <w:p w14:paraId="618F2095">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425699C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容积升</w:t>
            </w:r>
          </w:p>
        </w:tc>
        <w:tc>
          <w:tcPr>
            <w:tcW w:w="2621" w:type="dxa"/>
            <w:noWrap w:val="0"/>
            <w:vAlign w:val="center"/>
          </w:tcPr>
          <w:p w14:paraId="73CCC0E4">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2341A22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079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18DBCDF3">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w:t>
            </w:r>
          </w:p>
        </w:tc>
        <w:tc>
          <w:tcPr>
            <w:tcW w:w="1306" w:type="dxa"/>
            <w:vMerge w:val="restart"/>
            <w:noWrap w:val="0"/>
            <w:vAlign w:val="center"/>
          </w:tcPr>
          <w:p w14:paraId="5C76B22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钢材试验</w:t>
            </w:r>
          </w:p>
        </w:tc>
        <w:tc>
          <w:tcPr>
            <w:tcW w:w="2501" w:type="dxa"/>
            <w:noWrap w:val="0"/>
            <w:vAlign w:val="center"/>
          </w:tcPr>
          <w:p w14:paraId="3EE2150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万能材料试验机</w:t>
            </w:r>
          </w:p>
        </w:tc>
        <w:tc>
          <w:tcPr>
            <w:tcW w:w="2621" w:type="dxa"/>
            <w:noWrap w:val="0"/>
            <w:vAlign w:val="center"/>
          </w:tcPr>
          <w:p w14:paraId="7D0BFFF4">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6E20CF0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608A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17F378CF">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w:t>
            </w:r>
          </w:p>
        </w:tc>
        <w:tc>
          <w:tcPr>
            <w:tcW w:w="1306" w:type="dxa"/>
            <w:vMerge w:val="continue"/>
            <w:noWrap w:val="0"/>
            <w:vAlign w:val="center"/>
          </w:tcPr>
          <w:p w14:paraId="58565FCA">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165E1B1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冷弯冲头</w:t>
            </w:r>
          </w:p>
        </w:tc>
        <w:tc>
          <w:tcPr>
            <w:tcW w:w="2621" w:type="dxa"/>
            <w:noWrap w:val="0"/>
            <w:vAlign w:val="center"/>
          </w:tcPr>
          <w:p w14:paraId="6B9189D2">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5F4EE00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0C8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237226DA">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w:t>
            </w:r>
          </w:p>
        </w:tc>
        <w:tc>
          <w:tcPr>
            <w:tcW w:w="1306" w:type="dxa"/>
            <w:vMerge w:val="continue"/>
            <w:noWrap w:val="0"/>
            <w:vAlign w:val="center"/>
          </w:tcPr>
          <w:p w14:paraId="2514EFE4">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73F11B1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钢筋打点机</w:t>
            </w:r>
          </w:p>
        </w:tc>
        <w:tc>
          <w:tcPr>
            <w:tcW w:w="2621" w:type="dxa"/>
            <w:noWrap w:val="0"/>
            <w:vAlign w:val="center"/>
          </w:tcPr>
          <w:p w14:paraId="4BBB18EE">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3F80E2B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5CC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3376E72E">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w:t>
            </w:r>
          </w:p>
        </w:tc>
        <w:tc>
          <w:tcPr>
            <w:tcW w:w="1306" w:type="dxa"/>
            <w:vMerge w:val="restart"/>
            <w:noWrap w:val="0"/>
            <w:vAlign w:val="center"/>
          </w:tcPr>
          <w:p w14:paraId="0CC8AD1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交通安全设</w:t>
            </w:r>
          </w:p>
          <w:p w14:paraId="514554E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施试验</w:t>
            </w:r>
          </w:p>
        </w:tc>
        <w:tc>
          <w:tcPr>
            <w:tcW w:w="2501" w:type="dxa"/>
            <w:noWrap w:val="0"/>
            <w:vAlign w:val="center"/>
          </w:tcPr>
          <w:p w14:paraId="51C3803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逆反射系数测量仪</w:t>
            </w:r>
          </w:p>
        </w:tc>
        <w:tc>
          <w:tcPr>
            <w:tcW w:w="2621" w:type="dxa"/>
            <w:noWrap w:val="0"/>
            <w:vAlign w:val="center"/>
          </w:tcPr>
          <w:p w14:paraId="49668235">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27A93FB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7BB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297AEA75">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37</w:t>
            </w:r>
          </w:p>
        </w:tc>
        <w:tc>
          <w:tcPr>
            <w:tcW w:w="1306" w:type="dxa"/>
            <w:vMerge w:val="continue"/>
            <w:noWrap w:val="0"/>
            <w:vAlign w:val="center"/>
          </w:tcPr>
          <w:p w14:paraId="078BAD2A">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6B3748F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镀层涂层测厚仪</w:t>
            </w:r>
          </w:p>
        </w:tc>
        <w:tc>
          <w:tcPr>
            <w:tcW w:w="2621" w:type="dxa"/>
            <w:noWrap w:val="0"/>
            <w:vAlign w:val="center"/>
          </w:tcPr>
          <w:p w14:paraId="2A8BC124">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4888F7A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C63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3DB76443">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38</w:t>
            </w:r>
          </w:p>
        </w:tc>
        <w:tc>
          <w:tcPr>
            <w:tcW w:w="1306" w:type="dxa"/>
            <w:vMerge w:val="continue"/>
            <w:noWrap w:val="0"/>
            <w:vAlign w:val="center"/>
          </w:tcPr>
          <w:p w14:paraId="4DE5B536">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3CDD500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护栏板涂厚仪</w:t>
            </w:r>
          </w:p>
        </w:tc>
        <w:tc>
          <w:tcPr>
            <w:tcW w:w="2621" w:type="dxa"/>
            <w:noWrap w:val="0"/>
            <w:vAlign w:val="center"/>
          </w:tcPr>
          <w:p w14:paraId="3DD5F053">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67E270E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026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62D94CA4">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w:t>
            </w:r>
          </w:p>
        </w:tc>
        <w:tc>
          <w:tcPr>
            <w:tcW w:w="1306" w:type="dxa"/>
            <w:vMerge w:val="restart"/>
            <w:noWrap w:val="0"/>
            <w:vAlign w:val="center"/>
          </w:tcPr>
          <w:p w14:paraId="40ECA4D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常规</w:t>
            </w:r>
          </w:p>
          <w:p w14:paraId="58FE063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检测</w:t>
            </w:r>
          </w:p>
        </w:tc>
        <w:tc>
          <w:tcPr>
            <w:tcW w:w="2501" w:type="dxa"/>
            <w:noWrap w:val="0"/>
            <w:vAlign w:val="center"/>
          </w:tcPr>
          <w:p w14:paraId="29CA944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回弹仪</w:t>
            </w:r>
          </w:p>
        </w:tc>
        <w:tc>
          <w:tcPr>
            <w:tcW w:w="2621" w:type="dxa"/>
            <w:noWrap w:val="0"/>
            <w:vAlign w:val="center"/>
          </w:tcPr>
          <w:p w14:paraId="50601139">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20B8E72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r>
      <w:tr w14:paraId="3EFF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72D0AE0B">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40</w:t>
            </w:r>
          </w:p>
        </w:tc>
        <w:tc>
          <w:tcPr>
            <w:tcW w:w="1306" w:type="dxa"/>
            <w:vMerge w:val="continue"/>
            <w:noWrap w:val="0"/>
            <w:vAlign w:val="center"/>
          </w:tcPr>
          <w:p w14:paraId="6D2F5AD4">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750C988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灌砂筒</w:t>
            </w:r>
          </w:p>
        </w:tc>
        <w:tc>
          <w:tcPr>
            <w:tcW w:w="2621" w:type="dxa"/>
            <w:noWrap w:val="0"/>
            <w:vAlign w:val="center"/>
          </w:tcPr>
          <w:p w14:paraId="48D69FA6">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2FD08A0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r>
      <w:tr w14:paraId="3DDB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797C0C8C">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w:t>
            </w:r>
          </w:p>
        </w:tc>
        <w:tc>
          <w:tcPr>
            <w:tcW w:w="1306" w:type="dxa"/>
            <w:vMerge w:val="continue"/>
            <w:noWrap w:val="0"/>
            <w:vAlign w:val="center"/>
          </w:tcPr>
          <w:p w14:paraId="3CD257C4">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70D8045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弯沉仪</w:t>
            </w:r>
          </w:p>
        </w:tc>
        <w:tc>
          <w:tcPr>
            <w:tcW w:w="2621" w:type="dxa"/>
            <w:noWrap w:val="0"/>
            <w:vAlign w:val="center"/>
          </w:tcPr>
          <w:p w14:paraId="212B2B05">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51FE71D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r>
    </w:tbl>
    <w:p w14:paraId="1290D677">
      <w:pPr>
        <w:keepNext w:val="0"/>
        <w:keepLines w:val="0"/>
        <w:widowControl w:val="0"/>
        <w:kinsoku w:val="0"/>
        <w:overflowPunct w:val="0"/>
        <w:autoSpaceDE w:val="0"/>
        <w:autoSpaceDN w:val="0"/>
        <w:bidi w:val="0"/>
        <w:adjustRightInd w:val="0"/>
        <w:spacing w:before="5" w:line="110" w:lineRule="exact"/>
        <w:jc w:val="left"/>
        <w:rPr>
          <w:rFonts w:hint="eastAsia" w:ascii="宋体" w:hAnsi="宋体" w:eastAsia="宋体" w:cs="宋体"/>
          <w:color w:val="auto"/>
          <w:sz w:val="11"/>
          <w:highlight w:val="none"/>
        </w:rPr>
      </w:pPr>
    </w:p>
    <w:p w14:paraId="13D2B86A">
      <w:pPr>
        <w:keepNext w:val="0"/>
        <w:keepLines w:val="0"/>
        <w:widowControl w:val="0"/>
        <w:kinsoku w:val="0"/>
        <w:overflowPunct w:val="0"/>
        <w:autoSpaceDE w:val="0"/>
        <w:autoSpaceDN w:val="0"/>
        <w:bidi w:val="0"/>
        <w:adjustRightInd w:val="0"/>
        <w:spacing w:before="14"/>
        <w:ind w:right="109"/>
        <w:jc w:val="left"/>
        <w:rPr>
          <w:rFonts w:hint="eastAsia" w:ascii="宋体" w:hAnsi="宋体" w:eastAsia="宋体" w:cs="宋体"/>
          <w:color w:val="auto"/>
          <w:sz w:val="18"/>
          <w:highlight w:val="none"/>
        </w:rPr>
      </w:pPr>
      <w:r>
        <w:rPr>
          <w:rFonts w:hint="eastAsia" w:ascii="宋体" w:hAnsi="宋体" w:eastAsia="宋体" w:cs="宋体"/>
          <w:color w:val="auto"/>
          <w:sz w:val="18"/>
          <w:highlight w:val="none"/>
        </w:rPr>
        <w:t>注：委托人有权根据标段的工程特点、工程量及工程进度情况要求增加或调整相应的试验检测设备。</w:t>
      </w:r>
    </w:p>
    <w:p w14:paraId="13B7FEBB">
      <w:pPr>
        <w:keepNext w:val="0"/>
        <w:keepLines w:val="0"/>
        <w:widowControl w:val="0"/>
        <w:kinsoku w:val="0"/>
        <w:overflowPunct w:val="0"/>
        <w:autoSpaceDE w:val="0"/>
        <w:autoSpaceDN w:val="0"/>
        <w:bidi w:val="0"/>
        <w:adjustRightInd w:val="0"/>
        <w:spacing w:before="14"/>
        <w:ind w:left="415" w:right="109"/>
        <w:jc w:val="left"/>
        <w:rPr>
          <w:rFonts w:hint="eastAsia" w:ascii="宋体" w:hAnsi="宋体" w:eastAsia="宋体" w:cs="宋体"/>
          <w:color w:val="auto"/>
          <w:sz w:val="18"/>
          <w:highlight w:val="none"/>
        </w:rPr>
      </w:pPr>
    </w:p>
    <w:p w14:paraId="1545143D">
      <w:pPr>
        <w:keepNext w:val="0"/>
        <w:keepLines w:val="0"/>
        <w:widowControl w:val="0"/>
        <w:kinsoku w:val="0"/>
        <w:overflowPunct w:val="0"/>
        <w:autoSpaceDE w:val="0"/>
        <w:autoSpaceDN w:val="0"/>
        <w:bidi w:val="0"/>
        <w:adjustRightInd w:val="0"/>
        <w:spacing w:before="14"/>
        <w:ind w:left="415" w:right="109"/>
        <w:jc w:val="left"/>
        <w:rPr>
          <w:rFonts w:hint="eastAsia" w:ascii="宋体" w:hAnsi="宋体" w:eastAsia="宋体" w:cs="宋体"/>
          <w:color w:val="auto"/>
          <w:sz w:val="18"/>
          <w:highlight w:val="none"/>
        </w:rPr>
      </w:pPr>
    </w:p>
    <w:p w14:paraId="42B9139F">
      <w:pPr>
        <w:keepNext w:val="0"/>
        <w:keepLines w:val="0"/>
        <w:widowControl w:val="0"/>
        <w:kinsoku w:val="0"/>
        <w:overflowPunct w:val="0"/>
        <w:autoSpaceDE w:val="0"/>
        <w:autoSpaceDN w:val="0"/>
        <w:bidi w:val="0"/>
        <w:adjustRightInd w:val="0"/>
        <w:spacing w:before="14"/>
        <w:ind w:left="415" w:right="109"/>
        <w:jc w:val="left"/>
        <w:rPr>
          <w:rFonts w:hint="eastAsia" w:ascii="宋体" w:hAnsi="宋体" w:eastAsia="宋体" w:cs="宋体"/>
          <w:color w:val="auto"/>
          <w:sz w:val="18"/>
          <w:highlight w:val="none"/>
        </w:rPr>
        <w:sectPr>
          <w:pgSz w:w="11907" w:h="16838"/>
          <w:pgMar w:top="1134" w:right="1134" w:bottom="1134" w:left="1134" w:header="882" w:footer="1078" w:gutter="0"/>
          <w:lnNumType w:countBy="0" w:distance="360"/>
          <w:cols w:space="720" w:num="1"/>
        </w:sectPr>
      </w:pPr>
    </w:p>
    <w:p w14:paraId="183F770A">
      <w:pPr>
        <w:pStyle w:val="3"/>
        <w:keepNext w:val="0"/>
        <w:keepLines w:val="0"/>
        <w:kinsoku w:val="0"/>
        <w:overflowPunct w:val="0"/>
        <w:bidi w:val="0"/>
        <w:spacing w:line="340" w:lineRule="exact"/>
        <w:ind w:left="144"/>
        <w:rPr>
          <w:rFonts w:hint="eastAsia" w:ascii="宋体" w:hAnsi="宋体" w:eastAsia="宋体" w:cs="宋体"/>
          <w:color w:val="auto"/>
          <w:highlight w:val="none"/>
        </w:rPr>
      </w:pPr>
      <w:bookmarkStart w:id="612" w:name="bookmark125"/>
      <w:bookmarkEnd w:id="612"/>
      <w:bookmarkStart w:id="613" w:name="_Toc27005_WPSOffice_Level2"/>
      <w:r>
        <w:rPr>
          <w:rFonts w:hint="eastAsia" w:ascii="宋体" w:hAnsi="宋体" w:eastAsia="宋体" w:cs="宋体"/>
          <w:b/>
          <w:bCs/>
          <w:color w:val="auto"/>
          <w:highlight w:val="none"/>
        </w:rPr>
        <w:t>附件五主要生活办公设施最低要求</w:t>
      </w:r>
    </w:p>
    <w:p w14:paraId="21CB4E7A">
      <w:pPr>
        <w:pStyle w:val="19"/>
        <w:keepNext w:val="0"/>
        <w:keepLines w:val="0"/>
        <w:bidi w:val="0"/>
        <w:rPr>
          <w:rFonts w:hint="eastAsia" w:ascii="宋体" w:hAnsi="宋体" w:eastAsia="宋体" w:cs="宋体"/>
          <w:color w:val="auto"/>
          <w:highlight w:val="none"/>
        </w:rPr>
      </w:pPr>
    </w:p>
    <w:tbl>
      <w:tblPr>
        <w:tblStyle w:val="21"/>
        <w:tblW w:w="0" w:type="auto"/>
        <w:jc w:val="center"/>
        <w:tblLayout w:type="fixed"/>
        <w:tblCellMar>
          <w:top w:w="0" w:type="dxa"/>
          <w:left w:w="10" w:type="dxa"/>
          <w:bottom w:w="0" w:type="dxa"/>
          <w:right w:w="10" w:type="dxa"/>
        </w:tblCellMar>
      </w:tblPr>
      <w:tblGrid>
        <w:gridCol w:w="745"/>
        <w:gridCol w:w="4904"/>
        <w:gridCol w:w="1036"/>
        <w:gridCol w:w="15"/>
        <w:gridCol w:w="2172"/>
      </w:tblGrid>
      <w:tr w14:paraId="56E5A37E">
        <w:tblPrEx>
          <w:tblCellMar>
            <w:top w:w="0" w:type="dxa"/>
            <w:left w:w="10" w:type="dxa"/>
            <w:bottom w:w="0" w:type="dxa"/>
            <w:right w:w="10" w:type="dxa"/>
          </w:tblCellMar>
        </w:tblPrEx>
        <w:trPr>
          <w:trHeight w:val="598" w:hRule="exact"/>
          <w:jc w:val="center"/>
        </w:trPr>
        <w:tc>
          <w:tcPr>
            <w:tcW w:w="745" w:type="dxa"/>
            <w:tcBorders>
              <w:top w:val="single" w:color="auto" w:sz="4" w:space="0"/>
              <w:left w:val="single" w:color="auto" w:sz="4" w:space="0"/>
            </w:tcBorders>
            <w:noWrap w:val="0"/>
            <w:vAlign w:val="center"/>
          </w:tcPr>
          <w:p w14:paraId="1F34C52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904" w:type="dxa"/>
            <w:tcBorders>
              <w:top w:val="single" w:color="auto" w:sz="4" w:space="0"/>
              <w:left w:val="single" w:color="auto" w:sz="4" w:space="0"/>
            </w:tcBorders>
            <w:noWrap w:val="0"/>
            <w:vAlign w:val="center"/>
          </w:tcPr>
          <w:p w14:paraId="32A9213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设备与设施名称</w:t>
            </w:r>
          </w:p>
        </w:tc>
        <w:tc>
          <w:tcPr>
            <w:tcW w:w="1051" w:type="dxa"/>
            <w:gridSpan w:val="2"/>
            <w:tcBorders>
              <w:top w:val="single" w:color="auto" w:sz="4" w:space="0"/>
              <w:left w:val="single" w:color="auto" w:sz="4" w:space="0"/>
            </w:tcBorders>
            <w:noWrap w:val="0"/>
            <w:vAlign w:val="center"/>
          </w:tcPr>
          <w:p w14:paraId="3EBF5CD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2172" w:type="dxa"/>
            <w:tcBorders>
              <w:top w:val="single" w:color="auto" w:sz="4" w:space="0"/>
              <w:left w:val="single" w:color="auto" w:sz="4" w:space="0"/>
              <w:right w:val="single" w:color="auto" w:sz="4" w:space="0"/>
            </w:tcBorders>
            <w:noWrap w:val="0"/>
            <w:vAlign w:val="center"/>
          </w:tcPr>
          <w:p w14:paraId="2828E30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最低数量要求（台、套）</w:t>
            </w:r>
          </w:p>
        </w:tc>
      </w:tr>
      <w:tr w14:paraId="42119E0A">
        <w:tblPrEx>
          <w:tblCellMar>
            <w:top w:w="0" w:type="dxa"/>
            <w:left w:w="10" w:type="dxa"/>
            <w:bottom w:w="0" w:type="dxa"/>
            <w:right w:w="10" w:type="dxa"/>
          </w:tblCellMar>
        </w:tblPrEx>
        <w:trPr>
          <w:trHeight w:val="340" w:hRule="exact"/>
          <w:jc w:val="center"/>
        </w:trPr>
        <w:tc>
          <w:tcPr>
            <w:tcW w:w="8872" w:type="dxa"/>
            <w:gridSpan w:val="5"/>
            <w:tcBorders>
              <w:top w:val="single" w:color="auto" w:sz="4" w:space="0"/>
              <w:left w:val="single" w:color="auto" w:sz="4" w:space="0"/>
              <w:right w:val="single" w:color="auto" w:sz="4" w:space="0"/>
            </w:tcBorders>
            <w:noWrap w:val="0"/>
            <w:vAlign w:val="center"/>
          </w:tcPr>
          <w:p w14:paraId="3ACE7B0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一、办公设施</w:t>
            </w:r>
          </w:p>
        </w:tc>
      </w:tr>
      <w:tr w14:paraId="1BA39C32">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76BC23E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904" w:type="dxa"/>
            <w:tcBorders>
              <w:top w:val="single" w:color="auto" w:sz="4" w:space="0"/>
              <w:left w:val="single" w:color="auto" w:sz="4" w:space="0"/>
            </w:tcBorders>
            <w:noWrap w:val="0"/>
            <w:vAlign w:val="center"/>
          </w:tcPr>
          <w:p w14:paraId="3639E76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台式计算机</w:t>
            </w:r>
          </w:p>
        </w:tc>
        <w:tc>
          <w:tcPr>
            <w:tcW w:w="1051" w:type="dxa"/>
            <w:gridSpan w:val="2"/>
            <w:tcBorders>
              <w:top w:val="single" w:color="auto" w:sz="4" w:space="0"/>
              <w:left w:val="single" w:color="auto" w:sz="4" w:space="0"/>
            </w:tcBorders>
            <w:noWrap w:val="0"/>
            <w:vAlign w:val="center"/>
          </w:tcPr>
          <w:p w14:paraId="78D7ED5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00E19EA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r>
      <w:tr w14:paraId="570AF9C4">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673C389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904" w:type="dxa"/>
            <w:tcBorders>
              <w:top w:val="single" w:color="auto" w:sz="4" w:space="0"/>
              <w:left w:val="single" w:color="auto" w:sz="4" w:space="0"/>
            </w:tcBorders>
            <w:noWrap w:val="0"/>
            <w:vAlign w:val="center"/>
          </w:tcPr>
          <w:p w14:paraId="4AA5F6C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笔记本电脑</w:t>
            </w:r>
          </w:p>
        </w:tc>
        <w:tc>
          <w:tcPr>
            <w:tcW w:w="1051" w:type="dxa"/>
            <w:gridSpan w:val="2"/>
            <w:tcBorders>
              <w:top w:val="single" w:color="auto" w:sz="4" w:space="0"/>
              <w:left w:val="single" w:color="auto" w:sz="4" w:space="0"/>
            </w:tcBorders>
            <w:noWrap w:val="0"/>
            <w:vAlign w:val="center"/>
          </w:tcPr>
          <w:p w14:paraId="6682775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611A0AB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31E1F1F">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5F0C892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4904" w:type="dxa"/>
            <w:tcBorders>
              <w:top w:val="single" w:color="auto" w:sz="4" w:space="0"/>
              <w:left w:val="single" w:color="auto" w:sz="4" w:space="0"/>
            </w:tcBorders>
            <w:noWrap w:val="0"/>
            <w:vAlign w:val="center"/>
          </w:tcPr>
          <w:p w14:paraId="3B961FD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电话机（有线）</w:t>
            </w:r>
          </w:p>
        </w:tc>
        <w:tc>
          <w:tcPr>
            <w:tcW w:w="1051" w:type="dxa"/>
            <w:gridSpan w:val="2"/>
            <w:tcBorders>
              <w:top w:val="single" w:color="auto" w:sz="4" w:space="0"/>
              <w:left w:val="single" w:color="auto" w:sz="4" w:space="0"/>
            </w:tcBorders>
            <w:noWrap w:val="0"/>
            <w:vAlign w:val="center"/>
          </w:tcPr>
          <w:p w14:paraId="5994AEB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4EB0C9E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63B7B474">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517ED83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4904" w:type="dxa"/>
            <w:tcBorders>
              <w:top w:val="single" w:color="auto" w:sz="4" w:space="0"/>
              <w:left w:val="single" w:color="auto" w:sz="4" w:space="0"/>
            </w:tcBorders>
            <w:noWrap w:val="0"/>
            <w:vAlign w:val="center"/>
          </w:tcPr>
          <w:p w14:paraId="5EDA086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传真机</w:t>
            </w:r>
          </w:p>
        </w:tc>
        <w:tc>
          <w:tcPr>
            <w:tcW w:w="1051" w:type="dxa"/>
            <w:gridSpan w:val="2"/>
            <w:tcBorders>
              <w:top w:val="single" w:color="auto" w:sz="4" w:space="0"/>
              <w:left w:val="single" w:color="auto" w:sz="4" w:space="0"/>
            </w:tcBorders>
            <w:noWrap w:val="0"/>
            <w:vAlign w:val="center"/>
          </w:tcPr>
          <w:p w14:paraId="18F5BC1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6A1D041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357DCC5">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7113841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4904" w:type="dxa"/>
            <w:tcBorders>
              <w:top w:val="single" w:color="auto" w:sz="4" w:space="0"/>
              <w:left w:val="single" w:color="auto" w:sz="4" w:space="0"/>
            </w:tcBorders>
            <w:noWrap w:val="0"/>
            <w:vAlign w:val="center"/>
          </w:tcPr>
          <w:p w14:paraId="75C7D91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激光打印机</w:t>
            </w:r>
          </w:p>
        </w:tc>
        <w:tc>
          <w:tcPr>
            <w:tcW w:w="1051" w:type="dxa"/>
            <w:gridSpan w:val="2"/>
            <w:tcBorders>
              <w:top w:val="single" w:color="auto" w:sz="4" w:space="0"/>
              <w:left w:val="single" w:color="auto" w:sz="4" w:space="0"/>
            </w:tcBorders>
            <w:noWrap w:val="0"/>
            <w:vAlign w:val="center"/>
          </w:tcPr>
          <w:p w14:paraId="7446FFA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64563BE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FAABAE5">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4987DC6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4904" w:type="dxa"/>
            <w:tcBorders>
              <w:top w:val="single" w:color="auto" w:sz="4" w:space="0"/>
              <w:left w:val="single" w:color="auto" w:sz="4" w:space="0"/>
            </w:tcBorders>
            <w:noWrap w:val="0"/>
            <w:vAlign w:val="center"/>
          </w:tcPr>
          <w:p w14:paraId="4FC3E110">
            <w:pPr>
              <w:keepNext w:val="0"/>
              <w:keepLines w:val="0"/>
              <w:bidi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彩色扫描仪（可扫描A3）</w:t>
            </w:r>
          </w:p>
        </w:tc>
        <w:tc>
          <w:tcPr>
            <w:tcW w:w="1051" w:type="dxa"/>
            <w:gridSpan w:val="2"/>
            <w:tcBorders>
              <w:top w:val="single" w:color="auto" w:sz="4" w:space="0"/>
              <w:left w:val="single" w:color="auto" w:sz="4" w:space="0"/>
            </w:tcBorders>
            <w:noWrap w:val="0"/>
            <w:vAlign w:val="center"/>
          </w:tcPr>
          <w:p w14:paraId="1F3E376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0142FC9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AA4677E">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5B70499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4904" w:type="dxa"/>
            <w:tcBorders>
              <w:top w:val="single" w:color="auto" w:sz="4" w:space="0"/>
              <w:left w:val="single" w:color="auto" w:sz="4" w:space="0"/>
            </w:tcBorders>
            <w:noWrap w:val="0"/>
            <w:vAlign w:val="center"/>
          </w:tcPr>
          <w:p w14:paraId="1CCB519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数码摄像机</w:t>
            </w:r>
          </w:p>
        </w:tc>
        <w:tc>
          <w:tcPr>
            <w:tcW w:w="1051" w:type="dxa"/>
            <w:gridSpan w:val="2"/>
            <w:tcBorders>
              <w:top w:val="single" w:color="auto" w:sz="4" w:space="0"/>
              <w:left w:val="single" w:color="auto" w:sz="4" w:space="0"/>
            </w:tcBorders>
            <w:noWrap w:val="0"/>
            <w:vAlign w:val="center"/>
          </w:tcPr>
          <w:p w14:paraId="72573AC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228C9CB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05E1C47">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06A3031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4904" w:type="dxa"/>
            <w:tcBorders>
              <w:top w:val="single" w:color="auto" w:sz="4" w:space="0"/>
              <w:left w:val="single" w:color="auto" w:sz="4" w:space="0"/>
            </w:tcBorders>
            <w:noWrap w:val="0"/>
            <w:vAlign w:val="center"/>
          </w:tcPr>
          <w:p w14:paraId="7F7BFB6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数码相机(1200万像素以上)</w:t>
            </w:r>
          </w:p>
        </w:tc>
        <w:tc>
          <w:tcPr>
            <w:tcW w:w="1051" w:type="dxa"/>
            <w:gridSpan w:val="2"/>
            <w:tcBorders>
              <w:top w:val="single" w:color="auto" w:sz="4" w:space="0"/>
              <w:left w:val="single" w:color="auto" w:sz="4" w:space="0"/>
            </w:tcBorders>
            <w:noWrap w:val="0"/>
            <w:vAlign w:val="center"/>
          </w:tcPr>
          <w:p w14:paraId="198FD83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3FE0C9F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76822DF">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6544E94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4904" w:type="dxa"/>
            <w:tcBorders>
              <w:top w:val="single" w:color="auto" w:sz="4" w:space="0"/>
              <w:left w:val="single" w:color="auto" w:sz="4" w:space="0"/>
            </w:tcBorders>
            <w:noWrap w:val="0"/>
            <w:vAlign w:val="center"/>
          </w:tcPr>
          <w:p w14:paraId="2CBC3F8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复印机(可复印A3)</w:t>
            </w:r>
          </w:p>
        </w:tc>
        <w:tc>
          <w:tcPr>
            <w:tcW w:w="1051" w:type="dxa"/>
            <w:gridSpan w:val="2"/>
            <w:tcBorders>
              <w:top w:val="single" w:color="auto" w:sz="4" w:space="0"/>
              <w:left w:val="single" w:color="auto" w:sz="4" w:space="0"/>
            </w:tcBorders>
            <w:noWrap w:val="0"/>
            <w:vAlign w:val="center"/>
          </w:tcPr>
          <w:p w14:paraId="0DF5C82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22244C1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F97A308">
        <w:tblPrEx>
          <w:tblCellMar>
            <w:top w:w="0" w:type="dxa"/>
            <w:left w:w="10" w:type="dxa"/>
            <w:bottom w:w="0" w:type="dxa"/>
            <w:right w:w="10" w:type="dxa"/>
          </w:tblCellMar>
        </w:tblPrEx>
        <w:trPr>
          <w:trHeight w:val="325" w:hRule="exact"/>
          <w:jc w:val="center"/>
        </w:trPr>
        <w:tc>
          <w:tcPr>
            <w:tcW w:w="8872" w:type="dxa"/>
            <w:gridSpan w:val="5"/>
            <w:tcBorders>
              <w:top w:val="single" w:color="auto" w:sz="4" w:space="0"/>
              <w:left w:val="single" w:color="auto" w:sz="4" w:space="0"/>
              <w:right w:val="single" w:color="auto" w:sz="4" w:space="0"/>
            </w:tcBorders>
            <w:noWrap w:val="0"/>
            <w:vAlign w:val="center"/>
          </w:tcPr>
          <w:p w14:paraId="03EF856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二、交通设施</w:t>
            </w:r>
          </w:p>
        </w:tc>
      </w:tr>
      <w:tr w14:paraId="1987A737">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02AAD8A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904" w:type="dxa"/>
            <w:tcBorders>
              <w:top w:val="single" w:color="auto" w:sz="4" w:space="0"/>
              <w:left w:val="single" w:color="auto" w:sz="4" w:space="0"/>
            </w:tcBorders>
            <w:noWrap w:val="0"/>
            <w:vAlign w:val="center"/>
          </w:tcPr>
          <w:p w14:paraId="2217D07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交通车辆（4驱越野车（行驶里程＜15万km））</w:t>
            </w:r>
          </w:p>
        </w:tc>
        <w:tc>
          <w:tcPr>
            <w:tcW w:w="1051" w:type="dxa"/>
            <w:gridSpan w:val="2"/>
            <w:tcBorders>
              <w:top w:val="single" w:color="auto" w:sz="4" w:space="0"/>
              <w:left w:val="single" w:color="auto" w:sz="4" w:space="0"/>
            </w:tcBorders>
            <w:noWrap w:val="0"/>
            <w:vAlign w:val="center"/>
          </w:tcPr>
          <w:p w14:paraId="5A303B4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辆</w:t>
            </w:r>
          </w:p>
        </w:tc>
        <w:tc>
          <w:tcPr>
            <w:tcW w:w="2172" w:type="dxa"/>
            <w:tcBorders>
              <w:top w:val="single" w:color="auto" w:sz="4" w:space="0"/>
              <w:left w:val="single" w:color="auto" w:sz="4" w:space="0"/>
              <w:right w:val="single" w:color="auto" w:sz="4" w:space="0"/>
            </w:tcBorders>
            <w:noWrap w:val="0"/>
            <w:vAlign w:val="center"/>
          </w:tcPr>
          <w:p w14:paraId="65E50A2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8653858">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bottom w:val="single" w:color="auto" w:sz="4" w:space="0"/>
            </w:tcBorders>
            <w:noWrap w:val="0"/>
            <w:vAlign w:val="center"/>
          </w:tcPr>
          <w:p w14:paraId="7DEAD82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904" w:type="dxa"/>
            <w:tcBorders>
              <w:top w:val="single" w:color="auto" w:sz="4" w:space="0"/>
              <w:left w:val="single" w:color="auto" w:sz="4" w:space="0"/>
              <w:bottom w:val="single" w:color="auto" w:sz="4" w:space="0"/>
            </w:tcBorders>
            <w:noWrap w:val="0"/>
            <w:vAlign w:val="center"/>
          </w:tcPr>
          <w:p w14:paraId="2367360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双排人货车</w:t>
            </w:r>
          </w:p>
        </w:tc>
        <w:tc>
          <w:tcPr>
            <w:tcW w:w="1051" w:type="dxa"/>
            <w:gridSpan w:val="2"/>
            <w:tcBorders>
              <w:top w:val="single" w:color="auto" w:sz="4" w:space="0"/>
              <w:left w:val="single" w:color="auto" w:sz="4" w:space="0"/>
              <w:bottom w:val="single" w:color="auto" w:sz="4" w:space="0"/>
            </w:tcBorders>
            <w:noWrap w:val="0"/>
            <w:vAlign w:val="center"/>
          </w:tcPr>
          <w:p w14:paraId="1CB05DD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辆</w:t>
            </w:r>
          </w:p>
        </w:tc>
        <w:tc>
          <w:tcPr>
            <w:tcW w:w="2172" w:type="dxa"/>
            <w:tcBorders>
              <w:top w:val="single" w:color="auto" w:sz="4" w:space="0"/>
              <w:left w:val="single" w:color="auto" w:sz="4" w:space="0"/>
              <w:bottom w:val="single" w:color="auto" w:sz="4" w:space="0"/>
              <w:right w:val="single" w:color="auto" w:sz="4" w:space="0"/>
            </w:tcBorders>
            <w:noWrap w:val="0"/>
            <w:vAlign w:val="center"/>
          </w:tcPr>
          <w:p w14:paraId="52FD8DB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15F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0" w:hRule="exact"/>
          <w:jc w:val="center"/>
        </w:trPr>
        <w:tc>
          <w:tcPr>
            <w:tcW w:w="8872" w:type="dxa"/>
            <w:gridSpan w:val="5"/>
            <w:noWrap w:val="0"/>
            <w:vAlign w:val="center"/>
          </w:tcPr>
          <w:p w14:paraId="1E5B48BA">
            <w:pPr>
              <w:keepNext w:val="0"/>
              <w:keepLines w:val="0"/>
              <w:tabs>
                <w:tab w:val="left" w:pos="6447"/>
              </w:tabs>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三、办公、生活用房</w:t>
            </w:r>
          </w:p>
        </w:tc>
      </w:tr>
      <w:tr w14:paraId="570B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exact"/>
          <w:jc w:val="center"/>
        </w:trPr>
        <w:tc>
          <w:tcPr>
            <w:tcW w:w="745" w:type="dxa"/>
            <w:noWrap w:val="0"/>
            <w:vAlign w:val="center"/>
          </w:tcPr>
          <w:p w14:paraId="7EF299A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904" w:type="dxa"/>
            <w:noWrap w:val="0"/>
            <w:vAlign w:val="center"/>
          </w:tcPr>
          <w:p w14:paraId="5AA016B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会议室</w:t>
            </w:r>
          </w:p>
        </w:tc>
        <w:tc>
          <w:tcPr>
            <w:tcW w:w="1036" w:type="dxa"/>
            <w:noWrap w:val="0"/>
            <w:vAlign w:val="center"/>
          </w:tcPr>
          <w:p w14:paraId="0319A02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187" w:type="dxa"/>
            <w:gridSpan w:val="2"/>
            <w:noWrap w:val="0"/>
            <w:vAlign w:val="center"/>
          </w:tcPr>
          <w:p w14:paraId="3A10CD6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w:t>
            </w:r>
          </w:p>
        </w:tc>
      </w:tr>
      <w:tr w14:paraId="057F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exact"/>
          <w:jc w:val="center"/>
        </w:trPr>
        <w:tc>
          <w:tcPr>
            <w:tcW w:w="745" w:type="dxa"/>
            <w:noWrap w:val="0"/>
            <w:vAlign w:val="center"/>
          </w:tcPr>
          <w:p w14:paraId="37B0B76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904" w:type="dxa"/>
            <w:noWrap w:val="0"/>
            <w:vAlign w:val="center"/>
          </w:tcPr>
          <w:p w14:paraId="3FCF968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综合办公室</w:t>
            </w:r>
          </w:p>
        </w:tc>
        <w:tc>
          <w:tcPr>
            <w:tcW w:w="1036" w:type="dxa"/>
            <w:noWrap w:val="0"/>
            <w:vAlign w:val="center"/>
          </w:tcPr>
          <w:p w14:paraId="6D690D1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187" w:type="dxa"/>
            <w:gridSpan w:val="2"/>
            <w:noWrap w:val="0"/>
            <w:vAlign w:val="center"/>
          </w:tcPr>
          <w:p w14:paraId="273EACE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r>
      <w:tr w14:paraId="7FDA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exact"/>
          <w:jc w:val="center"/>
        </w:trPr>
        <w:tc>
          <w:tcPr>
            <w:tcW w:w="745" w:type="dxa"/>
            <w:noWrap w:val="0"/>
            <w:vAlign w:val="center"/>
          </w:tcPr>
          <w:p w14:paraId="04AC843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4904" w:type="dxa"/>
            <w:noWrap w:val="0"/>
            <w:vAlign w:val="center"/>
          </w:tcPr>
          <w:p w14:paraId="1159F4E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档案室</w:t>
            </w:r>
          </w:p>
        </w:tc>
        <w:tc>
          <w:tcPr>
            <w:tcW w:w="1036" w:type="dxa"/>
            <w:noWrap w:val="0"/>
            <w:vAlign w:val="center"/>
          </w:tcPr>
          <w:p w14:paraId="6A3C021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187" w:type="dxa"/>
            <w:gridSpan w:val="2"/>
            <w:noWrap w:val="0"/>
            <w:vAlign w:val="center"/>
          </w:tcPr>
          <w:p w14:paraId="1A73810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r>
    </w:tbl>
    <w:p w14:paraId="418C9E02">
      <w:pPr>
        <w:keepNext w:val="0"/>
        <w:keepLines w:val="0"/>
        <w:bidi w:val="0"/>
        <w:jc w:val="left"/>
        <w:rPr>
          <w:rFonts w:hint="eastAsia" w:ascii="宋体" w:hAnsi="宋体" w:eastAsia="宋体" w:cs="宋体"/>
          <w:color w:val="auto"/>
          <w:highlight w:val="none"/>
        </w:rPr>
      </w:pPr>
      <w:r>
        <w:rPr>
          <w:rFonts w:hint="eastAsia" w:ascii="宋体" w:hAnsi="宋体" w:eastAsia="宋体" w:cs="宋体"/>
          <w:color w:val="auto"/>
          <w:kern w:val="0"/>
          <w:sz w:val="20"/>
          <w:highlight w:val="none"/>
          <w:lang w:bidi="ar"/>
        </w:rPr>
        <w:t>注：</w:t>
      </w:r>
    </w:p>
    <w:p w14:paraId="63EA971A">
      <w:pPr>
        <w:keepNext w:val="0"/>
        <w:keepLines w:val="0"/>
        <w:bidi w:val="0"/>
        <w:jc w:val="left"/>
        <w:rPr>
          <w:rFonts w:hint="eastAsia" w:ascii="宋体" w:hAnsi="宋体" w:eastAsia="宋体" w:cs="宋体"/>
          <w:color w:val="auto"/>
          <w:highlight w:val="none"/>
        </w:rPr>
      </w:pPr>
      <w:r>
        <w:rPr>
          <w:rFonts w:hint="eastAsia" w:ascii="宋体" w:hAnsi="宋体" w:eastAsia="宋体" w:cs="宋体"/>
          <w:color w:val="auto"/>
          <w:kern w:val="0"/>
          <w:sz w:val="20"/>
          <w:highlight w:val="none"/>
          <w:lang w:bidi="ar"/>
        </w:rPr>
        <w:t>1、本表数量为最低要求，办公生活用房应执行省交通运输厅对高速公路标准化管理的规定。</w:t>
      </w:r>
    </w:p>
    <w:p w14:paraId="7147108C">
      <w:pPr>
        <w:keepNext w:val="0"/>
        <w:keepLines w:val="0"/>
        <w:bidi w:val="0"/>
        <w:jc w:val="left"/>
        <w:rPr>
          <w:rFonts w:hint="eastAsia" w:ascii="宋体" w:hAnsi="宋体" w:eastAsia="宋体" w:cs="宋体"/>
          <w:color w:val="auto"/>
          <w:highlight w:val="none"/>
        </w:rPr>
      </w:pPr>
      <w:r>
        <w:rPr>
          <w:rFonts w:hint="eastAsia" w:ascii="宋体" w:hAnsi="宋体" w:eastAsia="宋体" w:cs="宋体"/>
          <w:color w:val="auto"/>
          <w:kern w:val="0"/>
          <w:sz w:val="20"/>
          <w:highlight w:val="none"/>
          <w:lang w:bidi="ar"/>
        </w:rPr>
        <w:t>2、监理驻地需与网络连接，充分考虑可视化管理的手段，网络流量达10M以上。</w:t>
      </w:r>
    </w:p>
    <w:p w14:paraId="2F3ECABE">
      <w:pPr>
        <w:pStyle w:val="19"/>
        <w:keepNext w:val="0"/>
        <w:keepLines w:val="0"/>
        <w:bidi w:val="0"/>
        <w:rPr>
          <w:rFonts w:hint="eastAsia" w:ascii="宋体" w:hAnsi="宋体" w:eastAsia="宋体" w:cs="宋体"/>
          <w:color w:val="auto"/>
          <w:highlight w:val="none"/>
        </w:rPr>
      </w:pPr>
    </w:p>
    <w:p w14:paraId="623625EA">
      <w:pPr>
        <w:pStyle w:val="19"/>
        <w:keepNext w:val="0"/>
        <w:keepLines w:val="0"/>
        <w:bidi w:val="0"/>
        <w:rPr>
          <w:rFonts w:hint="eastAsia" w:ascii="宋体" w:hAnsi="宋体" w:eastAsia="宋体" w:cs="宋体"/>
          <w:color w:val="auto"/>
          <w:highlight w:val="none"/>
        </w:rPr>
      </w:pPr>
    </w:p>
    <w:p w14:paraId="724D7DE1">
      <w:pPr>
        <w:pStyle w:val="19"/>
        <w:keepNext w:val="0"/>
        <w:keepLines w:val="0"/>
        <w:bidi w:val="0"/>
        <w:rPr>
          <w:rFonts w:hint="eastAsia" w:ascii="宋体" w:hAnsi="宋体" w:eastAsia="宋体" w:cs="宋体"/>
          <w:color w:val="auto"/>
          <w:highlight w:val="none"/>
        </w:rPr>
      </w:pPr>
    </w:p>
    <w:p w14:paraId="028BE701">
      <w:pPr>
        <w:pStyle w:val="19"/>
        <w:keepNext w:val="0"/>
        <w:keepLines w:val="0"/>
        <w:bidi w:val="0"/>
        <w:rPr>
          <w:rFonts w:hint="eastAsia" w:ascii="宋体" w:hAnsi="宋体" w:eastAsia="宋体" w:cs="宋体"/>
          <w:color w:val="auto"/>
          <w:highlight w:val="none"/>
        </w:rPr>
      </w:pPr>
    </w:p>
    <w:p w14:paraId="1B69CDC5">
      <w:pPr>
        <w:pStyle w:val="19"/>
        <w:keepNext w:val="0"/>
        <w:keepLines w:val="0"/>
        <w:bidi w:val="0"/>
        <w:rPr>
          <w:rFonts w:hint="eastAsia" w:ascii="宋体" w:hAnsi="宋体" w:eastAsia="宋体" w:cs="宋体"/>
          <w:color w:val="auto"/>
          <w:highlight w:val="none"/>
        </w:rPr>
      </w:pPr>
    </w:p>
    <w:p w14:paraId="126EDB92">
      <w:pPr>
        <w:pStyle w:val="19"/>
        <w:keepNext w:val="0"/>
        <w:keepLines w:val="0"/>
        <w:bidi w:val="0"/>
        <w:rPr>
          <w:rFonts w:hint="eastAsia" w:ascii="宋体" w:hAnsi="宋体" w:eastAsia="宋体" w:cs="宋体"/>
          <w:color w:val="auto"/>
          <w:highlight w:val="none"/>
        </w:rPr>
      </w:pPr>
    </w:p>
    <w:p w14:paraId="1966744C">
      <w:pPr>
        <w:pStyle w:val="19"/>
        <w:keepNext w:val="0"/>
        <w:keepLines w:val="0"/>
        <w:bidi w:val="0"/>
        <w:rPr>
          <w:rFonts w:hint="eastAsia" w:ascii="宋体" w:hAnsi="宋体" w:eastAsia="宋体" w:cs="宋体"/>
          <w:color w:val="auto"/>
          <w:highlight w:val="none"/>
        </w:rPr>
      </w:pPr>
    </w:p>
    <w:p w14:paraId="7F4DB673">
      <w:pPr>
        <w:pStyle w:val="19"/>
        <w:keepNext w:val="0"/>
        <w:keepLines w:val="0"/>
        <w:bidi w:val="0"/>
        <w:rPr>
          <w:rFonts w:hint="eastAsia" w:ascii="宋体" w:hAnsi="宋体" w:eastAsia="宋体" w:cs="宋体"/>
          <w:color w:val="auto"/>
          <w:highlight w:val="none"/>
        </w:rPr>
      </w:pPr>
    </w:p>
    <w:p w14:paraId="3619DDC6">
      <w:pPr>
        <w:pStyle w:val="19"/>
        <w:keepNext w:val="0"/>
        <w:keepLines w:val="0"/>
        <w:bidi w:val="0"/>
        <w:rPr>
          <w:rFonts w:hint="eastAsia" w:ascii="宋体" w:hAnsi="宋体" w:eastAsia="宋体" w:cs="宋体"/>
          <w:color w:val="auto"/>
          <w:highlight w:val="none"/>
        </w:rPr>
      </w:pPr>
    </w:p>
    <w:p w14:paraId="7CA9509E">
      <w:pPr>
        <w:pStyle w:val="19"/>
        <w:keepNext w:val="0"/>
        <w:keepLines w:val="0"/>
        <w:bidi w:val="0"/>
        <w:rPr>
          <w:rFonts w:hint="eastAsia" w:ascii="宋体" w:hAnsi="宋体" w:eastAsia="宋体" w:cs="宋体"/>
          <w:color w:val="auto"/>
          <w:highlight w:val="none"/>
        </w:rPr>
      </w:pPr>
    </w:p>
    <w:p w14:paraId="2DD93D12">
      <w:pPr>
        <w:pStyle w:val="3"/>
        <w:keepNext w:val="0"/>
        <w:keepLines w:val="0"/>
        <w:kinsoku w:val="0"/>
        <w:overflowPunct w:val="0"/>
        <w:bidi w:val="0"/>
        <w:spacing w:line="340" w:lineRule="exact"/>
        <w:ind w:left="144"/>
        <w:rPr>
          <w:rFonts w:hint="eastAsia" w:ascii="宋体" w:hAnsi="宋体" w:eastAsia="宋体" w:cs="宋体"/>
          <w:color w:val="auto"/>
          <w:highlight w:val="none"/>
        </w:rPr>
      </w:pPr>
    </w:p>
    <w:p w14:paraId="52411145">
      <w:pPr>
        <w:pStyle w:val="3"/>
        <w:keepNext w:val="0"/>
        <w:keepLines w:val="0"/>
        <w:kinsoku w:val="0"/>
        <w:overflowPunct w:val="0"/>
        <w:bidi w:val="0"/>
        <w:spacing w:line="340" w:lineRule="exact"/>
        <w:ind w:left="144"/>
        <w:rPr>
          <w:rFonts w:hint="eastAsia" w:ascii="宋体" w:hAnsi="宋体" w:eastAsia="宋体" w:cs="宋体"/>
          <w:b/>
          <w:bCs/>
          <w:color w:val="auto"/>
          <w:highlight w:val="none"/>
        </w:rPr>
      </w:pPr>
      <w:r>
        <w:rPr>
          <w:rFonts w:hint="eastAsia" w:ascii="宋体" w:hAnsi="宋体" w:eastAsia="宋体" w:cs="宋体"/>
          <w:b/>
          <w:bCs/>
          <w:color w:val="auto"/>
          <w:highlight w:val="none"/>
        </w:rPr>
        <w:t>附件六履约保证金格式</w:t>
      </w:r>
      <w:bookmarkEnd w:id="613"/>
    </w:p>
    <w:p w14:paraId="22B062CF">
      <w:pPr>
        <w:pStyle w:val="3"/>
        <w:keepNext w:val="0"/>
        <w:keepLines w:val="0"/>
        <w:kinsoku w:val="0"/>
        <w:overflowPunct w:val="0"/>
        <w:bidi w:val="0"/>
        <w:spacing w:before="44"/>
        <w:ind w:left="144"/>
        <w:rPr>
          <w:rFonts w:hint="eastAsia" w:ascii="宋体" w:hAnsi="宋体" w:eastAsia="宋体" w:cs="宋体"/>
          <w:b/>
          <w:bCs/>
          <w:color w:val="auto"/>
          <w:highlight w:val="none"/>
        </w:rPr>
      </w:pPr>
      <w:r>
        <w:rPr>
          <w:rFonts w:hint="eastAsia" w:ascii="宋体" w:hAnsi="宋体" w:eastAsia="宋体" w:cs="宋体"/>
          <w:b/>
          <w:bCs/>
          <w:color w:val="auto"/>
          <w:highlight w:val="none"/>
        </w:rPr>
        <w:t>如采用银行保函，格式如下。</w:t>
      </w:r>
    </w:p>
    <w:p w14:paraId="33E4B02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4B6BDCF">
      <w:pPr>
        <w:keepNext w:val="0"/>
        <w:keepLines w:val="0"/>
        <w:widowControl w:val="0"/>
        <w:kinsoku w:val="0"/>
        <w:overflowPunct w:val="0"/>
        <w:autoSpaceDE w:val="0"/>
        <w:autoSpaceDN w:val="0"/>
        <w:bidi w:val="0"/>
        <w:adjustRightInd w:val="0"/>
        <w:spacing w:before="12" w:line="200" w:lineRule="exact"/>
        <w:jc w:val="left"/>
        <w:rPr>
          <w:rFonts w:hint="eastAsia" w:ascii="宋体" w:hAnsi="宋体" w:eastAsia="宋体" w:cs="宋体"/>
          <w:color w:val="auto"/>
          <w:sz w:val="20"/>
          <w:highlight w:val="none"/>
        </w:rPr>
      </w:pPr>
    </w:p>
    <w:p w14:paraId="2AB082CB">
      <w:pPr>
        <w:keepNext w:val="0"/>
        <w:keepLines w:val="0"/>
        <w:widowControl w:val="0"/>
        <w:kinsoku w:val="0"/>
        <w:overflowPunct w:val="0"/>
        <w:autoSpaceDE w:val="0"/>
        <w:autoSpaceDN w:val="0"/>
        <w:bidi w:val="0"/>
        <w:adjustRightInd w:val="0"/>
        <w:spacing w:line="381" w:lineRule="exact"/>
        <w:ind w:right="78"/>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rPr>
        <w:t>履约保</w:t>
      </w:r>
      <w:r>
        <w:rPr>
          <w:rFonts w:hint="eastAsia" w:ascii="宋体" w:hAnsi="宋体" w:eastAsia="宋体" w:cs="宋体"/>
          <w:color w:val="auto"/>
          <w:spacing w:val="-3"/>
          <w:sz w:val="28"/>
          <w:highlight w:val="none"/>
        </w:rPr>
        <w:t>证</w:t>
      </w:r>
      <w:r>
        <w:rPr>
          <w:rFonts w:hint="eastAsia" w:ascii="宋体" w:hAnsi="宋体" w:eastAsia="宋体" w:cs="宋体"/>
          <w:color w:val="auto"/>
          <w:sz w:val="28"/>
          <w:highlight w:val="none"/>
        </w:rPr>
        <w:t>金</w:t>
      </w:r>
    </w:p>
    <w:p w14:paraId="6D80112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76D8DD3">
      <w:pPr>
        <w:keepNext w:val="0"/>
        <w:keepLines w:val="0"/>
        <w:widowControl w:val="0"/>
        <w:kinsoku w:val="0"/>
        <w:overflowPunct w:val="0"/>
        <w:autoSpaceDE w:val="0"/>
        <w:autoSpaceDN w:val="0"/>
        <w:bidi w:val="0"/>
        <w:adjustRightInd w:val="0"/>
        <w:spacing w:before="8" w:line="260" w:lineRule="exact"/>
        <w:jc w:val="left"/>
        <w:rPr>
          <w:rFonts w:hint="eastAsia" w:ascii="宋体" w:hAnsi="宋体" w:eastAsia="宋体" w:cs="宋体"/>
          <w:color w:val="auto"/>
          <w:sz w:val="26"/>
          <w:highlight w:val="none"/>
        </w:rPr>
      </w:pPr>
    </w:p>
    <w:p w14:paraId="7333BA6D">
      <w:pPr>
        <w:keepNext w:val="0"/>
        <w:keepLines w:val="0"/>
        <w:widowControl w:val="0"/>
        <w:tabs>
          <w:tab w:val="left" w:pos="2484"/>
        </w:tabs>
        <w:kinsoku w:val="0"/>
        <w:overflowPunct w:val="0"/>
        <w:autoSpaceDE w:val="0"/>
        <w:autoSpaceDN w:val="0"/>
        <w:bidi w:val="0"/>
        <w:adjustRightInd w:val="0"/>
        <w:spacing w:before="34"/>
        <w:ind w:left="26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（委托人名称</w:t>
      </w:r>
      <w:r>
        <w:rPr>
          <w:rFonts w:hint="eastAsia" w:ascii="宋体" w:hAnsi="宋体" w:eastAsia="宋体" w:cs="宋体"/>
          <w:color w:val="auto"/>
          <w:spacing w:val="-120"/>
          <w:sz w:val="24"/>
          <w:szCs w:val="24"/>
          <w:highlight w:val="none"/>
        </w:rPr>
        <w:t>）</w:t>
      </w:r>
      <w:r>
        <w:rPr>
          <w:rFonts w:hint="eastAsia" w:ascii="宋体" w:hAnsi="宋体" w:eastAsia="宋体" w:cs="宋体"/>
          <w:color w:val="auto"/>
          <w:sz w:val="24"/>
          <w:szCs w:val="24"/>
          <w:highlight w:val="none"/>
        </w:rPr>
        <w:t>：</w:t>
      </w:r>
    </w:p>
    <w:p w14:paraId="75E69DF0">
      <w:pPr>
        <w:keepNext w:val="0"/>
        <w:keepLines w:val="0"/>
        <w:widowControl w:val="0"/>
        <w:kinsoku w:val="0"/>
        <w:overflowPunct w:val="0"/>
        <w:autoSpaceDE w:val="0"/>
        <w:autoSpaceDN w:val="0"/>
        <w:bidi w:val="0"/>
        <w:adjustRightInd w:val="0"/>
        <w:spacing w:before="1"/>
        <w:rPr>
          <w:rFonts w:hint="eastAsia" w:ascii="宋体" w:hAnsi="宋体" w:eastAsia="宋体" w:cs="宋体"/>
          <w:color w:val="auto"/>
          <w:sz w:val="37"/>
          <w:szCs w:val="24"/>
          <w:highlight w:val="none"/>
        </w:rPr>
      </w:pPr>
    </w:p>
    <w:p w14:paraId="707EF58F">
      <w:pPr>
        <w:keepNext w:val="0"/>
        <w:keepLines w:val="0"/>
        <w:widowControl w:val="0"/>
        <w:tabs>
          <w:tab w:val="left" w:pos="3130"/>
          <w:tab w:val="left" w:pos="6764"/>
          <w:tab w:val="left" w:pos="8341"/>
        </w:tabs>
        <w:kinsoku w:val="0"/>
        <w:overflowPunct w:val="0"/>
        <w:autoSpaceDE w:val="0"/>
        <w:autoSpaceDN w:val="0"/>
        <w:bidi w:val="0"/>
        <w:adjustRightInd w:val="0"/>
        <w:spacing w:line="295" w:lineRule="auto"/>
        <w:ind w:left="144" w:right="222" w:firstLine="59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（委托人名称</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以下简称“委托人</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接受</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（监理</w:t>
      </w:r>
      <w:r>
        <w:rPr>
          <w:rFonts w:hint="eastAsia" w:ascii="宋体" w:hAnsi="宋体" w:eastAsia="宋体" w:cs="宋体"/>
          <w:color w:val="auto"/>
          <w:spacing w:val="-1"/>
          <w:sz w:val="24"/>
          <w:szCs w:val="24"/>
          <w:highlight w:val="none"/>
        </w:rPr>
        <w:t>人</w:t>
      </w:r>
      <w:r>
        <w:rPr>
          <w:rFonts w:hint="eastAsia" w:ascii="宋体" w:hAnsi="宋体" w:eastAsia="宋体" w:cs="宋体"/>
          <w:color w:val="auto"/>
          <w:sz w:val="24"/>
          <w:szCs w:val="24"/>
          <w:highlight w:val="none"/>
        </w:rPr>
        <w:t>名称</w:t>
      </w:r>
      <w:r>
        <w:rPr>
          <w:rFonts w:hint="eastAsia" w:ascii="宋体" w:hAnsi="宋体" w:eastAsia="宋体" w:cs="宋体"/>
          <w:color w:val="auto"/>
          <w:spacing w:val="-226"/>
          <w:sz w:val="24"/>
          <w:szCs w:val="24"/>
          <w:highlight w:val="none"/>
        </w:rPr>
        <w:t>）</w:t>
      </w:r>
      <w:r>
        <w:rPr>
          <w:rFonts w:hint="eastAsia" w:ascii="宋体" w:hAnsi="宋体" w:eastAsia="宋体" w:cs="宋体"/>
          <w:color w:val="auto"/>
          <w:sz w:val="24"/>
          <w:szCs w:val="24"/>
          <w:highlight w:val="none"/>
        </w:rPr>
        <w:t>（以下称</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监</w:t>
      </w:r>
      <w:r>
        <w:rPr>
          <w:rFonts w:hint="eastAsia" w:ascii="宋体" w:hAnsi="宋体" w:eastAsia="宋体" w:cs="宋体"/>
          <w:color w:val="auto"/>
          <w:sz w:val="24"/>
          <w:szCs w:val="24"/>
          <w:highlight w:val="none"/>
        </w:rPr>
        <w:t>理人</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06"/>
          <w:sz w:val="24"/>
          <w:szCs w:val="24"/>
          <w:highlight w:val="none"/>
        </w:rPr>
        <w:t>）</w:t>
      </w:r>
      <w:r>
        <w:rPr>
          <w:rFonts w:hint="eastAsia" w:ascii="宋体" w:hAnsi="宋体" w:eastAsia="宋体" w:cs="宋体"/>
          <w:color w:val="auto"/>
          <w:sz w:val="24"/>
          <w:szCs w:val="24"/>
          <w:highlight w:val="none"/>
        </w:rPr>
        <w:t>于年月日参加</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pacing w:val="1"/>
          <w:sz w:val="24"/>
          <w:szCs w:val="24"/>
          <w:highlight w:val="none"/>
        </w:rPr>
        <w:t>项</w:t>
      </w:r>
      <w:r>
        <w:rPr>
          <w:rFonts w:hint="eastAsia" w:ascii="宋体" w:hAnsi="宋体" w:eastAsia="宋体" w:cs="宋体"/>
          <w:color w:val="auto"/>
          <w:sz w:val="24"/>
          <w:szCs w:val="24"/>
          <w:highlight w:val="none"/>
        </w:rPr>
        <w:t>目名称）标段施工监理的投标。我方愿意无条件地、不可撤销地就监理人履行与你方订立的合同，向你方提供担保。</w:t>
      </w:r>
    </w:p>
    <w:p w14:paraId="35B89C12">
      <w:pPr>
        <w:keepNext w:val="0"/>
        <w:keepLines w:val="0"/>
        <w:widowControl w:val="0"/>
        <w:numPr>
          <w:ilvl w:val="0"/>
          <w:numId w:val="0"/>
        </w:numPr>
        <w:tabs>
          <w:tab w:val="left" w:pos="925"/>
          <w:tab w:val="left" w:pos="5540"/>
          <w:tab w:val="left" w:pos="7765"/>
        </w:tabs>
        <w:kinsoku w:val="0"/>
        <w:overflowPunct w:val="0"/>
        <w:autoSpaceDE w:val="0"/>
        <w:autoSpaceDN w:val="0"/>
        <w:bidi w:val="0"/>
        <w:adjustRightInd w:val="0"/>
        <w:spacing w:before="31"/>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担保金额人民币（大写）</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pacing w:val="-120"/>
          <w:sz w:val="24"/>
          <w:szCs w:val="24"/>
          <w:highlight w:val="none"/>
        </w:rPr>
        <w:t>）</w:t>
      </w:r>
      <w:r>
        <w:rPr>
          <w:rFonts w:hint="eastAsia" w:ascii="宋体" w:hAnsi="宋体" w:eastAsia="宋体" w:cs="宋体"/>
          <w:color w:val="auto"/>
          <w:sz w:val="24"/>
          <w:szCs w:val="24"/>
          <w:highlight w:val="none"/>
        </w:rPr>
        <w:t>。</w:t>
      </w:r>
    </w:p>
    <w:p w14:paraId="242C1D7B">
      <w:pPr>
        <w:keepNext w:val="0"/>
        <w:keepLines w:val="0"/>
        <w:widowControl w:val="0"/>
        <w:numPr>
          <w:ilvl w:val="0"/>
          <w:numId w:val="0"/>
        </w:numPr>
        <w:tabs>
          <w:tab w:val="left" w:pos="932"/>
        </w:tabs>
        <w:kinsoku w:val="0"/>
        <w:overflowPunct w:val="0"/>
        <w:autoSpaceDE w:val="0"/>
        <w:autoSpaceDN w:val="0"/>
        <w:bidi w:val="0"/>
        <w:adjustRightInd w:val="0"/>
        <w:spacing w:before="66" w:line="280" w:lineRule="auto"/>
        <w:ind w:right="215" w:rightChars="0" w:firstLine="472"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2.</w:t>
      </w:r>
      <w:r>
        <w:rPr>
          <w:rFonts w:hint="eastAsia" w:ascii="宋体" w:hAnsi="宋体" w:eastAsia="宋体" w:cs="宋体"/>
          <w:color w:val="auto"/>
          <w:spacing w:val="-2"/>
          <w:sz w:val="24"/>
          <w:szCs w:val="24"/>
          <w:highlight w:val="none"/>
        </w:rPr>
        <w:t>担保有效期自委托人与监理人签订的合同生效之日起至委托人签发交工验收证书且监理人按照合同约定提交缺陷责任期保函之日止。</w:t>
      </w:r>
    </w:p>
    <w:p w14:paraId="513839EA">
      <w:pPr>
        <w:keepNext w:val="0"/>
        <w:keepLines w:val="0"/>
        <w:widowControl w:val="0"/>
        <w:numPr>
          <w:ilvl w:val="0"/>
          <w:numId w:val="0"/>
        </w:numPr>
        <w:tabs>
          <w:tab w:val="left" w:pos="925"/>
        </w:tabs>
        <w:kinsoku w:val="0"/>
        <w:overflowPunct w:val="0"/>
        <w:autoSpaceDE w:val="0"/>
        <w:autoSpaceDN w:val="0"/>
        <w:bidi w:val="0"/>
        <w:adjustRightInd w:val="0"/>
        <w:spacing w:before="38" w:line="288" w:lineRule="auto"/>
        <w:ind w:right="199" w:righ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在本担保有效期内，因监理人违反合同约定的义务给你方造成经济损失时，</w:t>
      </w:r>
      <w:r>
        <w:rPr>
          <w:rFonts w:hint="eastAsia" w:ascii="宋体" w:hAnsi="宋体" w:eastAsia="宋体" w:cs="宋体"/>
          <w:color w:val="auto"/>
          <w:spacing w:val="-2"/>
          <w:sz w:val="24"/>
          <w:szCs w:val="24"/>
          <w:highlight w:val="none"/>
        </w:rPr>
        <w:t>我方在收到你方以书面形式提出的在担保金额内的赔偿要求后，在</w:t>
      </w:r>
      <w:r>
        <w:rPr>
          <w:rFonts w:hint="eastAsia" w:ascii="宋体" w:hAnsi="宋体" w:eastAsia="宋体" w:cs="宋体"/>
          <w:color w:val="auto"/>
          <w:sz w:val="24"/>
          <w:szCs w:val="24"/>
          <w:highlight w:val="none"/>
        </w:rPr>
        <w:t>7天内无条件支付，无须你方出具证明或陈述理由。</w:t>
      </w:r>
    </w:p>
    <w:p w14:paraId="6CEC37A4">
      <w:pPr>
        <w:pStyle w:val="3"/>
        <w:keepNext w:val="0"/>
        <w:keepLines w:val="0"/>
        <w:kinsoku w:val="0"/>
        <w:overflowPunct w:val="0"/>
        <w:bidi w:val="0"/>
        <w:spacing w:before="28"/>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szCs w:val="24"/>
          <w:highlight w:val="none"/>
          <w:lang w:val="en-US" w:eastAsia="zh-CN"/>
        </w:rPr>
        <w:t>4.</w:t>
      </w:r>
      <w:r>
        <w:rPr>
          <w:rFonts w:hint="eastAsia" w:ascii="宋体" w:hAnsi="宋体" w:eastAsia="宋体" w:cs="宋体"/>
          <w:color w:val="auto"/>
          <w:szCs w:val="24"/>
          <w:highlight w:val="none"/>
        </w:rPr>
        <w:t>委托人和监理人按合同条款变更合同时，我方承担本担保规定的义务不变。</w:t>
      </w:r>
    </w:p>
    <w:p w14:paraId="0E827C4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874252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AC2173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185D53E">
      <w:pPr>
        <w:keepNext w:val="0"/>
        <w:keepLines w:val="0"/>
        <w:widowControl w:val="0"/>
        <w:kinsoku w:val="0"/>
        <w:overflowPunct w:val="0"/>
        <w:autoSpaceDE w:val="0"/>
        <w:autoSpaceDN w:val="0"/>
        <w:bidi w:val="0"/>
        <w:adjustRightInd w:val="0"/>
        <w:spacing w:before="8" w:line="220" w:lineRule="exact"/>
        <w:jc w:val="left"/>
        <w:rPr>
          <w:rFonts w:hint="eastAsia" w:ascii="宋体" w:hAnsi="宋体" w:eastAsia="宋体" w:cs="宋体"/>
          <w:color w:val="auto"/>
          <w:sz w:val="22"/>
          <w:highlight w:val="none"/>
        </w:rPr>
      </w:pPr>
    </w:p>
    <w:p w14:paraId="71C3CA10">
      <w:pPr>
        <w:pStyle w:val="3"/>
        <w:keepNext w:val="0"/>
        <w:keepLines w:val="0"/>
        <w:tabs>
          <w:tab w:val="left" w:pos="4361"/>
          <w:tab w:val="left" w:pos="7501"/>
          <w:tab w:val="left" w:pos="7981"/>
          <w:tab w:val="left" w:pos="8545"/>
        </w:tabs>
        <w:kinsoku w:val="0"/>
        <w:overflowPunct w:val="0"/>
        <w:bidi w:val="0"/>
        <w:spacing w:line="271" w:lineRule="auto"/>
        <w:ind w:left="3641" w:right="104"/>
        <w:rPr>
          <w:rFonts w:hint="eastAsia" w:ascii="宋体" w:hAnsi="宋体" w:eastAsia="宋体" w:cs="宋体"/>
          <w:color w:val="auto"/>
          <w:highlight w:val="none"/>
        </w:rPr>
      </w:pPr>
      <w:r>
        <w:rPr>
          <w:rFonts w:hint="eastAsia" w:ascii="宋体" w:hAnsi="宋体" w:eastAsia="宋体" w:cs="宋体"/>
          <w:color w:val="auto"/>
          <w:highlight w:val="none"/>
        </w:rPr>
        <w:t>担保人</w:t>
      </w:r>
      <w:r>
        <w:rPr>
          <w:rFonts w:hint="eastAsia" w:ascii="宋体" w:hAnsi="宋体" w:eastAsia="宋体" w:cs="宋体"/>
          <w:color w:val="auto"/>
          <w:spacing w:val="-51"/>
          <w:highlight w:val="none"/>
        </w:rPr>
        <w:t>：</w:t>
      </w:r>
      <w:r>
        <w:rPr>
          <w:rFonts w:hint="eastAsia" w:ascii="宋体" w:hAnsi="宋体" w:eastAsia="宋体" w:cs="宋体"/>
          <w:color w:val="auto"/>
          <w:spacing w:val="-51"/>
          <w:highlight w:val="none"/>
          <w:u w:val="single"/>
        </w:rPr>
        <w:tab/>
      </w:r>
      <w:r>
        <w:rPr>
          <w:rFonts w:hint="eastAsia" w:ascii="宋体" w:hAnsi="宋体" w:eastAsia="宋体" w:cs="宋体"/>
          <w:color w:val="auto"/>
          <w:highlight w:val="none"/>
          <w:u w:val="single"/>
        </w:rPr>
        <w:t>（</w:t>
      </w:r>
      <w:r>
        <w:rPr>
          <w:rFonts w:hint="eastAsia" w:ascii="宋体" w:hAnsi="宋体" w:eastAsia="宋体" w:cs="宋体"/>
          <w:color w:val="auto"/>
          <w:highlight w:val="none"/>
        </w:rPr>
        <w:t>盖单位章）</w:t>
      </w:r>
    </w:p>
    <w:p w14:paraId="546CDA3A">
      <w:pPr>
        <w:pStyle w:val="3"/>
        <w:keepNext w:val="0"/>
        <w:keepLines w:val="0"/>
        <w:tabs>
          <w:tab w:val="left" w:pos="4361"/>
          <w:tab w:val="left" w:pos="7501"/>
          <w:tab w:val="left" w:pos="7981"/>
          <w:tab w:val="left" w:pos="8545"/>
        </w:tabs>
        <w:kinsoku w:val="0"/>
        <w:overflowPunct w:val="0"/>
        <w:bidi w:val="0"/>
        <w:spacing w:line="271" w:lineRule="auto"/>
        <w:ind w:left="3641" w:right="104"/>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spacing w:val="-51"/>
          <w:highlight w:val="none"/>
        </w:rPr>
        <w:t>：</w:t>
      </w:r>
      <w:r>
        <w:rPr>
          <w:rFonts w:hint="eastAsia" w:ascii="宋体" w:hAnsi="宋体" w:eastAsia="宋体" w:cs="宋体"/>
          <w:color w:val="auto"/>
          <w:spacing w:val="-51"/>
          <w:highlight w:val="none"/>
          <w:u w:val="single"/>
        </w:rPr>
        <w:tab/>
      </w:r>
      <w:r>
        <w:rPr>
          <w:rFonts w:hint="eastAsia" w:ascii="宋体" w:hAnsi="宋体" w:eastAsia="宋体" w:cs="宋体"/>
          <w:color w:val="auto"/>
          <w:spacing w:val="-51"/>
          <w:highlight w:val="none"/>
          <w:u w:val="single"/>
        </w:rPr>
        <w:tab/>
      </w:r>
      <w:r>
        <w:rPr>
          <w:rFonts w:hint="eastAsia" w:ascii="宋体" w:hAnsi="宋体" w:eastAsia="宋体" w:cs="宋体"/>
          <w:color w:val="auto"/>
          <w:highlight w:val="none"/>
          <w:u w:val="single"/>
        </w:rPr>
        <w:t>（</w:t>
      </w:r>
      <w:r>
        <w:rPr>
          <w:rFonts w:hint="eastAsia" w:ascii="宋体" w:hAnsi="宋体" w:eastAsia="宋体" w:cs="宋体"/>
          <w:color w:val="auto"/>
          <w:highlight w:val="none"/>
        </w:rPr>
        <w:t>签字）</w:t>
      </w:r>
    </w:p>
    <w:p w14:paraId="540293FE">
      <w:pPr>
        <w:pStyle w:val="3"/>
        <w:keepNext w:val="0"/>
        <w:keepLines w:val="0"/>
        <w:tabs>
          <w:tab w:val="left" w:pos="4361"/>
          <w:tab w:val="left" w:pos="7501"/>
          <w:tab w:val="left" w:pos="7981"/>
          <w:tab w:val="left" w:pos="8545"/>
        </w:tabs>
        <w:kinsoku w:val="0"/>
        <w:overflowPunct w:val="0"/>
        <w:bidi w:val="0"/>
        <w:spacing w:line="271" w:lineRule="auto"/>
        <w:ind w:left="3641" w:right="104"/>
        <w:rPr>
          <w:rFonts w:hint="eastAsia" w:ascii="宋体" w:hAnsi="宋体" w:eastAsia="宋体" w:cs="宋体"/>
          <w:color w:val="auto"/>
          <w:highlight w:val="none"/>
        </w:rPr>
      </w:pPr>
      <w:r>
        <w:rPr>
          <w:rFonts w:hint="eastAsia" w:ascii="宋体" w:hAnsi="宋体" w:eastAsia="宋体" w:cs="宋体"/>
          <w:color w:val="auto"/>
          <w:highlight w:val="none"/>
        </w:rPr>
        <w:t>地</w:t>
      </w:r>
      <w:r>
        <w:rPr>
          <w:rFonts w:hint="eastAsia" w:ascii="宋体" w:hAnsi="宋体" w:eastAsia="宋体" w:cs="宋体"/>
          <w:color w:val="auto"/>
          <w:highlight w:val="none"/>
        </w:rPr>
        <w:tab/>
      </w:r>
      <w:r>
        <w:rPr>
          <w:rFonts w:hint="eastAsia" w:ascii="宋体" w:hAnsi="宋体" w:eastAsia="宋体" w:cs="宋体"/>
          <w:color w:val="auto"/>
          <w:highlight w:val="none"/>
        </w:rPr>
        <w:t>址：</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2C64C399">
      <w:pPr>
        <w:pStyle w:val="3"/>
        <w:keepNext w:val="0"/>
        <w:keepLines w:val="0"/>
        <w:tabs>
          <w:tab w:val="left" w:pos="4361"/>
          <w:tab w:val="left" w:pos="7501"/>
          <w:tab w:val="left" w:pos="7981"/>
          <w:tab w:val="left" w:pos="8545"/>
        </w:tabs>
        <w:kinsoku w:val="0"/>
        <w:overflowPunct w:val="0"/>
        <w:bidi w:val="0"/>
        <w:spacing w:line="271" w:lineRule="auto"/>
        <w:ind w:left="3641" w:right="104"/>
        <w:rPr>
          <w:rFonts w:hint="eastAsia" w:ascii="宋体" w:hAnsi="宋体" w:eastAsia="宋体" w:cs="宋体"/>
          <w:color w:val="auto"/>
          <w:highlight w:val="none"/>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2917DE79">
      <w:pPr>
        <w:pStyle w:val="3"/>
        <w:keepNext w:val="0"/>
        <w:keepLines w:val="0"/>
        <w:tabs>
          <w:tab w:val="left" w:pos="4361"/>
          <w:tab w:val="left" w:pos="8682"/>
        </w:tabs>
        <w:kinsoku w:val="0"/>
        <w:overflowPunct w:val="0"/>
        <w:bidi w:val="0"/>
        <w:spacing w:before="13" w:line="271" w:lineRule="auto"/>
        <w:ind w:left="3641" w:right="363"/>
        <w:rPr>
          <w:rFonts w:hint="eastAsia" w:ascii="宋体" w:hAnsi="宋体" w:eastAsia="宋体" w:cs="宋体"/>
          <w:color w:val="auto"/>
          <w:highlight w:val="none"/>
        </w:rPr>
      </w:pPr>
      <w:r>
        <w:rPr>
          <w:rFonts w:hint="eastAsia" w:ascii="宋体" w:hAnsi="宋体" w:eastAsia="宋体" w:cs="宋体"/>
          <w:color w:val="auto"/>
          <w:highlight w:val="none"/>
        </w:rPr>
        <w:t>电</w:t>
      </w:r>
      <w:r>
        <w:rPr>
          <w:rFonts w:hint="eastAsia" w:ascii="宋体" w:hAnsi="宋体" w:eastAsia="宋体" w:cs="宋体"/>
          <w:color w:val="auto"/>
          <w:highlight w:val="none"/>
        </w:rPr>
        <w:tab/>
      </w:r>
      <w:r>
        <w:rPr>
          <w:rFonts w:hint="eastAsia" w:ascii="宋体" w:hAnsi="宋体" w:eastAsia="宋体" w:cs="宋体"/>
          <w:color w:val="auto"/>
          <w:highlight w:val="none"/>
        </w:rPr>
        <w:t>话：</w:t>
      </w:r>
      <w:r>
        <w:rPr>
          <w:rFonts w:hint="eastAsia" w:ascii="宋体" w:hAnsi="宋体" w:eastAsia="宋体" w:cs="宋体"/>
          <w:color w:val="auto"/>
          <w:highlight w:val="none"/>
          <w:u w:val="single"/>
        </w:rPr>
        <w:tab/>
      </w:r>
    </w:p>
    <w:p w14:paraId="180F655E">
      <w:pPr>
        <w:pStyle w:val="3"/>
        <w:keepNext w:val="0"/>
        <w:keepLines w:val="0"/>
        <w:tabs>
          <w:tab w:val="left" w:pos="4361"/>
          <w:tab w:val="left" w:pos="8682"/>
        </w:tabs>
        <w:kinsoku w:val="0"/>
        <w:overflowPunct w:val="0"/>
        <w:bidi w:val="0"/>
        <w:spacing w:before="13" w:line="271" w:lineRule="auto"/>
        <w:ind w:left="3641" w:right="363"/>
        <w:rPr>
          <w:rFonts w:hint="eastAsia" w:ascii="宋体" w:hAnsi="宋体" w:eastAsia="宋体" w:cs="宋体"/>
          <w:color w:val="auto"/>
          <w:highlight w:val="none"/>
        </w:rPr>
      </w:pPr>
      <w:r>
        <w:rPr>
          <w:rFonts w:hint="eastAsia" w:ascii="宋体" w:hAnsi="宋体" w:eastAsia="宋体" w:cs="宋体"/>
          <w:color w:val="auto"/>
          <w:highlight w:val="none"/>
        </w:rPr>
        <w:t>传</w:t>
      </w:r>
      <w:r>
        <w:rPr>
          <w:rFonts w:hint="eastAsia" w:ascii="宋体" w:hAnsi="宋体" w:eastAsia="宋体" w:cs="宋体"/>
          <w:color w:val="auto"/>
          <w:highlight w:val="none"/>
        </w:rPr>
        <w:tab/>
      </w:r>
      <w:r>
        <w:rPr>
          <w:rFonts w:hint="eastAsia" w:ascii="宋体" w:hAnsi="宋体" w:eastAsia="宋体" w:cs="宋体"/>
          <w:color w:val="auto"/>
          <w:highlight w:val="none"/>
        </w:rPr>
        <w:t>真：</w:t>
      </w:r>
      <w:r>
        <w:rPr>
          <w:rFonts w:hint="eastAsia" w:ascii="宋体" w:hAnsi="宋体" w:eastAsia="宋体" w:cs="宋体"/>
          <w:color w:val="auto"/>
          <w:highlight w:val="none"/>
          <w:u w:val="single"/>
        </w:rPr>
        <w:tab/>
      </w:r>
    </w:p>
    <w:p w14:paraId="032B8A4B">
      <w:pPr>
        <w:pStyle w:val="3"/>
        <w:keepNext w:val="0"/>
        <w:keepLines w:val="0"/>
        <w:tabs>
          <w:tab w:val="left" w:pos="6541"/>
          <w:tab w:val="left" w:pos="7621"/>
          <w:tab w:val="left" w:pos="8581"/>
        </w:tabs>
        <w:kinsoku w:val="0"/>
        <w:overflowPunct w:val="0"/>
        <w:bidi w:val="0"/>
        <w:spacing w:before="15"/>
        <w:ind w:left="5701"/>
        <w:rPr>
          <w:rFonts w:hint="eastAsia" w:ascii="宋体" w:hAnsi="宋体" w:eastAsia="宋体" w:cs="宋体"/>
          <w:color w:val="auto"/>
          <w:highlight w:val="none"/>
        </w:rPr>
      </w:pP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259D641E">
      <w:pPr>
        <w:keepNext w:val="0"/>
        <w:keepLines w:val="0"/>
        <w:widowControl w:val="0"/>
        <w:kinsoku w:val="0"/>
        <w:overflowPunct w:val="0"/>
        <w:autoSpaceDE w:val="0"/>
        <w:autoSpaceDN w:val="0"/>
        <w:bidi w:val="0"/>
        <w:adjustRightInd w:val="0"/>
        <w:spacing w:before="3" w:line="100" w:lineRule="exact"/>
        <w:jc w:val="left"/>
        <w:rPr>
          <w:rFonts w:hint="eastAsia" w:ascii="宋体" w:hAnsi="宋体" w:eastAsia="宋体" w:cs="宋体"/>
          <w:color w:val="auto"/>
          <w:sz w:val="10"/>
          <w:highlight w:val="none"/>
        </w:rPr>
      </w:pPr>
    </w:p>
    <w:p w14:paraId="5CF6132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8C18F4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7F9504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9620C8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FE032A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17284C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C8137F2">
      <w:pPr>
        <w:keepNext w:val="0"/>
        <w:keepLines w:val="0"/>
        <w:widowControl w:val="0"/>
        <w:tabs>
          <w:tab w:val="left" w:pos="3569"/>
          <w:tab w:val="left" w:pos="6692"/>
        </w:tabs>
        <w:kinsoku w:val="0"/>
        <w:overflowPunct w:val="0"/>
        <w:autoSpaceDE w:val="0"/>
        <w:autoSpaceDN w:val="0"/>
        <w:bidi w:val="0"/>
        <w:adjustRightInd w:val="0"/>
        <w:spacing w:before="17" w:line="307" w:lineRule="auto"/>
        <w:ind w:left="144" w:right="224"/>
        <w:rPr>
          <w:rFonts w:hint="eastAsia" w:ascii="宋体" w:hAnsi="宋体" w:eastAsia="宋体" w:cs="宋体"/>
          <w:color w:val="auto"/>
          <w:sz w:val="18"/>
          <w:highlight w:val="none"/>
        </w:rPr>
        <w:sectPr>
          <w:pgSz w:w="11907" w:h="16838"/>
          <w:pgMar w:top="1134" w:right="1134" w:bottom="1134" w:left="1134" w:header="882" w:footer="1078" w:gutter="0"/>
          <w:lnNumType w:countBy="0" w:distance="360"/>
          <w:cols w:space="720" w:num="1"/>
        </w:sectPr>
      </w:pPr>
    </w:p>
    <w:p w14:paraId="756D653A">
      <w:pPr>
        <w:pStyle w:val="6"/>
        <w:keepNext w:val="0"/>
        <w:keepLines w:val="0"/>
        <w:bidi w:val="0"/>
        <w:rPr>
          <w:rFonts w:hint="eastAsia" w:ascii="宋体" w:hAnsi="宋体" w:eastAsia="宋体" w:cs="宋体"/>
          <w:b/>
          <w:bCs w:val="0"/>
          <w:color w:val="auto"/>
          <w:sz w:val="24"/>
          <w:szCs w:val="18"/>
          <w:highlight w:val="none"/>
        </w:rPr>
      </w:pPr>
      <w:r>
        <w:rPr>
          <w:rFonts w:hint="eastAsia" w:ascii="宋体" w:hAnsi="宋体" w:eastAsia="宋体" w:cs="宋体"/>
          <w:b/>
          <w:bCs w:val="0"/>
          <w:color w:val="auto"/>
          <w:sz w:val="24"/>
          <w:szCs w:val="18"/>
          <w:highlight w:val="none"/>
        </w:rPr>
        <w:t>附件七安全生产合同</w:t>
      </w:r>
    </w:p>
    <w:p w14:paraId="01B88A4F">
      <w:pPr>
        <w:keepNext w:val="0"/>
        <w:keepLines w:val="0"/>
        <w:bidi w:val="0"/>
        <w:jc w:val="center"/>
        <w:rPr>
          <w:rFonts w:hint="eastAsia" w:ascii="宋体" w:hAnsi="宋体" w:eastAsia="宋体" w:cs="宋体"/>
          <w:color w:val="auto"/>
          <w:highlight w:val="none"/>
        </w:rPr>
      </w:pPr>
      <w:r>
        <w:rPr>
          <w:rFonts w:hint="eastAsia" w:ascii="宋体" w:hAnsi="宋体" w:eastAsia="宋体" w:cs="宋体"/>
          <w:b/>
          <w:bCs/>
          <w:color w:val="auto"/>
          <w:kern w:val="0"/>
          <w:sz w:val="31"/>
          <w:szCs w:val="31"/>
          <w:highlight w:val="none"/>
          <w:lang w:bidi="ar"/>
        </w:rPr>
        <w:t>安全生产合同</w:t>
      </w:r>
    </w:p>
    <w:p w14:paraId="4AEE8BD4">
      <w:pPr>
        <w:keepNext w:val="0"/>
        <w:keepLines w:val="0"/>
        <w:widowControl w:val="0"/>
        <w:tabs>
          <w:tab w:val="left" w:pos="8213"/>
        </w:tabs>
        <w:kinsoku w:val="0"/>
        <w:overflowPunct w:val="0"/>
        <w:autoSpaceDE w:val="0"/>
        <w:autoSpaceDN w:val="0"/>
        <w:bidi w:val="0"/>
        <w:adjustRightInd w:val="0"/>
        <w:spacing w:line="357" w:lineRule="auto"/>
        <w:ind w:left="115" w:right="117"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根</w:t>
      </w:r>
      <w:r>
        <w:rPr>
          <w:rFonts w:hint="eastAsia" w:ascii="宋体" w:hAnsi="宋体" w:eastAsia="宋体" w:cs="宋体"/>
          <w:color w:val="auto"/>
          <w:spacing w:val="5"/>
          <w:sz w:val="24"/>
          <w:szCs w:val="24"/>
          <w:highlight w:val="none"/>
        </w:rPr>
        <w:t>据</w:t>
      </w:r>
      <w:r>
        <w:rPr>
          <w:rFonts w:hint="eastAsia" w:ascii="宋体" w:hAnsi="宋体" w:eastAsia="宋体" w:cs="宋体"/>
          <w:color w:val="auto"/>
          <w:spacing w:val="2"/>
          <w:sz w:val="24"/>
          <w:szCs w:val="24"/>
          <w:highlight w:val="none"/>
        </w:rPr>
        <w:t>《中</w:t>
      </w:r>
      <w:r>
        <w:rPr>
          <w:rFonts w:hint="eastAsia" w:ascii="宋体" w:hAnsi="宋体" w:eastAsia="宋体" w:cs="宋体"/>
          <w:color w:val="auto"/>
          <w:spacing w:val="5"/>
          <w:sz w:val="24"/>
          <w:szCs w:val="24"/>
          <w:highlight w:val="none"/>
        </w:rPr>
        <w:t>华</w:t>
      </w:r>
      <w:r>
        <w:rPr>
          <w:rFonts w:hint="eastAsia" w:ascii="宋体" w:hAnsi="宋体" w:eastAsia="宋体" w:cs="宋体"/>
          <w:color w:val="auto"/>
          <w:spacing w:val="2"/>
          <w:sz w:val="24"/>
          <w:szCs w:val="24"/>
          <w:highlight w:val="none"/>
        </w:rPr>
        <w:t>人民</w:t>
      </w:r>
      <w:r>
        <w:rPr>
          <w:rFonts w:hint="eastAsia" w:ascii="宋体" w:hAnsi="宋体" w:eastAsia="宋体" w:cs="宋体"/>
          <w:color w:val="auto"/>
          <w:spacing w:val="5"/>
          <w:sz w:val="24"/>
          <w:szCs w:val="24"/>
          <w:highlight w:val="none"/>
        </w:rPr>
        <w:t>共</w:t>
      </w:r>
      <w:r>
        <w:rPr>
          <w:rFonts w:hint="eastAsia" w:ascii="宋体" w:hAnsi="宋体" w:eastAsia="宋体" w:cs="宋体"/>
          <w:color w:val="auto"/>
          <w:spacing w:val="2"/>
          <w:sz w:val="24"/>
          <w:szCs w:val="24"/>
          <w:highlight w:val="none"/>
        </w:rPr>
        <w:t>和</w:t>
      </w:r>
      <w:r>
        <w:rPr>
          <w:rFonts w:hint="eastAsia" w:ascii="宋体" w:hAnsi="宋体" w:eastAsia="宋体" w:cs="宋体"/>
          <w:color w:val="auto"/>
          <w:spacing w:val="5"/>
          <w:sz w:val="24"/>
          <w:szCs w:val="24"/>
          <w:highlight w:val="none"/>
        </w:rPr>
        <w:t>国</w:t>
      </w:r>
      <w:r>
        <w:rPr>
          <w:rFonts w:hint="eastAsia" w:ascii="宋体" w:hAnsi="宋体" w:eastAsia="宋体" w:cs="宋体"/>
          <w:color w:val="auto"/>
          <w:spacing w:val="2"/>
          <w:sz w:val="24"/>
          <w:szCs w:val="24"/>
          <w:highlight w:val="none"/>
        </w:rPr>
        <w:t>安全</w:t>
      </w:r>
      <w:r>
        <w:rPr>
          <w:rFonts w:hint="eastAsia" w:ascii="宋体" w:hAnsi="宋体" w:eastAsia="宋体" w:cs="宋体"/>
          <w:color w:val="auto"/>
          <w:spacing w:val="5"/>
          <w:sz w:val="24"/>
          <w:szCs w:val="24"/>
          <w:highlight w:val="none"/>
        </w:rPr>
        <w:t>生</w:t>
      </w:r>
      <w:r>
        <w:rPr>
          <w:rFonts w:hint="eastAsia" w:ascii="宋体" w:hAnsi="宋体" w:eastAsia="宋体" w:cs="宋体"/>
          <w:color w:val="auto"/>
          <w:spacing w:val="2"/>
          <w:sz w:val="24"/>
          <w:szCs w:val="24"/>
          <w:highlight w:val="none"/>
        </w:rPr>
        <w:t>产法</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2"/>
          <w:sz w:val="24"/>
          <w:szCs w:val="24"/>
          <w:highlight w:val="none"/>
        </w:rPr>
        <w:t>、国</w:t>
      </w:r>
      <w:r>
        <w:rPr>
          <w:rFonts w:hint="eastAsia" w:ascii="宋体" w:hAnsi="宋体" w:eastAsia="宋体" w:cs="宋体"/>
          <w:color w:val="auto"/>
          <w:spacing w:val="5"/>
          <w:sz w:val="24"/>
          <w:szCs w:val="24"/>
          <w:highlight w:val="none"/>
        </w:rPr>
        <w:t>务</w:t>
      </w:r>
      <w:r>
        <w:rPr>
          <w:rFonts w:hint="eastAsia" w:ascii="宋体" w:hAnsi="宋体" w:eastAsia="宋体" w:cs="宋体"/>
          <w:color w:val="auto"/>
          <w:spacing w:val="2"/>
          <w:sz w:val="24"/>
          <w:szCs w:val="24"/>
          <w:highlight w:val="none"/>
        </w:rPr>
        <w:t>院《</w:t>
      </w:r>
      <w:r>
        <w:rPr>
          <w:rFonts w:hint="eastAsia" w:ascii="宋体" w:hAnsi="宋体" w:eastAsia="宋体" w:cs="宋体"/>
          <w:color w:val="auto"/>
          <w:spacing w:val="5"/>
          <w:sz w:val="24"/>
          <w:szCs w:val="24"/>
          <w:highlight w:val="none"/>
        </w:rPr>
        <w:t>建</w:t>
      </w:r>
      <w:r>
        <w:rPr>
          <w:rFonts w:hint="eastAsia" w:ascii="宋体" w:hAnsi="宋体" w:eastAsia="宋体" w:cs="宋体"/>
          <w:color w:val="auto"/>
          <w:spacing w:val="2"/>
          <w:sz w:val="24"/>
          <w:szCs w:val="24"/>
          <w:highlight w:val="none"/>
        </w:rPr>
        <w:t>设工</w:t>
      </w:r>
      <w:r>
        <w:rPr>
          <w:rFonts w:hint="eastAsia" w:ascii="宋体" w:hAnsi="宋体" w:eastAsia="宋体" w:cs="宋体"/>
          <w:color w:val="auto"/>
          <w:spacing w:val="5"/>
          <w:sz w:val="24"/>
          <w:szCs w:val="24"/>
          <w:highlight w:val="none"/>
        </w:rPr>
        <w:t>程</w:t>
      </w:r>
      <w:r>
        <w:rPr>
          <w:rFonts w:hint="eastAsia" w:ascii="宋体" w:hAnsi="宋体" w:eastAsia="宋体" w:cs="宋体"/>
          <w:color w:val="auto"/>
          <w:spacing w:val="2"/>
          <w:sz w:val="24"/>
          <w:szCs w:val="24"/>
          <w:highlight w:val="none"/>
        </w:rPr>
        <w:t>安</w:t>
      </w:r>
      <w:r>
        <w:rPr>
          <w:rFonts w:hint="eastAsia" w:ascii="宋体" w:hAnsi="宋体" w:eastAsia="宋体" w:cs="宋体"/>
          <w:color w:val="auto"/>
          <w:spacing w:val="5"/>
          <w:sz w:val="24"/>
          <w:szCs w:val="24"/>
          <w:highlight w:val="none"/>
        </w:rPr>
        <w:t>全</w:t>
      </w:r>
      <w:r>
        <w:rPr>
          <w:rFonts w:hint="eastAsia" w:ascii="宋体" w:hAnsi="宋体" w:eastAsia="宋体" w:cs="宋体"/>
          <w:color w:val="auto"/>
          <w:spacing w:val="2"/>
          <w:sz w:val="24"/>
          <w:szCs w:val="24"/>
          <w:highlight w:val="none"/>
        </w:rPr>
        <w:t>生产</w:t>
      </w:r>
      <w:r>
        <w:rPr>
          <w:rFonts w:hint="eastAsia" w:ascii="宋体" w:hAnsi="宋体" w:eastAsia="宋体" w:cs="宋体"/>
          <w:color w:val="auto"/>
          <w:spacing w:val="5"/>
          <w:sz w:val="24"/>
          <w:szCs w:val="24"/>
          <w:highlight w:val="none"/>
        </w:rPr>
        <w:t>管</w:t>
      </w:r>
      <w:r>
        <w:rPr>
          <w:rFonts w:hint="eastAsia" w:ascii="宋体" w:hAnsi="宋体" w:eastAsia="宋体" w:cs="宋体"/>
          <w:color w:val="auto"/>
          <w:spacing w:val="2"/>
          <w:sz w:val="24"/>
          <w:szCs w:val="24"/>
          <w:highlight w:val="none"/>
        </w:rPr>
        <w:t>理条</w:t>
      </w:r>
      <w:r>
        <w:rPr>
          <w:rFonts w:hint="eastAsia" w:ascii="宋体" w:hAnsi="宋体" w:eastAsia="宋体" w:cs="宋体"/>
          <w:color w:val="auto"/>
          <w:spacing w:val="5"/>
          <w:sz w:val="24"/>
          <w:szCs w:val="24"/>
          <w:highlight w:val="none"/>
        </w:rPr>
        <w:t>例</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w:t>
      </w:r>
      <w:r>
        <w:rPr>
          <w:rFonts w:hint="eastAsia" w:ascii="宋体" w:hAnsi="宋体" w:eastAsia="宋体" w:cs="宋体"/>
          <w:color w:val="auto"/>
          <w:spacing w:val="2"/>
          <w:sz w:val="24"/>
          <w:szCs w:val="24"/>
          <w:highlight w:val="none"/>
        </w:rPr>
        <w:t>交通</w:t>
      </w:r>
      <w:r>
        <w:rPr>
          <w:rFonts w:hint="eastAsia" w:ascii="宋体" w:hAnsi="宋体" w:eastAsia="宋体" w:cs="宋体"/>
          <w:color w:val="auto"/>
          <w:spacing w:val="5"/>
          <w:sz w:val="24"/>
          <w:szCs w:val="24"/>
          <w:highlight w:val="none"/>
        </w:rPr>
        <w:t>运</w:t>
      </w:r>
      <w:r>
        <w:rPr>
          <w:rFonts w:hint="eastAsia" w:ascii="宋体" w:hAnsi="宋体" w:eastAsia="宋体" w:cs="宋体"/>
          <w:color w:val="auto"/>
          <w:spacing w:val="2"/>
          <w:sz w:val="24"/>
          <w:szCs w:val="24"/>
          <w:highlight w:val="none"/>
        </w:rPr>
        <w:t>输部《</w:t>
      </w:r>
      <w:r>
        <w:rPr>
          <w:rFonts w:hint="eastAsia" w:ascii="宋体" w:hAnsi="宋体" w:eastAsia="宋体" w:cs="宋体"/>
          <w:color w:val="auto"/>
          <w:spacing w:val="5"/>
          <w:sz w:val="24"/>
          <w:szCs w:val="24"/>
          <w:highlight w:val="none"/>
        </w:rPr>
        <w:t>公</w:t>
      </w:r>
      <w:r>
        <w:rPr>
          <w:rFonts w:hint="eastAsia" w:ascii="宋体" w:hAnsi="宋体" w:eastAsia="宋体" w:cs="宋体"/>
          <w:color w:val="auto"/>
          <w:spacing w:val="2"/>
          <w:sz w:val="24"/>
          <w:szCs w:val="24"/>
          <w:highlight w:val="none"/>
        </w:rPr>
        <w:t>路水运工</w:t>
      </w:r>
      <w:r>
        <w:rPr>
          <w:rFonts w:hint="eastAsia" w:ascii="宋体" w:hAnsi="宋体" w:eastAsia="宋体" w:cs="宋体"/>
          <w:color w:val="auto"/>
          <w:spacing w:val="5"/>
          <w:sz w:val="24"/>
          <w:szCs w:val="24"/>
          <w:highlight w:val="none"/>
        </w:rPr>
        <w:t>程</w:t>
      </w:r>
      <w:r>
        <w:rPr>
          <w:rFonts w:hint="eastAsia" w:ascii="宋体" w:hAnsi="宋体" w:eastAsia="宋体" w:cs="宋体"/>
          <w:color w:val="auto"/>
          <w:spacing w:val="2"/>
          <w:sz w:val="24"/>
          <w:szCs w:val="24"/>
          <w:highlight w:val="none"/>
        </w:rPr>
        <w:t>安全生</w:t>
      </w:r>
      <w:r>
        <w:rPr>
          <w:rFonts w:hint="eastAsia" w:ascii="宋体" w:hAnsi="宋体" w:eastAsia="宋体" w:cs="宋体"/>
          <w:color w:val="auto"/>
          <w:spacing w:val="5"/>
          <w:sz w:val="24"/>
          <w:szCs w:val="24"/>
          <w:highlight w:val="none"/>
        </w:rPr>
        <w:t>产</w:t>
      </w:r>
      <w:r>
        <w:rPr>
          <w:rFonts w:hint="eastAsia" w:ascii="宋体" w:hAnsi="宋体" w:eastAsia="宋体" w:cs="宋体"/>
          <w:color w:val="auto"/>
          <w:spacing w:val="2"/>
          <w:sz w:val="24"/>
          <w:szCs w:val="24"/>
          <w:highlight w:val="none"/>
        </w:rPr>
        <w:t>监督管理</w:t>
      </w:r>
      <w:r>
        <w:rPr>
          <w:rFonts w:hint="eastAsia" w:ascii="宋体" w:hAnsi="宋体" w:eastAsia="宋体" w:cs="宋体"/>
          <w:color w:val="auto"/>
          <w:spacing w:val="5"/>
          <w:sz w:val="24"/>
          <w:szCs w:val="24"/>
          <w:highlight w:val="none"/>
        </w:rPr>
        <w:t>办</w:t>
      </w:r>
      <w:r>
        <w:rPr>
          <w:rFonts w:hint="eastAsia" w:ascii="宋体" w:hAnsi="宋体" w:eastAsia="宋体" w:cs="宋体"/>
          <w:color w:val="auto"/>
          <w:spacing w:val="2"/>
          <w:sz w:val="24"/>
          <w:szCs w:val="24"/>
          <w:highlight w:val="none"/>
        </w:rPr>
        <w:t>法》《</w:t>
      </w:r>
      <w:r>
        <w:rPr>
          <w:rFonts w:hint="eastAsia" w:ascii="宋体" w:hAnsi="宋体" w:eastAsia="宋体" w:cs="宋体"/>
          <w:color w:val="auto"/>
          <w:spacing w:val="5"/>
          <w:sz w:val="24"/>
          <w:szCs w:val="24"/>
          <w:highlight w:val="none"/>
        </w:rPr>
        <w:t>公</w:t>
      </w:r>
      <w:r>
        <w:rPr>
          <w:rFonts w:hint="eastAsia" w:ascii="宋体" w:hAnsi="宋体" w:eastAsia="宋体" w:cs="宋体"/>
          <w:color w:val="auto"/>
          <w:spacing w:val="2"/>
          <w:sz w:val="24"/>
          <w:szCs w:val="24"/>
          <w:highlight w:val="none"/>
        </w:rPr>
        <w:t>路水运工</w:t>
      </w:r>
      <w:r>
        <w:rPr>
          <w:rFonts w:hint="eastAsia" w:ascii="宋体" w:hAnsi="宋体" w:eastAsia="宋体" w:cs="宋体"/>
          <w:color w:val="auto"/>
          <w:spacing w:val="5"/>
          <w:sz w:val="24"/>
          <w:szCs w:val="24"/>
          <w:highlight w:val="none"/>
        </w:rPr>
        <w:t>程</w:t>
      </w:r>
      <w:r>
        <w:rPr>
          <w:rFonts w:hint="eastAsia" w:ascii="宋体" w:hAnsi="宋体" w:eastAsia="宋体" w:cs="宋体"/>
          <w:color w:val="auto"/>
          <w:spacing w:val="2"/>
          <w:sz w:val="24"/>
          <w:szCs w:val="24"/>
          <w:highlight w:val="none"/>
        </w:rPr>
        <w:t>施工安</w:t>
      </w:r>
      <w:r>
        <w:rPr>
          <w:rFonts w:hint="eastAsia" w:ascii="宋体" w:hAnsi="宋体" w:eastAsia="宋体" w:cs="宋体"/>
          <w:color w:val="auto"/>
          <w:spacing w:val="5"/>
          <w:sz w:val="24"/>
          <w:szCs w:val="24"/>
          <w:highlight w:val="none"/>
        </w:rPr>
        <w:t>全</w:t>
      </w:r>
      <w:r>
        <w:rPr>
          <w:rFonts w:hint="eastAsia" w:ascii="宋体" w:hAnsi="宋体" w:eastAsia="宋体" w:cs="宋体"/>
          <w:color w:val="auto"/>
          <w:spacing w:val="2"/>
          <w:sz w:val="24"/>
          <w:szCs w:val="24"/>
          <w:highlight w:val="none"/>
        </w:rPr>
        <w:t>标准</w:t>
      </w:r>
      <w:r>
        <w:rPr>
          <w:rFonts w:hint="eastAsia" w:ascii="宋体" w:hAnsi="宋体" w:eastAsia="宋体" w:cs="宋体"/>
          <w:color w:val="auto"/>
          <w:sz w:val="24"/>
          <w:szCs w:val="24"/>
          <w:highlight w:val="none"/>
        </w:rPr>
        <w:t>化</w:t>
      </w:r>
      <w:r>
        <w:rPr>
          <w:rFonts w:hint="eastAsia" w:ascii="宋体" w:hAnsi="宋体" w:eastAsia="宋体" w:cs="宋体"/>
          <w:color w:val="auto"/>
          <w:spacing w:val="2"/>
          <w:sz w:val="24"/>
          <w:szCs w:val="24"/>
          <w:highlight w:val="none"/>
        </w:rPr>
        <w:t>指南》以及《公路工程</w:t>
      </w:r>
      <w:r>
        <w:rPr>
          <w:rFonts w:hint="eastAsia" w:ascii="宋体" w:hAnsi="宋体" w:eastAsia="宋体" w:cs="宋体"/>
          <w:color w:val="auto"/>
          <w:sz w:val="24"/>
          <w:szCs w:val="24"/>
          <w:highlight w:val="none"/>
        </w:rPr>
        <w:t>施</w:t>
      </w:r>
      <w:r>
        <w:rPr>
          <w:rFonts w:hint="eastAsia" w:ascii="宋体" w:hAnsi="宋体" w:eastAsia="宋体" w:cs="宋体"/>
          <w:color w:val="auto"/>
          <w:spacing w:val="2"/>
          <w:sz w:val="24"/>
          <w:szCs w:val="24"/>
          <w:highlight w:val="none"/>
        </w:rPr>
        <w:t>工监理规范》等有关规定，为切实做好</w:t>
      </w:r>
      <w:r>
        <w:rPr>
          <w:rFonts w:hint="eastAsia" w:ascii="宋体" w:hAnsi="宋体" w:eastAsia="宋体" w:cs="宋体"/>
          <w:color w:val="auto"/>
          <w:spacing w:val="2"/>
          <w:sz w:val="24"/>
          <w:szCs w:val="24"/>
          <w:highlight w:val="none"/>
          <w:u w:val="single"/>
        </w:rPr>
        <w:tab/>
      </w:r>
      <w:r>
        <w:rPr>
          <w:rFonts w:hint="eastAsia" w:ascii="宋体" w:hAnsi="宋体" w:eastAsia="宋体" w:cs="宋体"/>
          <w:color w:val="auto"/>
          <w:spacing w:val="2"/>
          <w:sz w:val="24"/>
          <w:szCs w:val="24"/>
          <w:highlight w:val="none"/>
          <w:u w:val="single"/>
        </w:rPr>
        <w:t>工程</w:t>
      </w:r>
      <w:r>
        <w:rPr>
          <w:rFonts w:hint="eastAsia" w:ascii="宋体" w:hAnsi="宋体" w:eastAsia="宋体" w:cs="宋体"/>
          <w:color w:val="auto"/>
          <w:spacing w:val="2"/>
          <w:sz w:val="24"/>
          <w:szCs w:val="24"/>
          <w:highlight w:val="none"/>
        </w:rPr>
        <w:t>安</w:t>
      </w:r>
      <w:r>
        <w:rPr>
          <w:rFonts w:hint="eastAsia" w:ascii="宋体" w:hAnsi="宋体" w:eastAsia="宋体" w:cs="宋体"/>
          <w:color w:val="auto"/>
          <w:sz w:val="24"/>
          <w:szCs w:val="24"/>
          <w:highlight w:val="none"/>
        </w:rPr>
        <w:t>全</w:t>
      </w:r>
      <w:r>
        <w:rPr>
          <w:rFonts w:hint="eastAsia" w:ascii="宋体" w:hAnsi="宋体" w:eastAsia="宋体" w:cs="宋体"/>
          <w:color w:val="auto"/>
          <w:spacing w:val="10"/>
          <w:sz w:val="24"/>
          <w:szCs w:val="24"/>
          <w:highlight w:val="none"/>
        </w:rPr>
        <w:t>生产管</w:t>
      </w:r>
      <w:r>
        <w:rPr>
          <w:rFonts w:hint="eastAsia" w:ascii="宋体" w:hAnsi="宋体" w:eastAsia="宋体" w:cs="宋体"/>
          <w:color w:val="auto"/>
          <w:spacing w:val="12"/>
          <w:sz w:val="24"/>
          <w:szCs w:val="24"/>
          <w:highlight w:val="none"/>
        </w:rPr>
        <w:t>理</w:t>
      </w:r>
      <w:r>
        <w:rPr>
          <w:rFonts w:hint="eastAsia" w:ascii="宋体" w:hAnsi="宋体" w:eastAsia="宋体" w:cs="宋体"/>
          <w:color w:val="auto"/>
          <w:spacing w:val="10"/>
          <w:sz w:val="24"/>
          <w:szCs w:val="24"/>
          <w:highlight w:val="none"/>
        </w:rPr>
        <w:t>工作，明确项</w:t>
      </w:r>
      <w:r>
        <w:rPr>
          <w:rFonts w:hint="eastAsia" w:ascii="宋体" w:hAnsi="宋体" w:eastAsia="宋体" w:cs="宋体"/>
          <w:color w:val="auto"/>
          <w:spacing w:val="12"/>
          <w:sz w:val="24"/>
          <w:szCs w:val="24"/>
          <w:highlight w:val="none"/>
        </w:rPr>
        <w:t>目</w:t>
      </w:r>
      <w:r>
        <w:rPr>
          <w:rFonts w:hint="eastAsia" w:ascii="宋体" w:hAnsi="宋体" w:eastAsia="宋体" w:cs="宋体"/>
          <w:color w:val="auto"/>
          <w:spacing w:val="10"/>
          <w:sz w:val="24"/>
          <w:szCs w:val="24"/>
          <w:highlight w:val="none"/>
        </w:rPr>
        <w:t>参建各方的安</w:t>
      </w:r>
      <w:r>
        <w:rPr>
          <w:rFonts w:hint="eastAsia" w:ascii="宋体" w:hAnsi="宋体" w:eastAsia="宋体" w:cs="宋体"/>
          <w:color w:val="auto"/>
          <w:spacing w:val="12"/>
          <w:sz w:val="24"/>
          <w:szCs w:val="24"/>
          <w:highlight w:val="none"/>
        </w:rPr>
        <w:t>全</w:t>
      </w:r>
      <w:r>
        <w:rPr>
          <w:rFonts w:hint="eastAsia" w:ascii="宋体" w:hAnsi="宋体" w:eastAsia="宋体" w:cs="宋体"/>
          <w:color w:val="auto"/>
          <w:spacing w:val="10"/>
          <w:sz w:val="24"/>
          <w:szCs w:val="24"/>
          <w:highlight w:val="none"/>
        </w:rPr>
        <w:t>生产责任，促</w:t>
      </w:r>
      <w:r>
        <w:rPr>
          <w:rFonts w:hint="eastAsia" w:ascii="宋体" w:hAnsi="宋体" w:eastAsia="宋体" w:cs="宋体"/>
          <w:color w:val="auto"/>
          <w:spacing w:val="12"/>
          <w:sz w:val="24"/>
          <w:szCs w:val="24"/>
          <w:highlight w:val="none"/>
        </w:rPr>
        <w:t>进</w:t>
      </w:r>
      <w:r>
        <w:rPr>
          <w:rFonts w:hint="eastAsia" w:ascii="宋体" w:hAnsi="宋体" w:eastAsia="宋体" w:cs="宋体"/>
          <w:color w:val="auto"/>
          <w:spacing w:val="10"/>
          <w:sz w:val="24"/>
          <w:szCs w:val="24"/>
          <w:highlight w:val="none"/>
        </w:rPr>
        <w:t>实现工程项目</w:t>
      </w:r>
      <w:r>
        <w:rPr>
          <w:rFonts w:hint="eastAsia" w:ascii="宋体" w:hAnsi="宋体" w:eastAsia="宋体" w:cs="宋体"/>
          <w:color w:val="auto"/>
          <w:spacing w:val="12"/>
          <w:sz w:val="24"/>
          <w:szCs w:val="24"/>
          <w:highlight w:val="none"/>
        </w:rPr>
        <w:t>安</w:t>
      </w:r>
      <w:r>
        <w:rPr>
          <w:rFonts w:hint="eastAsia" w:ascii="宋体" w:hAnsi="宋体" w:eastAsia="宋体" w:cs="宋体"/>
          <w:color w:val="auto"/>
          <w:spacing w:val="10"/>
          <w:sz w:val="24"/>
          <w:szCs w:val="24"/>
          <w:highlight w:val="none"/>
        </w:rPr>
        <w:t>全管理</w:t>
      </w:r>
      <w:r>
        <w:rPr>
          <w:rFonts w:hint="eastAsia" w:ascii="宋体" w:hAnsi="宋体" w:eastAsia="宋体" w:cs="宋体"/>
          <w:color w:val="auto"/>
          <w:sz w:val="24"/>
          <w:szCs w:val="24"/>
          <w:highlight w:val="none"/>
        </w:rPr>
        <w:t>目</w:t>
      </w:r>
      <w:r>
        <w:rPr>
          <w:rFonts w:hint="eastAsia" w:ascii="宋体" w:hAnsi="宋体" w:eastAsia="宋体" w:cs="宋体"/>
          <w:color w:val="auto"/>
          <w:spacing w:val="2"/>
          <w:sz w:val="24"/>
          <w:szCs w:val="24"/>
          <w:highlight w:val="none"/>
        </w:rPr>
        <w:t>标，</w:t>
      </w:r>
      <w:r>
        <w:rPr>
          <w:rFonts w:hint="eastAsia" w:ascii="宋体" w:hAnsi="宋体" w:eastAsia="宋体" w:cs="宋体"/>
          <w:color w:val="auto"/>
          <w:spacing w:val="5"/>
          <w:sz w:val="24"/>
          <w:szCs w:val="24"/>
          <w:highlight w:val="none"/>
        </w:rPr>
        <w:t>建</w:t>
      </w:r>
      <w:r>
        <w:rPr>
          <w:rFonts w:hint="eastAsia" w:ascii="宋体" w:hAnsi="宋体" w:eastAsia="宋体" w:cs="宋体"/>
          <w:color w:val="auto"/>
          <w:spacing w:val="2"/>
          <w:sz w:val="24"/>
          <w:szCs w:val="24"/>
          <w:highlight w:val="none"/>
        </w:rPr>
        <w:t>设单位</w:t>
      </w:r>
      <w:r>
        <w:rPr>
          <w:rFonts w:hint="eastAsia" w:ascii="宋体" w:hAnsi="宋体" w:eastAsia="宋体" w:cs="宋体"/>
          <w:color w:val="auto"/>
          <w:spacing w:val="5"/>
          <w:sz w:val="24"/>
          <w:szCs w:val="24"/>
          <w:highlight w:val="none"/>
        </w:rPr>
        <w:t>全</w:t>
      </w:r>
      <w:r>
        <w:rPr>
          <w:rFonts w:hint="eastAsia" w:ascii="宋体" w:hAnsi="宋体" w:eastAsia="宋体" w:cs="宋体"/>
          <w:color w:val="auto"/>
          <w:spacing w:val="2"/>
          <w:sz w:val="24"/>
          <w:szCs w:val="24"/>
          <w:highlight w:val="none"/>
        </w:rPr>
        <w:t>称（以下</w:t>
      </w:r>
      <w:r>
        <w:rPr>
          <w:rFonts w:hint="eastAsia" w:ascii="宋体" w:hAnsi="宋体" w:eastAsia="宋体" w:cs="宋体"/>
          <w:color w:val="auto"/>
          <w:spacing w:val="5"/>
          <w:sz w:val="24"/>
          <w:szCs w:val="24"/>
          <w:highlight w:val="none"/>
        </w:rPr>
        <w:t>简</w:t>
      </w:r>
      <w:r>
        <w:rPr>
          <w:rFonts w:hint="eastAsia" w:ascii="宋体" w:hAnsi="宋体" w:eastAsia="宋体" w:cs="宋体"/>
          <w:color w:val="auto"/>
          <w:spacing w:val="2"/>
          <w:sz w:val="24"/>
          <w:szCs w:val="24"/>
          <w:highlight w:val="none"/>
        </w:rPr>
        <w:t>称“委托</w:t>
      </w:r>
      <w:r>
        <w:rPr>
          <w:rFonts w:hint="eastAsia" w:ascii="宋体" w:hAnsi="宋体" w:eastAsia="宋体" w:cs="宋体"/>
          <w:color w:val="auto"/>
          <w:spacing w:val="5"/>
          <w:sz w:val="24"/>
          <w:szCs w:val="24"/>
          <w:highlight w:val="none"/>
        </w:rPr>
        <w:t>人</w:t>
      </w:r>
      <w:r>
        <w:rPr>
          <w:rFonts w:hint="eastAsia" w:ascii="宋体" w:hAnsi="宋体" w:eastAsia="宋体" w:cs="宋体"/>
          <w:color w:val="auto"/>
          <w:spacing w:val="2"/>
          <w:sz w:val="24"/>
          <w:szCs w:val="24"/>
          <w:highlight w:val="none"/>
        </w:rPr>
        <w:t>”）与</w:t>
      </w:r>
      <w:r>
        <w:rPr>
          <w:rFonts w:hint="eastAsia" w:ascii="宋体" w:hAnsi="宋体" w:eastAsia="宋体" w:cs="宋体"/>
          <w:color w:val="auto"/>
          <w:spacing w:val="5"/>
          <w:sz w:val="24"/>
          <w:szCs w:val="24"/>
          <w:highlight w:val="none"/>
        </w:rPr>
        <w:t>监</w:t>
      </w:r>
      <w:r>
        <w:rPr>
          <w:rFonts w:hint="eastAsia" w:ascii="宋体" w:hAnsi="宋体" w:eastAsia="宋体" w:cs="宋体"/>
          <w:color w:val="auto"/>
          <w:spacing w:val="2"/>
          <w:sz w:val="24"/>
          <w:szCs w:val="24"/>
          <w:highlight w:val="none"/>
        </w:rPr>
        <w:t>理单位</w:t>
      </w:r>
      <w:r>
        <w:rPr>
          <w:rFonts w:hint="eastAsia" w:ascii="宋体" w:hAnsi="宋体" w:eastAsia="宋体" w:cs="宋体"/>
          <w:color w:val="auto"/>
          <w:spacing w:val="5"/>
          <w:sz w:val="24"/>
          <w:szCs w:val="24"/>
          <w:highlight w:val="none"/>
        </w:rPr>
        <w:t>全</w:t>
      </w:r>
      <w:r>
        <w:rPr>
          <w:rFonts w:hint="eastAsia" w:ascii="宋体" w:hAnsi="宋体" w:eastAsia="宋体" w:cs="宋体"/>
          <w:color w:val="auto"/>
          <w:spacing w:val="2"/>
          <w:sz w:val="24"/>
          <w:szCs w:val="24"/>
          <w:highlight w:val="none"/>
        </w:rPr>
        <w:t>称（以下</w:t>
      </w:r>
      <w:r>
        <w:rPr>
          <w:rFonts w:hint="eastAsia" w:ascii="宋体" w:hAnsi="宋体" w:eastAsia="宋体" w:cs="宋体"/>
          <w:color w:val="auto"/>
          <w:spacing w:val="5"/>
          <w:sz w:val="24"/>
          <w:szCs w:val="24"/>
          <w:highlight w:val="none"/>
        </w:rPr>
        <w:t>简</w:t>
      </w:r>
      <w:r>
        <w:rPr>
          <w:rFonts w:hint="eastAsia" w:ascii="宋体" w:hAnsi="宋体" w:eastAsia="宋体" w:cs="宋体"/>
          <w:color w:val="auto"/>
          <w:spacing w:val="2"/>
          <w:sz w:val="24"/>
          <w:szCs w:val="24"/>
          <w:highlight w:val="none"/>
        </w:rPr>
        <w:t>称“监理</w:t>
      </w:r>
      <w:r>
        <w:rPr>
          <w:rFonts w:hint="eastAsia" w:ascii="宋体" w:hAnsi="宋体" w:eastAsia="宋体" w:cs="宋体"/>
          <w:color w:val="auto"/>
          <w:spacing w:val="5"/>
          <w:sz w:val="24"/>
          <w:szCs w:val="24"/>
          <w:highlight w:val="none"/>
        </w:rPr>
        <w:t>人</w:t>
      </w:r>
      <w:r>
        <w:rPr>
          <w:rFonts w:hint="eastAsia" w:ascii="宋体" w:hAnsi="宋体" w:eastAsia="宋体" w:cs="宋体"/>
          <w:color w:val="auto"/>
          <w:sz w:val="24"/>
          <w:szCs w:val="24"/>
          <w:highlight w:val="none"/>
        </w:rPr>
        <w:t>”）签订如下安全生产合同：</w:t>
      </w:r>
    </w:p>
    <w:p w14:paraId="5296CC2B">
      <w:pPr>
        <w:keepNext w:val="0"/>
        <w:keepLines w:val="0"/>
        <w:bidi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一、委托人职责</w:t>
      </w:r>
    </w:p>
    <w:p w14:paraId="6402B200">
      <w:pPr>
        <w:keepNext w:val="0"/>
        <w:keepLines w:val="0"/>
        <w:widowControl w:val="0"/>
        <w:kinsoku w:val="0"/>
        <w:overflowPunct w:val="0"/>
        <w:autoSpaceDE w:val="0"/>
        <w:autoSpaceDN w:val="0"/>
        <w:bidi w:val="0"/>
        <w:adjustRightInd w:val="0"/>
        <w:spacing w:before="153"/>
        <w:ind w:left="5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1.按照法律法规及合同文件约定督促、检查监理人落实安全生产责任。</w:t>
      </w:r>
    </w:p>
    <w:p w14:paraId="1CA51A7B">
      <w:pPr>
        <w:keepNext w:val="0"/>
        <w:keepLines w:val="0"/>
        <w:widowControl w:val="0"/>
        <w:kinsoku w:val="0"/>
        <w:overflowPunct w:val="0"/>
        <w:autoSpaceDE w:val="0"/>
        <w:autoSpaceDN w:val="0"/>
        <w:bidi w:val="0"/>
        <w:adjustRightInd w:val="0"/>
        <w:spacing w:before="151" w:line="357" w:lineRule="auto"/>
        <w:ind w:left="115" w:right="113"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2.按照有关规定对监理人的安全生产条件、安全生产信用情况、安全生产管理体系及保障措施等提出明确要求并检查实施情况。</w:t>
      </w:r>
    </w:p>
    <w:p w14:paraId="4A793767">
      <w:pPr>
        <w:keepNext w:val="0"/>
        <w:keepLines w:val="0"/>
        <w:bidi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二、监理人职责</w:t>
      </w:r>
    </w:p>
    <w:p w14:paraId="4B1573FE">
      <w:pPr>
        <w:keepNext w:val="0"/>
        <w:keepLines w:val="0"/>
        <w:widowControl w:val="0"/>
        <w:kinsoku w:val="0"/>
        <w:overflowPunct w:val="0"/>
        <w:autoSpaceDE w:val="0"/>
        <w:autoSpaceDN w:val="0"/>
        <w:bidi w:val="0"/>
        <w:adjustRightInd w:val="0"/>
        <w:spacing w:before="153"/>
        <w:ind w:left="5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1.严格遵守安全生产有关法律法规，落实合同中有关安全生产的要求。</w:t>
      </w:r>
    </w:p>
    <w:p w14:paraId="56C8D778">
      <w:pPr>
        <w:keepNext w:val="0"/>
        <w:keepLines w:val="0"/>
        <w:widowControl w:val="0"/>
        <w:kinsoku w:val="0"/>
        <w:overflowPunct w:val="0"/>
        <w:autoSpaceDE w:val="0"/>
        <w:autoSpaceDN w:val="0"/>
        <w:bidi w:val="0"/>
        <w:adjustRightInd w:val="0"/>
        <w:spacing w:before="151"/>
        <w:ind w:left="5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2.具备相应的安全生产条件及安全生产资质，对工程安全生产承担监理责任。</w:t>
      </w:r>
    </w:p>
    <w:p w14:paraId="0E815B98">
      <w:pPr>
        <w:keepNext w:val="0"/>
        <w:keepLines w:val="0"/>
        <w:widowControl w:val="0"/>
        <w:kinsoku w:val="0"/>
        <w:overflowPunct w:val="0"/>
        <w:autoSpaceDE w:val="0"/>
        <w:autoSpaceDN w:val="0"/>
        <w:bidi w:val="0"/>
        <w:adjustRightInd w:val="0"/>
        <w:spacing w:before="154" w:line="357" w:lineRule="auto"/>
        <w:ind w:left="115" w:right="113"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3.建立健全安全生产制度、责任、组织机构等内部管理体系，配齐安全管理人员，落实安全生产培训教育，依法参加各类安全保险，落实本单位安全管理责任。</w:t>
      </w:r>
    </w:p>
    <w:p w14:paraId="019EDECF">
      <w:pPr>
        <w:keepNext w:val="0"/>
        <w:keepLines w:val="0"/>
        <w:widowControl w:val="0"/>
        <w:kinsoku w:val="0"/>
        <w:overflowPunct w:val="0"/>
        <w:autoSpaceDE w:val="0"/>
        <w:autoSpaceDN w:val="0"/>
        <w:bidi w:val="0"/>
        <w:adjustRightInd w:val="0"/>
        <w:spacing w:before="34" w:line="355" w:lineRule="auto"/>
        <w:ind w:left="115" w:right="113"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4.对施工单位的施工安全提出明确要求并督促落实，检查施工单位安全生产管理体系建立及落实情况，检查有关人员资格及设备设施相关安全手续等情况。</w:t>
      </w:r>
    </w:p>
    <w:p w14:paraId="2643DFC5">
      <w:pPr>
        <w:keepNext w:val="0"/>
        <w:keepLines w:val="0"/>
        <w:widowControl w:val="0"/>
        <w:kinsoku w:val="0"/>
        <w:overflowPunct w:val="0"/>
        <w:autoSpaceDE w:val="0"/>
        <w:autoSpaceDN w:val="0"/>
        <w:bidi w:val="0"/>
        <w:adjustRightInd w:val="0"/>
        <w:spacing w:before="38" w:line="355" w:lineRule="auto"/>
        <w:ind w:left="115" w:right="113"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5.核查施工单位安全生产条件，审查施工组织设计安全技术措施、应急预案及施工安全风险评估报告等，检查危险性较大工程专项施工方案实施情况。</w:t>
      </w:r>
    </w:p>
    <w:p w14:paraId="4ED592BF">
      <w:pPr>
        <w:keepNext w:val="0"/>
        <w:keepLines w:val="0"/>
        <w:widowControl w:val="0"/>
        <w:kinsoku w:val="0"/>
        <w:overflowPunct w:val="0"/>
        <w:autoSpaceDE w:val="0"/>
        <w:autoSpaceDN w:val="0"/>
        <w:bidi w:val="0"/>
        <w:adjustRightInd w:val="0"/>
        <w:spacing w:before="38" w:line="357" w:lineRule="auto"/>
        <w:ind w:left="115" w:right="113"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6.按有关规定对施工单位开展各类安全生产检查，发现生产安全事故隐患按有关要求及时处理和报告。</w:t>
      </w:r>
    </w:p>
    <w:p w14:paraId="476BDCFC">
      <w:pPr>
        <w:keepNext w:val="0"/>
        <w:keepLines w:val="0"/>
        <w:widowControl w:val="0"/>
        <w:kinsoku w:val="0"/>
        <w:overflowPunct w:val="0"/>
        <w:autoSpaceDE w:val="0"/>
        <w:autoSpaceDN w:val="0"/>
        <w:bidi w:val="0"/>
        <w:adjustRightInd w:val="0"/>
        <w:spacing w:before="33"/>
        <w:ind w:left="5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7.建立安全监理内业台账档案。</w:t>
      </w:r>
    </w:p>
    <w:p w14:paraId="30C9304E">
      <w:pPr>
        <w:keepNext w:val="0"/>
        <w:keepLines w:val="0"/>
        <w:widowControl w:val="0"/>
        <w:kinsoku w:val="0"/>
        <w:overflowPunct w:val="0"/>
        <w:autoSpaceDE w:val="0"/>
        <w:autoSpaceDN w:val="0"/>
        <w:bidi w:val="0"/>
        <w:adjustRightInd w:val="0"/>
        <w:spacing w:before="153" w:line="355" w:lineRule="auto"/>
        <w:ind w:left="600" w:right="3175" w:hanging="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8.落实安全生产法律法规、政策等规定的其他职责。</w:t>
      </w:r>
    </w:p>
    <w:p w14:paraId="6B2C9605">
      <w:pPr>
        <w:keepNext w:val="0"/>
        <w:keepLines w:val="0"/>
        <w:bidi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三、违约责任</w:t>
      </w:r>
    </w:p>
    <w:p w14:paraId="49E8EA1F">
      <w:pPr>
        <w:keepNext w:val="0"/>
        <w:keepLines w:val="0"/>
        <w:widowControl w:val="0"/>
        <w:kinsoku w:val="0"/>
        <w:overflowPunct w:val="0"/>
        <w:autoSpaceDE w:val="0"/>
        <w:autoSpaceDN w:val="0"/>
        <w:bidi w:val="0"/>
        <w:adjustRightInd w:val="0"/>
        <w:spacing w:before="38"/>
        <w:ind w:left="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如因一方违约造成安全事故，将依法追究法律责任。</w:t>
      </w:r>
    </w:p>
    <w:p w14:paraId="738BDA25">
      <w:pPr>
        <w:keepNext w:val="0"/>
        <w:keepLines w:val="0"/>
        <w:bidi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四、本合同正本一式两份，甲、乙双方各执一份；副本一式八份，甲、乙双方各执四份。合同由双方法定代表人或其授权的代理人签署并加盖公章后生效，全部工程竣工验收后失效。</w:t>
      </w:r>
    </w:p>
    <w:p w14:paraId="403ED221">
      <w:pPr>
        <w:keepNext w:val="0"/>
        <w:keepLines w:val="0"/>
        <w:bidi w:val="0"/>
        <w:spacing w:line="360" w:lineRule="auto"/>
        <w:jc w:val="left"/>
        <w:rPr>
          <w:rFonts w:hint="eastAsia" w:ascii="宋体" w:hAnsi="宋体" w:eastAsia="宋体" w:cs="宋体"/>
          <w:b/>
          <w:color w:val="auto"/>
          <w:w w:val="95"/>
          <w:sz w:val="24"/>
          <w:szCs w:val="24"/>
          <w:highlight w:val="none"/>
        </w:rPr>
      </w:pPr>
    </w:p>
    <w:p w14:paraId="6CE59DA2">
      <w:pPr>
        <w:keepNext w:val="0"/>
        <w:keepLines w:val="0"/>
        <w:bidi w:val="0"/>
        <w:spacing w:line="360" w:lineRule="auto"/>
        <w:jc w:val="left"/>
        <w:rPr>
          <w:rFonts w:hint="eastAsia" w:ascii="宋体" w:hAnsi="宋体" w:eastAsia="宋体" w:cs="宋体"/>
          <w:b/>
          <w:color w:val="auto"/>
          <w:w w:val="95"/>
          <w:sz w:val="24"/>
          <w:szCs w:val="24"/>
          <w:highlight w:val="none"/>
        </w:rPr>
      </w:pPr>
    </w:p>
    <w:p w14:paraId="1346107B">
      <w:pPr>
        <w:keepNext w:val="0"/>
        <w:keepLines w:val="0"/>
        <w:widowControl w:val="0"/>
        <w:tabs>
          <w:tab w:val="left" w:pos="2395"/>
          <w:tab w:val="left" w:pos="4795"/>
          <w:tab w:val="left" w:pos="7915"/>
        </w:tabs>
        <w:kinsoku w:val="0"/>
        <w:overflowPunct w:val="0"/>
        <w:autoSpaceDE w:val="0"/>
        <w:autoSpaceDN w:val="0"/>
        <w:bidi w:val="0"/>
        <w:adjustRightInd w:val="0"/>
        <w:spacing w:before="188"/>
        <w:ind w:left="1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（盖章）</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监理人：</w:t>
      </w:r>
      <w:r>
        <w:rPr>
          <w:rFonts w:hint="eastAsia" w:ascii="宋体" w:hAnsi="宋体" w:eastAsia="宋体" w:cs="宋体"/>
          <w:color w:val="auto"/>
          <w:sz w:val="24"/>
          <w:szCs w:val="24"/>
          <w:highlight w:val="none"/>
          <w:u w:val="single"/>
        </w:rPr>
        <w:t>（全称）（盖章）</w:t>
      </w:r>
      <w:r>
        <w:rPr>
          <w:rFonts w:hint="eastAsia" w:ascii="宋体" w:hAnsi="宋体" w:eastAsia="宋体" w:cs="宋体"/>
          <w:color w:val="auto"/>
          <w:sz w:val="24"/>
          <w:szCs w:val="24"/>
          <w:highlight w:val="none"/>
          <w:u w:val="single"/>
        </w:rPr>
        <w:tab/>
      </w:r>
    </w:p>
    <w:p w14:paraId="7D2137DA">
      <w:pPr>
        <w:keepNext w:val="0"/>
        <w:keepLines w:val="0"/>
        <w:widowControl w:val="0"/>
        <w:kinsoku w:val="0"/>
        <w:overflowPunct w:val="0"/>
        <w:autoSpaceDE w:val="0"/>
        <w:autoSpaceDN w:val="0"/>
        <w:bidi w:val="0"/>
        <w:adjustRightInd w:val="0"/>
        <w:rPr>
          <w:rFonts w:hint="eastAsia" w:ascii="宋体" w:hAnsi="宋体" w:eastAsia="宋体" w:cs="宋体"/>
          <w:color w:val="auto"/>
          <w:sz w:val="20"/>
          <w:szCs w:val="24"/>
          <w:highlight w:val="none"/>
        </w:rPr>
      </w:pPr>
    </w:p>
    <w:p w14:paraId="298E8437">
      <w:pPr>
        <w:keepNext w:val="0"/>
        <w:keepLines w:val="0"/>
        <w:widowControl w:val="0"/>
        <w:tabs>
          <w:tab w:val="left" w:pos="4795"/>
        </w:tabs>
        <w:kinsoku w:val="0"/>
        <w:overflowPunct w:val="0"/>
        <w:autoSpaceDE w:val="0"/>
        <w:autoSpaceDN w:val="0"/>
        <w:bidi w:val="0"/>
        <w:adjustRightInd w:val="0"/>
        <w:spacing w:before="203"/>
        <w:ind w:left="1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法定代表人或</w:t>
      </w:r>
    </w:p>
    <w:p w14:paraId="49AC5C9F">
      <w:pPr>
        <w:keepNext w:val="0"/>
        <w:keepLines w:val="0"/>
        <w:widowControl w:val="0"/>
        <w:kinsoku w:val="0"/>
        <w:overflowPunct w:val="0"/>
        <w:autoSpaceDE w:val="0"/>
        <w:autoSpaceDN w:val="0"/>
        <w:bidi w:val="0"/>
        <w:adjustRightInd w:val="0"/>
        <w:spacing w:before="7"/>
        <w:rPr>
          <w:rFonts w:hint="eastAsia" w:ascii="宋体" w:hAnsi="宋体" w:eastAsia="宋体" w:cs="宋体"/>
          <w:color w:val="auto"/>
          <w:sz w:val="35"/>
          <w:szCs w:val="24"/>
          <w:highlight w:val="none"/>
        </w:rPr>
      </w:pPr>
    </w:p>
    <w:p w14:paraId="22DFB21D">
      <w:pPr>
        <w:keepNext w:val="0"/>
        <w:keepLines w:val="0"/>
        <w:widowControl w:val="0"/>
        <w:tabs>
          <w:tab w:val="left" w:pos="3235"/>
          <w:tab w:val="left" w:pos="4795"/>
          <w:tab w:val="left" w:pos="7915"/>
        </w:tabs>
        <w:kinsoku w:val="0"/>
        <w:overflowPunct w:val="0"/>
        <w:autoSpaceDE w:val="0"/>
        <w:autoSpaceDN w:val="0"/>
        <w:bidi w:val="0"/>
        <w:adjustRightInd w:val="0"/>
        <w:ind w:left="1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其授权的代理人：</w:t>
      </w:r>
      <w:r>
        <w:rPr>
          <w:rFonts w:hint="eastAsia" w:ascii="宋体" w:hAnsi="宋体" w:eastAsia="宋体" w:cs="宋体"/>
          <w:color w:val="auto"/>
          <w:sz w:val="24"/>
          <w:szCs w:val="24"/>
          <w:highlight w:val="none"/>
          <w:u w:val="single"/>
        </w:rPr>
        <w:t>（签名）</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其授权的代理人：</w:t>
      </w:r>
      <w:r>
        <w:rPr>
          <w:rFonts w:hint="eastAsia" w:ascii="宋体" w:hAnsi="宋体" w:eastAsia="宋体" w:cs="宋体"/>
          <w:color w:val="auto"/>
          <w:sz w:val="24"/>
          <w:szCs w:val="24"/>
          <w:highlight w:val="none"/>
          <w:u w:val="single"/>
        </w:rPr>
        <w:t>（签名）</w:t>
      </w:r>
      <w:r>
        <w:rPr>
          <w:rFonts w:hint="eastAsia" w:ascii="宋体" w:hAnsi="宋体" w:eastAsia="宋体" w:cs="宋体"/>
          <w:color w:val="auto"/>
          <w:sz w:val="24"/>
          <w:szCs w:val="24"/>
          <w:highlight w:val="none"/>
          <w:u w:val="single"/>
        </w:rPr>
        <w:tab/>
      </w:r>
    </w:p>
    <w:p w14:paraId="0E85B511">
      <w:pPr>
        <w:keepNext w:val="0"/>
        <w:keepLines w:val="0"/>
        <w:widowControl w:val="0"/>
        <w:kinsoku w:val="0"/>
        <w:overflowPunct w:val="0"/>
        <w:autoSpaceDE w:val="0"/>
        <w:autoSpaceDN w:val="0"/>
        <w:bidi w:val="0"/>
        <w:adjustRightInd w:val="0"/>
        <w:rPr>
          <w:rFonts w:hint="eastAsia" w:ascii="宋体" w:hAnsi="宋体" w:eastAsia="宋体" w:cs="宋体"/>
          <w:color w:val="auto"/>
          <w:sz w:val="20"/>
          <w:szCs w:val="24"/>
          <w:highlight w:val="none"/>
        </w:rPr>
      </w:pPr>
    </w:p>
    <w:p w14:paraId="43FA0737">
      <w:pPr>
        <w:keepNext w:val="0"/>
        <w:keepLines w:val="0"/>
        <w:widowControl w:val="0"/>
        <w:tabs>
          <w:tab w:val="left" w:pos="3355"/>
          <w:tab w:val="left" w:pos="4855"/>
          <w:tab w:val="left" w:pos="8035"/>
        </w:tabs>
        <w:kinsoku w:val="0"/>
        <w:overflowPunct w:val="0"/>
        <w:autoSpaceDE w:val="0"/>
        <w:autoSpaceDN w:val="0"/>
        <w:bidi w:val="0"/>
        <w:adjustRightInd w:val="0"/>
        <w:spacing w:before="201" w:line="357" w:lineRule="auto"/>
        <w:ind w:left="175" w:right="1188"/>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ab/>
      </w:r>
    </w:p>
    <w:p w14:paraId="223844F2">
      <w:pPr>
        <w:keepNext w:val="0"/>
        <w:keepLines w:val="0"/>
        <w:widowControl w:val="0"/>
        <w:tabs>
          <w:tab w:val="left" w:pos="3355"/>
          <w:tab w:val="left" w:pos="4855"/>
          <w:tab w:val="left" w:pos="8035"/>
        </w:tabs>
        <w:kinsoku w:val="0"/>
        <w:overflowPunct w:val="0"/>
        <w:autoSpaceDE w:val="0"/>
        <w:autoSpaceDN w:val="0"/>
        <w:bidi w:val="0"/>
        <w:adjustRightInd w:val="0"/>
        <w:spacing w:before="201" w:line="357" w:lineRule="auto"/>
        <w:ind w:left="175" w:right="11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ab/>
      </w:r>
    </w:p>
    <w:p w14:paraId="7F94605E">
      <w:pPr>
        <w:keepNext w:val="0"/>
        <w:keepLines w:val="0"/>
        <w:widowControl w:val="0"/>
        <w:kinsoku w:val="0"/>
        <w:overflowPunct w:val="0"/>
        <w:autoSpaceDE w:val="0"/>
        <w:autoSpaceDN w:val="0"/>
        <w:bidi w:val="0"/>
        <w:adjustRightInd w:val="0"/>
        <w:rPr>
          <w:rFonts w:hint="eastAsia" w:ascii="宋体" w:hAnsi="宋体" w:eastAsia="宋体" w:cs="宋体"/>
          <w:color w:val="auto"/>
          <w:sz w:val="20"/>
          <w:szCs w:val="24"/>
          <w:highlight w:val="none"/>
        </w:rPr>
      </w:pPr>
    </w:p>
    <w:p w14:paraId="64118129">
      <w:pPr>
        <w:keepNext w:val="0"/>
        <w:keepLines w:val="0"/>
        <w:widowControl w:val="0"/>
        <w:kinsoku w:val="0"/>
        <w:overflowPunct w:val="0"/>
        <w:autoSpaceDE w:val="0"/>
        <w:autoSpaceDN w:val="0"/>
        <w:bidi w:val="0"/>
        <w:adjustRightInd w:val="0"/>
        <w:spacing w:before="6"/>
        <w:rPr>
          <w:rFonts w:hint="eastAsia" w:ascii="宋体" w:hAnsi="宋体" w:eastAsia="宋体" w:cs="宋体"/>
          <w:color w:val="auto"/>
          <w:szCs w:val="24"/>
          <w:highlight w:val="none"/>
        </w:rPr>
      </w:pPr>
    </w:p>
    <w:p w14:paraId="79B350D1">
      <w:pPr>
        <w:keepNext w:val="0"/>
        <w:keepLines w:val="0"/>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日</w:t>
      </w:r>
    </w:p>
    <w:p w14:paraId="2C6D49E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F50CC1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680648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5D5426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DD931E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497E67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CB2266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9DA830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563AD9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C99411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075AC2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345AFA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7C66B4B">
      <w:pPr>
        <w:pStyle w:val="6"/>
        <w:keepNext w:val="0"/>
        <w:keepLines w:val="0"/>
        <w:bidi w:val="0"/>
        <w:rPr>
          <w:rFonts w:hint="eastAsia" w:ascii="宋体" w:hAnsi="宋体" w:eastAsia="宋体" w:cs="宋体"/>
          <w:color w:val="auto"/>
          <w:sz w:val="20"/>
          <w:highlight w:val="none"/>
        </w:rPr>
      </w:pPr>
    </w:p>
    <w:p w14:paraId="4511C477">
      <w:pPr>
        <w:keepNext w:val="0"/>
        <w:keepLines w:val="0"/>
        <w:bidi w:val="0"/>
        <w:rPr>
          <w:rFonts w:hint="eastAsia" w:ascii="宋体" w:hAnsi="宋体" w:eastAsia="宋体" w:cs="宋体"/>
          <w:color w:val="auto"/>
          <w:sz w:val="20"/>
          <w:highlight w:val="none"/>
        </w:rPr>
      </w:pPr>
    </w:p>
    <w:p w14:paraId="5F686317">
      <w:pPr>
        <w:pStyle w:val="6"/>
        <w:keepNext w:val="0"/>
        <w:keepLines w:val="0"/>
        <w:bidi w:val="0"/>
        <w:rPr>
          <w:rFonts w:hint="eastAsia" w:ascii="宋体" w:hAnsi="宋体" w:eastAsia="宋体" w:cs="宋体"/>
          <w:color w:val="auto"/>
          <w:sz w:val="20"/>
          <w:highlight w:val="none"/>
        </w:rPr>
      </w:pPr>
    </w:p>
    <w:p w14:paraId="68133E15">
      <w:pPr>
        <w:keepNext w:val="0"/>
        <w:keepLines w:val="0"/>
        <w:bidi w:val="0"/>
        <w:rPr>
          <w:rFonts w:hint="eastAsia" w:ascii="宋体" w:hAnsi="宋体" w:eastAsia="宋体" w:cs="宋体"/>
          <w:color w:val="auto"/>
          <w:sz w:val="20"/>
          <w:highlight w:val="none"/>
        </w:rPr>
      </w:pPr>
    </w:p>
    <w:p w14:paraId="64D547CC">
      <w:pPr>
        <w:pStyle w:val="6"/>
        <w:keepNext w:val="0"/>
        <w:keepLines w:val="0"/>
        <w:bidi w:val="0"/>
        <w:rPr>
          <w:rFonts w:hint="eastAsia" w:ascii="宋体" w:hAnsi="宋体" w:eastAsia="宋体" w:cs="宋体"/>
          <w:color w:val="auto"/>
          <w:sz w:val="20"/>
          <w:highlight w:val="none"/>
        </w:rPr>
      </w:pPr>
    </w:p>
    <w:p w14:paraId="0C383459">
      <w:pPr>
        <w:keepNext w:val="0"/>
        <w:keepLines w:val="0"/>
        <w:bidi w:val="0"/>
        <w:rPr>
          <w:rFonts w:hint="eastAsia" w:ascii="宋体" w:hAnsi="宋体" w:eastAsia="宋体" w:cs="宋体"/>
          <w:color w:val="auto"/>
          <w:sz w:val="20"/>
          <w:highlight w:val="none"/>
        </w:rPr>
      </w:pPr>
    </w:p>
    <w:p w14:paraId="16107668">
      <w:pPr>
        <w:pStyle w:val="6"/>
        <w:keepNext w:val="0"/>
        <w:keepLines w:val="0"/>
        <w:bidi w:val="0"/>
        <w:rPr>
          <w:rFonts w:hint="eastAsia" w:ascii="宋体" w:hAnsi="宋体" w:eastAsia="宋体" w:cs="宋体"/>
          <w:color w:val="auto"/>
          <w:sz w:val="20"/>
          <w:highlight w:val="none"/>
        </w:rPr>
      </w:pPr>
    </w:p>
    <w:p w14:paraId="7097AE0D">
      <w:pPr>
        <w:keepNext w:val="0"/>
        <w:keepLines w:val="0"/>
        <w:bidi w:val="0"/>
        <w:rPr>
          <w:rFonts w:hint="eastAsia" w:ascii="宋体" w:hAnsi="宋体" w:eastAsia="宋体" w:cs="宋体"/>
          <w:color w:val="auto"/>
          <w:sz w:val="20"/>
          <w:highlight w:val="none"/>
        </w:rPr>
      </w:pPr>
    </w:p>
    <w:p w14:paraId="525BA685">
      <w:pPr>
        <w:pStyle w:val="6"/>
        <w:keepNext w:val="0"/>
        <w:keepLines w:val="0"/>
        <w:bidi w:val="0"/>
        <w:rPr>
          <w:rFonts w:hint="eastAsia" w:ascii="宋体" w:hAnsi="宋体" w:eastAsia="宋体" w:cs="宋体"/>
          <w:color w:val="auto"/>
          <w:sz w:val="20"/>
          <w:highlight w:val="none"/>
        </w:rPr>
      </w:pPr>
    </w:p>
    <w:p w14:paraId="116EA6DA">
      <w:pPr>
        <w:keepNext w:val="0"/>
        <w:keepLines w:val="0"/>
        <w:bidi w:val="0"/>
        <w:rPr>
          <w:rFonts w:hint="eastAsia" w:ascii="宋体" w:hAnsi="宋体" w:eastAsia="宋体" w:cs="宋体"/>
          <w:color w:val="auto"/>
          <w:sz w:val="20"/>
          <w:highlight w:val="none"/>
        </w:rPr>
      </w:pPr>
    </w:p>
    <w:p w14:paraId="7CC90183">
      <w:pPr>
        <w:pStyle w:val="6"/>
        <w:keepNext w:val="0"/>
        <w:keepLines w:val="0"/>
        <w:bidi w:val="0"/>
        <w:rPr>
          <w:rFonts w:hint="eastAsia" w:ascii="宋体" w:hAnsi="宋体" w:eastAsia="宋体" w:cs="宋体"/>
          <w:color w:val="auto"/>
          <w:sz w:val="20"/>
          <w:highlight w:val="none"/>
        </w:rPr>
      </w:pPr>
    </w:p>
    <w:p w14:paraId="0033FA45">
      <w:pPr>
        <w:keepNext w:val="0"/>
        <w:keepLines w:val="0"/>
        <w:bidi w:val="0"/>
        <w:rPr>
          <w:rFonts w:hint="eastAsia" w:ascii="宋体" w:hAnsi="宋体" w:eastAsia="宋体" w:cs="宋体"/>
          <w:color w:val="auto"/>
          <w:sz w:val="20"/>
          <w:highlight w:val="none"/>
        </w:rPr>
      </w:pPr>
    </w:p>
    <w:p w14:paraId="1C75163E">
      <w:pPr>
        <w:pStyle w:val="6"/>
        <w:keepNext w:val="0"/>
        <w:keepLines w:val="0"/>
        <w:bidi w:val="0"/>
        <w:rPr>
          <w:rFonts w:hint="eastAsia" w:ascii="宋体" w:hAnsi="宋体" w:eastAsia="宋体" w:cs="宋体"/>
          <w:color w:val="auto"/>
          <w:sz w:val="20"/>
          <w:highlight w:val="none"/>
        </w:rPr>
      </w:pPr>
    </w:p>
    <w:p w14:paraId="596083CC">
      <w:pPr>
        <w:keepNext w:val="0"/>
        <w:keepLines w:val="0"/>
        <w:bidi w:val="0"/>
        <w:rPr>
          <w:rFonts w:hint="eastAsia" w:ascii="宋体" w:hAnsi="宋体" w:eastAsia="宋体" w:cs="宋体"/>
          <w:color w:val="auto"/>
          <w:sz w:val="20"/>
          <w:highlight w:val="none"/>
        </w:rPr>
      </w:pPr>
    </w:p>
    <w:p w14:paraId="1050CC6D">
      <w:pPr>
        <w:pStyle w:val="6"/>
        <w:keepNext w:val="0"/>
        <w:keepLines w:val="0"/>
        <w:bidi w:val="0"/>
        <w:rPr>
          <w:rFonts w:hint="eastAsia" w:ascii="宋体" w:hAnsi="宋体" w:eastAsia="宋体" w:cs="宋体"/>
          <w:color w:val="auto"/>
          <w:sz w:val="20"/>
          <w:highlight w:val="none"/>
        </w:rPr>
      </w:pPr>
    </w:p>
    <w:p w14:paraId="2ED8A884">
      <w:pPr>
        <w:keepNext w:val="0"/>
        <w:keepLines w:val="0"/>
        <w:bidi w:val="0"/>
        <w:rPr>
          <w:rFonts w:hint="eastAsia" w:ascii="宋体" w:hAnsi="宋体" w:eastAsia="宋体" w:cs="宋体"/>
          <w:color w:val="auto"/>
          <w:sz w:val="20"/>
          <w:highlight w:val="none"/>
        </w:rPr>
      </w:pPr>
    </w:p>
    <w:p w14:paraId="011787D1">
      <w:pPr>
        <w:pStyle w:val="6"/>
        <w:keepNext w:val="0"/>
        <w:keepLines w:val="0"/>
        <w:bidi w:val="0"/>
        <w:rPr>
          <w:rFonts w:hint="eastAsia" w:ascii="宋体" w:hAnsi="宋体" w:eastAsia="宋体" w:cs="宋体"/>
          <w:color w:val="auto"/>
          <w:sz w:val="20"/>
          <w:highlight w:val="none"/>
        </w:rPr>
      </w:pPr>
    </w:p>
    <w:p w14:paraId="66C828BE">
      <w:pPr>
        <w:keepNext w:val="0"/>
        <w:keepLines w:val="0"/>
        <w:bidi w:val="0"/>
        <w:rPr>
          <w:rFonts w:hint="eastAsia" w:ascii="宋体" w:hAnsi="宋体" w:eastAsia="宋体" w:cs="宋体"/>
          <w:color w:val="auto"/>
          <w:sz w:val="20"/>
          <w:highlight w:val="none"/>
        </w:rPr>
      </w:pPr>
    </w:p>
    <w:p w14:paraId="28D3C04D">
      <w:pPr>
        <w:pStyle w:val="6"/>
        <w:keepNext w:val="0"/>
        <w:keepLines w:val="0"/>
        <w:bidi w:val="0"/>
        <w:rPr>
          <w:rFonts w:hint="eastAsia" w:ascii="宋体" w:hAnsi="宋体" w:eastAsia="宋体" w:cs="宋体"/>
          <w:color w:val="auto"/>
          <w:sz w:val="20"/>
          <w:highlight w:val="none"/>
        </w:rPr>
      </w:pPr>
    </w:p>
    <w:p w14:paraId="25B0FCE3">
      <w:pPr>
        <w:keepNext w:val="0"/>
        <w:keepLines w:val="0"/>
        <w:bidi w:val="0"/>
        <w:rPr>
          <w:rFonts w:hint="eastAsia" w:ascii="宋体" w:hAnsi="宋体" w:eastAsia="宋体" w:cs="宋体"/>
          <w:color w:val="auto"/>
          <w:sz w:val="20"/>
          <w:highlight w:val="none"/>
        </w:rPr>
      </w:pPr>
    </w:p>
    <w:p w14:paraId="7B6A734F">
      <w:pPr>
        <w:pStyle w:val="6"/>
        <w:keepNext w:val="0"/>
        <w:keepLines w:val="0"/>
        <w:bidi w:val="0"/>
        <w:rPr>
          <w:rFonts w:hint="eastAsia" w:ascii="宋体" w:hAnsi="宋体" w:eastAsia="宋体" w:cs="宋体"/>
          <w:color w:val="auto"/>
          <w:sz w:val="20"/>
          <w:highlight w:val="none"/>
        </w:rPr>
      </w:pPr>
    </w:p>
    <w:p w14:paraId="7E6E590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587FD5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31B017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2C2F9B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27FFAE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C43BFD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2BF27A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CF31E3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62712B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074031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7688FB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8E9077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F2FDCB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255C04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10BE0B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AF8D79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D87E26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BC3615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CD1333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6192693">
      <w:pPr>
        <w:keepNext w:val="0"/>
        <w:keepLines w:val="0"/>
        <w:widowControl w:val="0"/>
        <w:kinsoku w:val="0"/>
        <w:overflowPunct w:val="0"/>
        <w:autoSpaceDE w:val="0"/>
        <w:autoSpaceDN w:val="0"/>
        <w:bidi w:val="0"/>
        <w:adjustRightInd w:val="0"/>
        <w:spacing w:before="7" w:line="280" w:lineRule="exact"/>
        <w:jc w:val="left"/>
        <w:rPr>
          <w:rFonts w:hint="eastAsia" w:ascii="宋体" w:hAnsi="宋体" w:eastAsia="宋体" w:cs="宋体"/>
          <w:color w:val="auto"/>
          <w:sz w:val="28"/>
          <w:highlight w:val="none"/>
        </w:rPr>
      </w:pPr>
    </w:p>
    <w:p w14:paraId="3B0DEB37">
      <w:pPr>
        <w:pStyle w:val="5"/>
        <w:keepNext w:val="0"/>
        <w:keepLines w:val="0"/>
        <w:bidi w:val="0"/>
        <w:rPr>
          <w:rFonts w:hint="eastAsia" w:ascii="宋体" w:hAnsi="宋体" w:eastAsia="宋体" w:cs="宋体"/>
          <w:color w:val="auto"/>
          <w:highlight w:val="none"/>
        </w:rPr>
      </w:pPr>
      <w:bookmarkStart w:id="614" w:name="bookmark126"/>
      <w:bookmarkEnd w:id="614"/>
      <w:bookmarkStart w:id="615" w:name="_Toc25035"/>
      <w:bookmarkStart w:id="616" w:name="_Toc17246_WPSOffice_Level1"/>
      <w:r>
        <w:rPr>
          <w:rFonts w:hint="eastAsia" w:ascii="宋体" w:hAnsi="宋体" w:eastAsia="宋体" w:cs="宋体"/>
          <w:color w:val="auto"/>
          <w:highlight w:val="none"/>
        </w:rPr>
        <w:t>第五章委托人要求</w:t>
      </w:r>
      <w:bookmarkEnd w:id="615"/>
      <w:bookmarkEnd w:id="616"/>
    </w:p>
    <w:p w14:paraId="6254309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F13B7A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800D56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21918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F6B1CC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1EDCB4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1988FBE">
      <w:pPr>
        <w:keepNext w:val="0"/>
        <w:keepLines w:val="0"/>
        <w:bidi w:val="0"/>
        <w:rPr>
          <w:rFonts w:hint="eastAsia" w:ascii="宋体" w:hAnsi="宋体" w:eastAsia="宋体" w:cs="宋体"/>
          <w:color w:val="auto"/>
          <w:highlight w:val="none"/>
        </w:rPr>
      </w:pPr>
    </w:p>
    <w:p w14:paraId="04FA9BF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84B518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5E5E1D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FC51D4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C1D29C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4A123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C1AF28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AB5287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1C213E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6160C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CD529A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BA573A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58EBC4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66E90A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4FCEAB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FB6F1F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B2B1A8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347813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13F21B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F5AD02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B603DB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2A35AC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D03912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DE7951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8A6A9E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69BE5B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0737A6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C1B998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1C9A92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BD8F88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CCF831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CDDAD92">
      <w:pPr>
        <w:pStyle w:val="11"/>
        <w:keepNext w:val="0"/>
        <w:keepLines w:val="0"/>
        <w:kinsoku w:val="0"/>
        <w:overflowPunct w:val="0"/>
        <w:bidi w:val="0"/>
        <w:spacing w:line="400" w:lineRule="exact"/>
        <w:ind w:left="1311" w:right="1391"/>
        <w:jc w:val="center"/>
        <w:rPr>
          <w:rFonts w:hint="eastAsia" w:ascii="宋体" w:hAnsi="宋体" w:eastAsia="宋体" w:cs="宋体"/>
          <w:color w:val="auto"/>
          <w:highlight w:val="none"/>
        </w:rPr>
      </w:pPr>
      <w:r>
        <w:rPr>
          <w:rFonts w:hint="eastAsia" w:ascii="宋体" w:hAnsi="宋体" w:eastAsia="宋体" w:cs="宋体"/>
          <w:color w:val="auto"/>
          <w:sz w:val="20"/>
          <w:highlight w:val="none"/>
        </w:rPr>
        <w:br w:type="page"/>
      </w:r>
      <w:bookmarkStart w:id="617" w:name="_Toc18865_WPSOffice_Level2"/>
      <w:r>
        <w:rPr>
          <w:rFonts w:hint="eastAsia" w:ascii="宋体" w:hAnsi="宋体" w:eastAsia="宋体" w:cs="宋体"/>
          <w:b/>
          <w:bCs/>
          <w:color w:val="auto"/>
          <w:highlight w:val="none"/>
        </w:rPr>
        <w:t>委托人要求</w:t>
      </w:r>
      <w:bookmarkEnd w:id="617"/>
    </w:p>
    <w:p w14:paraId="5F7350DD">
      <w:pPr>
        <w:keepNext w:val="0"/>
        <w:keepLines w:val="0"/>
        <w:widowControl w:val="0"/>
        <w:kinsoku w:val="0"/>
        <w:overflowPunct w:val="0"/>
        <w:autoSpaceDE w:val="0"/>
        <w:autoSpaceDN w:val="0"/>
        <w:bidi w:val="0"/>
        <w:adjustRightInd w:val="0"/>
        <w:spacing w:before="8" w:line="110" w:lineRule="exact"/>
        <w:jc w:val="left"/>
        <w:rPr>
          <w:rFonts w:hint="eastAsia" w:ascii="宋体" w:hAnsi="宋体" w:eastAsia="宋体" w:cs="宋体"/>
          <w:color w:val="auto"/>
          <w:sz w:val="11"/>
          <w:highlight w:val="none"/>
        </w:rPr>
      </w:pPr>
    </w:p>
    <w:p w14:paraId="4D85043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6196E42">
      <w:pPr>
        <w:pStyle w:val="3"/>
        <w:keepNext w:val="0"/>
        <w:keepLines w:val="0"/>
        <w:kinsoku w:val="0"/>
        <w:overflowPunct w:val="0"/>
        <w:bidi w:val="0"/>
        <w:ind w:left="144"/>
        <w:rPr>
          <w:rFonts w:hint="eastAsia" w:ascii="宋体" w:hAnsi="宋体" w:eastAsia="宋体" w:cs="宋体"/>
          <w:color w:val="auto"/>
          <w:highlight w:val="none"/>
        </w:rPr>
      </w:pPr>
      <w:bookmarkStart w:id="618" w:name="_Toc5130_WPSOffice_Level2"/>
      <w:r>
        <w:rPr>
          <w:rFonts w:hint="eastAsia" w:ascii="宋体" w:hAnsi="宋体" w:eastAsia="宋体" w:cs="宋体"/>
          <w:b/>
          <w:bCs/>
          <w:color w:val="auto"/>
          <w:spacing w:val="2"/>
          <w:sz w:val="28"/>
          <w:szCs w:val="21"/>
          <w:highlight w:val="none"/>
        </w:rPr>
        <w:t>一</w:t>
      </w:r>
      <w:r>
        <w:rPr>
          <w:rFonts w:hint="eastAsia" w:ascii="宋体" w:hAnsi="宋体" w:eastAsia="宋体" w:cs="宋体"/>
          <w:b/>
          <w:bCs/>
          <w:color w:val="auto"/>
          <w:sz w:val="28"/>
          <w:szCs w:val="21"/>
          <w:highlight w:val="none"/>
        </w:rPr>
        <w:t>、</w:t>
      </w:r>
      <w:r>
        <w:rPr>
          <w:rFonts w:hint="eastAsia" w:ascii="宋体" w:hAnsi="宋体" w:eastAsia="宋体" w:cs="宋体"/>
          <w:b/>
          <w:bCs/>
          <w:color w:val="auto"/>
          <w:spacing w:val="2"/>
          <w:sz w:val="28"/>
          <w:szCs w:val="21"/>
          <w:highlight w:val="none"/>
        </w:rPr>
        <w:t>监</w:t>
      </w:r>
      <w:r>
        <w:rPr>
          <w:rFonts w:hint="eastAsia" w:ascii="宋体" w:hAnsi="宋体" w:eastAsia="宋体" w:cs="宋体"/>
          <w:b/>
          <w:bCs/>
          <w:color w:val="auto"/>
          <w:sz w:val="28"/>
          <w:szCs w:val="21"/>
          <w:highlight w:val="none"/>
        </w:rPr>
        <w:t>理要求</w:t>
      </w:r>
      <w:bookmarkEnd w:id="618"/>
    </w:p>
    <w:p w14:paraId="7DB22171">
      <w:pPr>
        <w:pStyle w:val="3"/>
        <w:keepNext w:val="0"/>
        <w:keepLines w:val="0"/>
        <w:kinsoku w:val="0"/>
        <w:overflowPunct w:val="0"/>
        <w:bidi w:val="0"/>
        <w:spacing w:before="85"/>
        <w:ind w:left="624"/>
        <w:rPr>
          <w:rFonts w:hint="eastAsia" w:ascii="宋体" w:hAnsi="宋体" w:eastAsia="宋体" w:cs="宋体"/>
          <w:color w:val="auto"/>
          <w:highlight w:val="none"/>
        </w:rPr>
      </w:pPr>
      <w:r>
        <w:rPr>
          <w:rFonts w:hint="eastAsia" w:ascii="宋体" w:hAnsi="宋体" w:eastAsia="宋体" w:cs="宋体"/>
          <w:color w:val="auto"/>
          <w:highlight w:val="none"/>
        </w:rPr>
        <w:t>（一）项目概况</w:t>
      </w:r>
    </w:p>
    <w:p w14:paraId="249BBF9E">
      <w:pPr>
        <w:pStyle w:val="3"/>
        <w:keepNext w:val="0"/>
        <w:keepLines w:val="0"/>
        <w:kinsoku w:val="0"/>
        <w:overflowPunct w:val="0"/>
        <w:bidi w:val="0"/>
        <w:spacing w:line="360" w:lineRule="auto"/>
        <w:ind w:left="0" w:right="221" w:firstLine="48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1、项目名称：</w:t>
      </w:r>
      <w:r>
        <w:rPr>
          <w:rFonts w:hint="eastAsia" w:ascii="宋体" w:hAnsi="宋体" w:eastAsia="宋体" w:cs="宋体"/>
          <w:color w:val="auto"/>
          <w:highlight w:val="none"/>
          <w:u w:val="single"/>
          <w:lang w:eastAsia="zh-CN"/>
        </w:rPr>
        <w:t>武江区江湾镇多田至湖洋村灾毁路段及地方公路路域提升改造工程项目监理（第二次）</w:t>
      </w:r>
    </w:p>
    <w:p w14:paraId="15C6A650">
      <w:pPr>
        <w:pStyle w:val="3"/>
        <w:keepNext w:val="0"/>
        <w:keepLines w:val="0"/>
        <w:kinsoku w:val="0"/>
        <w:overflowPunct w:val="0"/>
        <w:bidi w:val="0"/>
        <w:spacing w:line="360" w:lineRule="auto"/>
        <w:ind w:left="0" w:right="221" w:firstLine="48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建设单位：</w:t>
      </w:r>
      <w:r>
        <w:rPr>
          <w:rFonts w:hint="eastAsia" w:ascii="宋体" w:hAnsi="宋体" w:eastAsia="宋体" w:cs="宋体"/>
          <w:color w:val="auto"/>
          <w:highlight w:val="none"/>
          <w:u w:val="single"/>
          <w:lang w:eastAsia="zh-CN"/>
        </w:rPr>
        <w:t>韶关市武江区江湾镇人民政府</w:t>
      </w:r>
    </w:p>
    <w:p w14:paraId="3BC414E0">
      <w:pPr>
        <w:keepNext w:val="0"/>
        <w:keepLines w:val="0"/>
        <w:bidi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建设规模</w:t>
      </w:r>
      <w:r>
        <w:rPr>
          <w:rFonts w:hint="eastAsia" w:ascii="宋体" w:hAnsi="宋体" w:eastAsia="宋体" w:cs="宋体"/>
          <w:color w:val="auto"/>
          <w:spacing w:val="-5"/>
          <w:sz w:val="24"/>
          <w:szCs w:val="24"/>
          <w:highlight w:val="none"/>
        </w:rPr>
        <w:t>：</w:t>
      </w:r>
      <w:r>
        <w:rPr>
          <w:rFonts w:hint="eastAsia" w:ascii="宋体" w:hAnsi="宋体" w:eastAsia="宋体" w:cs="宋体"/>
          <w:color w:val="auto"/>
          <w:sz w:val="24"/>
          <w:highlight w:val="none"/>
          <w:u w:val="single"/>
        </w:rPr>
        <w:t>改造乡道Y267线路基路面约4500m²,新建路肩墙约70m、排水沟约540m；改造省道S520线灾毁路段路基路面约1860m²,新建路肩墙约130m、排水沟约120m、停车区约580㎡；改造乡道Y200线终点与省道S520线平交口，涉及路基路面工程约1500㎡，新建路肩墙约200m；完善附属交通防护设施、涵洞工程等。包括路面改造工程，排水设施工程，边坡防护工程，交通安防工程，平交口改造工程及附属其他设施工程等。</w:t>
      </w:r>
    </w:p>
    <w:p w14:paraId="1966D170">
      <w:pPr>
        <w:pStyle w:val="3"/>
        <w:keepNext w:val="0"/>
        <w:keepLines w:val="0"/>
        <w:kinsoku w:val="0"/>
        <w:overflowPunct w:val="0"/>
        <w:bidi w:val="0"/>
        <w:spacing w:line="360" w:lineRule="auto"/>
        <w:ind w:right="221" w:firstLine="460" w:firstLineChars="200"/>
        <w:jc w:val="both"/>
        <w:rPr>
          <w:rFonts w:hint="eastAsia" w:ascii="宋体" w:hAnsi="宋体" w:eastAsia="宋体" w:cs="宋体"/>
          <w:color w:val="auto"/>
          <w:spacing w:val="-5"/>
          <w:szCs w:val="22"/>
          <w:highlight w:val="none"/>
        </w:rPr>
      </w:pPr>
      <w:r>
        <w:rPr>
          <w:rFonts w:hint="eastAsia" w:ascii="宋体" w:hAnsi="宋体" w:eastAsia="宋体" w:cs="宋体"/>
          <w:color w:val="auto"/>
          <w:spacing w:val="-5"/>
          <w:szCs w:val="22"/>
          <w:highlight w:val="none"/>
        </w:rPr>
        <w:t>2、项目周边环境、文物情况：详见施工图。</w:t>
      </w:r>
    </w:p>
    <w:p w14:paraId="57D596F2">
      <w:pPr>
        <w:pStyle w:val="3"/>
        <w:keepNext w:val="0"/>
        <w:keepLines w:val="0"/>
        <w:kinsoku w:val="0"/>
        <w:overflowPunct w:val="0"/>
        <w:bidi w:val="0"/>
        <w:spacing w:line="360" w:lineRule="auto"/>
        <w:ind w:right="221" w:firstLine="460" w:firstLineChars="200"/>
        <w:jc w:val="both"/>
        <w:rPr>
          <w:rFonts w:hint="eastAsia" w:ascii="宋体" w:hAnsi="宋体" w:eastAsia="宋体" w:cs="宋体"/>
          <w:color w:val="auto"/>
          <w:spacing w:val="-5"/>
          <w:szCs w:val="22"/>
          <w:highlight w:val="none"/>
        </w:rPr>
      </w:pPr>
      <w:r>
        <w:rPr>
          <w:rFonts w:hint="eastAsia" w:ascii="宋体" w:hAnsi="宋体" w:eastAsia="宋体" w:cs="宋体"/>
          <w:color w:val="auto"/>
          <w:spacing w:val="-5"/>
          <w:szCs w:val="22"/>
          <w:highlight w:val="none"/>
        </w:rPr>
        <w:t>3、水文、气候、气象及地质简况：详见施工图。</w:t>
      </w:r>
    </w:p>
    <w:p w14:paraId="5EA9472C">
      <w:pPr>
        <w:pStyle w:val="3"/>
        <w:keepNext w:val="0"/>
        <w:keepLines w:val="0"/>
        <w:kinsoku w:val="0"/>
        <w:overflowPunct w:val="0"/>
        <w:bidi w:val="0"/>
        <w:spacing w:line="360" w:lineRule="auto"/>
        <w:ind w:right="221" w:firstLine="460" w:firstLineChars="200"/>
        <w:jc w:val="both"/>
        <w:rPr>
          <w:rFonts w:hint="eastAsia" w:ascii="宋体" w:hAnsi="宋体" w:eastAsia="宋体" w:cs="宋体"/>
          <w:color w:val="auto"/>
          <w:spacing w:val="-5"/>
          <w:szCs w:val="22"/>
          <w:highlight w:val="none"/>
        </w:rPr>
      </w:pPr>
      <w:r>
        <w:rPr>
          <w:rFonts w:hint="eastAsia" w:ascii="宋体" w:hAnsi="宋体" w:eastAsia="宋体" w:cs="宋体"/>
          <w:color w:val="auto"/>
          <w:spacing w:val="-5"/>
          <w:szCs w:val="22"/>
          <w:highlight w:val="none"/>
        </w:rPr>
        <w:t>4、交通、电力、通信及其他条件等：详见施工图。</w:t>
      </w:r>
    </w:p>
    <w:p w14:paraId="795CF2D6">
      <w:pPr>
        <w:pStyle w:val="3"/>
        <w:keepNext w:val="0"/>
        <w:keepLines w:val="0"/>
        <w:kinsoku w:val="0"/>
        <w:overflowPunct w:val="0"/>
        <w:bidi w:val="0"/>
        <w:spacing w:before="69" w:line="360" w:lineRule="auto"/>
        <w:ind w:left="624" w:right="229"/>
        <w:rPr>
          <w:rFonts w:hint="eastAsia" w:ascii="宋体" w:hAnsi="宋体" w:eastAsia="宋体" w:cs="宋体"/>
          <w:color w:val="auto"/>
          <w:highlight w:val="none"/>
        </w:rPr>
      </w:pPr>
      <w:r>
        <w:rPr>
          <w:rFonts w:hint="eastAsia" w:ascii="宋体" w:hAnsi="宋体" w:eastAsia="宋体" w:cs="宋体"/>
          <w:color w:val="auto"/>
          <w:highlight w:val="none"/>
        </w:rPr>
        <w:t>（二）监理范围及内容</w:t>
      </w:r>
    </w:p>
    <w:p w14:paraId="4DBD9235">
      <w:pPr>
        <w:pStyle w:val="3"/>
        <w:keepNext w:val="0"/>
        <w:keepLines w:val="0"/>
        <w:kinsoku w:val="0"/>
        <w:overflowPunct w:val="0"/>
        <w:bidi w:val="0"/>
        <w:spacing w:line="360" w:lineRule="auto"/>
        <w:ind w:right="-21" w:rightChars="0" w:firstLine="480" w:firstLineChars="200"/>
        <w:rPr>
          <w:rFonts w:hint="eastAsia" w:ascii="宋体" w:hAnsi="宋体" w:eastAsia="宋体" w:cs="宋体"/>
          <w:color w:val="auto"/>
          <w:lang w:val="en-US" w:eastAsia="zh-CN"/>
        </w:rPr>
      </w:pPr>
      <w:r>
        <w:rPr>
          <w:rFonts w:hint="eastAsia" w:ascii="宋体" w:hAnsi="宋体" w:eastAsia="宋体" w:cs="宋体"/>
          <w:color w:val="auto"/>
          <w:kern w:val="21"/>
          <w:highlight w:val="none"/>
        </w:rPr>
        <w:t>1</w:t>
      </w:r>
      <w:r>
        <w:rPr>
          <w:rFonts w:hint="eastAsia" w:ascii="宋体" w:hAnsi="宋体" w:eastAsia="宋体" w:cs="宋体"/>
          <w:color w:val="auto"/>
          <w:lang w:val="en-US" w:eastAsia="zh-CN"/>
        </w:rPr>
        <w:t>、包括监理范围及主要监理内容：施工图和工程量清单的所有工程内容的施工准备阶段、施工阶段、交工验收及缺陷责任期阶段的施工监理、施工安全的监理、交通组织监理。</w:t>
      </w:r>
    </w:p>
    <w:p w14:paraId="74886B6D">
      <w:pPr>
        <w:pStyle w:val="3"/>
        <w:keepNext w:val="0"/>
        <w:keepLines w:val="0"/>
        <w:kinsoku w:val="0"/>
        <w:overflowPunct w:val="0"/>
        <w:bidi w:val="0"/>
        <w:spacing w:line="360" w:lineRule="auto"/>
        <w:ind w:right="-21" w:rightChars="0" w:firstLine="488" w:firstLineChars="200"/>
        <w:rPr>
          <w:rFonts w:hint="eastAsia" w:ascii="宋体" w:hAnsi="宋体" w:eastAsia="宋体" w:cs="宋体"/>
          <w:color w:val="auto"/>
          <w:spacing w:val="2"/>
          <w:szCs w:val="22"/>
          <w:highlight w:val="none"/>
        </w:rPr>
      </w:pPr>
      <w:r>
        <w:rPr>
          <w:rFonts w:hint="eastAsia" w:ascii="宋体" w:hAnsi="宋体" w:eastAsia="宋体" w:cs="宋体"/>
          <w:color w:val="auto"/>
          <w:spacing w:val="2"/>
          <w:szCs w:val="22"/>
          <w:highlight w:val="none"/>
        </w:rPr>
        <w:t>2、施工标段划分：详见招标文件</w:t>
      </w:r>
    </w:p>
    <w:p w14:paraId="18F453B5">
      <w:pPr>
        <w:pStyle w:val="3"/>
        <w:keepNext w:val="0"/>
        <w:keepLines w:val="0"/>
        <w:kinsoku w:val="0"/>
        <w:overflowPunct w:val="0"/>
        <w:bidi w:val="0"/>
        <w:spacing w:line="360" w:lineRule="auto"/>
        <w:ind w:left="144" w:firstLine="488" w:firstLineChars="200"/>
        <w:rPr>
          <w:rFonts w:hint="eastAsia" w:ascii="宋体" w:hAnsi="宋体" w:eastAsia="宋体" w:cs="宋体"/>
          <w:color w:val="auto"/>
          <w:spacing w:val="2"/>
          <w:szCs w:val="22"/>
          <w:highlight w:val="none"/>
        </w:rPr>
      </w:pPr>
      <w:r>
        <w:rPr>
          <w:rFonts w:hint="eastAsia" w:ascii="宋体" w:hAnsi="宋体" w:eastAsia="宋体" w:cs="宋体"/>
          <w:color w:val="auto"/>
          <w:spacing w:val="2"/>
          <w:szCs w:val="22"/>
          <w:highlight w:val="none"/>
        </w:rPr>
        <w:t>3、监理目标</w:t>
      </w:r>
    </w:p>
    <w:p w14:paraId="5F2AC37B">
      <w:pPr>
        <w:keepNext w:val="0"/>
        <w:keepLines w:val="0"/>
        <w:widowControl w:val="0"/>
        <w:autoSpaceDE w:val="0"/>
        <w:autoSpaceDN w:val="0"/>
        <w:bidi w:val="0"/>
        <w:adjustRightInd w:val="0"/>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目标：更好地实现质量控制、进度控制、安全施工及环境保护控制、投资控制与合同管理等。</w:t>
      </w:r>
    </w:p>
    <w:p w14:paraId="3CFD3766">
      <w:pPr>
        <w:keepNext w:val="0"/>
        <w:keepLines w:val="0"/>
        <w:widowControl w:val="0"/>
        <w:numPr>
          <w:ilvl w:val="0"/>
          <w:numId w:val="0"/>
        </w:numPr>
        <w:bidi w:val="0"/>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质量控制目标：根据国家的相关行业规范按质量检验评定的竣（交）工验收合格的标准开展监理工作；</w:t>
      </w:r>
    </w:p>
    <w:p w14:paraId="363E23D0">
      <w:pPr>
        <w:keepNext w:val="0"/>
        <w:keepLines w:val="0"/>
        <w:widowControl w:val="0"/>
        <w:numPr>
          <w:ilvl w:val="0"/>
          <w:numId w:val="0"/>
        </w:numPr>
        <w:bidi w:val="0"/>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进度控制目标：根据各工程的合同施工组织计划的要求按时完成各分部分项工程直至整体工程如期竣工交付使用；</w:t>
      </w:r>
    </w:p>
    <w:p w14:paraId="38EC87E6">
      <w:pPr>
        <w:keepNext w:val="0"/>
        <w:keepLines w:val="0"/>
        <w:widowControl w:val="0"/>
        <w:numPr>
          <w:ilvl w:val="0"/>
          <w:numId w:val="0"/>
        </w:numPr>
        <w:bidi w:val="0"/>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安全施工及环境保护控制目标：认真审查承包人提交的施工安全措施和环境保护措施，现场检查安全设施和环境保护的落实情况，督促施工单位施工过程符合安全、文明施工管理规范，杜绝安全事故的产生，减少环境的污染；</w:t>
      </w:r>
    </w:p>
    <w:p w14:paraId="6666184A">
      <w:pPr>
        <w:keepNext w:val="0"/>
        <w:keepLines w:val="0"/>
        <w:widowControl w:val="0"/>
        <w:numPr>
          <w:ilvl w:val="0"/>
          <w:numId w:val="0"/>
        </w:numPr>
        <w:bidi w:val="0"/>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投资控制目标：以规范的工程监理手段，合理有效地控制工程投资，结合自身的工程管理及施工等经验提供合理可行的建议，节省工程投资；</w:t>
      </w:r>
    </w:p>
    <w:p w14:paraId="3E445732">
      <w:pPr>
        <w:keepNext w:val="0"/>
        <w:keepLines w:val="0"/>
        <w:widowControl w:val="0"/>
        <w:numPr>
          <w:ilvl w:val="0"/>
          <w:numId w:val="0"/>
        </w:numPr>
        <w:bidi w:val="0"/>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合同管理：根据工程承包合同的约定，严格监控各分部分项的进度及增加、设计变更等特殊情况的论证，及时向招标方反馈相关的信息、意见及建议。</w:t>
      </w:r>
    </w:p>
    <w:p w14:paraId="728862C9">
      <w:pPr>
        <w:keepNext w:val="0"/>
        <w:keepLines w:val="0"/>
        <w:widowControl w:val="0"/>
        <w:numPr>
          <w:ilvl w:val="0"/>
          <w:numId w:val="0"/>
        </w:numPr>
        <w:bidi w:val="0"/>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施工工期及监理服务期：</w:t>
      </w:r>
    </w:p>
    <w:p w14:paraId="03AD38A7">
      <w:pPr>
        <w:pStyle w:val="3"/>
        <w:keepNext w:val="0"/>
        <w:keepLines w:val="0"/>
        <w:bidi w:val="0"/>
        <w:spacing w:line="360" w:lineRule="auto"/>
        <w:ind w:firstLine="480" w:firstLineChars="200"/>
        <w:rPr>
          <w:rFonts w:hint="eastAsia" w:ascii="宋体" w:hAnsi="宋体" w:eastAsia="宋体" w:cs="宋体"/>
          <w:color w:val="auto"/>
          <w:spacing w:val="2"/>
          <w:highlight w:val="none"/>
        </w:rPr>
      </w:pPr>
      <w:r>
        <w:rPr>
          <w:rFonts w:hint="eastAsia" w:ascii="宋体" w:hAnsi="宋体" w:eastAsia="宋体" w:cs="宋体"/>
          <w:color w:val="auto"/>
          <w:highlight w:val="none"/>
        </w:rPr>
        <w:t>监理服务期从监理合同签订之日起计，至本工程缺陷责任期结束且本工程结算金额经政府主管部门审定且双方的责任义务履行完毕时止。</w:t>
      </w:r>
      <w:bookmarkStart w:id="619" w:name="_Toc4471_WPSOffice_Level2"/>
    </w:p>
    <w:p w14:paraId="2D01A5A6">
      <w:pPr>
        <w:pStyle w:val="3"/>
        <w:keepNext w:val="0"/>
        <w:keepLines w:val="0"/>
        <w:kinsoku w:val="0"/>
        <w:overflowPunct w:val="0"/>
        <w:bidi w:val="0"/>
        <w:spacing w:line="360" w:lineRule="auto"/>
        <w:ind w:left="144"/>
        <w:rPr>
          <w:rFonts w:hint="eastAsia" w:ascii="宋体" w:hAnsi="宋体" w:eastAsia="宋体" w:cs="宋体"/>
          <w:color w:val="auto"/>
          <w:sz w:val="20"/>
          <w:highlight w:val="none"/>
        </w:rPr>
      </w:pPr>
      <w:r>
        <w:rPr>
          <w:rFonts w:hint="eastAsia" w:ascii="宋体" w:hAnsi="宋体" w:eastAsia="宋体" w:cs="宋体"/>
          <w:b/>
          <w:bCs/>
          <w:color w:val="auto"/>
          <w:spacing w:val="2"/>
          <w:sz w:val="28"/>
          <w:szCs w:val="21"/>
          <w:highlight w:val="none"/>
        </w:rPr>
        <w:t>二</w:t>
      </w:r>
      <w:r>
        <w:rPr>
          <w:rFonts w:hint="eastAsia" w:ascii="宋体" w:hAnsi="宋体" w:eastAsia="宋体" w:cs="宋体"/>
          <w:b/>
          <w:bCs/>
          <w:color w:val="auto"/>
          <w:sz w:val="28"/>
          <w:szCs w:val="21"/>
          <w:highlight w:val="none"/>
        </w:rPr>
        <w:t>、</w:t>
      </w:r>
      <w:r>
        <w:rPr>
          <w:rFonts w:hint="eastAsia" w:ascii="宋体" w:hAnsi="宋体" w:eastAsia="宋体" w:cs="宋体"/>
          <w:b/>
          <w:bCs/>
          <w:color w:val="auto"/>
          <w:spacing w:val="2"/>
          <w:sz w:val="28"/>
          <w:szCs w:val="21"/>
          <w:highlight w:val="none"/>
        </w:rPr>
        <w:t>适</w:t>
      </w:r>
      <w:r>
        <w:rPr>
          <w:rFonts w:hint="eastAsia" w:ascii="宋体" w:hAnsi="宋体" w:eastAsia="宋体" w:cs="宋体"/>
          <w:b/>
          <w:bCs/>
          <w:color w:val="auto"/>
          <w:sz w:val="28"/>
          <w:szCs w:val="21"/>
          <w:highlight w:val="none"/>
        </w:rPr>
        <w:t>用规</w:t>
      </w:r>
      <w:r>
        <w:rPr>
          <w:rFonts w:hint="eastAsia" w:ascii="宋体" w:hAnsi="宋体" w:eastAsia="宋体" w:cs="宋体"/>
          <w:b/>
          <w:bCs/>
          <w:color w:val="auto"/>
          <w:spacing w:val="2"/>
          <w:sz w:val="28"/>
          <w:szCs w:val="21"/>
          <w:highlight w:val="none"/>
        </w:rPr>
        <w:t>范</w:t>
      </w:r>
      <w:r>
        <w:rPr>
          <w:rFonts w:hint="eastAsia" w:ascii="宋体" w:hAnsi="宋体" w:eastAsia="宋体" w:cs="宋体"/>
          <w:b/>
          <w:bCs/>
          <w:color w:val="auto"/>
          <w:sz w:val="28"/>
          <w:szCs w:val="21"/>
          <w:highlight w:val="none"/>
        </w:rPr>
        <w:t>标准</w:t>
      </w:r>
      <w:bookmarkEnd w:id="619"/>
    </w:p>
    <w:p w14:paraId="7194FBCB">
      <w:pPr>
        <w:pStyle w:val="3"/>
        <w:keepNext w:val="0"/>
        <w:keepLines w:val="0"/>
        <w:kinsoku w:val="0"/>
        <w:overflowPunct w:val="0"/>
        <w:bidi w:val="0"/>
        <w:spacing w:line="360" w:lineRule="auto"/>
        <w:ind w:right="1907"/>
        <w:rPr>
          <w:rFonts w:hint="eastAsia" w:ascii="宋体" w:hAnsi="宋体" w:eastAsia="宋体" w:cs="宋体"/>
          <w:color w:val="auto"/>
          <w:highlight w:val="none"/>
        </w:rPr>
      </w:pPr>
      <w:r>
        <w:rPr>
          <w:rFonts w:hint="eastAsia" w:ascii="宋体" w:hAnsi="宋体" w:eastAsia="宋体" w:cs="宋体"/>
          <w:color w:val="auto"/>
          <w:highlight w:val="none"/>
        </w:rPr>
        <w:t>（一）通用施工监理规范</w:t>
      </w:r>
    </w:p>
    <w:p w14:paraId="6CB0C38B">
      <w:pPr>
        <w:pStyle w:val="3"/>
        <w:keepNext w:val="0"/>
        <w:keepLines w:val="0"/>
        <w:kinsoku w:val="0"/>
        <w:overflowPunct w:val="0"/>
        <w:bidi w:val="0"/>
        <w:spacing w:line="360" w:lineRule="auto"/>
        <w:ind w:left="624" w:right="1907"/>
        <w:rPr>
          <w:rFonts w:hint="eastAsia" w:ascii="宋体" w:hAnsi="宋体" w:eastAsia="宋体" w:cs="宋体"/>
          <w:color w:val="auto"/>
          <w:highlight w:val="none"/>
        </w:rPr>
      </w:pPr>
      <w:r>
        <w:rPr>
          <w:rFonts w:hint="eastAsia" w:ascii="宋体" w:hAnsi="宋体" w:eastAsia="宋体" w:cs="宋体"/>
          <w:color w:val="auto"/>
          <w:highlight w:val="none"/>
        </w:rPr>
        <w:t>执行《公路工程施工监理规范</w:t>
      </w:r>
      <w:r>
        <w:rPr>
          <w:rFonts w:hint="eastAsia" w:ascii="宋体" w:hAnsi="宋体" w:eastAsia="宋体" w:cs="宋体"/>
          <w:color w:val="auto"/>
          <w:spacing w:val="-120"/>
          <w:highlight w:val="none"/>
        </w:rPr>
        <w:t>》</w:t>
      </w:r>
    </w:p>
    <w:p w14:paraId="0C107F28">
      <w:pPr>
        <w:pStyle w:val="3"/>
        <w:keepNext w:val="0"/>
        <w:keepLines w:val="0"/>
        <w:kinsoku w:val="0"/>
        <w:overflowPunct w:val="0"/>
        <w:bidi w:val="0"/>
        <w:spacing w:before="5" w:line="360" w:lineRule="auto"/>
        <w:ind w:right="31"/>
        <w:rPr>
          <w:rFonts w:hint="eastAsia" w:ascii="宋体" w:hAnsi="宋体" w:eastAsia="宋体" w:cs="宋体"/>
          <w:color w:val="auto"/>
          <w:highlight w:val="none"/>
        </w:rPr>
      </w:pPr>
      <w:r>
        <w:rPr>
          <w:rFonts w:hint="eastAsia" w:ascii="宋体" w:hAnsi="宋体" w:eastAsia="宋体" w:cs="宋体"/>
          <w:color w:val="auto"/>
          <w:highlight w:val="none"/>
        </w:rPr>
        <w:t>（二）专用施工监理规范</w:t>
      </w:r>
    </w:p>
    <w:p w14:paraId="21422ED3">
      <w:pPr>
        <w:keepNext w:val="0"/>
        <w:keepLines w:val="0"/>
        <w:widowControl w:val="0"/>
        <w:autoSpaceDE w:val="0"/>
        <w:autoSpaceDN w:val="0"/>
        <w:bidi w:val="0"/>
        <w:adjustRightInd w:val="0"/>
        <w:spacing w:line="360" w:lineRule="auto"/>
        <w:ind w:firstLine="480" w:firstLineChars="20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施工技术规范包括以下内容：</w:t>
      </w:r>
    </w:p>
    <w:p w14:paraId="23E5C662">
      <w:pPr>
        <w:keepNext w:val="0"/>
        <w:keepLines w:val="0"/>
        <w:widowControl w:val="0"/>
        <w:autoSpaceDE w:val="0"/>
        <w:autoSpaceDN w:val="0"/>
        <w:bidi w:val="0"/>
        <w:adjustRightInd w:val="0"/>
        <w:spacing w:line="360" w:lineRule="auto"/>
        <w:ind w:firstLine="480" w:firstLineChars="20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1.本工程施工标段招标文件中的技术规范；</w:t>
      </w:r>
    </w:p>
    <w:p w14:paraId="2F7885E7">
      <w:pPr>
        <w:keepNext w:val="0"/>
        <w:keepLines w:val="0"/>
        <w:widowControl w:val="0"/>
        <w:autoSpaceDE w:val="0"/>
        <w:autoSpaceDN w:val="0"/>
        <w:bidi w:val="0"/>
        <w:adjustRightIn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kern w:val="21"/>
          <w:sz w:val="24"/>
          <w:highlight w:val="none"/>
        </w:rPr>
        <w:t>2.所有与工程施工有关的国家现行的公路建设标准、规范、规程及相关文件</w:t>
      </w:r>
      <w:r>
        <w:rPr>
          <w:rFonts w:hint="eastAsia" w:ascii="宋体" w:hAnsi="宋体" w:eastAsia="宋体" w:cs="宋体"/>
          <w:color w:val="auto"/>
          <w:sz w:val="24"/>
          <w:highlight w:val="none"/>
        </w:rPr>
        <w:t>。</w:t>
      </w:r>
    </w:p>
    <w:p w14:paraId="156ACC67">
      <w:pPr>
        <w:pStyle w:val="3"/>
        <w:keepNext w:val="0"/>
        <w:keepLines w:val="0"/>
        <w:kinsoku w:val="0"/>
        <w:overflowPunct w:val="0"/>
        <w:bidi w:val="0"/>
        <w:spacing w:before="85" w:line="360" w:lineRule="auto"/>
        <w:ind w:right="158"/>
        <w:rPr>
          <w:rFonts w:hint="eastAsia" w:ascii="宋体" w:hAnsi="宋体" w:eastAsia="宋体" w:cs="宋体"/>
          <w:color w:val="auto"/>
          <w:highlight w:val="none"/>
        </w:rPr>
      </w:pPr>
      <w:r>
        <w:rPr>
          <w:rFonts w:hint="eastAsia" w:ascii="宋体" w:hAnsi="宋体" w:eastAsia="宋体" w:cs="宋体"/>
          <w:color w:val="auto"/>
          <w:highlight w:val="none"/>
        </w:rPr>
        <w:t>（三）施工技术规范</w:t>
      </w:r>
    </w:p>
    <w:p w14:paraId="496C501C">
      <w:pPr>
        <w:pStyle w:val="3"/>
        <w:keepNext w:val="0"/>
        <w:keepLines w:val="0"/>
        <w:kinsoku w:val="0"/>
        <w:overflowPunct w:val="0"/>
        <w:bidi w:val="0"/>
        <w:spacing w:before="85" w:line="360" w:lineRule="auto"/>
        <w:ind w:right="158"/>
        <w:rPr>
          <w:rFonts w:hint="eastAsia" w:ascii="宋体" w:hAnsi="宋体" w:eastAsia="宋体" w:cs="宋体"/>
          <w:color w:val="auto"/>
          <w:highlight w:val="none"/>
        </w:rPr>
      </w:pPr>
      <w:r>
        <w:rPr>
          <w:rFonts w:hint="eastAsia" w:ascii="宋体" w:hAnsi="宋体" w:eastAsia="宋体" w:cs="宋体"/>
          <w:color w:val="auto"/>
          <w:highlight w:val="none"/>
        </w:rPr>
        <w:t>施工技术规范包括以下内容：</w:t>
      </w:r>
    </w:p>
    <w:p w14:paraId="46718113">
      <w:pPr>
        <w:pStyle w:val="3"/>
        <w:keepNext w:val="0"/>
        <w:keepLines w:val="0"/>
        <w:kinsoku w:val="0"/>
        <w:overflowPunct w:val="0"/>
        <w:bidi w:val="0"/>
        <w:spacing w:before="30" w:line="360" w:lineRule="auto"/>
        <w:rPr>
          <w:rFonts w:hint="eastAsia" w:ascii="宋体" w:hAnsi="宋体" w:eastAsia="宋体" w:cs="宋体"/>
          <w:color w:val="auto"/>
          <w:highlight w:val="none"/>
        </w:rPr>
      </w:pPr>
      <w:r>
        <w:rPr>
          <w:rFonts w:hint="eastAsia" w:ascii="宋体" w:hAnsi="宋体" w:eastAsia="宋体" w:cs="宋体"/>
          <w:color w:val="auto"/>
          <w:highlight w:val="none"/>
        </w:rPr>
        <w:t>1.本工程施工标段招标文件中的技术规范；</w:t>
      </w:r>
    </w:p>
    <w:p w14:paraId="4951DD7C">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2.所有与工程施工有关的国家现行的公路建设标准、规范、规程及相关文件。</w:t>
      </w:r>
    </w:p>
    <w:p w14:paraId="2A3B9047">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（四）国家、行业、项目所在地适用本工程的其他规范、标准或规程</w:t>
      </w:r>
    </w:p>
    <w:p w14:paraId="58C62156">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b/>
          <w:bCs/>
          <w:color w:val="auto"/>
          <w:sz w:val="28"/>
          <w:szCs w:val="21"/>
          <w:highlight w:val="none"/>
        </w:rPr>
        <w:t>三、成果文件要求</w:t>
      </w:r>
    </w:p>
    <w:p w14:paraId="41830C12">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（一）成果文件的组成</w:t>
      </w:r>
    </w:p>
    <w:p w14:paraId="4A8C7D48">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（二）成果文件的深度</w:t>
      </w:r>
    </w:p>
    <w:p w14:paraId="0F004F3F">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（三）成果文件的格式要求</w:t>
      </w:r>
    </w:p>
    <w:p w14:paraId="3AD9191A">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（四）成果文件的份数要求</w:t>
      </w:r>
    </w:p>
    <w:p w14:paraId="0205FF2E">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（五）成果文件的载体要求</w:t>
      </w:r>
    </w:p>
    <w:p w14:paraId="7E885685">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纸质版的要求；</w:t>
      </w:r>
    </w:p>
    <w:p w14:paraId="0B4B6407">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电子版的要求；</w:t>
      </w:r>
    </w:p>
    <w:p w14:paraId="112BB69C">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其他要求。</w:t>
      </w:r>
    </w:p>
    <w:p w14:paraId="3B7521D2">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（六）成果文件的其他要求</w:t>
      </w:r>
      <w:bookmarkStart w:id="620" w:name="四、委托人财产清单"/>
      <w:bookmarkEnd w:id="620"/>
      <w:r>
        <w:rPr>
          <w:rFonts w:hint="eastAsia" w:ascii="宋体" w:hAnsi="宋体" w:eastAsia="宋体" w:cs="宋体"/>
          <w:color w:val="auto"/>
          <w:highlight w:val="none"/>
        </w:rPr>
        <w:t>四、委托人财产清单</w:t>
      </w:r>
    </w:p>
    <w:p w14:paraId="00ACCDB5">
      <w:pPr>
        <w:pStyle w:val="3"/>
        <w:keepNext w:val="0"/>
        <w:keepLines w:val="0"/>
        <w:kinsoku w:val="0"/>
        <w:overflowPunct w:val="0"/>
        <w:bidi w:val="0"/>
        <w:spacing w:before="67" w:line="360" w:lineRule="auto"/>
        <w:rPr>
          <w:rFonts w:hint="eastAsia" w:ascii="宋体" w:hAnsi="宋体" w:eastAsia="宋体" w:cs="宋体"/>
          <w:b/>
          <w:bCs/>
          <w:color w:val="auto"/>
          <w:sz w:val="28"/>
          <w:szCs w:val="21"/>
          <w:highlight w:val="none"/>
        </w:rPr>
      </w:pPr>
      <w:bookmarkStart w:id="621" w:name="_Toc23468"/>
      <w:bookmarkStart w:id="622" w:name="_Toc17581"/>
      <w:r>
        <w:rPr>
          <w:rFonts w:hint="eastAsia" w:ascii="宋体" w:hAnsi="宋体" w:eastAsia="宋体" w:cs="宋体"/>
          <w:b/>
          <w:bCs/>
          <w:color w:val="auto"/>
          <w:sz w:val="28"/>
          <w:szCs w:val="21"/>
          <w:highlight w:val="none"/>
        </w:rPr>
        <w:t>四、委托人财产清单</w:t>
      </w:r>
      <w:bookmarkEnd w:id="621"/>
      <w:bookmarkEnd w:id="622"/>
    </w:p>
    <w:p w14:paraId="69FD0A23">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（一）委托人提供的设备、设施</w:t>
      </w:r>
    </w:p>
    <w:p w14:paraId="49A10044">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不提供。</w:t>
      </w:r>
    </w:p>
    <w:p w14:paraId="4E9E220C">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（二）委托人提供的资料</w:t>
      </w:r>
    </w:p>
    <w:p w14:paraId="731BCAA9">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1.施工场地及毗邻区域内的供水、排水、供电、供气、供热、通信、广播电视等地下管线资料、气象和水文观测资料，相邻建筑物和构筑物、地下工程的有关资料，以及其他与公路工程有关的原始资料</w:t>
      </w:r>
    </w:p>
    <w:p w14:paraId="7C336D33">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2.定位放线的基准点、基准线和基准标高</w:t>
      </w:r>
    </w:p>
    <w:p w14:paraId="735006E8">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3.委托人取得的有关审批、核准和备案材料</w:t>
      </w:r>
    </w:p>
    <w:p w14:paraId="0D399ED5">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4.勘察文件、设计文件等资料</w:t>
      </w:r>
    </w:p>
    <w:p w14:paraId="5538CC52">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5.技术标准、规范</w:t>
      </w:r>
    </w:p>
    <w:p w14:paraId="5B4DFC6E">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6.工程承包合同及其他相关合同</w:t>
      </w:r>
    </w:p>
    <w:p w14:paraId="07E339CF">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7.其他资料</w:t>
      </w:r>
    </w:p>
    <w:p w14:paraId="3F40D069">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p>
    <w:p w14:paraId="68F518CB">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（三）委托人财产使用要求及退还要求</w:t>
      </w:r>
    </w:p>
    <w:p w14:paraId="38FD9805">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1.委托人财产使用要求</w:t>
      </w:r>
    </w:p>
    <w:p w14:paraId="09206141">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2.委托人财产退还要求</w:t>
      </w:r>
    </w:p>
    <w:p w14:paraId="5C751099">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p>
    <w:p w14:paraId="6640ADA1">
      <w:pPr>
        <w:pStyle w:val="3"/>
        <w:keepNext w:val="0"/>
        <w:keepLines w:val="0"/>
        <w:kinsoku w:val="0"/>
        <w:overflowPunct w:val="0"/>
        <w:bidi w:val="0"/>
        <w:spacing w:before="67" w:line="360" w:lineRule="auto"/>
        <w:rPr>
          <w:rFonts w:hint="eastAsia" w:ascii="宋体" w:hAnsi="宋体" w:eastAsia="宋体" w:cs="宋体"/>
          <w:b/>
          <w:bCs/>
          <w:color w:val="auto"/>
          <w:sz w:val="28"/>
          <w:szCs w:val="21"/>
          <w:highlight w:val="none"/>
        </w:rPr>
      </w:pPr>
      <w:bookmarkStart w:id="623" w:name="五、委托人提供的便利条件"/>
      <w:bookmarkEnd w:id="623"/>
      <w:r>
        <w:rPr>
          <w:rFonts w:hint="eastAsia" w:ascii="宋体" w:hAnsi="宋体" w:eastAsia="宋体" w:cs="宋体"/>
          <w:b/>
          <w:bCs/>
          <w:color w:val="auto"/>
          <w:sz w:val="28"/>
          <w:szCs w:val="21"/>
          <w:highlight w:val="none"/>
        </w:rPr>
        <w:t>五、委托人提供的便利条件</w:t>
      </w:r>
    </w:p>
    <w:p w14:paraId="40902DB7">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（一）委托人提供的生活条件</w:t>
      </w:r>
    </w:p>
    <w:p w14:paraId="0642E03F">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（二）委托人提供的交通条件</w:t>
      </w:r>
    </w:p>
    <w:p w14:paraId="119CA69F">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（三）委托人提供的网络、通讯条件</w:t>
      </w:r>
    </w:p>
    <w:p w14:paraId="1EF00AF3">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（四）委托人提供的协助人员</w:t>
      </w:r>
    </w:p>
    <w:p w14:paraId="7509EBFE">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p>
    <w:p w14:paraId="3AB9AFF2">
      <w:pPr>
        <w:pStyle w:val="3"/>
        <w:keepNext w:val="0"/>
        <w:keepLines w:val="0"/>
        <w:kinsoku w:val="0"/>
        <w:overflowPunct w:val="0"/>
        <w:bidi w:val="0"/>
        <w:spacing w:before="67" w:line="360" w:lineRule="auto"/>
        <w:rPr>
          <w:rFonts w:hint="eastAsia" w:ascii="宋体" w:hAnsi="宋体" w:eastAsia="宋体" w:cs="宋体"/>
          <w:b/>
          <w:bCs/>
          <w:color w:val="auto"/>
          <w:sz w:val="28"/>
          <w:szCs w:val="21"/>
          <w:highlight w:val="none"/>
        </w:rPr>
      </w:pPr>
      <w:bookmarkStart w:id="624" w:name="六、监理人需要自备的工作条件"/>
      <w:bookmarkEnd w:id="624"/>
      <w:r>
        <w:rPr>
          <w:rFonts w:hint="eastAsia" w:ascii="宋体" w:hAnsi="宋体" w:eastAsia="宋体" w:cs="宋体"/>
          <w:b/>
          <w:bCs/>
          <w:color w:val="auto"/>
          <w:sz w:val="28"/>
          <w:szCs w:val="21"/>
          <w:highlight w:val="none"/>
        </w:rPr>
        <w:t>六、监理人需要自备的工作条件</w:t>
      </w:r>
    </w:p>
    <w:p w14:paraId="601DC18A">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（一）监理人自备的工作手册：如本项目必备的规范标准、图集等</w:t>
      </w:r>
    </w:p>
    <w:p w14:paraId="3FFD0902">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（二）监理人自备的办公设备：如电脑、软件、投影、打印机、复印机、照相机等</w:t>
      </w:r>
    </w:p>
    <w:p w14:paraId="26CC4CBB">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（三）监理人自备的交通工具：如出行车辆等</w:t>
      </w:r>
    </w:p>
    <w:p w14:paraId="1600626C">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（四）监理人自备的现场办公设施：如办公桌椅、文件柜等</w:t>
      </w:r>
    </w:p>
    <w:p w14:paraId="7C6148A1">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（五）监理人自备的安全设施：如安全帽、安全鞋、手电筒等</w:t>
      </w:r>
    </w:p>
    <w:p w14:paraId="6CCF158F">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（六）监理人自备的试验检测仪器、设备、工具</w:t>
      </w:r>
    </w:p>
    <w:p w14:paraId="7DF90CFE">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（七）监理人自备的试验用房、样品用房</w:t>
      </w:r>
    </w:p>
    <w:p w14:paraId="320BB4D2">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p>
    <w:p w14:paraId="74CDD811">
      <w:pPr>
        <w:pStyle w:val="3"/>
        <w:keepNext w:val="0"/>
        <w:keepLines w:val="0"/>
        <w:kinsoku w:val="0"/>
        <w:overflowPunct w:val="0"/>
        <w:bidi w:val="0"/>
        <w:spacing w:before="67" w:line="360" w:lineRule="auto"/>
        <w:rPr>
          <w:rFonts w:hint="eastAsia" w:ascii="宋体" w:hAnsi="宋体" w:eastAsia="宋体" w:cs="宋体"/>
          <w:color w:val="auto"/>
          <w:highlight w:val="none"/>
        </w:rPr>
      </w:pPr>
    </w:p>
    <w:p w14:paraId="08A5D02C">
      <w:pPr>
        <w:pStyle w:val="3"/>
        <w:keepNext w:val="0"/>
        <w:keepLines w:val="0"/>
        <w:kinsoku w:val="0"/>
        <w:overflowPunct w:val="0"/>
        <w:bidi w:val="0"/>
        <w:spacing w:before="67" w:line="360" w:lineRule="auto"/>
        <w:rPr>
          <w:rFonts w:hint="eastAsia" w:ascii="宋体" w:hAnsi="宋体" w:eastAsia="宋体" w:cs="宋体"/>
          <w:b/>
          <w:bCs/>
          <w:color w:val="auto"/>
          <w:sz w:val="28"/>
          <w:szCs w:val="21"/>
          <w:highlight w:val="none"/>
        </w:rPr>
      </w:pPr>
      <w:bookmarkStart w:id="625" w:name="七、委托人的其他要求"/>
      <w:bookmarkEnd w:id="625"/>
      <w:r>
        <w:rPr>
          <w:rFonts w:hint="eastAsia" w:ascii="宋体" w:hAnsi="宋体" w:eastAsia="宋体" w:cs="宋体"/>
          <w:b/>
          <w:bCs/>
          <w:color w:val="auto"/>
          <w:sz w:val="28"/>
          <w:szCs w:val="21"/>
          <w:highlight w:val="none"/>
        </w:rPr>
        <w:t>七、委托人的其他要求</w:t>
      </w:r>
    </w:p>
    <w:p w14:paraId="4E749212">
      <w:pPr>
        <w:pStyle w:val="3"/>
        <w:keepNext w:val="0"/>
        <w:keepLines w:val="0"/>
        <w:kinsoku w:val="0"/>
        <w:overflowPunct w:val="0"/>
        <w:bidi w:val="0"/>
        <w:spacing w:before="67"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委托人的其他要求</w:t>
      </w:r>
    </w:p>
    <w:p w14:paraId="11CB8053">
      <w:pPr>
        <w:pStyle w:val="3"/>
        <w:keepNext w:val="0"/>
        <w:keepLines w:val="0"/>
        <w:kinsoku w:val="0"/>
        <w:overflowPunct w:val="0"/>
        <w:bidi w:val="0"/>
        <w:spacing w:before="67" w:line="360" w:lineRule="auto"/>
        <w:rPr>
          <w:rFonts w:hint="eastAsia" w:ascii="宋体" w:hAnsi="宋体" w:eastAsia="宋体" w:cs="宋体"/>
          <w:color w:val="auto"/>
          <w:highlight w:val="none"/>
        </w:rPr>
      </w:pPr>
    </w:p>
    <w:p w14:paraId="64AE7F01">
      <w:pPr>
        <w:keepNext w:val="0"/>
        <w:keepLines w:val="0"/>
        <w:widowControl w:val="0"/>
        <w:kinsoku w:val="0"/>
        <w:overflowPunct w:val="0"/>
        <w:autoSpaceDE w:val="0"/>
        <w:autoSpaceDN w:val="0"/>
        <w:bidi w:val="0"/>
        <w:adjustRightInd w:val="0"/>
        <w:spacing w:before="8" w:line="360" w:lineRule="auto"/>
        <w:jc w:val="left"/>
        <w:rPr>
          <w:rFonts w:hint="eastAsia" w:ascii="宋体" w:hAnsi="宋体" w:eastAsia="宋体" w:cs="宋体"/>
          <w:color w:val="auto"/>
          <w:sz w:val="20"/>
          <w:highlight w:val="none"/>
        </w:rPr>
      </w:pPr>
    </w:p>
    <w:p w14:paraId="0D5742E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A7246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832A1A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11D1A3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F04CDD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3CD4FC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790667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28FDDB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C66DAB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87239C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55E5C6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145FAC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4697A3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7B748B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EBC04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77D137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85EDD4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E36C76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039736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A560F2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5B8D45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D917BD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2E335B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C67B1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D4F927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FC716B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450469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10CF2F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BDF26A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19E331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02D09D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1A063F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5CF00A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2FB1A7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4F902D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DD576A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847B0D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5036F3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ADE3EB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012FE15">
      <w:pPr>
        <w:pStyle w:val="5"/>
        <w:keepNext w:val="0"/>
        <w:keepLines w:val="0"/>
        <w:bidi w:val="0"/>
        <w:rPr>
          <w:rFonts w:hint="eastAsia" w:ascii="宋体" w:hAnsi="宋体" w:eastAsia="宋体" w:cs="宋体"/>
          <w:color w:val="auto"/>
          <w:highlight w:val="none"/>
        </w:rPr>
      </w:pPr>
      <w:bookmarkStart w:id="626" w:name="bookmark127"/>
      <w:bookmarkEnd w:id="626"/>
      <w:bookmarkStart w:id="627" w:name="_Toc13440_WPSOffice_Level1"/>
    </w:p>
    <w:p w14:paraId="5A652030">
      <w:pPr>
        <w:pStyle w:val="5"/>
        <w:keepNext w:val="0"/>
        <w:keepLines w:val="0"/>
        <w:bidi w:val="0"/>
        <w:rPr>
          <w:rFonts w:hint="eastAsia" w:ascii="宋体" w:hAnsi="宋体" w:eastAsia="宋体" w:cs="宋体"/>
          <w:color w:val="auto"/>
          <w:highlight w:val="none"/>
        </w:rPr>
      </w:pPr>
    </w:p>
    <w:p w14:paraId="360CA4DD">
      <w:pPr>
        <w:pStyle w:val="5"/>
        <w:keepNext w:val="0"/>
        <w:keepLines w:val="0"/>
        <w:bidi w:val="0"/>
        <w:rPr>
          <w:rFonts w:hint="eastAsia" w:ascii="宋体" w:hAnsi="宋体" w:eastAsia="宋体" w:cs="宋体"/>
          <w:color w:val="auto"/>
          <w:highlight w:val="none"/>
        </w:rPr>
      </w:pPr>
    </w:p>
    <w:p w14:paraId="18849A88">
      <w:pPr>
        <w:pStyle w:val="5"/>
        <w:keepNext w:val="0"/>
        <w:keepLines w:val="0"/>
        <w:bidi w:val="0"/>
        <w:rPr>
          <w:rFonts w:hint="eastAsia" w:ascii="宋体" w:hAnsi="宋体" w:eastAsia="宋体" w:cs="宋体"/>
          <w:color w:val="auto"/>
          <w:highlight w:val="none"/>
        </w:rPr>
      </w:pPr>
    </w:p>
    <w:p w14:paraId="6D41474B">
      <w:pPr>
        <w:pStyle w:val="5"/>
        <w:keepNext w:val="0"/>
        <w:keepLines w:val="0"/>
        <w:bidi w:val="0"/>
        <w:rPr>
          <w:rFonts w:hint="eastAsia" w:ascii="宋体" w:hAnsi="宋体" w:eastAsia="宋体" w:cs="宋体"/>
          <w:color w:val="auto"/>
          <w:highlight w:val="none"/>
        </w:rPr>
      </w:pPr>
    </w:p>
    <w:p w14:paraId="51343275">
      <w:pPr>
        <w:pStyle w:val="5"/>
        <w:keepNext w:val="0"/>
        <w:keepLines w:val="0"/>
        <w:bidi w:val="0"/>
        <w:rPr>
          <w:rFonts w:hint="eastAsia" w:ascii="宋体" w:hAnsi="宋体" w:eastAsia="宋体" w:cs="宋体"/>
          <w:color w:val="auto"/>
          <w:highlight w:val="none"/>
        </w:rPr>
      </w:pPr>
    </w:p>
    <w:p w14:paraId="7AFB071B">
      <w:pPr>
        <w:pStyle w:val="5"/>
        <w:keepNext w:val="0"/>
        <w:keepLines w:val="0"/>
        <w:bidi w:val="0"/>
        <w:rPr>
          <w:rFonts w:hint="eastAsia" w:ascii="宋体" w:hAnsi="宋体" w:eastAsia="宋体" w:cs="宋体"/>
          <w:color w:val="auto"/>
          <w:highlight w:val="none"/>
        </w:rPr>
      </w:pPr>
      <w:bookmarkStart w:id="628" w:name="_Toc26506"/>
      <w:r>
        <w:rPr>
          <w:rFonts w:hint="eastAsia" w:ascii="宋体" w:hAnsi="宋体" w:eastAsia="宋体" w:cs="宋体"/>
          <w:color w:val="auto"/>
          <w:highlight w:val="none"/>
        </w:rPr>
        <w:t>第六章图纸和资</w:t>
      </w:r>
      <w:bookmarkEnd w:id="627"/>
      <w:r>
        <w:rPr>
          <w:rFonts w:hint="eastAsia" w:ascii="宋体" w:hAnsi="宋体" w:eastAsia="宋体" w:cs="宋体"/>
          <w:color w:val="auto"/>
          <w:highlight w:val="none"/>
        </w:rPr>
        <w:t>料</w:t>
      </w:r>
      <w:bookmarkEnd w:id="628"/>
    </w:p>
    <w:p w14:paraId="51AA8234">
      <w:pPr>
        <w:pStyle w:val="8"/>
        <w:keepNext w:val="0"/>
        <w:keepLines w:val="0"/>
        <w:tabs>
          <w:tab w:val="left" w:pos="4661"/>
        </w:tabs>
        <w:kinsoku w:val="0"/>
        <w:overflowPunct w:val="0"/>
        <w:bidi w:val="0"/>
        <w:spacing w:line="460" w:lineRule="exact"/>
        <w:jc w:val="center"/>
        <w:rPr>
          <w:rFonts w:hint="eastAsia" w:ascii="宋体" w:hAnsi="宋体" w:eastAsia="宋体" w:cs="宋体"/>
          <w:color w:val="auto"/>
          <w:highlight w:val="none"/>
        </w:rPr>
      </w:pPr>
    </w:p>
    <w:p w14:paraId="11B4593A">
      <w:pPr>
        <w:pStyle w:val="8"/>
        <w:keepNext w:val="0"/>
        <w:keepLines w:val="0"/>
        <w:tabs>
          <w:tab w:val="left" w:pos="4661"/>
        </w:tabs>
        <w:kinsoku w:val="0"/>
        <w:overflowPunct w:val="0"/>
        <w:bidi w:val="0"/>
        <w:spacing w:line="460" w:lineRule="exact"/>
        <w:jc w:val="center"/>
        <w:rPr>
          <w:rFonts w:hint="eastAsia" w:ascii="宋体" w:hAnsi="宋体" w:eastAsia="宋体" w:cs="宋体"/>
          <w:color w:val="auto"/>
          <w:sz w:val="16"/>
          <w:highlight w:val="none"/>
        </w:rPr>
      </w:pPr>
      <w:bookmarkStart w:id="629" w:name="_Toc2611_WPSOffice_Level2"/>
      <w:r>
        <w:rPr>
          <w:rFonts w:hint="eastAsia" w:ascii="宋体" w:hAnsi="宋体" w:eastAsia="宋体" w:cs="宋体"/>
          <w:color w:val="auto"/>
          <w:highlight w:val="none"/>
        </w:rPr>
        <w:t>（另册）</w:t>
      </w:r>
      <w:bookmarkEnd w:id="629"/>
    </w:p>
    <w:p w14:paraId="15FF4ED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03F3B8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E7EAA3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045485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D3693E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5B8AAB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B60D0B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940F8D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6B69D4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8255E5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F89157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2524DF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E0A61E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95C661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3DBC71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313D4A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97B8A6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B2C071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BF7582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26F6AE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D85618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FC5A38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554788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9D45CE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F3AC93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5566F2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F3BFB5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38404F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74227B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0AC3C9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F37AF6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E30AE3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1D5B70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BD0492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6D4F6C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6EF587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FC9C03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272A95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D15568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1FEE7D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E453C2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B7243D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200B77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0151B3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DD4C31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121E19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4990F4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C264AD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6299CA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16BCB9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9ACB51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A57D28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5C8AAB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C3F6DC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104BBB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13EF15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DA3A99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3D02D6C">
      <w:pPr>
        <w:keepNext w:val="0"/>
        <w:keepLines w:val="0"/>
        <w:widowControl w:val="0"/>
        <w:kinsoku w:val="0"/>
        <w:overflowPunct w:val="0"/>
        <w:autoSpaceDE w:val="0"/>
        <w:autoSpaceDN w:val="0"/>
        <w:bidi w:val="0"/>
        <w:adjustRightInd w:val="0"/>
        <w:spacing w:before="5" w:line="220" w:lineRule="exact"/>
        <w:jc w:val="left"/>
        <w:rPr>
          <w:rFonts w:hint="eastAsia" w:ascii="宋体" w:hAnsi="宋体" w:eastAsia="宋体" w:cs="宋体"/>
          <w:color w:val="auto"/>
          <w:sz w:val="22"/>
          <w:highlight w:val="none"/>
        </w:rPr>
      </w:pPr>
    </w:p>
    <w:p w14:paraId="3D91DF1A">
      <w:pPr>
        <w:pStyle w:val="5"/>
        <w:keepNext w:val="0"/>
        <w:keepLines w:val="0"/>
        <w:bidi w:val="0"/>
        <w:rPr>
          <w:rFonts w:hint="eastAsia" w:ascii="宋体" w:hAnsi="宋体" w:eastAsia="宋体" w:cs="宋体"/>
          <w:color w:val="auto"/>
          <w:highlight w:val="none"/>
        </w:rPr>
      </w:pPr>
      <w:bookmarkStart w:id="630" w:name="bookmark128"/>
      <w:bookmarkEnd w:id="630"/>
      <w:bookmarkStart w:id="631" w:name="_Toc21426_WPSOffice_Level1"/>
      <w:bookmarkStart w:id="632" w:name="_Toc6933"/>
      <w:r>
        <w:rPr>
          <w:rFonts w:hint="eastAsia" w:ascii="宋体" w:hAnsi="宋体" w:eastAsia="宋体" w:cs="宋体"/>
          <w:color w:val="auto"/>
          <w:highlight w:val="none"/>
        </w:rPr>
        <w:t>第七章投标文件格式</w:t>
      </w:r>
      <w:bookmarkEnd w:id="631"/>
      <w:bookmarkEnd w:id="632"/>
    </w:p>
    <w:p w14:paraId="6D586577">
      <w:pPr>
        <w:keepNext w:val="0"/>
        <w:keepLines w:val="0"/>
        <w:bidi w:val="0"/>
        <w:rPr>
          <w:rFonts w:hint="eastAsia" w:ascii="宋体" w:hAnsi="宋体" w:eastAsia="宋体" w:cs="宋体"/>
          <w:color w:val="auto"/>
          <w:highlight w:val="none"/>
        </w:rPr>
      </w:pPr>
    </w:p>
    <w:p w14:paraId="0F662E4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20ADB0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51923B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FBA0A9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572F44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A71CBE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0A7D33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B72745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7FC36C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CCF70C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8029E0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73B6D1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15D0A1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965F4C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8C2C5A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7A7534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A11E2C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268AA4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AA803D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653B0C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57DFB5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9507B2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21B467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12774A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CB5F7C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B942C3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485F59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23D0F2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B01922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CDDB0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EF914C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FED462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520848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A0D9F3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230B3C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C17B1F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4EA293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16BD9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A065E2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EB9EB1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7C4CE0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3169119">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p>
    <w:p w14:paraId="383665ED">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p>
    <w:p w14:paraId="2C022ED6">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p>
    <w:p w14:paraId="27071085">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p>
    <w:p w14:paraId="54BD04EE">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p>
    <w:p w14:paraId="666C5E93">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p>
    <w:p w14:paraId="55179E00">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r>
        <w:rPr>
          <w:rFonts w:hint="eastAsia" w:ascii="宋体" w:hAnsi="宋体" w:eastAsia="宋体" w:cs="宋体"/>
          <w:color w:val="auto"/>
          <w:sz w:val="40"/>
          <w:szCs w:val="24"/>
          <w:highlight w:val="none"/>
        </w:rPr>
        <w:t>广东省</w:t>
      </w:r>
    </w:p>
    <w:p w14:paraId="6634308F">
      <w:pPr>
        <w:keepNext w:val="0"/>
        <w:keepLines w:val="0"/>
        <w:widowControl w:val="0"/>
        <w:kinsoku w:val="0"/>
        <w:overflowPunct w:val="0"/>
        <w:autoSpaceDE w:val="0"/>
        <w:autoSpaceDN w:val="0"/>
        <w:bidi w:val="0"/>
        <w:adjustRightInd w:val="0"/>
        <w:spacing w:before="8"/>
        <w:rPr>
          <w:rFonts w:hint="eastAsia" w:ascii="宋体" w:hAnsi="宋体" w:eastAsia="宋体" w:cs="宋体"/>
          <w:color w:val="auto"/>
          <w:sz w:val="34"/>
          <w:szCs w:val="24"/>
          <w:highlight w:val="none"/>
        </w:rPr>
      </w:pPr>
    </w:p>
    <w:p w14:paraId="3C7A1B45">
      <w:pPr>
        <w:keepNext w:val="0"/>
        <w:keepLines w:val="0"/>
        <w:widowControl w:val="0"/>
        <w:tabs>
          <w:tab w:val="left" w:pos="2135"/>
          <w:tab w:val="left" w:pos="4935"/>
        </w:tabs>
        <w:kinsoku w:val="0"/>
        <w:overflowPunct w:val="0"/>
        <w:autoSpaceDE w:val="0"/>
        <w:autoSpaceDN w:val="0"/>
        <w:bidi w:val="0"/>
        <w:adjustRightInd w:val="0"/>
        <w:ind w:left="736"/>
        <w:rPr>
          <w:rFonts w:hint="eastAsia" w:ascii="宋体" w:hAnsi="宋体" w:eastAsia="宋体" w:cs="宋体"/>
          <w:color w:val="auto"/>
          <w:sz w:val="40"/>
          <w:szCs w:val="24"/>
          <w:highlight w:val="none"/>
        </w:rPr>
      </w:pPr>
      <w:r>
        <w:rPr>
          <w:rFonts w:hint="eastAsia" w:ascii="宋体" w:hAnsi="宋体" w:eastAsia="宋体" w:cs="宋体"/>
          <w:color w:val="auto"/>
          <w:sz w:val="40"/>
          <w:szCs w:val="24"/>
          <w:highlight w:val="none"/>
          <w:u w:val="single"/>
        </w:rPr>
        <w:tab/>
      </w:r>
      <w:r>
        <w:rPr>
          <w:rFonts w:hint="eastAsia" w:ascii="宋体" w:hAnsi="宋体" w:eastAsia="宋体" w:cs="宋体"/>
          <w:color w:val="auto"/>
          <w:sz w:val="40"/>
          <w:szCs w:val="24"/>
          <w:highlight w:val="none"/>
          <w:u w:val="single"/>
        </w:rPr>
        <w:t>（</w:t>
      </w:r>
      <w:r>
        <w:rPr>
          <w:rFonts w:hint="eastAsia" w:ascii="宋体" w:hAnsi="宋体" w:eastAsia="宋体" w:cs="宋体"/>
          <w:color w:val="auto"/>
          <w:spacing w:val="-3"/>
          <w:sz w:val="40"/>
          <w:szCs w:val="24"/>
          <w:highlight w:val="none"/>
          <w:u w:val="single"/>
        </w:rPr>
        <w:t>项</w:t>
      </w:r>
      <w:r>
        <w:rPr>
          <w:rFonts w:hint="eastAsia" w:ascii="宋体" w:hAnsi="宋体" w:eastAsia="宋体" w:cs="宋体"/>
          <w:color w:val="auto"/>
          <w:sz w:val="40"/>
          <w:szCs w:val="24"/>
          <w:highlight w:val="none"/>
          <w:u w:val="single"/>
        </w:rPr>
        <w:t>目名称）</w:t>
      </w:r>
      <w:r>
        <w:rPr>
          <w:rFonts w:hint="eastAsia" w:ascii="宋体" w:hAnsi="宋体" w:eastAsia="宋体" w:cs="宋体"/>
          <w:color w:val="auto"/>
          <w:sz w:val="40"/>
          <w:szCs w:val="24"/>
          <w:highlight w:val="none"/>
          <w:u w:val="single"/>
        </w:rPr>
        <w:tab/>
      </w:r>
      <w:r>
        <w:rPr>
          <w:rFonts w:hint="eastAsia" w:ascii="宋体" w:hAnsi="宋体" w:eastAsia="宋体" w:cs="宋体"/>
          <w:color w:val="auto"/>
          <w:spacing w:val="-1"/>
          <w:sz w:val="40"/>
          <w:szCs w:val="24"/>
          <w:highlight w:val="none"/>
        </w:rPr>
        <w:t>标</w:t>
      </w:r>
      <w:r>
        <w:rPr>
          <w:rFonts w:hint="eastAsia" w:ascii="宋体" w:hAnsi="宋体" w:eastAsia="宋体" w:cs="宋体"/>
          <w:color w:val="auto"/>
          <w:spacing w:val="-3"/>
          <w:sz w:val="40"/>
          <w:szCs w:val="24"/>
          <w:highlight w:val="none"/>
        </w:rPr>
        <w:t>段</w:t>
      </w:r>
      <w:r>
        <w:rPr>
          <w:rFonts w:hint="eastAsia" w:ascii="宋体" w:hAnsi="宋体" w:eastAsia="宋体" w:cs="宋体"/>
          <w:color w:val="auto"/>
          <w:spacing w:val="-1"/>
          <w:sz w:val="40"/>
          <w:szCs w:val="24"/>
          <w:highlight w:val="none"/>
        </w:rPr>
        <w:t>施工</w:t>
      </w:r>
      <w:r>
        <w:rPr>
          <w:rFonts w:hint="eastAsia" w:ascii="宋体" w:hAnsi="宋体" w:eastAsia="宋体" w:cs="宋体"/>
          <w:color w:val="auto"/>
          <w:spacing w:val="-3"/>
          <w:sz w:val="40"/>
          <w:szCs w:val="24"/>
          <w:highlight w:val="none"/>
        </w:rPr>
        <w:t>监</w:t>
      </w:r>
      <w:r>
        <w:rPr>
          <w:rFonts w:hint="eastAsia" w:ascii="宋体" w:hAnsi="宋体" w:eastAsia="宋体" w:cs="宋体"/>
          <w:color w:val="auto"/>
          <w:spacing w:val="-1"/>
          <w:sz w:val="40"/>
          <w:szCs w:val="24"/>
          <w:highlight w:val="none"/>
        </w:rPr>
        <w:t>理招</w:t>
      </w:r>
      <w:r>
        <w:rPr>
          <w:rFonts w:hint="eastAsia" w:ascii="宋体" w:hAnsi="宋体" w:eastAsia="宋体" w:cs="宋体"/>
          <w:color w:val="auto"/>
          <w:sz w:val="40"/>
          <w:szCs w:val="24"/>
          <w:highlight w:val="none"/>
        </w:rPr>
        <w:t>标</w:t>
      </w:r>
    </w:p>
    <w:p w14:paraId="4D1DDECA">
      <w:pPr>
        <w:keepNext w:val="0"/>
        <w:keepLines w:val="0"/>
        <w:widowControl w:val="0"/>
        <w:kinsoku w:val="0"/>
        <w:overflowPunct w:val="0"/>
        <w:autoSpaceDE w:val="0"/>
        <w:autoSpaceDN w:val="0"/>
        <w:bidi w:val="0"/>
        <w:adjustRightInd w:val="0"/>
        <w:rPr>
          <w:rFonts w:hint="eastAsia" w:ascii="宋体" w:hAnsi="宋体" w:eastAsia="宋体" w:cs="宋体"/>
          <w:color w:val="auto"/>
          <w:sz w:val="44"/>
          <w:szCs w:val="24"/>
          <w:highlight w:val="none"/>
        </w:rPr>
      </w:pPr>
    </w:p>
    <w:p w14:paraId="541691E6">
      <w:pPr>
        <w:keepNext w:val="0"/>
        <w:keepLines w:val="0"/>
        <w:widowControl w:val="0"/>
        <w:kinsoku w:val="0"/>
        <w:overflowPunct w:val="0"/>
        <w:autoSpaceDE w:val="0"/>
        <w:autoSpaceDN w:val="0"/>
        <w:bidi w:val="0"/>
        <w:adjustRightInd w:val="0"/>
        <w:rPr>
          <w:rFonts w:hint="eastAsia" w:ascii="宋体" w:hAnsi="宋体" w:eastAsia="宋体" w:cs="宋体"/>
          <w:color w:val="auto"/>
          <w:sz w:val="44"/>
          <w:szCs w:val="24"/>
          <w:highlight w:val="none"/>
        </w:rPr>
      </w:pPr>
    </w:p>
    <w:p w14:paraId="3566157F">
      <w:pPr>
        <w:keepNext w:val="0"/>
        <w:keepLines w:val="0"/>
        <w:widowControl w:val="0"/>
        <w:kinsoku w:val="0"/>
        <w:overflowPunct w:val="0"/>
        <w:autoSpaceDE w:val="0"/>
        <w:autoSpaceDN w:val="0"/>
        <w:bidi w:val="0"/>
        <w:adjustRightInd w:val="0"/>
        <w:rPr>
          <w:rFonts w:hint="eastAsia" w:ascii="宋体" w:hAnsi="宋体" w:eastAsia="宋体" w:cs="宋体"/>
          <w:color w:val="auto"/>
          <w:sz w:val="44"/>
          <w:szCs w:val="24"/>
          <w:highlight w:val="none"/>
        </w:rPr>
      </w:pPr>
    </w:p>
    <w:p w14:paraId="718267AD">
      <w:pPr>
        <w:keepNext w:val="0"/>
        <w:keepLines w:val="0"/>
        <w:widowControl w:val="0"/>
        <w:kinsoku w:val="0"/>
        <w:overflowPunct w:val="0"/>
        <w:autoSpaceDE w:val="0"/>
        <w:autoSpaceDN w:val="0"/>
        <w:bidi w:val="0"/>
        <w:adjustRightInd w:val="0"/>
        <w:spacing w:before="1"/>
        <w:rPr>
          <w:rFonts w:hint="eastAsia" w:ascii="宋体" w:hAnsi="宋体" w:eastAsia="宋体" w:cs="宋体"/>
          <w:color w:val="auto"/>
          <w:sz w:val="33"/>
          <w:szCs w:val="24"/>
          <w:highlight w:val="none"/>
        </w:rPr>
      </w:pPr>
    </w:p>
    <w:p w14:paraId="2FB9DF7A">
      <w:pPr>
        <w:keepNext w:val="0"/>
        <w:keepLines w:val="0"/>
        <w:widowControl w:val="0"/>
        <w:tabs>
          <w:tab w:val="left" w:pos="888"/>
          <w:tab w:val="left" w:pos="1771"/>
          <w:tab w:val="left" w:pos="2654"/>
        </w:tabs>
        <w:kinsoku w:val="0"/>
        <w:overflowPunct w:val="0"/>
        <w:autoSpaceDE w:val="0"/>
        <w:autoSpaceDN w:val="0"/>
        <w:bidi w:val="0"/>
        <w:adjustRightInd w:val="0"/>
        <w:ind w:left="4"/>
        <w:jc w:val="center"/>
        <w:rPr>
          <w:rFonts w:hint="eastAsia" w:ascii="宋体" w:hAnsi="宋体" w:eastAsia="宋体" w:cs="宋体"/>
          <w:b/>
          <w:color w:val="auto"/>
          <w:sz w:val="44"/>
          <w:szCs w:val="24"/>
          <w:highlight w:val="none"/>
        </w:rPr>
      </w:pPr>
      <w:r>
        <w:rPr>
          <w:rFonts w:hint="eastAsia" w:ascii="宋体" w:hAnsi="宋体" w:eastAsia="宋体" w:cs="宋体"/>
          <w:b/>
          <w:color w:val="auto"/>
          <w:sz w:val="44"/>
          <w:szCs w:val="24"/>
          <w:highlight w:val="none"/>
        </w:rPr>
        <w:t>投</w:t>
      </w:r>
      <w:r>
        <w:rPr>
          <w:rFonts w:hint="eastAsia" w:ascii="宋体" w:hAnsi="宋体" w:eastAsia="宋体" w:cs="宋体"/>
          <w:b/>
          <w:color w:val="auto"/>
          <w:sz w:val="44"/>
          <w:szCs w:val="24"/>
          <w:highlight w:val="none"/>
        </w:rPr>
        <w:tab/>
      </w:r>
      <w:r>
        <w:rPr>
          <w:rFonts w:hint="eastAsia" w:ascii="宋体" w:hAnsi="宋体" w:eastAsia="宋体" w:cs="宋体"/>
          <w:b/>
          <w:color w:val="auto"/>
          <w:sz w:val="44"/>
          <w:szCs w:val="24"/>
          <w:highlight w:val="none"/>
        </w:rPr>
        <w:t>标</w:t>
      </w:r>
      <w:r>
        <w:rPr>
          <w:rFonts w:hint="eastAsia" w:ascii="宋体" w:hAnsi="宋体" w:eastAsia="宋体" w:cs="宋体"/>
          <w:b/>
          <w:color w:val="auto"/>
          <w:sz w:val="44"/>
          <w:szCs w:val="24"/>
          <w:highlight w:val="none"/>
        </w:rPr>
        <w:tab/>
      </w:r>
      <w:r>
        <w:rPr>
          <w:rFonts w:hint="eastAsia" w:ascii="宋体" w:hAnsi="宋体" w:eastAsia="宋体" w:cs="宋体"/>
          <w:b/>
          <w:color w:val="auto"/>
          <w:sz w:val="44"/>
          <w:szCs w:val="24"/>
          <w:highlight w:val="none"/>
        </w:rPr>
        <w:t>文</w:t>
      </w:r>
      <w:r>
        <w:rPr>
          <w:rFonts w:hint="eastAsia" w:ascii="宋体" w:hAnsi="宋体" w:eastAsia="宋体" w:cs="宋体"/>
          <w:b/>
          <w:color w:val="auto"/>
          <w:sz w:val="44"/>
          <w:szCs w:val="24"/>
          <w:highlight w:val="none"/>
        </w:rPr>
        <w:tab/>
      </w:r>
      <w:r>
        <w:rPr>
          <w:rFonts w:hint="eastAsia" w:ascii="宋体" w:hAnsi="宋体" w:eastAsia="宋体" w:cs="宋体"/>
          <w:b/>
          <w:color w:val="auto"/>
          <w:sz w:val="44"/>
          <w:szCs w:val="24"/>
          <w:highlight w:val="none"/>
        </w:rPr>
        <w:t>件</w:t>
      </w:r>
    </w:p>
    <w:p w14:paraId="1BC822B2">
      <w:pPr>
        <w:pStyle w:val="8"/>
        <w:keepNext w:val="0"/>
        <w:keepLines w:val="0"/>
        <w:kinsoku w:val="0"/>
        <w:overflowPunct w:val="0"/>
        <w:bidi w:val="0"/>
        <w:ind w:left="204"/>
        <w:jc w:val="center"/>
        <w:rPr>
          <w:rFonts w:hint="eastAsia" w:ascii="宋体" w:hAnsi="宋体" w:eastAsia="宋体" w:cs="宋体"/>
          <w:color w:val="auto"/>
          <w:highlight w:val="none"/>
        </w:rPr>
      </w:pPr>
      <w:r>
        <w:rPr>
          <w:rFonts w:hint="eastAsia" w:ascii="宋体" w:hAnsi="宋体" w:eastAsia="宋体" w:cs="宋体"/>
          <w:b/>
          <w:color w:val="auto"/>
          <w:w w:val="95"/>
          <w:sz w:val="32"/>
          <w:szCs w:val="24"/>
          <w:highlight w:val="none"/>
        </w:rPr>
        <w:t>（商务及技术文件）</w:t>
      </w:r>
    </w:p>
    <w:p w14:paraId="032809C7">
      <w:pPr>
        <w:keepNext w:val="0"/>
        <w:keepLines w:val="0"/>
        <w:widowControl w:val="0"/>
        <w:kinsoku w:val="0"/>
        <w:overflowPunct w:val="0"/>
        <w:autoSpaceDE w:val="0"/>
        <w:autoSpaceDN w:val="0"/>
        <w:bidi w:val="0"/>
        <w:adjustRightInd w:val="0"/>
        <w:spacing w:before="6" w:line="150" w:lineRule="exact"/>
        <w:jc w:val="left"/>
        <w:rPr>
          <w:rFonts w:hint="eastAsia" w:ascii="宋体" w:hAnsi="宋体" w:eastAsia="宋体" w:cs="宋体"/>
          <w:color w:val="auto"/>
          <w:sz w:val="15"/>
          <w:highlight w:val="none"/>
        </w:rPr>
      </w:pPr>
    </w:p>
    <w:p w14:paraId="2555289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219610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4841F7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45D912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477775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982250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408077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E55C39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3A3689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BD3CEB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81F257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3FCF4B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9A2755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A59717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534BA7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43C36E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EFA7AC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59863C5">
      <w:pPr>
        <w:pStyle w:val="10"/>
        <w:keepNext w:val="0"/>
        <w:keepLines w:val="0"/>
        <w:tabs>
          <w:tab w:val="left" w:pos="5880"/>
        </w:tabs>
        <w:kinsoku w:val="0"/>
        <w:overflowPunct w:val="0"/>
        <w:bidi w:val="0"/>
        <w:ind w:left="0"/>
        <w:jc w:val="center"/>
        <w:rPr>
          <w:rFonts w:hint="eastAsia" w:ascii="宋体" w:hAnsi="宋体" w:eastAsia="宋体" w:cs="宋体"/>
          <w:color w:val="auto"/>
          <w:highlight w:val="none"/>
        </w:rPr>
      </w:pPr>
      <w:r>
        <w:rPr>
          <w:rFonts w:hint="eastAsia" w:ascii="宋体" w:hAnsi="宋体" w:eastAsia="宋体" w:cs="宋体"/>
          <w:color w:val="auto"/>
          <w:highlight w:val="none"/>
        </w:rPr>
        <w:t>投</w:t>
      </w:r>
      <w:r>
        <w:rPr>
          <w:rFonts w:hint="eastAsia" w:ascii="宋体" w:hAnsi="宋体" w:eastAsia="宋体" w:cs="宋体"/>
          <w:color w:val="auto"/>
          <w:spacing w:val="-3"/>
          <w:highlight w:val="none"/>
        </w:rPr>
        <w:t>标</w:t>
      </w:r>
      <w:r>
        <w:rPr>
          <w:rFonts w:hint="eastAsia" w:ascii="宋体" w:hAnsi="宋体" w:eastAsia="宋体" w:cs="宋体"/>
          <w:color w:val="auto"/>
          <w:highlight w:val="none"/>
        </w:rPr>
        <w:t>人：</w:t>
      </w:r>
      <w:r>
        <w:rPr>
          <w:rFonts w:hint="eastAsia" w:ascii="宋体" w:hAnsi="宋体" w:eastAsia="宋体" w:cs="宋体"/>
          <w:color w:val="auto"/>
          <w:highlight w:val="none"/>
          <w:u w:val="single"/>
        </w:rPr>
        <w:tab/>
      </w:r>
      <w:r>
        <w:rPr>
          <w:rFonts w:hint="eastAsia" w:ascii="宋体" w:hAnsi="宋体" w:eastAsia="宋体" w:cs="宋体"/>
          <w:color w:val="auto"/>
          <w:spacing w:val="-1"/>
          <w:highlight w:val="none"/>
        </w:rPr>
        <w:t>（</w:t>
      </w:r>
      <w:r>
        <w:rPr>
          <w:rFonts w:hint="eastAsia" w:ascii="宋体" w:hAnsi="宋体" w:eastAsia="宋体" w:cs="宋体"/>
          <w:color w:val="auto"/>
          <w:spacing w:val="-3"/>
          <w:highlight w:val="none"/>
        </w:rPr>
        <w:t>盖</w:t>
      </w:r>
      <w:r>
        <w:rPr>
          <w:rFonts w:hint="eastAsia" w:ascii="宋体" w:hAnsi="宋体" w:eastAsia="宋体" w:cs="宋体"/>
          <w:color w:val="auto"/>
          <w:spacing w:val="-1"/>
          <w:highlight w:val="none"/>
        </w:rPr>
        <w:t>单位章</w:t>
      </w:r>
      <w:r>
        <w:rPr>
          <w:rFonts w:hint="eastAsia" w:ascii="宋体" w:hAnsi="宋体" w:eastAsia="宋体" w:cs="宋体"/>
          <w:color w:val="auto"/>
          <w:highlight w:val="none"/>
        </w:rPr>
        <w:t>）</w:t>
      </w:r>
    </w:p>
    <w:p w14:paraId="34D95891">
      <w:pPr>
        <w:keepNext w:val="0"/>
        <w:keepLines w:val="0"/>
        <w:widowControl w:val="0"/>
        <w:kinsoku w:val="0"/>
        <w:overflowPunct w:val="0"/>
        <w:autoSpaceDE w:val="0"/>
        <w:autoSpaceDN w:val="0"/>
        <w:bidi w:val="0"/>
        <w:adjustRightInd w:val="0"/>
        <w:rPr>
          <w:rFonts w:hint="eastAsia" w:ascii="宋体" w:hAnsi="宋体" w:eastAsia="宋体" w:cs="宋体"/>
          <w:color w:val="auto"/>
          <w:sz w:val="20"/>
          <w:szCs w:val="24"/>
          <w:highlight w:val="none"/>
        </w:rPr>
      </w:pPr>
    </w:p>
    <w:p w14:paraId="2DF9CC27">
      <w:pPr>
        <w:keepNext w:val="0"/>
        <w:keepLines w:val="0"/>
        <w:widowControl w:val="0"/>
        <w:kinsoku w:val="0"/>
        <w:overflowPunct w:val="0"/>
        <w:autoSpaceDE w:val="0"/>
        <w:autoSpaceDN w:val="0"/>
        <w:bidi w:val="0"/>
        <w:adjustRightInd w:val="0"/>
        <w:spacing w:before="12"/>
        <w:rPr>
          <w:rFonts w:hint="eastAsia" w:ascii="宋体" w:hAnsi="宋体" w:eastAsia="宋体" w:cs="宋体"/>
          <w:color w:val="auto"/>
          <w:sz w:val="17"/>
          <w:szCs w:val="24"/>
          <w:highlight w:val="none"/>
        </w:rPr>
      </w:pPr>
    </w:p>
    <w:p w14:paraId="486F1B97">
      <w:pPr>
        <w:keepNext w:val="0"/>
        <w:keepLines w:val="0"/>
        <w:widowControl w:val="0"/>
        <w:tabs>
          <w:tab w:val="left" w:pos="3421"/>
          <w:tab w:val="left" w:pos="4823"/>
          <w:tab w:val="left" w:pos="6362"/>
        </w:tabs>
        <w:kinsoku w:val="0"/>
        <w:overflowPunct w:val="0"/>
        <w:autoSpaceDE w:val="0"/>
        <w:autoSpaceDN w:val="0"/>
        <w:bidi w:val="0"/>
        <w:adjustRightInd w:val="0"/>
        <w:spacing w:line="381" w:lineRule="exact"/>
        <w:ind w:left="2302"/>
        <w:jc w:val="left"/>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u w:val="single"/>
        </w:rPr>
        <w:tab/>
      </w:r>
      <w:r>
        <w:rPr>
          <w:rFonts w:hint="eastAsia" w:ascii="宋体" w:hAnsi="宋体" w:eastAsia="宋体" w:cs="宋体"/>
          <w:color w:val="auto"/>
          <w:sz w:val="28"/>
          <w:szCs w:val="24"/>
          <w:highlight w:val="none"/>
        </w:rPr>
        <w:t>年</w:t>
      </w:r>
      <w:r>
        <w:rPr>
          <w:rFonts w:hint="eastAsia" w:ascii="宋体" w:hAnsi="宋体" w:eastAsia="宋体" w:cs="宋体"/>
          <w:color w:val="auto"/>
          <w:sz w:val="28"/>
          <w:szCs w:val="24"/>
          <w:highlight w:val="none"/>
          <w:u w:val="single"/>
        </w:rPr>
        <w:tab/>
      </w:r>
      <w:r>
        <w:rPr>
          <w:rFonts w:hint="eastAsia" w:ascii="宋体" w:hAnsi="宋体" w:eastAsia="宋体" w:cs="宋体"/>
          <w:color w:val="auto"/>
          <w:sz w:val="28"/>
          <w:szCs w:val="24"/>
          <w:highlight w:val="none"/>
        </w:rPr>
        <w:t>月</w:t>
      </w:r>
      <w:r>
        <w:rPr>
          <w:rFonts w:hint="eastAsia" w:ascii="宋体" w:hAnsi="宋体" w:eastAsia="宋体" w:cs="宋体"/>
          <w:color w:val="auto"/>
          <w:sz w:val="28"/>
          <w:szCs w:val="24"/>
          <w:highlight w:val="none"/>
          <w:u w:val="single"/>
        </w:rPr>
        <w:tab/>
      </w:r>
      <w:r>
        <w:rPr>
          <w:rFonts w:hint="eastAsia" w:ascii="宋体" w:hAnsi="宋体" w:eastAsia="宋体" w:cs="宋体"/>
          <w:color w:val="auto"/>
          <w:sz w:val="28"/>
          <w:szCs w:val="24"/>
          <w:highlight w:val="none"/>
        </w:rPr>
        <w:t>日</w:t>
      </w:r>
    </w:p>
    <w:p w14:paraId="36A699DD">
      <w:pPr>
        <w:keepNext w:val="0"/>
        <w:keepLines w:val="0"/>
        <w:widowControl w:val="0"/>
        <w:tabs>
          <w:tab w:val="left" w:pos="3421"/>
          <w:tab w:val="left" w:pos="4823"/>
          <w:tab w:val="left" w:pos="6362"/>
        </w:tabs>
        <w:kinsoku w:val="0"/>
        <w:overflowPunct w:val="0"/>
        <w:autoSpaceDE w:val="0"/>
        <w:autoSpaceDN w:val="0"/>
        <w:bidi w:val="0"/>
        <w:adjustRightInd w:val="0"/>
        <w:spacing w:line="381" w:lineRule="exact"/>
        <w:ind w:left="2302"/>
        <w:jc w:val="left"/>
        <w:rPr>
          <w:rFonts w:hint="eastAsia" w:ascii="宋体" w:hAnsi="宋体" w:eastAsia="宋体" w:cs="宋体"/>
          <w:color w:val="auto"/>
          <w:sz w:val="28"/>
          <w:szCs w:val="24"/>
          <w:highlight w:val="none"/>
        </w:rPr>
      </w:pPr>
    </w:p>
    <w:p w14:paraId="73A8132E">
      <w:pPr>
        <w:keepNext w:val="0"/>
        <w:keepLines w:val="0"/>
        <w:widowControl w:val="0"/>
        <w:tabs>
          <w:tab w:val="left" w:pos="3421"/>
          <w:tab w:val="left" w:pos="4823"/>
          <w:tab w:val="left" w:pos="6362"/>
        </w:tabs>
        <w:kinsoku w:val="0"/>
        <w:overflowPunct w:val="0"/>
        <w:autoSpaceDE w:val="0"/>
        <w:autoSpaceDN w:val="0"/>
        <w:bidi w:val="0"/>
        <w:adjustRightInd w:val="0"/>
        <w:spacing w:line="381" w:lineRule="exact"/>
        <w:ind w:left="2302"/>
        <w:jc w:val="left"/>
        <w:rPr>
          <w:rFonts w:hint="eastAsia" w:ascii="宋体" w:hAnsi="宋体" w:eastAsia="宋体" w:cs="宋体"/>
          <w:color w:val="auto"/>
          <w:sz w:val="28"/>
          <w:highlight w:val="none"/>
        </w:rPr>
        <w:sectPr>
          <w:footerReference r:id="rId16" w:type="default"/>
          <w:pgSz w:w="11907" w:h="16838"/>
          <w:pgMar w:top="1134" w:right="1134" w:bottom="1134" w:left="1134" w:header="882" w:footer="1219" w:gutter="0"/>
          <w:lnNumType w:countBy="0" w:distance="360"/>
          <w:cols w:space="720" w:num="1"/>
        </w:sectPr>
      </w:pPr>
    </w:p>
    <w:p w14:paraId="2A43228F">
      <w:pPr>
        <w:keepNext w:val="0"/>
        <w:keepLines w:val="0"/>
        <w:widowControl w:val="0"/>
        <w:kinsoku w:val="0"/>
        <w:overflowPunct w:val="0"/>
        <w:autoSpaceDE w:val="0"/>
        <w:autoSpaceDN w:val="0"/>
        <w:bidi w:val="0"/>
        <w:adjustRightInd w:val="0"/>
        <w:spacing w:before="9" w:line="140" w:lineRule="exact"/>
        <w:jc w:val="left"/>
        <w:rPr>
          <w:rFonts w:hint="eastAsia" w:ascii="宋体" w:hAnsi="宋体" w:eastAsia="宋体" w:cs="宋体"/>
          <w:color w:val="auto"/>
          <w:sz w:val="14"/>
          <w:highlight w:val="none"/>
        </w:rPr>
      </w:pPr>
    </w:p>
    <w:p w14:paraId="61D36D0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7E4A53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3687AE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159E382">
      <w:pPr>
        <w:keepNext w:val="0"/>
        <w:keepLines w:val="0"/>
        <w:widowControl w:val="0"/>
        <w:tabs>
          <w:tab w:val="left" w:pos="1228"/>
        </w:tabs>
        <w:kinsoku w:val="0"/>
        <w:overflowPunct w:val="0"/>
        <w:autoSpaceDE w:val="0"/>
        <w:autoSpaceDN w:val="0"/>
        <w:bidi w:val="0"/>
        <w:adjustRightInd w:val="0"/>
        <w:spacing w:line="400" w:lineRule="exact"/>
        <w:ind w:left="179"/>
        <w:jc w:val="center"/>
        <w:rPr>
          <w:rFonts w:hint="eastAsia" w:ascii="宋体" w:hAnsi="宋体" w:eastAsia="宋体" w:cs="宋体"/>
          <w:color w:val="auto"/>
          <w:sz w:val="30"/>
          <w:highlight w:val="none"/>
        </w:rPr>
      </w:pPr>
      <w:bookmarkStart w:id="633" w:name="bookmark130"/>
      <w:bookmarkEnd w:id="633"/>
      <w:bookmarkStart w:id="634" w:name="_Toc24863_WPSOffice_Level2"/>
      <w:r>
        <w:rPr>
          <w:rFonts w:hint="eastAsia" w:ascii="宋体" w:hAnsi="宋体" w:eastAsia="宋体" w:cs="宋体"/>
          <w:color w:val="auto"/>
          <w:sz w:val="30"/>
          <w:highlight w:val="none"/>
        </w:rPr>
        <w:t>目</w:t>
      </w:r>
      <w:r>
        <w:rPr>
          <w:rFonts w:hint="eastAsia" w:ascii="宋体" w:hAnsi="宋体" w:eastAsia="宋体" w:cs="宋体"/>
          <w:color w:val="auto"/>
          <w:sz w:val="30"/>
          <w:highlight w:val="none"/>
        </w:rPr>
        <w:tab/>
      </w:r>
      <w:r>
        <w:rPr>
          <w:rFonts w:hint="eastAsia" w:ascii="宋体" w:hAnsi="宋体" w:eastAsia="宋体" w:cs="宋体"/>
          <w:color w:val="auto"/>
          <w:sz w:val="30"/>
          <w:highlight w:val="none"/>
        </w:rPr>
        <w:t>录</w:t>
      </w:r>
      <w:bookmarkEnd w:id="634"/>
    </w:p>
    <w:p w14:paraId="505D6997">
      <w:pPr>
        <w:keepNext w:val="0"/>
        <w:keepLines w:val="0"/>
        <w:widowControl w:val="0"/>
        <w:kinsoku w:val="0"/>
        <w:overflowPunct w:val="0"/>
        <w:autoSpaceDE w:val="0"/>
        <w:autoSpaceDN w:val="0"/>
        <w:bidi w:val="0"/>
        <w:adjustRightInd w:val="0"/>
        <w:spacing w:before="8" w:line="150" w:lineRule="exact"/>
        <w:jc w:val="left"/>
        <w:rPr>
          <w:rFonts w:hint="eastAsia" w:ascii="宋体" w:hAnsi="宋体" w:eastAsia="宋体" w:cs="宋体"/>
          <w:color w:val="auto"/>
          <w:sz w:val="15"/>
          <w:highlight w:val="none"/>
        </w:rPr>
      </w:pPr>
    </w:p>
    <w:p w14:paraId="051435D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1058B2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358198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9B31A37">
      <w:pPr>
        <w:keepNext w:val="0"/>
        <w:keepLines w:val="0"/>
        <w:widowControl w:val="0"/>
        <w:kinsoku w:val="0"/>
        <w:overflowPunct w:val="0"/>
        <w:autoSpaceDE w:val="0"/>
        <w:autoSpaceDN w:val="0"/>
        <w:bidi w:val="0"/>
        <w:adjustRightInd w:val="0"/>
        <w:ind w:left="5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一、投标函</w:t>
      </w:r>
    </w:p>
    <w:p w14:paraId="04890872">
      <w:pPr>
        <w:keepNext w:val="0"/>
        <w:keepLines w:val="0"/>
        <w:widowControl w:val="0"/>
        <w:kinsoku w:val="0"/>
        <w:overflowPunct w:val="0"/>
        <w:autoSpaceDE w:val="0"/>
        <w:autoSpaceDN w:val="0"/>
        <w:bidi w:val="0"/>
        <w:adjustRightInd w:val="0"/>
        <w:spacing w:before="124" w:line="336" w:lineRule="auto"/>
        <w:ind w:left="588" w:right="38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二、授权委托书或法定代表人身份证明</w:t>
      </w:r>
    </w:p>
    <w:p w14:paraId="2F7F1437">
      <w:pPr>
        <w:keepNext w:val="0"/>
        <w:keepLines w:val="0"/>
        <w:widowControl w:val="0"/>
        <w:kinsoku w:val="0"/>
        <w:overflowPunct w:val="0"/>
        <w:autoSpaceDE w:val="0"/>
        <w:autoSpaceDN w:val="0"/>
        <w:bidi w:val="0"/>
        <w:adjustRightInd w:val="0"/>
        <w:spacing w:before="124" w:line="336" w:lineRule="auto"/>
        <w:ind w:left="588" w:right="38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三、联合体协议书（如有）</w:t>
      </w:r>
    </w:p>
    <w:p w14:paraId="467DC9FD">
      <w:pPr>
        <w:keepNext w:val="0"/>
        <w:keepLines w:val="0"/>
        <w:widowControl w:val="0"/>
        <w:kinsoku w:val="0"/>
        <w:overflowPunct w:val="0"/>
        <w:autoSpaceDE w:val="0"/>
        <w:autoSpaceDN w:val="0"/>
        <w:bidi w:val="0"/>
        <w:adjustRightInd w:val="0"/>
        <w:spacing w:before="31" w:line="336" w:lineRule="auto"/>
        <w:ind w:left="588" w:right="60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四、投标保证金</w:t>
      </w:r>
    </w:p>
    <w:p w14:paraId="4FE8E089">
      <w:pPr>
        <w:keepNext w:val="0"/>
        <w:keepLines w:val="0"/>
        <w:widowControl w:val="0"/>
        <w:kinsoku w:val="0"/>
        <w:overflowPunct w:val="0"/>
        <w:autoSpaceDE w:val="0"/>
        <w:autoSpaceDN w:val="0"/>
        <w:bidi w:val="0"/>
        <w:adjustRightInd w:val="0"/>
        <w:spacing w:before="31" w:line="336" w:lineRule="auto"/>
        <w:ind w:left="588" w:right="60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五、资格审查资料</w:t>
      </w:r>
    </w:p>
    <w:p w14:paraId="1BF29F4C">
      <w:pPr>
        <w:keepNext w:val="0"/>
        <w:keepLines w:val="0"/>
        <w:widowControl w:val="0"/>
        <w:kinsoku w:val="0"/>
        <w:overflowPunct w:val="0"/>
        <w:autoSpaceDE w:val="0"/>
        <w:autoSpaceDN w:val="0"/>
        <w:bidi w:val="0"/>
        <w:adjustRightInd w:val="0"/>
        <w:spacing w:before="31" w:line="336" w:lineRule="auto"/>
        <w:ind w:left="588" w:right="60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六、其他资料</w:t>
      </w:r>
    </w:p>
    <w:p w14:paraId="555E142A">
      <w:pPr>
        <w:keepNext w:val="0"/>
        <w:keepLines w:val="0"/>
        <w:widowControl w:val="0"/>
        <w:kinsoku w:val="0"/>
        <w:overflowPunct w:val="0"/>
        <w:autoSpaceDE w:val="0"/>
        <w:autoSpaceDN w:val="0"/>
        <w:bidi w:val="0"/>
        <w:adjustRightInd w:val="0"/>
        <w:spacing w:before="31" w:line="336" w:lineRule="auto"/>
        <w:ind w:left="588" w:right="60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七、技术建议书</w:t>
      </w:r>
    </w:p>
    <w:p w14:paraId="56F6772F">
      <w:pPr>
        <w:pStyle w:val="3"/>
        <w:keepNext w:val="0"/>
        <w:keepLines w:val="0"/>
        <w:kinsoku w:val="0"/>
        <w:overflowPunct w:val="0"/>
        <w:bidi w:val="0"/>
        <w:spacing w:before="27" w:line="298" w:lineRule="auto"/>
        <w:ind w:left="1769" w:right="3978"/>
        <w:rPr>
          <w:rFonts w:hint="eastAsia" w:ascii="宋体" w:hAnsi="宋体" w:eastAsia="宋体" w:cs="宋体"/>
          <w:color w:val="auto"/>
          <w:highlight w:val="none"/>
        </w:rPr>
        <w:sectPr>
          <w:footerReference r:id="rId17" w:type="default"/>
          <w:pgSz w:w="11907" w:h="16838"/>
          <w:pgMar w:top="1134" w:right="1134" w:bottom="1134" w:left="1134" w:header="882" w:footer="1219" w:gutter="0"/>
          <w:lnNumType w:countBy="0" w:distance="360"/>
          <w:cols w:space="720" w:num="1"/>
        </w:sectPr>
      </w:pPr>
    </w:p>
    <w:p w14:paraId="130BCC63">
      <w:pPr>
        <w:pStyle w:val="11"/>
        <w:keepNext w:val="0"/>
        <w:keepLines w:val="0"/>
        <w:kinsoku w:val="0"/>
        <w:overflowPunct w:val="0"/>
        <w:bidi w:val="0"/>
        <w:spacing w:line="400" w:lineRule="exact"/>
        <w:ind w:left="3306" w:right="3384"/>
        <w:jc w:val="center"/>
        <w:rPr>
          <w:rFonts w:hint="eastAsia" w:ascii="宋体" w:hAnsi="宋体" w:eastAsia="宋体" w:cs="宋体"/>
          <w:color w:val="auto"/>
          <w:highlight w:val="none"/>
        </w:rPr>
      </w:pPr>
      <w:bookmarkStart w:id="635" w:name="bookmark131"/>
      <w:bookmarkEnd w:id="635"/>
      <w:bookmarkStart w:id="636" w:name="_Toc5241_WPSOffice_Level1"/>
      <w:r>
        <w:rPr>
          <w:rFonts w:hint="eastAsia" w:ascii="宋体" w:hAnsi="宋体" w:eastAsia="宋体" w:cs="宋体"/>
          <w:color w:val="auto"/>
          <w:highlight w:val="none"/>
        </w:rPr>
        <w:t>一、投标函</w:t>
      </w:r>
      <w:bookmarkEnd w:id="636"/>
    </w:p>
    <w:p w14:paraId="436A480B">
      <w:pPr>
        <w:keepNext w:val="0"/>
        <w:keepLines w:val="0"/>
        <w:widowControl w:val="0"/>
        <w:kinsoku w:val="0"/>
        <w:overflowPunct w:val="0"/>
        <w:autoSpaceDE w:val="0"/>
        <w:autoSpaceDN w:val="0"/>
        <w:bidi w:val="0"/>
        <w:adjustRightInd w:val="0"/>
        <w:spacing w:before="9" w:line="100" w:lineRule="exact"/>
        <w:jc w:val="left"/>
        <w:rPr>
          <w:rFonts w:hint="eastAsia" w:ascii="宋体" w:hAnsi="宋体" w:eastAsia="宋体" w:cs="宋体"/>
          <w:color w:val="auto"/>
          <w:sz w:val="10"/>
          <w:highlight w:val="none"/>
        </w:rPr>
      </w:pPr>
    </w:p>
    <w:p w14:paraId="1A42642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73C2707">
      <w:pPr>
        <w:keepNext w:val="0"/>
        <w:keepLines w:val="0"/>
        <w:widowControl w:val="0"/>
        <w:tabs>
          <w:tab w:val="left" w:pos="2995"/>
        </w:tabs>
        <w:kinsoku w:val="0"/>
        <w:overflowPunct w:val="0"/>
        <w:autoSpaceDE w:val="0"/>
        <w:autoSpaceDN w:val="0"/>
        <w:bidi w:val="0"/>
        <w:adjustRightInd w:val="0"/>
        <w:spacing w:before="34"/>
        <w:ind w:left="1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（招标人名称</w:t>
      </w:r>
      <w:r>
        <w:rPr>
          <w:rFonts w:hint="eastAsia" w:ascii="宋体" w:hAnsi="宋体" w:eastAsia="宋体" w:cs="宋体"/>
          <w:color w:val="auto"/>
          <w:spacing w:val="-120"/>
          <w:sz w:val="24"/>
          <w:szCs w:val="24"/>
          <w:highlight w:val="none"/>
        </w:rPr>
        <w:t>）</w:t>
      </w:r>
      <w:r>
        <w:rPr>
          <w:rFonts w:hint="eastAsia" w:ascii="宋体" w:hAnsi="宋体" w:eastAsia="宋体" w:cs="宋体"/>
          <w:color w:val="auto"/>
          <w:sz w:val="24"/>
          <w:szCs w:val="24"/>
          <w:highlight w:val="none"/>
        </w:rPr>
        <w:t>：</w:t>
      </w:r>
    </w:p>
    <w:p w14:paraId="63EB5A55">
      <w:pPr>
        <w:keepNext w:val="0"/>
        <w:keepLines w:val="0"/>
        <w:numPr>
          <w:ilvl w:val="0"/>
          <w:numId w:val="0"/>
        </w:numPr>
        <w:kinsoku w:val="0"/>
        <w:autoSpaceDE w:val="0"/>
        <w:autoSpaceDN w:val="0"/>
        <w:bidi w:val="0"/>
        <w:adjustRightInd w:val="0"/>
        <w:snapToGrid w:val="0"/>
        <w:spacing w:before="233" w:line="308" w:lineRule="auto"/>
        <w:ind w:firstLine="484" w:firstLineChars="200"/>
        <w:jc w:val="left"/>
        <w:textAlignment w:val="baseline"/>
        <w:rPr>
          <w:rFonts w:hint="eastAsia" w:ascii="宋体" w:hAnsi="宋体" w:eastAsia="宋体" w:cs="宋体"/>
          <w:snapToGrid w:val="0"/>
          <w:color w:val="auto"/>
          <w:spacing w:val="-1"/>
          <w:kern w:val="0"/>
          <w:sz w:val="24"/>
          <w:szCs w:val="24"/>
          <w:highlight w:val="none"/>
        </w:rPr>
      </w:pPr>
      <w:r>
        <w:rPr>
          <w:rFonts w:hint="eastAsia" w:ascii="宋体" w:hAnsi="宋体" w:eastAsia="宋体" w:cs="宋体"/>
          <w:snapToGrid w:val="0"/>
          <w:color w:val="auto"/>
          <w:spacing w:val="1"/>
          <w:kern w:val="0"/>
          <w:sz w:val="24"/>
          <w:szCs w:val="24"/>
          <w:highlight w:val="none"/>
          <w:lang w:val="en-US" w:eastAsia="zh-CN"/>
        </w:rPr>
        <w:t>1.</w:t>
      </w:r>
      <w:r>
        <w:rPr>
          <w:rFonts w:hint="eastAsia" w:ascii="宋体" w:hAnsi="宋体" w:eastAsia="宋体" w:cs="宋体"/>
          <w:snapToGrid w:val="0"/>
          <w:color w:val="auto"/>
          <w:spacing w:val="1"/>
          <w:kern w:val="0"/>
          <w:sz w:val="24"/>
          <w:szCs w:val="24"/>
          <w:highlight w:val="none"/>
        </w:rPr>
        <w:t>我方已仔细研究</w:t>
      </w:r>
      <w:r>
        <w:rPr>
          <w:rFonts w:hint="eastAsia" w:ascii="宋体" w:hAnsi="宋体" w:eastAsia="宋体" w:cs="宋体"/>
          <w:snapToGrid w:val="0"/>
          <w:color w:val="auto"/>
          <w:spacing w:val="1"/>
          <w:kern w:val="0"/>
          <w:sz w:val="24"/>
          <w:szCs w:val="24"/>
          <w:highlight w:val="none"/>
          <w:u w:val="single"/>
        </w:rPr>
        <w:t>（项目名称</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rPr>
        <w:t>标段施工监理招标文件</w:t>
      </w:r>
      <w:r>
        <w:rPr>
          <w:rFonts w:hint="eastAsia" w:ascii="宋体" w:hAnsi="宋体" w:eastAsia="宋体" w:cs="宋体"/>
          <w:snapToGrid w:val="0"/>
          <w:color w:val="auto"/>
          <w:spacing w:val="6"/>
          <w:kern w:val="0"/>
          <w:sz w:val="24"/>
          <w:szCs w:val="24"/>
          <w:highlight w:val="none"/>
        </w:rPr>
        <w:t>的全部内容（含补遗书第号至第号</w:t>
      </w:r>
      <w:r>
        <w:rPr>
          <w:rFonts w:hint="eastAsia" w:ascii="宋体" w:hAnsi="宋体" w:eastAsia="宋体" w:cs="宋体"/>
          <w:snapToGrid w:val="0"/>
          <w:color w:val="auto"/>
          <w:spacing w:val="-43"/>
          <w:kern w:val="0"/>
          <w:sz w:val="24"/>
          <w:szCs w:val="24"/>
          <w:highlight w:val="none"/>
        </w:rPr>
        <w:t>），</w:t>
      </w:r>
      <w:r>
        <w:rPr>
          <w:rFonts w:hint="eastAsia" w:ascii="宋体" w:hAnsi="宋体" w:eastAsia="宋体" w:cs="宋体"/>
          <w:snapToGrid w:val="0"/>
          <w:color w:val="auto"/>
          <w:spacing w:val="6"/>
          <w:kern w:val="0"/>
          <w:sz w:val="24"/>
          <w:szCs w:val="24"/>
          <w:highlight w:val="none"/>
        </w:rPr>
        <w:t>在考察工程现场后，愿意</w:t>
      </w:r>
      <w:r>
        <w:rPr>
          <w:rFonts w:hint="eastAsia" w:ascii="宋体" w:hAnsi="宋体" w:eastAsia="宋体" w:cs="宋体"/>
          <w:snapToGrid w:val="0"/>
          <w:color w:val="auto"/>
          <w:spacing w:val="5"/>
          <w:kern w:val="0"/>
          <w:sz w:val="24"/>
          <w:szCs w:val="24"/>
          <w:highlight w:val="none"/>
        </w:rPr>
        <w:t>以第二个信封</w:t>
      </w:r>
      <w:r>
        <w:rPr>
          <w:rFonts w:hint="eastAsia" w:ascii="宋体" w:hAnsi="宋体" w:eastAsia="宋体" w:cs="宋体"/>
          <w:snapToGrid w:val="0"/>
          <w:color w:val="auto"/>
          <w:spacing w:val="1"/>
          <w:kern w:val="0"/>
          <w:sz w:val="24"/>
          <w:szCs w:val="24"/>
          <w:highlight w:val="none"/>
        </w:rPr>
        <w:t>（报价文件）中的投标总报价（或根据招标文件规定修正核实后确定的另一</w:t>
      </w:r>
      <w:r>
        <w:rPr>
          <w:rFonts w:hint="eastAsia" w:ascii="宋体" w:hAnsi="宋体" w:eastAsia="宋体" w:cs="宋体"/>
          <w:snapToGrid w:val="0"/>
          <w:color w:val="auto"/>
          <w:kern w:val="0"/>
          <w:sz w:val="24"/>
          <w:szCs w:val="24"/>
          <w:highlight w:val="none"/>
        </w:rPr>
        <w:t>金额</w:t>
      </w:r>
      <w:r>
        <w:rPr>
          <w:rFonts w:hint="eastAsia" w:ascii="宋体" w:hAnsi="宋体" w:eastAsia="宋体" w:cs="宋体"/>
          <w:snapToGrid w:val="0"/>
          <w:color w:val="auto"/>
          <w:spacing w:val="-51"/>
          <w:kern w:val="0"/>
          <w:sz w:val="24"/>
          <w:szCs w:val="24"/>
          <w:highlight w:val="none"/>
        </w:rPr>
        <w:t>），</w:t>
      </w:r>
      <w:r>
        <w:rPr>
          <w:rFonts w:hint="eastAsia" w:ascii="宋体" w:hAnsi="宋体" w:eastAsia="宋体" w:cs="宋体"/>
          <w:snapToGrid w:val="0"/>
          <w:color w:val="auto"/>
          <w:kern w:val="0"/>
          <w:sz w:val="24"/>
          <w:szCs w:val="24"/>
          <w:highlight w:val="none"/>
        </w:rPr>
        <w:t>按</w:t>
      </w:r>
      <w:r>
        <w:rPr>
          <w:rFonts w:hint="eastAsia" w:ascii="宋体" w:hAnsi="宋体" w:eastAsia="宋体" w:cs="宋体"/>
          <w:snapToGrid w:val="0"/>
          <w:color w:val="auto"/>
          <w:spacing w:val="-1"/>
          <w:kern w:val="0"/>
          <w:sz w:val="24"/>
          <w:szCs w:val="24"/>
          <w:highlight w:val="none"/>
        </w:rPr>
        <w:t>合同约定完成施工监理工作。</w:t>
      </w:r>
    </w:p>
    <w:p w14:paraId="60E0FB10">
      <w:pPr>
        <w:keepNext w:val="0"/>
        <w:keepLines w:val="0"/>
        <w:numPr>
          <w:ilvl w:val="0"/>
          <w:numId w:val="0"/>
        </w:numPr>
        <w:kinsoku w:val="0"/>
        <w:autoSpaceDE w:val="0"/>
        <w:autoSpaceDN w:val="0"/>
        <w:bidi w:val="0"/>
        <w:adjustRightInd w:val="0"/>
        <w:snapToGrid w:val="0"/>
        <w:spacing w:before="233" w:line="308" w:lineRule="auto"/>
        <w:ind w:left="506" w:leftChars="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spacing w:val="-1"/>
          <w:kern w:val="0"/>
          <w:sz w:val="24"/>
          <w:szCs w:val="24"/>
          <w:highlight w:val="none"/>
          <w:lang w:val="en-US" w:eastAsia="zh-CN"/>
        </w:rPr>
        <w:t>2.</w:t>
      </w:r>
      <w:r>
        <w:rPr>
          <w:rFonts w:hint="eastAsia" w:ascii="宋体" w:hAnsi="宋体" w:eastAsia="宋体" w:cs="宋体"/>
          <w:snapToGrid w:val="0"/>
          <w:color w:val="auto"/>
          <w:spacing w:val="-1"/>
          <w:kern w:val="0"/>
          <w:sz w:val="24"/>
          <w:szCs w:val="24"/>
          <w:highlight w:val="none"/>
        </w:rPr>
        <w:t>我方承诺在招标文件规定的投标有效期内不撤销投标文件。</w:t>
      </w:r>
    </w:p>
    <w:p w14:paraId="393CE064">
      <w:pPr>
        <w:keepNext w:val="0"/>
        <w:keepLines w:val="0"/>
        <w:numPr>
          <w:ilvl w:val="0"/>
          <w:numId w:val="0"/>
        </w:numPr>
        <w:kinsoku w:val="0"/>
        <w:autoSpaceDE w:val="0"/>
        <w:autoSpaceDN w:val="0"/>
        <w:bidi w:val="0"/>
        <w:adjustRightInd w:val="0"/>
        <w:snapToGrid w:val="0"/>
        <w:spacing w:before="233" w:line="308" w:lineRule="auto"/>
        <w:ind w:firstLine="508"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lang w:val="en-US" w:eastAsia="zh-CN"/>
        </w:rPr>
        <w:t>3.</w:t>
      </w:r>
      <w:r>
        <w:rPr>
          <w:rFonts w:hint="eastAsia" w:ascii="宋体" w:hAnsi="宋体" w:eastAsia="宋体" w:cs="宋体"/>
          <w:color w:val="auto"/>
          <w:spacing w:val="7"/>
          <w:sz w:val="24"/>
          <w:szCs w:val="24"/>
          <w:highlight w:val="none"/>
        </w:rPr>
        <w:t>总监理工程师或驻地监理工程师姓名</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7"/>
          <w:sz w:val="24"/>
          <w:szCs w:val="24"/>
          <w:highlight w:val="none"/>
        </w:rPr>
        <w:t>年龄</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7"/>
          <w:sz w:val="24"/>
          <w:szCs w:val="24"/>
          <w:highlight w:val="none"/>
        </w:rPr>
        <w:t>职</w:t>
      </w:r>
      <w:r>
        <w:rPr>
          <w:rFonts w:hint="eastAsia" w:ascii="宋体" w:hAnsi="宋体" w:eastAsia="宋体" w:cs="宋体"/>
          <w:color w:val="auto"/>
          <w:spacing w:val="1"/>
          <w:sz w:val="24"/>
          <w:szCs w:val="24"/>
          <w:highlight w:val="none"/>
        </w:rPr>
        <w:t>称</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1"/>
          <w:sz w:val="24"/>
          <w:szCs w:val="24"/>
          <w:highlight w:val="none"/>
        </w:rPr>
        <w:t>监理工程师证书：。</w:t>
      </w:r>
    </w:p>
    <w:p w14:paraId="7242CDE1">
      <w:pPr>
        <w:keepNext w:val="0"/>
        <w:keepLines w:val="0"/>
        <w:numPr>
          <w:ilvl w:val="0"/>
          <w:numId w:val="0"/>
        </w:numPr>
        <w:kinsoku w:val="0"/>
        <w:autoSpaceDE w:val="0"/>
        <w:autoSpaceDN w:val="0"/>
        <w:bidi w:val="0"/>
        <w:adjustRightInd w:val="0"/>
        <w:snapToGrid w:val="0"/>
        <w:spacing w:before="233" w:line="308" w:lineRule="auto"/>
        <w:ind w:left="506" w:leftChars="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val="en-US" w:eastAsia="zh-CN"/>
        </w:rPr>
        <w:t>4.</w:t>
      </w:r>
      <w:r>
        <w:rPr>
          <w:rFonts w:hint="eastAsia" w:ascii="宋体" w:hAnsi="宋体" w:eastAsia="宋体" w:cs="宋体"/>
          <w:color w:val="auto"/>
          <w:spacing w:val="-4"/>
          <w:sz w:val="24"/>
          <w:szCs w:val="24"/>
          <w:highlight w:val="none"/>
        </w:rPr>
        <w:t>质量要求</w:t>
      </w:r>
      <w:r>
        <w:rPr>
          <w:rFonts w:hint="eastAsia" w:ascii="宋体" w:hAnsi="宋体" w:eastAsia="宋体" w:cs="宋体"/>
          <w:color w:val="auto"/>
          <w:spacing w:val="-28"/>
          <w:sz w:val="24"/>
          <w:szCs w:val="24"/>
          <w:highlight w:val="none"/>
        </w:rPr>
        <w:t>：，</w:t>
      </w:r>
      <w:r>
        <w:rPr>
          <w:rFonts w:hint="eastAsia" w:ascii="宋体" w:hAnsi="宋体" w:eastAsia="宋体" w:cs="宋体"/>
          <w:color w:val="auto"/>
          <w:spacing w:val="-4"/>
          <w:sz w:val="24"/>
          <w:szCs w:val="24"/>
          <w:highlight w:val="none"/>
        </w:rPr>
        <w:t>安全目标</w:t>
      </w:r>
      <w:r>
        <w:rPr>
          <w:rFonts w:hint="eastAsia" w:ascii="宋体" w:hAnsi="宋体" w:eastAsia="宋体" w:cs="宋体"/>
          <w:color w:val="auto"/>
          <w:spacing w:val="-28"/>
          <w:sz w:val="24"/>
          <w:szCs w:val="24"/>
          <w:highlight w:val="none"/>
        </w:rPr>
        <w:t>：，</w:t>
      </w:r>
      <w:r>
        <w:rPr>
          <w:rFonts w:hint="eastAsia" w:ascii="宋体" w:hAnsi="宋体" w:eastAsia="宋体" w:cs="宋体"/>
          <w:color w:val="auto"/>
          <w:spacing w:val="-4"/>
          <w:sz w:val="24"/>
          <w:szCs w:val="24"/>
          <w:highlight w:val="none"/>
        </w:rPr>
        <w:t>监理服务期</w:t>
      </w:r>
      <w:r>
        <w:rPr>
          <w:rFonts w:hint="eastAsia" w:ascii="宋体" w:hAnsi="宋体" w:eastAsia="宋体" w:cs="宋体"/>
          <w:color w:val="auto"/>
          <w:spacing w:val="-9"/>
          <w:sz w:val="24"/>
          <w:szCs w:val="24"/>
          <w:highlight w:val="none"/>
        </w:rPr>
        <w:t>限：。</w:t>
      </w:r>
    </w:p>
    <w:p w14:paraId="025B4EFA">
      <w:pPr>
        <w:keepNext w:val="0"/>
        <w:keepLines w:val="0"/>
        <w:kinsoku w:val="0"/>
        <w:autoSpaceDE w:val="0"/>
        <w:autoSpaceDN w:val="0"/>
        <w:bidi w:val="0"/>
        <w:adjustRightInd w:val="0"/>
        <w:snapToGrid w:val="0"/>
        <w:spacing w:before="116" w:line="219" w:lineRule="auto"/>
        <w:ind w:left="494"/>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lang w:val="en-US" w:eastAsia="zh-CN"/>
        </w:rPr>
        <w:t>5.</w:t>
      </w:r>
      <w:r>
        <w:rPr>
          <w:rFonts w:hint="eastAsia" w:ascii="宋体" w:hAnsi="宋体" w:eastAsia="宋体" w:cs="宋体"/>
          <w:snapToGrid w:val="0"/>
          <w:color w:val="auto"/>
          <w:spacing w:val="-2"/>
          <w:kern w:val="0"/>
          <w:sz w:val="24"/>
          <w:szCs w:val="24"/>
          <w:highlight w:val="none"/>
        </w:rPr>
        <w:t>如我方中标，我方承诺：</w:t>
      </w:r>
    </w:p>
    <w:p w14:paraId="40CEB732">
      <w:pPr>
        <w:keepNext w:val="0"/>
        <w:keepLines w:val="0"/>
        <w:kinsoku w:val="0"/>
        <w:autoSpaceDE w:val="0"/>
        <w:autoSpaceDN w:val="0"/>
        <w:bidi w:val="0"/>
        <w:adjustRightInd w:val="0"/>
        <w:snapToGrid w:val="0"/>
        <w:spacing w:before="115" w:line="219" w:lineRule="auto"/>
        <w:ind w:left="5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1"/>
          <w:kern w:val="0"/>
          <w:sz w:val="24"/>
          <w:szCs w:val="24"/>
          <w:highlight w:val="none"/>
        </w:rPr>
        <w:t>（1）在收到中标通知书后，在规定的期限内与你方签订合同；</w:t>
      </w:r>
    </w:p>
    <w:p w14:paraId="0E764B1B">
      <w:pPr>
        <w:keepNext w:val="0"/>
        <w:keepLines w:val="0"/>
        <w:kinsoku w:val="0"/>
        <w:autoSpaceDE w:val="0"/>
        <w:autoSpaceDN w:val="0"/>
        <w:bidi w:val="0"/>
        <w:adjustRightInd w:val="0"/>
        <w:snapToGrid w:val="0"/>
        <w:spacing w:before="113" w:line="219" w:lineRule="auto"/>
        <w:ind w:left="5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（2）在签订合同时不向你方提出附加条件；</w:t>
      </w:r>
    </w:p>
    <w:p w14:paraId="51BCD3D1">
      <w:pPr>
        <w:keepNext w:val="0"/>
        <w:keepLines w:val="0"/>
        <w:kinsoku w:val="0"/>
        <w:autoSpaceDE w:val="0"/>
        <w:autoSpaceDN w:val="0"/>
        <w:bidi w:val="0"/>
        <w:adjustRightInd w:val="0"/>
        <w:snapToGrid w:val="0"/>
        <w:spacing w:before="117" w:line="219" w:lineRule="auto"/>
        <w:ind w:left="5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（3）按照招标文件要求提交履约保证金；</w:t>
      </w:r>
    </w:p>
    <w:p w14:paraId="62D5DFCB">
      <w:pPr>
        <w:keepNext w:val="0"/>
        <w:keepLines w:val="0"/>
        <w:kinsoku w:val="0"/>
        <w:autoSpaceDE w:val="0"/>
        <w:autoSpaceDN w:val="0"/>
        <w:bidi w:val="0"/>
        <w:adjustRightInd w:val="0"/>
        <w:snapToGrid w:val="0"/>
        <w:spacing w:before="117" w:line="219" w:lineRule="auto"/>
        <w:ind w:left="5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1"/>
          <w:kern w:val="0"/>
          <w:sz w:val="24"/>
          <w:szCs w:val="24"/>
          <w:highlight w:val="none"/>
        </w:rPr>
        <w:t>（4）在合同约定的期限内完成合同规定的全部义务；</w:t>
      </w:r>
    </w:p>
    <w:p w14:paraId="16C3CA92">
      <w:pPr>
        <w:keepNext w:val="0"/>
        <w:keepLines w:val="0"/>
        <w:kinsoku w:val="0"/>
        <w:autoSpaceDE w:val="0"/>
        <w:autoSpaceDN w:val="0"/>
        <w:bidi w:val="0"/>
        <w:adjustRightInd w:val="0"/>
        <w:snapToGrid w:val="0"/>
        <w:spacing w:before="112" w:line="291" w:lineRule="auto"/>
        <w:ind w:left="11" w:right="2" w:firstLine="489"/>
        <w:jc w:val="left"/>
        <w:textAlignment w:val="baseline"/>
        <w:rPr>
          <w:rFonts w:hint="eastAsia" w:ascii="宋体" w:hAnsi="宋体" w:eastAsia="宋体" w:cs="宋体"/>
          <w:snapToGrid w:val="0"/>
          <w:color w:val="auto"/>
          <w:spacing w:val="-1"/>
          <w:kern w:val="0"/>
          <w:sz w:val="24"/>
          <w:szCs w:val="24"/>
          <w:highlight w:val="none"/>
        </w:rPr>
      </w:pPr>
      <w:r>
        <w:rPr>
          <w:rFonts w:hint="eastAsia" w:ascii="宋体" w:hAnsi="宋体" w:eastAsia="宋体" w:cs="宋体"/>
          <w:snapToGrid w:val="0"/>
          <w:color w:val="auto"/>
          <w:spacing w:val="1"/>
          <w:kern w:val="0"/>
          <w:sz w:val="24"/>
          <w:szCs w:val="24"/>
          <w:highlight w:val="none"/>
        </w:rPr>
        <w:t>（5）在你方和我方进行合同谈判之前，我方将按照合同附件提出的最低要求填报</w:t>
      </w:r>
      <w:r>
        <w:rPr>
          <w:rFonts w:hint="eastAsia" w:ascii="宋体" w:hAnsi="宋体" w:eastAsia="宋体" w:cs="宋体"/>
          <w:snapToGrid w:val="0"/>
          <w:color w:val="auto"/>
          <w:spacing w:val="5"/>
          <w:kern w:val="0"/>
          <w:sz w:val="24"/>
          <w:szCs w:val="24"/>
          <w:highlight w:val="none"/>
        </w:rPr>
        <w:t>派驻本标段的其他主要监理人员及主要试验检测设备，经你方审批后作</w:t>
      </w:r>
      <w:r>
        <w:rPr>
          <w:rFonts w:hint="eastAsia" w:ascii="宋体" w:hAnsi="宋体" w:eastAsia="宋体" w:cs="宋体"/>
          <w:snapToGrid w:val="0"/>
          <w:color w:val="auto"/>
          <w:spacing w:val="4"/>
          <w:kern w:val="0"/>
          <w:sz w:val="24"/>
          <w:szCs w:val="24"/>
          <w:highlight w:val="none"/>
        </w:rPr>
        <w:t>为派驻本标段</w:t>
      </w:r>
      <w:r>
        <w:rPr>
          <w:rFonts w:hint="eastAsia" w:ascii="宋体" w:hAnsi="宋体" w:eastAsia="宋体" w:cs="宋体"/>
          <w:snapToGrid w:val="0"/>
          <w:color w:val="auto"/>
          <w:spacing w:val="5"/>
          <w:kern w:val="0"/>
          <w:sz w:val="24"/>
          <w:szCs w:val="24"/>
          <w:highlight w:val="none"/>
        </w:rPr>
        <w:t>的主要监理人员和主要试验检测设备且不进行更换。如我方拟派驻的人</w:t>
      </w:r>
      <w:r>
        <w:rPr>
          <w:rFonts w:hint="eastAsia" w:ascii="宋体" w:hAnsi="宋体" w:eastAsia="宋体" w:cs="宋体"/>
          <w:snapToGrid w:val="0"/>
          <w:color w:val="auto"/>
          <w:spacing w:val="4"/>
          <w:kern w:val="0"/>
          <w:sz w:val="24"/>
          <w:szCs w:val="24"/>
          <w:highlight w:val="none"/>
        </w:rPr>
        <w:t>员和设备不满</w:t>
      </w:r>
      <w:r>
        <w:rPr>
          <w:rFonts w:hint="eastAsia" w:ascii="宋体" w:hAnsi="宋体" w:eastAsia="宋体" w:cs="宋体"/>
          <w:snapToGrid w:val="0"/>
          <w:color w:val="auto"/>
          <w:spacing w:val="-1"/>
          <w:kern w:val="0"/>
          <w:sz w:val="24"/>
          <w:szCs w:val="24"/>
          <w:highlight w:val="none"/>
        </w:rPr>
        <w:t>足合同附件要求，你方有权取消我方中标资格。</w:t>
      </w:r>
    </w:p>
    <w:p w14:paraId="1B4C3CE5">
      <w:pPr>
        <w:keepNext w:val="0"/>
        <w:keepLines w:val="0"/>
        <w:kinsoku w:val="0"/>
        <w:autoSpaceDE w:val="0"/>
        <w:autoSpaceDN w:val="0"/>
        <w:bidi w:val="0"/>
        <w:adjustRightInd w:val="0"/>
        <w:snapToGrid w:val="0"/>
        <w:spacing w:before="112" w:line="291" w:lineRule="auto"/>
        <w:ind w:left="11" w:right="2" w:firstLine="489"/>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6）我方在此承诺：拟投入本项目的总监理工程师（包括备选人，如有）无在岗项目（指目前未在其他项目上任职，或虽在其他项目上任职但本项目中标后能够从该项目撤离）,否则自愿按照招标人的有关规定接受处罚。</w:t>
      </w:r>
    </w:p>
    <w:p w14:paraId="28087995">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我方在此声明，所递交的投标文件及有关资料内容完整、真实和准确，且不存在招标文件第二章“投标人须知”第1.4.3项和第1.4.4项规定的任何一种情形。</w:t>
      </w:r>
    </w:p>
    <w:p w14:paraId="7356E14F">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7.我方在此承诺：权利义务满足招标文件规定。</w:t>
      </w:r>
    </w:p>
    <w:p w14:paraId="1EEE2C97">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在合同协议书正式签署生效之前，本投标函连同你方的中标通知书将构成我们双方之间共同遵守的文件，对双方具有约束力。</w:t>
      </w:r>
    </w:p>
    <w:p w14:paraId="2F39A2E1">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（其他补充说明）。</w:t>
      </w:r>
    </w:p>
    <w:p w14:paraId="36092D8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2419FCE">
      <w:pPr>
        <w:pStyle w:val="3"/>
        <w:keepNext w:val="0"/>
        <w:keepLines w:val="0"/>
        <w:tabs>
          <w:tab w:val="left" w:pos="4289"/>
          <w:tab w:val="left" w:pos="7170"/>
          <w:tab w:val="left" w:pos="8010"/>
          <w:tab w:val="left" w:pos="8881"/>
        </w:tabs>
        <w:kinsoku w:val="0"/>
        <w:overflowPunct w:val="0"/>
        <w:bidi w:val="0"/>
        <w:spacing w:line="271" w:lineRule="auto"/>
        <w:ind w:left="3569" w:right="135"/>
        <w:rPr>
          <w:rFonts w:hint="eastAsia" w:ascii="宋体" w:hAnsi="宋体" w:eastAsia="宋体" w:cs="宋体"/>
          <w:color w:val="auto"/>
          <w:highlight w:val="none"/>
        </w:rPr>
      </w:pPr>
    </w:p>
    <w:p w14:paraId="16010BB9">
      <w:pPr>
        <w:pStyle w:val="3"/>
        <w:keepNext w:val="0"/>
        <w:keepLines w:val="0"/>
        <w:tabs>
          <w:tab w:val="left" w:pos="4289"/>
          <w:tab w:val="left" w:pos="7170"/>
          <w:tab w:val="left" w:pos="8010"/>
          <w:tab w:val="left" w:pos="8881"/>
        </w:tabs>
        <w:kinsoku w:val="0"/>
        <w:overflowPunct w:val="0"/>
        <w:bidi w:val="0"/>
        <w:spacing w:line="271" w:lineRule="auto"/>
        <w:ind w:left="3569" w:right="135"/>
        <w:rPr>
          <w:rFonts w:hint="eastAsia" w:ascii="宋体" w:hAnsi="宋体" w:eastAsia="宋体" w:cs="宋体"/>
          <w:color w:val="auto"/>
          <w:highlight w:val="none"/>
        </w:rPr>
      </w:pPr>
    </w:p>
    <w:p w14:paraId="2E2A8C50">
      <w:pPr>
        <w:pStyle w:val="3"/>
        <w:keepNext w:val="0"/>
        <w:keepLines w:val="0"/>
        <w:tabs>
          <w:tab w:val="left" w:pos="4289"/>
          <w:tab w:val="left" w:pos="7170"/>
          <w:tab w:val="left" w:pos="8010"/>
          <w:tab w:val="left" w:pos="8881"/>
        </w:tabs>
        <w:kinsoku w:val="0"/>
        <w:overflowPunct w:val="0"/>
        <w:bidi w:val="0"/>
        <w:spacing w:line="271" w:lineRule="auto"/>
        <w:ind w:left="3569" w:right="135"/>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ab/>
      </w:r>
      <w:r>
        <w:rPr>
          <w:rFonts w:hint="eastAsia" w:ascii="宋体" w:hAnsi="宋体" w:eastAsia="宋体" w:cs="宋体"/>
          <w:color w:val="auto"/>
          <w:highlight w:val="none"/>
        </w:rPr>
        <w:t>（盖单位章）</w:t>
      </w:r>
    </w:p>
    <w:p w14:paraId="4713B912">
      <w:pPr>
        <w:pStyle w:val="3"/>
        <w:keepNext w:val="0"/>
        <w:keepLines w:val="0"/>
        <w:tabs>
          <w:tab w:val="left" w:pos="4289"/>
          <w:tab w:val="left" w:pos="7170"/>
          <w:tab w:val="left" w:pos="8010"/>
          <w:tab w:val="left" w:pos="8881"/>
        </w:tabs>
        <w:kinsoku w:val="0"/>
        <w:overflowPunct w:val="0"/>
        <w:bidi w:val="0"/>
        <w:spacing w:line="271" w:lineRule="auto"/>
        <w:ind w:left="3569" w:right="135"/>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rPr>
        <w:tab/>
      </w:r>
      <w:r>
        <w:rPr>
          <w:rFonts w:hint="eastAsia" w:ascii="宋体" w:hAnsi="宋体" w:eastAsia="宋体" w:cs="宋体"/>
          <w:color w:val="auto"/>
          <w:highlight w:val="none"/>
        </w:rPr>
        <w:t>（签字）</w:t>
      </w:r>
    </w:p>
    <w:p w14:paraId="194698DF">
      <w:pPr>
        <w:pStyle w:val="3"/>
        <w:keepNext w:val="0"/>
        <w:keepLines w:val="0"/>
        <w:tabs>
          <w:tab w:val="left" w:pos="4289"/>
          <w:tab w:val="left" w:pos="7170"/>
          <w:tab w:val="left" w:pos="8010"/>
          <w:tab w:val="left" w:pos="8881"/>
        </w:tabs>
        <w:kinsoku w:val="0"/>
        <w:overflowPunct w:val="0"/>
        <w:bidi w:val="0"/>
        <w:spacing w:line="271" w:lineRule="auto"/>
        <w:ind w:left="3569" w:right="135"/>
        <w:rPr>
          <w:rFonts w:hint="eastAsia" w:ascii="宋体" w:hAnsi="宋体" w:eastAsia="宋体" w:cs="宋体"/>
          <w:color w:val="auto"/>
          <w:highlight w:val="none"/>
        </w:rPr>
      </w:pPr>
      <w:r>
        <w:rPr>
          <w:rFonts w:hint="eastAsia" w:ascii="宋体" w:hAnsi="宋体" w:eastAsia="宋体" w:cs="宋体"/>
          <w:color w:val="auto"/>
          <w:highlight w:val="none"/>
        </w:rPr>
        <w:t>地</w:t>
      </w:r>
      <w:r>
        <w:rPr>
          <w:rFonts w:hint="eastAsia" w:ascii="宋体" w:hAnsi="宋体" w:eastAsia="宋体" w:cs="宋体"/>
          <w:color w:val="auto"/>
          <w:highlight w:val="none"/>
        </w:rPr>
        <w:tab/>
      </w:r>
      <w:r>
        <w:rPr>
          <w:rFonts w:hint="eastAsia" w:ascii="宋体" w:hAnsi="宋体" w:eastAsia="宋体" w:cs="宋体"/>
          <w:color w:val="auto"/>
          <w:highlight w:val="none"/>
        </w:rPr>
        <w:t>址：</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3242980B">
      <w:pPr>
        <w:pStyle w:val="3"/>
        <w:keepNext w:val="0"/>
        <w:keepLines w:val="0"/>
        <w:tabs>
          <w:tab w:val="left" w:pos="4289"/>
          <w:tab w:val="left" w:pos="7170"/>
          <w:tab w:val="left" w:pos="8010"/>
          <w:tab w:val="left" w:pos="8881"/>
        </w:tabs>
        <w:kinsoku w:val="0"/>
        <w:overflowPunct w:val="0"/>
        <w:bidi w:val="0"/>
        <w:spacing w:line="271" w:lineRule="auto"/>
        <w:ind w:left="3569" w:right="135"/>
        <w:rPr>
          <w:rFonts w:hint="eastAsia" w:ascii="宋体" w:hAnsi="宋体" w:eastAsia="宋体" w:cs="宋体"/>
          <w:color w:val="auto"/>
          <w:highlight w:val="none"/>
          <w:u w:val="single"/>
        </w:rPr>
      </w:pPr>
      <w:r>
        <w:rPr>
          <w:rFonts w:hint="eastAsia" w:ascii="宋体" w:hAnsi="宋体" w:eastAsia="宋体" w:cs="宋体"/>
          <w:color w:val="auto"/>
          <w:highlight w:val="none"/>
        </w:rPr>
        <w:t>网</w:t>
      </w:r>
      <w:r>
        <w:rPr>
          <w:rFonts w:hint="eastAsia" w:ascii="宋体" w:hAnsi="宋体" w:eastAsia="宋体" w:cs="宋体"/>
          <w:color w:val="auto"/>
          <w:highlight w:val="none"/>
        </w:rPr>
        <w:tab/>
      </w:r>
      <w:r>
        <w:rPr>
          <w:rFonts w:hint="eastAsia" w:ascii="宋体" w:hAnsi="宋体" w:eastAsia="宋体" w:cs="宋体"/>
          <w:color w:val="auto"/>
          <w:highlight w:val="none"/>
        </w:rPr>
        <w:t>址：</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511B3EA0">
      <w:pPr>
        <w:pStyle w:val="3"/>
        <w:keepNext w:val="0"/>
        <w:keepLines w:val="0"/>
        <w:tabs>
          <w:tab w:val="left" w:pos="4289"/>
          <w:tab w:val="left" w:pos="7170"/>
          <w:tab w:val="left" w:pos="8010"/>
          <w:tab w:val="left" w:pos="8881"/>
        </w:tabs>
        <w:kinsoku w:val="0"/>
        <w:overflowPunct w:val="0"/>
        <w:bidi w:val="0"/>
        <w:spacing w:line="271" w:lineRule="auto"/>
        <w:ind w:left="3569" w:right="135"/>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电</w:t>
      </w:r>
      <w:r>
        <w:rPr>
          <w:rFonts w:hint="eastAsia" w:ascii="宋体" w:hAnsi="宋体" w:eastAsia="宋体" w:cs="宋体"/>
          <w:color w:val="auto"/>
          <w:highlight w:val="none"/>
        </w:rPr>
        <w:tab/>
      </w:r>
      <w:r>
        <w:rPr>
          <w:rFonts w:hint="eastAsia" w:ascii="宋体" w:hAnsi="宋体" w:eastAsia="宋体" w:cs="宋体"/>
          <w:color w:val="auto"/>
          <w:highlight w:val="none"/>
        </w:rPr>
        <w:t>话：</w:t>
      </w:r>
      <w:r>
        <w:rPr>
          <w:rFonts w:hint="eastAsia" w:ascii="宋体" w:hAnsi="宋体" w:eastAsia="宋体" w:cs="宋体"/>
          <w:color w:val="auto"/>
          <w:highlight w:val="none"/>
          <w:u w:val="single"/>
        </w:rPr>
        <w:tab/>
      </w:r>
    </w:p>
    <w:p w14:paraId="789DBF81">
      <w:pPr>
        <w:pStyle w:val="3"/>
        <w:keepNext w:val="0"/>
        <w:keepLines w:val="0"/>
        <w:tabs>
          <w:tab w:val="left" w:pos="4289"/>
          <w:tab w:val="left" w:pos="8850"/>
        </w:tabs>
        <w:kinsoku w:val="0"/>
        <w:overflowPunct w:val="0"/>
        <w:bidi w:val="0"/>
        <w:spacing w:before="44" w:line="271" w:lineRule="auto"/>
        <w:ind w:left="3569" w:right="104"/>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传</w:t>
      </w:r>
      <w:r>
        <w:rPr>
          <w:rFonts w:hint="eastAsia" w:ascii="宋体" w:hAnsi="宋体" w:eastAsia="宋体" w:cs="宋体"/>
          <w:color w:val="auto"/>
          <w:highlight w:val="none"/>
        </w:rPr>
        <w:tab/>
      </w:r>
      <w:r>
        <w:rPr>
          <w:rFonts w:hint="eastAsia" w:ascii="宋体" w:hAnsi="宋体" w:eastAsia="宋体" w:cs="宋体"/>
          <w:color w:val="auto"/>
          <w:highlight w:val="none"/>
        </w:rPr>
        <w:t>真：</w:t>
      </w:r>
    </w:p>
    <w:p w14:paraId="635A25FA">
      <w:pPr>
        <w:pStyle w:val="3"/>
        <w:keepNext w:val="0"/>
        <w:keepLines w:val="0"/>
        <w:tabs>
          <w:tab w:val="left" w:pos="4289"/>
          <w:tab w:val="left" w:pos="8850"/>
        </w:tabs>
        <w:kinsoku w:val="0"/>
        <w:overflowPunct w:val="0"/>
        <w:bidi w:val="0"/>
        <w:spacing w:before="44" w:line="271" w:lineRule="auto"/>
        <w:ind w:left="3569" w:right="104"/>
        <w:rPr>
          <w:rFonts w:hint="eastAsia" w:ascii="宋体" w:hAnsi="宋体" w:eastAsia="宋体" w:cs="宋体"/>
          <w:color w:val="auto"/>
          <w:highlight w:val="none"/>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ab/>
      </w:r>
    </w:p>
    <w:p w14:paraId="72B7A282">
      <w:pPr>
        <w:pStyle w:val="3"/>
        <w:keepNext w:val="0"/>
        <w:keepLines w:val="0"/>
        <w:tabs>
          <w:tab w:val="left" w:pos="5970"/>
          <w:tab w:val="left" w:pos="7050"/>
          <w:tab w:val="left" w:pos="8130"/>
        </w:tabs>
        <w:kinsoku w:val="0"/>
        <w:overflowPunct w:val="0"/>
        <w:bidi w:val="0"/>
        <w:spacing w:line="340" w:lineRule="exact"/>
        <w:ind w:left="4889"/>
        <w:rPr>
          <w:rFonts w:hint="eastAsia" w:ascii="宋体" w:hAnsi="宋体" w:eastAsia="宋体" w:cs="宋体"/>
          <w:color w:val="auto"/>
          <w:highlight w:val="none"/>
        </w:rPr>
      </w:pP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69AF81B8">
      <w:pPr>
        <w:pStyle w:val="3"/>
        <w:keepNext w:val="0"/>
        <w:keepLines w:val="0"/>
        <w:tabs>
          <w:tab w:val="left" w:pos="5970"/>
          <w:tab w:val="left" w:pos="7050"/>
          <w:tab w:val="left" w:pos="8130"/>
        </w:tabs>
        <w:kinsoku w:val="0"/>
        <w:overflowPunct w:val="0"/>
        <w:bidi w:val="0"/>
        <w:spacing w:line="340" w:lineRule="exact"/>
        <w:ind w:left="4889"/>
        <w:rPr>
          <w:rFonts w:hint="eastAsia" w:ascii="宋体" w:hAnsi="宋体" w:eastAsia="宋体" w:cs="宋体"/>
          <w:color w:val="auto"/>
          <w:highlight w:val="none"/>
        </w:rPr>
        <w:sectPr>
          <w:footerReference r:id="rId18" w:type="default"/>
          <w:pgSz w:w="11907" w:h="16838"/>
          <w:pgMar w:top="1134" w:right="1134" w:bottom="1134" w:left="1134" w:header="882" w:footer="1219" w:gutter="0"/>
          <w:lnNumType w:countBy="0" w:distance="360"/>
          <w:cols w:space="720" w:num="1"/>
        </w:sectPr>
      </w:pPr>
    </w:p>
    <w:p w14:paraId="7CC8134D">
      <w:pPr>
        <w:keepNext w:val="0"/>
        <w:keepLines w:val="0"/>
        <w:widowControl w:val="0"/>
        <w:kinsoku w:val="0"/>
        <w:overflowPunct w:val="0"/>
        <w:autoSpaceDE w:val="0"/>
        <w:autoSpaceDN w:val="0"/>
        <w:bidi w:val="0"/>
        <w:adjustRightInd w:val="0"/>
        <w:spacing w:before="9" w:line="140" w:lineRule="exact"/>
        <w:jc w:val="left"/>
        <w:rPr>
          <w:rFonts w:hint="eastAsia" w:ascii="宋体" w:hAnsi="宋体" w:eastAsia="宋体" w:cs="宋体"/>
          <w:color w:val="auto"/>
          <w:sz w:val="14"/>
          <w:highlight w:val="none"/>
        </w:rPr>
      </w:pPr>
    </w:p>
    <w:p w14:paraId="28186316">
      <w:pPr>
        <w:pStyle w:val="11"/>
        <w:keepNext w:val="0"/>
        <w:keepLines w:val="0"/>
        <w:kinsoku w:val="0"/>
        <w:overflowPunct w:val="0"/>
        <w:bidi w:val="0"/>
        <w:spacing w:line="400" w:lineRule="exact"/>
        <w:ind w:left="1944" w:right="1923"/>
        <w:jc w:val="center"/>
        <w:rPr>
          <w:rFonts w:hint="eastAsia" w:ascii="宋体" w:hAnsi="宋体" w:eastAsia="宋体" w:cs="宋体"/>
          <w:b/>
          <w:bCs/>
          <w:color w:val="auto"/>
          <w:highlight w:val="none"/>
        </w:rPr>
      </w:pPr>
      <w:bookmarkStart w:id="637" w:name="bookmark132"/>
      <w:bookmarkEnd w:id="637"/>
      <w:bookmarkStart w:id="638" w:name="_Toc27191_WPSOffice_Level1"/>
      <w:r>
        <w:rPr>
          <w:rFonts w:hint="eastAsia" w:ascii="宋体" w:hAnsi="宋体" w:eastAsia="宋体" w:cs="宋体"/>
          <w:b/>
          <w:bCs/>
          <w:color w:val="auto"/>
          <w:highlight w:val="none"/>
        </w:rPr>
        <w:t>二、授权委托书或法定代表人身份证明</w:t>
      </w:r>
      <w:bookmarkEnd w:id="638"/>
    </w:p>
    <w:p w14:paraId="3E187236">
      <w:pPr>
        <w:keepNext w:val="0"/>
        <w:keepLines w:val="0"/>
        <w:widowControl w:val="0"/>
        <w:kinsoku w:val="0"/>
        <w:overflowPunct w:val="0"/>
        <w:autoSpaceDE w:val="0"/>
        <w:autoSpaceDN w:val="0"/>
        <w:bidi w:val="0"/>
        <w:adjustRightInd w:val="0"/>
        <w:spacing w:before="1" w:line="130" w:lineRule="exact"/>
        <w:jc w:val="left"/>
        <w:rPr>
          <w:rFonts w:hint="eastAsia" w:ascii="宋体" w:hAnsi="宋体" w:eastAsia="宋体" w:cs="宋体"/>
          <w:b/>
          <w:bCs/>
          <w:color w:val="auto"/>
          <w:sz w:val="13"/>
          <w:highlight w:val="none"/>
        </w:rPr>
      </w:pPr>
    </w:p>
    <w:p w14:paraId="002AEA2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b/>
          <w:bCs/>
          <w:color w:val="auto"/>
          <w:sz w:val="20"/>
          <w:highlight w:val="none"/>
        </w:rPr>
      </w:pPr>
    </w:p>
    <w:p w14:paraId="6AE33991">
      <w:pPr>
        <w:keepNext w:val="0"/>
        <w:keepLines w:val="0"/>
        <w:widowControl w:val="0"/>
        <w:kinsoku w:val="0"/>
        <w:overflowPunct w:val="0"/>
        <w:autoSpaceDE w:val="0"/>
        <w:autoSpaceDN w:val="0"/>
        <w:bidi w:val="0"/>
        <w:adjustRightInd w:val="0"/>
        <w:ind w:left="1944" w:right="1922"/>
        <w:jc w:val="center"/>
        <w:rPr>
          <w:rFonts w:hint="eastAsia" w:ascii="宋体" w:hAnsi="宋体" w:eastAsia="宋体" w:cs="宋体"/>
          <w:b/>
          <w:bCs/>
          <w:color w:val="auto"/>
          <w:sz w:val="14"/>
          <w:highlight w:val="none"/>
        </w:rPr>
      </w:pPr>
      <w:bookmarkStart w:id="639" w:name="bookmark133"/>
      <w:bookmarkEnd w:id="639"/>
      <w:bookmarkStart w:id="640" w:name="_Toc23624_WPSOffice_Level2"/>
      <w:r>
        <w:rPr>
          <w:rFonts w:hint="eastAsia" w:ascii="宋体" w:hAnsi="宋体" w:eastAsia="宋体" w:cs="宋体"/>
          <w:b/>
          <w:bCs/>
          <w:color w:val="auto"/>
          <w:sz w:val="28"/>
          <w:highlight w:val="none"/>
        </w:rPr>
        <w:t>（一</w:t>
      </w:r>
      <w:r>
        <w:rPr>
          <w:rFonts w:hint="eastAsia" w:ascii="宋体" w:hAnsi="宋体" w:eastAsia="宋体" w:cs="宋体"/>
          <w:b/>
          <w:bCs/>
          <w:color w:val="auto"/>
          <w:spacing w:val="2"/>
          <w:sz w:val="28"/>
          <w:highlight w:val="none"/>
        </w:rPr>
        <w:t>）</w:t>
      </w:r>
      <w:r>
        <w:rPr>
          <w:rFonts w:hint="eastAsia" w:ascii="宋体" w:hAnsi="宋体" w:eastAsia="宋体" w:cs="宋体"/>
          <w:b/>
          <w:bCs/>
          <w:color w:val="auto"/>
          <w:sz w:val="28"/>
          <w:highlight w:val="none"/>
        </w:rPr>
        <w:t>授</w:t>
      </w:r>
      <w:r>
        <w:rPr>
          <w:rFonts w:hint="eastAsia" w:ascii="宋体" w:hAnsi="宋体" w:eastAsia="宋体" w:cs="宋体"/>
          <w:b/>
          <w:bCs/>
          <w:color w:val="auto"/>
          <w:spacing w:val="-3"/>
          <w:sz w:val="28"/>
          <w:highlight w:val="none"/>
        </w:rPr>
        <w:t>权</w:t>
      </w:r>
      <w:r>
        <w:rPr>
          <w:rFonts w:hint="eastAsia" w:ascii="宋体" w:hAnsi="宋体" w:eastAsia="宋体" w:cs="宋体"/>
          <w:b/>
          <w:bCs/>
          <w:color w:val="auto"/>
          <w:sz w:val="28"/>
          <w:highlight w:val="none"/>
        </w:rPr>
        <w:t>委托</w:t>
      </w:r>
      <w:r>
        <w:rPr>
          <w:rFonts w:hint="eastAsia" w:ascii="宋体" w:hAnsi="宋体" w:eastAsia="宋体" w:cs="宋体"/>
          <w:b/>
          <w:bCs/>
          <w:color w:val="auto"/>
          <w:spacing w:val="-2"/>
          <w:sz w:val="28"/>
          <w:highlight w:val="none"/>
        </w:rPr>
        <w:t>书</w:t>
      </w:r>
      <w:bookmarkEnd w:id="640"/>
    </w:p>
    <w:p w14:paraId="678CC2F7">
      <w:pPr>
        <w:keepNext w:val="0"/>
        <w:keepLines w:val="0"/>
        <w:widowControl w:val="0"/>
        <w:kinsoku w:val="0"/>
        <w:overflowPunct w:val="0"/>
        <w:autoSpaceDE w:val="0"/>
        <w:autoSpaceDN w:val="0"/>
        <w:bidi w:val="0"/>
        <w:adjustRightInd w:val="0"/>
        <w:spacing w:before="6" w:line="150" w:lineRule="exact"/>
        <w:jc w:val="left"/>
        <w:rPr>
          <w:rFonts w:hint="eastAsia" w:ascii="宋体" w:hAnsi="宋体" w:eastAsia="宋体" w:cs="宋体"/>
          <w:color w:val="auto"/>
          <w:sz w:val="15"/>
          <w:highlight w:val="none"/>
        </w:rPr>
      </w:pPr>
    </w:p>
    <w:p w14:paraId="0E4876E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21636F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640400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B759647">
      <w:pPr>
        <w:keepNext w:val="0"/>
        <w:keepLines w:val="0"/>
        <w:widowControl w:val="0"/>
        <w:tabs>
          <w:tab w:val="left" w:pos="2235"/>
          <w:tab w:val="left" w:pos="4591"/>
        </w:tabs>
        <w:kinsoku w:val="0"/>
        <w:overflowPunct w:val="0"/>
        <w:autoSpaceDE w:val="0"/>
        <w:autoSpaceDN w:val="0"/>
        <w:bidi w:val="0"/>
        <w:adjustRightInd w:val="0"/>
        <w:ind w:firstLine="64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40"/>
          <w:sz w:val="24"/>
          <w:szCs w:val="24"/>
          <w:highlight w:val="none"/>
        </w:rPr>
        <w:t>本</w:t>
      </w:r>
      <w:r>
        <w:rPr>
          <w:rFonts w:hint="eastAsia" w:ascii="宋体" w:hAnsi="宋体" w:eastAsia="宋体" w:cs="宋体"/>
          <w:color w:val="auto"/>
          <w:spacing w:val="36"/>
          <w:sz w:val="24"/>
          <w:szCs w:val="24"/>
          <w:highlight w:val="none"/>
        </w:rPr>
        <w:t>人</w:t>
      </w:r>
      <w:r>
        <w:rPr>
          <w:rFonts w:hint="eastAsia" w:ascii="宋体" w:hAnsi="宋体" w:eastAsia="宋体" w:cs="宋体"/>
          <w:color w:val="auto"/>
          <w:spacing w:val="36"/>
          <w:sz w:val="24"/>
          <w:szCs w:val="24"/>
          <w:highlight w:val="none"/>
          <w:u w:val="single"/>
        </w:rPr>
        <w:tab/>
      </w:r>
      <w:r>
        <w:rPr>
          <w:rFonts w:hint="eastAsia" w:ascii="宋体" w:hAnsi="宋体" w:eastAsia="宋体" w:cs="宋体"/>
          <w:color w:val="auto"/>
          <w:sz w:val="24"/>
          <w:szCs w:val="24"/>
          <w:highlight w:val="none"/>
          <w:u w:val="single"/>
        </w:rPr>
        <w:t>（</w:t>
      </w:r>
      <w:r>
        <w:rPr>
          <w:rFonts w:hint="eastAsia" w:ascii="宋体" w:hAnsi="宋体" w:eastAsia="宋体" w:cs="宋体"/>
          <w:color w:val="auto"/>
          <w:spacing w:val="36"/>
          <w:sz w:val="24"/>
          <w:szCs w:val="24"/>
          <w:highlight w:val="none"/>
          <w:u w:val="single"/>
        </w:rPr>
        <w:t>姓</w:t>
      </w:r>
      <w:r>
        <w:rPr>
          <w:rFonts w:hint="eastAsia" w:ascii="宋体" w:hAnsi="宋体" w:eastAsia="宋体" w:cs="宋体"/>
          <w:color w:val="auto"/>
          <w:spacing w:val="40"/>
          <w:sz w:val="24"/>
          <w:szCs w:val="24"/>
          <w:highlight w:val="none"/>
          <w:u w:val="single"/>
        </w:rPr>
        <w:t>名</w:t>
      </w:r>
      <w:r>
        <w:rPr>
          <w:rFonts w:hint="eastAsia" w:ascii="宋体" w:hAnsi="宋体" w:eastAsia="宋体" w:cs="宋体"/>
          <w:color w:val="auto"/>
          <w:sz w:val="24"/>
          <w:szCs w:val="24"/>
          <w:highlight w:val="none"/>
          <w:u w:val="single"/>
        </w:rPr>
        <w:t>）</w:t>
      </w:r>
      <w:r>
        <w:rPr>
          <w:rFonts w:hint="eastAsia" w:ascii="宋体" w:hAnsi="宋体" w:eastAsia="宋体" w:cs="宋体"/>
          <w:color w:val="auto"/>
          <w:spacing w:val="40"/>
          <w:sz w:val="24"/>
          <w:szCs w:val="24"/>
          <w:highlight w:val="none"/>
        </w:rPr>
        <w:t>系</w:t>
      </w:r>
      <w:r>
        <w:rPr>
          <w:rFonts w:hint="eastAsia" w:ascii="宋体" w:hAnsi="宋体" w:eastAsia="宋体" w:cs="宋体"/>
          <w:color w:val="auto"/>
          <w:spacing w:val="40"/>
          <w:sz w:val="24"/>
          <w:szCs w:val="24"/>
          <w:highlight w:val="none"/>
          <w:u w:val="single"/>
        </w:rPr>
        <w:tab/>
      </w:r>
      <w:r>
        <w:rPr>
          <w:rFonts w:hint="eastAsia" w:ascii="宋体" w:hAnsi="宋体" w:eastAsia="宋体" w:cs="宋体"/>
          <w:color w:val="auto"/>
          <w:sz w:val="24"/>
          <w:szCs w:val="24"/>
          <w:highlight w:val="none"/>
          <w:u w:val="single"/>
        </w:rPr>
        <w:t>（</w:t>
      </w:r>
      <w:r>
        <w:rPr>
          <w:rFonts w:hint="eastAsia" w:ascii="宋体" w:hAnsi="宋体" w:eastAsia="宋体" w:cs="宋体"/>
          <w:color w:val="auto"/>
          <w:spacing w:val="36"/>
          <w:sz w:val="24"/>
          <w:szCs w:val="24"/>
          <w:highlight w:val="none"/>
          <w:u w:val="single"/>
        </w:rPr>
        <w:t>投</w:t>
      </w:r>
      <w:r>
        <w:rPr>
          <w:rFonts w:hint="eastAsia" w:ascii="宋体" w:hAnsi="宋体" w:eastAsia="宋体" w:cs="宋体"/>
          <w:color w:val="auto"/>
          <w:spacing w:val="40"/>
          <w:sz w:val="24"/>
          <w:szCs w:val="24"/>
          <w:highlight w:val="none"/>
          <w:u w:val="single"/>
        </w:rPr>
        <w:t>标</w:t>
      </w:r>
      <w:r>
        <w:rPr>
          <w:rFonts w:hint="eastAsia" w:ascii="宋体" w:hAnsi="宋体" w:eastAsia="宋体" w:cs="宋体"/>
          <w:color w:val="auto"/>
          <w:spacing w:val="36"/>
          <w:sz w:val="24"/>
          <w:szCs w:val="24"/>
          <w:highlight w:val="none"/>
          <w:u w:val="single"/>
        </w:rPr>
        <w:t>人</w:t>
      </w:r>
      <w:r>
        <w:rPr>
          <w:rFonts w:hint="eastAsia" w:ascii="宋体" w:hAnsi="宋体" w:eastAsia="宋体" w:cs="宋体"/>
          <w:color w:val="auto"/>
          <w:spacing w:val="40"/>
          <w:sz w:val="24"/>
          <w:szCs w:val="24"/>
          <w:highlight w:val="none"/>
          <w:u w:val="single"/>
        </w:rPr>
        <w:t>名</w:t>
      </w:r>
      <w:r>
        <w:rPr>
          <w:rFonts w:hint="eastAsia" w:ascii="宋体" w:hAnsi="宋体" w:eastAsia="宋体" w:cs="宋体"/>
          <w:color w:val="auto"/>
          <w:spacing w:val="36"/>
          <w:sz w:val="24"/>
          <w:szCs w:val="24"/>
          <w:highlight w:val="none"/>
          <w:u w:val="single"/>
        </w:rPr>
        <w:t>称</w:t>
      </w:r>
      <w:r>
        <w:rPr>
          <w:rFonts w:hint="eastAsia" w:ascii="宋体" w:hAnsi="宋体" w:eastAsia="宋体" w:cs="宋体"/>
          <w:color w:val="auto"/>
          <w:sz w:val="24"/>
          <w:szCs w:val="24"/>
          <w:highlight w:val="none"/>
          <w:u w:val="single"/>
        </w:rPr>
        <w:t>）</w:t>
      </w:r>
      <w:r>
        <w:rPr>
          <w:rFonts w:hint="eastAsia" w:ascii="宋体" w:hAnsi="宋体" w:eastAsia="宋体" w:cs="宋体"/>
          <w:color w:val="auto"/>
          <w:spacing w:val="40"/>
          <w:sz w:val="24"/>
          <w:szCs w:val="24"/>
          <w:highlight w:val="none"/>
        </w:rPr>
        <w:t>的</w:t>
      </w:r>
      <w:r>
        <w:rPr>
          <w:rFonts w:hint="eastAsia" w:ascii="宋体" w:hAnsi="宋体" w:eastAsia="宋体" w:cs="宋体"/>
          <w:color w:val="auto"/>
          <w:spacing w:val="36"/>
          <w:sz w:val="24"/>
          <w:szCs w:val="24"/>
          <w:highlight w:val="none"/>
        </w:rPr>
        <w:t>法</w:t>
      </w:r>
      <w:r>
        <w:rPr>
          <w:rFonts w:hint="eastAsia" w:ascii="宋体" w:hAnsi="宋体" w:eastAsia="宋体" w:cs="宋体"/>
          <w:color w:val="auto"/>
          <w:spacing w:val="40"/>
          <w:sz w:val="24"/>
          <w:szCs w:val="24"/>
          <w:highlight w:val="none"/>
        </w:rPr>
        <w:t>定</w:t>
      </w:r>
      <w:r>
        <w:rPr>
          <w:rFonts w:hint="eastAsia" w:ascii="宋体" w:hAnsi="宋体" w:eastAsia="宋体" w:cs="宋体"/>
          <w:color w:val="auto"/>
          <w:spacing w:val="36"/>
          <w:sz w:val="24"/>
          <w:szCs w:val="24"/>
          <w:highlight w:val="none"/>
        </w:rPr>
        <w:t>代</w:t>
      </w:r>
      <w:r>
        <w:rPr>
          <w:rFonts w:hint="eastAsia" w:ascii="宋体" w:hAnsi="宋体" w:eastAsia="宋体" w:cs="宋体"/>
          <w:color w:val="auto"/>
          <w:spacing w:val="40"/>
          <w:sz w:val="24"/>
          <w:szCs w:val="24"/>
          <w:highlight w:val="none"/>
        </w:rPr>
        <w:t>表</w:t>
      </w:r>
      <w:r>
        <w:rPr>
          <w:rFonts w:hint="eastAsia" w:ascii="宋体" w:hAnsi="宋体" w:eastAsia="宋体" w:cs="宋体"/>
          <w:color w:val="auto"/>
          <w:spacing w:val="36"/>
          <w:sz w:val="24"/>
          <w:szCs w:val="24"/>
          <w:highlight w:val="none"/>
        </w:rPr>
        <w:t>人</w:t>
      </w:r>
      <w:r>
        <w:rPr>
          <w:rFonts w:hint="eastAsia" w:ascii="宋体" w:hAnsi="宋体" w:eastAsia="宋体" w:cs="宋体"/>
          <w:color w:val="auto"/>
          <w:sz w:val="24"/>
          <w:szCs w:val="24"/>
          <w:highlight w:val="none"/>
        </w:rPr>
        <w:t>，</w:t>
      </w:r>
      <w:r>
        <w:rPr>
          <w:rFonts w:hint="eastAsia" w:ascii="宋体" w:hAnsi="宋体" w:eastAsia="宋体" w:cs="宋体"/>
          <w:color w:val="auto"/>
          <w:spacing w:val="40"/>
          <w:sz w:val="24"/>
          <w:szCs w:val="24"/>
          <w:highlight w:val="none"/>
        </w:rPr>
        <w:t>现</w:t>
      </w:r>
      <w:r>
        <w:rPr>
          <w:rFonts w:hint="eastAsia" w:ascii="宋体" w:hAnsi="宋体" w:eastAsia="宋体" w:cs="宋体"/>
          <w:color w:val="auto"/>
          <w:spacing w:val="36"/>
          <w:sz w:val="24"/>
          <w:szCs w:val="24"/>
          <w:highlight w:val="none"/>
        </w:rPr>
        <w:t>委</w:t>
      </w:r>
      <w:r>
        <w:rPr>
          <w:rFonts w:hint="eastAsia" w:ascii="宋体" w:hAnsi="宋体" w:eastAsia="宋体" w:cs="宋体"/>
          <w:color w:val="auto"/>
          <w:sz w:val="24"/>
          <w:szCs w:val="24"/>
          <w:highlight w:val="none"/>
        </w:rPr>
        <w:t>托</w:t>
      </w:r>
      <w:r>
        <w:rPr>
          <w:rFonts w:hint="eastAsia" w:ascii="宋体" w:hAnsi="宋体" w:eastAsia="宋体" w:cs="宋体"/>
          <w:color w:val="auto"/>
          <w:sz w:val="24"/>
          <w:szCs w:val="24"/>
          <w:highlight w:val="none"/>
          <w:u w:val="single"/>
        </w:rPr>
        <w:t>（姓名）</w:t>
      </w:r>
      <w:r>
        <w:rPr>
          <w:rFonts w:hint="eastAsia" w:ascii="宋体" w:hAnsi="宋体" w:eastAsia="宋体" w:cs="宋体"/>
          <w:color w:val="auto"/>
          <w:sz w:val="24"/>
          <w:szCs w:val="24"/>
          <w:highlight w:val="none"/>
        </w:rPr>
        <w:t>为我方代理人。代理人根据授权，以我方名义签署、澄清确认、递交、撤回、</w:t>
      </w:r>
      <w:r>
        <w:rPr>
          <w:rFonts w:hint="eastAsia" w:ascii="宋体" w:hAnsi="宋体" w:eastAsia="宋体" w:cs="宋体"/>
          <w:color w:val="auto"/>
          <w:spacing w:val="2"/>
          <w:sz w:val="24"/>
          <w:szCs w:val="24"/>
          <w:highlight w:val="none"/>
        </w:rPr>
        <w:t>修</w:t>
      </w:r>
      <w:r>
        <w:rPr>
          <w:rFonts w:hint="eastAsia" w:ascii="宋体" w:hAnsi="宋体" w:eastAsia="宋体" w:cs="宋体"/>
          <w:color w:val="auto"/>
          <w:sz w:val="24"/>
          <w:szCs w:val="24"/>
          <w:highlight w:val="none"/>
        </w:rPr>
        <w:t>改</w:t>
      </w:r>
      <w:r>
        <w:rPr>
          <w:rFonts w:hint="eastAsia" w:ascii="宋体" w:hAnsi="宋体" w:eastAsia="宋体" w:cs="宋体"/>
          <w:color w:val="auto"/>
          <w:sz w:val="24"/>
          <w:szCs w:val="24"/>
          <w:highlight w:val="none"/>
          <w:u w:val="single"/>
        </w:rPr>
        <w:tab/>
      </w:r>
      <w:r>
        <w:rPr>
          <w:rFonts w:hint="eastAsia" w:ascii="宋体" w:hAnsi="宋体" w:eastAsia="宋体" w:cs="宋体"/>
          <w:color w:val="auto"/>
          <w:spacing w:val="2"/>
          <w:sz w:val="24"/>
          <w:szCs w:val="24"/>
          <w:highlight w:val="none"/>
          <w:u w:val="single"/>
        </w:rPr>
        <w:t>（</w:t>
      </w:r>
      <w:r>
        <w:rPr>
          <w:rFonts w:hint="eastAsia" w:ascii="宋体" w:hAnsi="宋体" w:eastAsia="宋体" w:cs="宋体"/>
          <w:color w:val="auto"/>
          <w:sz w:val="24"/>
          <w:szCs w:val="24"/>
          <w:highlight w:val="none"/>
          <w:u w:val="single"/>
        </w:rPr>
        <w:t>项</w:t>
      </w:r>
      <w:r>
        <w:rPr>
          <w:rFonts w:hint="eastAsia" w:ascii="宋体" w:hAnsi="宋体" w:eastAsia="宋体" w:cs="宋体"/>
          <w:color w:val="auto"/>
          <w:spacing w:val="2"/>
          <w:sz w:val="24"/>
          <w:szCs w:val="24"/>
          <w:highlight w:val="none"/>
          <w:u w:val="single"/>
        </w:rPr>
        <w:t>目名</w:t>
      </w:r>
      <w:r>
        <w:rPr>
          <w:rFonts w:hint="eastAsia" w:ascii="宋体" w:hAnsi="宋体" w:eastAsia="宋体" w:cs="宋体"/>
          <w:color w:val="auto"/>
          <w:sz w:val="24"/>
          <w:szCs w:val="24"/>
          <w:highlight w:val="none"/>
          <w:u w:val="single"/>
        </w:rPr>
        <w:t>称）</w:t>
      </w:r>
      <w:r>
        <w:rPr>
          <w:rFonts w:hint="eastAsia" w:ascii="宋体" w:hAnsi="宋体" w:eastAsia="宋体" w:cs="宋体"/>
          <w:color w:val="auto"/>
          <w:spacing w:val="2"/>
          <w:sz w:val="24"/>
          <w:szCs w:val="24"/>
          <w:highlight w:val="none"/>
        </w:rPr>
        <w:t>标</w:t>
      </w:r>
      <w:r>
        <w:rPr>
          <w:rFonts w:hint="eastAsia" w:ascii="宋体" w:hAnsi="宋体" w:eastAsia="宋体" w:cs="宋体"/>
          <w:color w:val="auto"/>
          <w:sz w:val="24"/>
          <w:szCs w:val="24"/>
          <w:highlight w:val="none"/>
        </w:rPr>
        <w:t>段</w:t>
      </w:r>
      <w:r>
        <w:rPr>
          <w:rFonts w:hint="eastAsia" w:ascii="宋体" w:hAnsi="宋体" w:eastAsia="宋体" w:cs="宋体"/>
          <w:color w:val="auto"/>
          <w:spacing w:val="2"/>
          <w:sz w:val="24"/>
          <w:szCs w:val="24"/>
          <w:highlight w:val="none"/>
        </w:rPr>
        <w:t>施工</w:t>
      </w:r>
      <w:r>
        <w:rPr>
          <w:rFonts w:hint="eastAsia" w:ascii="宋体" w:hAnsi="宋体" w:eastAsia="宋体" w:cs="宋体"/>
          <w:color w:val="auto"/>
          <w:sz w:val="24"/>
          <w:szCs w:val="24"/>
          <w:highlight w:val="none"/>
        </w:rPr>
        <w:t>监</w:t>
      </w:r>
      <w:r>
        <w:rPr>
          <w:rFonts w:hint="eastAsia" w:ascii="宋体" w:hAnsi="宋体" w:eastAsia="宋体" w:cs="宋体"/>
          <w:color w:val="auto"/>
          <w:spacing w:val="2"/>
          <w:sz w:val="24"/>
          <w:szCs w:val="24"/>
          <w:highlight w:val="none"/>
        </w:rPr>
        <w:t>理</w:t>
      </w:r>
      <w:r>
        <w:rPr>
          <w:rFonts w:hint="eastAsia" w:ascii="宋体" w:hAnsi="宋体" w:eastAsia="宋体" w:cs="宋体"/>
          <w:color w:val="auto"/>
          <w:sz w:val="24"/>
          <w:szCs w:val="24"/>
          <w:highlight w:val="none"/>
        </w:rPr>
        <w:t>投</w:t>
      </w:r>
      <w:r>
        <w:rPr>
          <w:rFonts w:hint="eastAsia" w:ascii="宋体" w:hAnsi="宋体" w:eastAsia="宋体" w:cs="宋体"/>
          <w:color w:val="auto"/>
          <w:spacing w:val="2"/>
          <w:sz w:val="24"/>
          <w:szCs w:val="24"/>
          <w:highlight w:val="none"/>
        </w:rPr>
        <w:t>标文</w:t>
      </w:r>
      <w:r>
        <w:rPr>
          <w:rFonts w:hint="eastAsia" w:ascii="宋体" w:hAnsi="宋体" w:eastAsia="宋体" w:cs="宋体"/>
          <w:color w:val="auto"/>
          <w:sz w:val="24"/>
          <w:szCs w:val="24"/>
          <w:highlight w:val="none"/>
        </w:rPr>
        <w:t>件</w:t>
      </w:r>
      <w:r>
        <w:rPr>
          <w:rFonts w:hint="eastAsia" w:ascii="宋体" w:hAnsi="宋体" w:eastAsia="宋体" w:cs="宋体"/>
          <w:color w:val="auto"/>
          <w:spacing w:val="2"/>
          <w:sz w:val="24"/>
          <w:szCs w:val="24"/>
          <w:highlight w:val="none"/>
        </w:rPr>
        <w:t>、签</w:t>
      </w:r>
      <w:r>
        <w:rPr>
          <w:rFonts w:hint="eastAsia" w:ascii="宋体" w:hAnsi="宋体" w:eastAsia="宋体" w:cs="宋体"/>
          <w:color w:val="auto"/>
          <w:sz w:val="24"/>
          <w:szCs w:val="24"/>
          <w:highlight w:val="none"/>
        </w:rPr>
        <w:t>订</w:t>
      </w:r>
      <w:r>
        <w:rPr>
          <w:rFonts w:hint="eastAsia" w:ascii="宋体" w:hAnsi="宋体" w:eastAsia="宋体" w:cs="宋体"/>
          <w:color w:val="auto"/>
          <w:spacing w:val="2"/>
          <w:sz w:val="24"/>
          <w:szCs w:val="24"/>
          <w:highlight w:val="none"/>
        </w:rPr>
        <w:t>合</w:t>
      </w:r>
      <w:r>
        <w:rPr>
          <w:rFonts w:hint="eastAsia" w:ascii="宋体" w:hAnsi="宋体" w:eastAsia="宋体" w:cs="宋体"/>
          <w:color w:val="auto"/>
          <w:sz w:val="24"/>
          <w:szCs w:val="24"/>
          <w:highlight w:val="none"/>
        </w:rPr>
        <w:t>同和处理有关事宜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其法律后果由我方承担。</w:t>
      </w:r>
    </w:p>
    <w:p w14:paraId="48763915">
      <w:pPr>
        <w:keepNext w:val="0"/>
        <w:keepLines w:val="0"/>
        <w:widowControl w:val="0"/>
        <w:kinsoku w:val="0"/>
        <w:overflowPunct w:val="0"/>
        <w:autoSpaceDE w:val="0"/>
        <w:autoSpaceDN w:val="0"/>
        <w:bidi w:val="0"/>
        <w:adjustRightInd w:val="0"/>
        <w:spacing w:before="28" w:line="338" w:lineRule="auto"/>
        <w:ind w:left="716" w:right="2934"/>
        <w:rPr>
          <w:rFonts w:hint="eastAsia" w:ascii="宋体" w:hAnsi="宋体" w:eastAsia="宋体" w:cs="宋体"/>
          <w:color w:val="auto"/>
          <w:sz w:val="24"/>
          <w:szCs w:val="24"/>
          <w:highlight w:val="none"/>
        </w:rPr>
      </w:pPr>
    </w:p>
    <w:p w14:paraId="57A08BEB">
      <w:pPr>
        <w:keepNext w:val="0"/>
        <w:keepLines w:val="0"/>
        <w:bidi w:val="0"/>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委托期限：自本委托书签署之日起至投标有效期期满。代理人无转委托权。</w:t>
      </w:r>
    </w:p>
    <w:p w14:paraId="5F17A511">
      <w:pPr>
        <w:keepNext w:val="0"/>
        <w:keepLines w:val="0"/>
        <w:widowControl w:val="0"/>
        <w:kinsoku w:val="0"/>
        <w:overflowPunct w:val="0"/>
        <w:autoSpaceDE w:val="0"/>
        <w:autoSpaceDN w:val="0"/>
        <w:bidi w:val="0"/>
        <w:adjustRightInd w:val="0"/>
        <w:rPr>
          <w:rFonts w:hint="eastAsia" w:ascii="宋体" w:hAnsi="宋体" w:eastAsia="宋体" w:cs="宋体"/>
          <w:color w:val="auto"/>
          <w:sz w:val="24"/>
          <w:szCs w:val="24"/>
          <w:highlight w:val="none"/>
        </w:rPr>
      </w:pPr>
    </w:p>
    <w:p w14:paraId="3D59544A">
      <w:pPr>
        <w:keepNext w:val="0"/>
        <w:keepLines w:val="0"/>
        <w:widowControl w:val="0"/>
        <w:kinsoku w:val="0"/>
        <w:overflowPunct w:val="0"/>
        <w:autoSpaceDE w:val="0"/>
        <w:autoSpaceDN w:val="0"/>
        <w:bidi w:val="0"/>
        <w:adjustRightInd w:val="0"/>
        <w:spacing w:before="28" w:line="338" w:lineRule="auto"/>
        <w:ind w:left="716" w:right="258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附：法定代表人身份证复印件及委托代理人身份证复印件。</w:t>
      </w:r>
    </w:p>
    <w:p w14:paraId="68485862">
      <w:pPr>
        <w:keepNext w:val="0"/>
        <w:keepLines w:val="0"/>
        <w:widowControl w:val="0"/>
        <w:kinsoku w:val="0"/>
        <w:overflowPunct w:val="0"/>
        <w:autoSpaceDE w:val="0"/>
        <w:autoSpaceDN w:val="0"/>
        <w:bidi w:val="0"/>
        <w:adjustRightInd w:val="0"/>
        <w:spacing w:before="7" w:line="100" w:lineRule="exact"/>
        <w:jc w:val="left"/>
        <w:rPr>
          <w:rFonts w:hint="eastAsia" w:ascii="宋体" w:hAnsi="宋体" w:eastAsia="宋体" w:cs="宋体"/>
          <w:color w:val="auto"/>
          <w:sz w:val="10"/>
          <w:highlight w:val="none"/>
        </w:rPr>
      </w:pPr>
    </w:p>
    <w:p w14:paraId="7C4D007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79BB2F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5CDDACD">
      <w:pPr>
        <w:pStyle w:val="3"/>
        <w:keepNext w:val="0"/>
        <w:keepLines w:val="0"/>
        <w:tabs>
          <w:tab w:val="left" w:pos="7040"/>
          <w:tab w:val="left" w:pos="7641"/>
          <w:tab w:val="left" w:pos="8241"/>
        </w:tabs>
        <w:kinsoku w:val="0"/>
        <w:overflowPunct w:val="0"/>
        <w:bidi w:val="0"/>
        <w:spacing w:line="541" w:lineRule="auto"/>
        <w:ind w:left="3440" w:right="405"/>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ab/>
      </w:r>
      <w:r>
        <w:rPr>
          <w:rFonts w:hint="eastAsia" w:ascii="宋体" w:hAnsi="宋体" w:eastAsia="宋体" w:cs="宋体"/>
          <w:color w:val="auto"/>
          <w:highlight w:val="none"/>
        </w:rPr>
        <w:t>（盖单位章）</w:t>
      </w:r>
    </w:p>
    <w:p w14:paraId="26DE6655">
      <w:pPr>
        <w:pStyle w:val="3"/>
        <w:keepNext w:val="0"/>
        <w:keepLines w:val="0"/>
        <w:tabs>
          <w:tab w:val="left" w:pos="7040"/>
          <w:tab w:val="left" w:pos="7641"/>
          <w:tab w:val="left" w:pos="8241"/>
        </w:tabs>
        <w:kinsoku w:val="0"/>
        <w:overflowPunct w:val="0"/>
        <w:bidi w:val="0"/>
        <w:spacing w:line="541" w:lineRule="auto"/>
        <w:ind w:left="3440" w:right="405"/>
        <w:rPr>
          <w:rFonts w:hint="eastAsia" w:ascii="宋体" w:hAnsi="宋体" w:eastAsia="宋体" w:cs="宋体"/>
          <w:color w:val="auto"/>
          <w:highlight w:val="none"/>
        </w:rPr>
      </w:pPr>
      <w:r>
        <w:rPr>
          <w:rFonts w:hint="eastAsia" w:ascii="宋体" w:hAnsi="宋体" w:eastAsia="宋体" w:cs="宋体"/>
          <w:color w:val="auto"/>
          <w:highlight w:val="none"/>
        </w:rPr>
        <w:t>法定代表人：</w:t>
      </w:r>
      <w:r>
        <w:rPr>
          <w:rFonts w:hint="eastAsia" w:ascii="宋体" w:hAnsi="宋体" w:eastAsia="宋体" w:cs="宋体"/>
          <w:color w:val="auto"/>
          <w:highlight w:val="none"/>
          <w:u w:val="single"/>
        </w:rPr>
        <w:tab/>
      </w:r>
      <w:r>
        <w:rPr>
          <w:rFonts w:hint="eastAsia" w:ascii="宋体" w:hAnsi="宋体" w:eastAsia="宋体" w:cs="宋体"/>
          <w:color w:val="auto"/>
          <w:highlight w:val="none"/>
        </w:rPr>
        <w:t>（签字）</w:t>
      </w:r>
    </w:p>
    <w:p w14:paraId="6E206E80">
      <w:pPr>
        <w:pStyle w:val="3"/>
        <w:keepNext w:val="0"/>
        <w:keepLines w:val="0"/>
        <w:tabs>
          <w:tab w:val="left" w:pos="7040"/>
          <w:tab w:val="left" w:pos="7641"/>
          <w:tab w:val="left" w:pos="8241"/>
        </w:tabs>
        <w:kinsoku w:val="0"/>
        <w:overflowPunct w:val="0"/>
        <w:bidi w:val="0"/>
        <w:spacing w:line="541" w:lineRule="auto"/>
        <w:ind w:left="3440" w:right="405"/>
        <w:rPr>
          <w:rFonts w:hint="eastAsia" w:ascii="宋体" w:hAnsi="宋体" w:eastAsia="宋体" w:cs="宋体"/>
          <w:color w:val="auto"/>
          <w:highlight w:val="none"/>
        </w:rPr>
      </w:pPr>
      <w:r>
        <w:rPr>
          <w:rFonts w:hint="eastAsia" w:ascii="宋体" w:hAnsi="宋体" w:eastAsia="宋体" w:cs="宋体"/>
          <w:color w:val="auto"/>
          <w:highlight w:val="none"/>
        </w:rPr>
        <w:t>身份证号码：</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2E3E8708">
      <w:pPr>
        <w:keepNext w:val="0"/>
        <w:keepLines w:val="0"/>
        <w:widowControl w:val="0"/>
        <w:kinsoku w:val="0"/>
        <w:overflowPunct w:val="0"/>
        <w:autoSpaceDE w:val="0"/>
        <w:autoSpaceDN w:val="0"/>
        <w:bidi w:val="0"/>
        <w:adjustRightInd w:val="0"/>
        <w:spacing w:before="10" w:line="150" w:lineRule="exact"/>
        <w:jc w:val="left"/>
        <w:rPr>
          <w:rFonts w:hint="eastAsia" w:ascii="宋体" w:hAnsi="宋体" w:eastAsia="宋体" w:cs="宋体"/>
          <w:color w:val="auto"/>
          <w:sz w:val="15"/>
          <w:highlight w:val="none"/>
        </w:rPr>
      </w:pPr>
    </w:p>
    <w:p w14:paraId="1D0517BA">
      <w:pPr>
        <w:pStyle w:val="3"/>
        <w:keepNext w:val="0"/>
        <w:keepLines w:val="0"/>
        <w:tabs>
          <w:tab w:val="left" w:pos="7761"/>
        </w:tabs>
        <w:kinsoku w:val="0"/>
        <w:overflowPunct w:val="0"/>
        <w:bidi w:val="0"/>
        <w:spacing w:line="340" w:lineRule="exact"/>
        <w:ind w:left="3440"/>
        <w:rPr>
          <w:rFonts w:hint="eastAsia" w:ascii="宋体" w:hAnsi="宋体" w:eastAsia="宋体" w:cs="宋体"/>
          <w:color w:val="auto"/>
          <w:highlight w:val="none"/>
        </w:rPr>
      </w:pPr>
      <w:r>
        <w:rPr>
          <w:rFonts w:hint="eastAsia" w:ascii="宋体" w:hAnsi="宋体" w:eastAsia="宋体" w:cs="宋体"/>
          <w:color w:val="auto"/>
          <w:highlight w:val="none"/>
        </w:rPr>
        <w:t>委托代理人：</w:t>
      </w:r>
      <w:r>
        <w:rPr>
          <w:rFonts w:hint="eastAsia" w:ascii="宋体" w:hAnsi="宋体" w:eastAsia="宋体" w:cs="宋体"/>
          <w:color w:val="auto"/>
          <w:highlight w:val="none"/>
          <w:u w:val="single"/>
        </w:rPr>
        <w:tab/>
      </w:r>
      <w:r>
        <w:rPr>
          <w:rFonts w:hint="eastAsia" w:ascii="宋体" w:hAnsi="宋体" w:eastAsia="宋体" w:cs="宋体"/>
          <w:color w:val="auto"/>
          <w:highlight w:val="none"/>
        </w:rPr>
        <w:t>（签字）</w:t>
      </w:r>
    </w:p>
    <w:p w14:paraId="18E4B92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2974285">
      <w:pPr>
        <w:keepNext w:val="0"/>
        <w:keepLines w:val="0"/>
        <w:widowControl w:val="0"/>
        <w:kinsoku w:val="0"/>
        <w:overflowPunct w:val="0"/>
        <w:autoSpaceDE w:val="0"/>
        <w:autoSpaceDN w:val="0"/>
        <w:bidi w:val="0"/>
        <w:adjustRightInd w:val="0"/>
        <w:spacing w:before="6" w:line="240" w:lineRule="exact"/>
        <w:jc w:val="left"/>
        <w:rPr>
          <w:rFonts w:hint="eastAsia" w:ascii="宋体" w:hAnsi="宋体" w:eastAsia="宋体" w:cs="宋体"/>
          <w:color w:val="auto"/>
          <w:sz w:val="24"/>
          <w:highlight w:val="none"/>
        </w:rPr>
      </w:pPr>
    </w:p>
    <w:p w14:paraId="29796019">
      <w:pPr>
        <w:pStyle w:val="3"/>
        <w:keepNext w:val="0"/>
        <w:keepLines w:val="0"/>
        <w:tabs>
          <w:tab w:val="left" w:pos="8361"/>
        </w:tabs>
        <w:kinsoku w:val="0"/>
        <w:overflowPunct w:val="0"/>
        <w:bidi w:val="0"/>
        <w:ind w:left="3440"/>
        <w:rPr>
          <w:rFonts w:hint="eastAsia" w:ascii="宋体" w:hAnsi="宋体" w:eastAsia="宋体" w:cs="宋体"/>
          <w:color w:val="auto"/>
          <w:highlight w:val="none"/>
        </w:rPr>
      </w:pPr>
      <w:r>
        <w:rPr>
          <w:rFonts w:hint="eastAsia" w:ascii="宋体" w:hAnsi="宋体" w:eastAsia="宋体" w:cs="宋体"/>
          <w:color w:val="auto"/>
          <w:highlight w:val="none"/>
        </w:rPr>
        <w:t>身份证号码：</w:t>
      </w:r>
      <w:r>
        <w:rPr>
          <w:rFonts w:hint="eastAsia" w:ascii="宋体" w:hAnsi="宋体" w:eastAsia="宋体" w:cs="宋体"/>
          <w:color w:val="auto"/>
          <w:highlight w:val="none"/>
          <w:u w:val="single"/>
        </w:rPr>
        <w:tab/>
      </w:r>
    </w:p>
    <w:p w14:paraId="490151E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14CDF92">
      <w:pPr>
        <w:keepNext w:val="0"/>
        <w:keepLines w:val="0"/>
        <w:widowControl w:val="0"/>
        <w:kinsoku w:val="0"/>
        <w:overflowPunct w:val="0"/>
        <w:autoSpaceDE w:val="0"/>
        <w:autoSpaceDN w:val="0"/>
        <w:bidi w:val="0"/>
        <w:adjustRightInd w:val="0"/>
        <w:spacing w:before="19" w:line="240" w:lineRule="exact"/>
        <w:jc w:val="left"/>
        <w:rPr>
          <w:rFonts w:hint="eastAsia" w:ascii="宋体" w:hAnsi="宋体" w:eastAsia="宋体" w:cs="宋体"/>
          <w:color w:val="auto"/>
          <w:sz w:val="24"/>
          <w:highlight w:val="none"/>
        </w:rPr>
      </w:pPr>
    </w:p>
    <w:p w14:paraId="15C99B95">
      <w:pPr>
        <w:pStyle w:val="3"/>
        <w:keepNext w:val="0"/>
        <w:keepLines w:val="0"/>
        <w:tabs>
          <w:tab w:val="left" w:pos="5607"/>
          <w:tab w:val="left" w:pos="6927"/>
          <w:tab w:val="left" w:pos="8008"/>
        </w:tabs>
        <w:kinsoku w:val="0"/>
        <w:overflowPunct w:val="0"/>
        <w:bidi w:val="0"/>
        <w:spacing w:line="340" w:lineRule="exact"/>
        <w:ind w:left="4767"/>
        <w:rPr>
          <w:rFonts w:hint="eastAsia" w:ascii="宋体" w:hAnsi="宋体" w:eastAsia="宋体" w:cs="宋体"/>
          <w:color w:val="auto"/>
          <w:highlight w:val="none"/>
        </w:rPr>
      </w:pP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4308DD1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F9C5EC4">
      <w:pPr>
        <w:keepNext w:val="0"/>
        <w:keepLines w:val="0"/>
        <w:widowControl w:val="0"/>
        <w:kinsoku w:val="0"/>
        <w:overflowPunct w:val="0"/>
        <w:autoSpaceDE w:val="0"/>
        <w:autoSpaceDN w:val="0"/>
        <w:bidi w:val="0"/>
        <w:adjustRightInd w:val="0"/>
        <w:spacing w:before="8" w:line="200" w:lineRule="exact"/>
        <w:jc w:val="left"/>
        <w:rPr>
          <w:rFonts w:hint="eastAsia" w:ascii="宋体" w:hAnsi="宋体" w:eastAsia="宋体" w:cs="宋体"/>
          <w:color w:val="auto"/>
          <w:sz w:val="20"/>
          <w:highlight w:val="none"/>
        </w:rPr>
      </w:pPr>
    </w:p>
    <w:p w14:paraId="74B263C5">
      <w:pPr>
        <w:keepNext w:val="0"/>
        <w:keepLines w:val="0"/>
        <w:widowControl w:val="0"/>
        <w:kinsoku w:val="0"/>
        <w:overflowPunct w:val="0"/>
        <w:autoSpaceDE w:val="0"/>
        <w:autoSpaceDN w:val="0"/>
        <w:bidi w:val="0"/>
        <w:adjustRightInd w:val="0"/>
        <w:ind w:left="149" w:right="186"/>
        <w:jc w:val="left"/>
        <w:rPr>
          <w:rFonts w:hint="eastAsia" w:ascii="宋体" w:hAnsi="宋体" w:eastAsia="宋体" w:cs="宋体"/>
          <w:color w:val="auto"/>
          <w:highlight w:val="none"/>
        </w:rPr>
      </w:pPr>
      <w:r>
        <w:rPr>
          <w:rFonts w:hint="eastAsia" w:ascii="宋体" w:hAnsi="宋体" w:eastAsia="宋体" w:cs="宋体"/>
          <w:color w:val="auto"/>
          <w:highlight w:val="none"/>
        </w:rPr>
        <w:t>注：</w:t>
      </w:r>
    </w:p>
    <w:p w14:paraId="20BCA495">
      <w:pPr>
        <w:keepNext w:val="0"/>
        <w:keepLines w:val="0"/>
        <w:widowControl w:val="0"/>
        <w:kinsoku w:val="0"/>
        <w:overflowPunct w:val="0"/>
        <w:autoSpaceDE w:val="0"/>
        <w:autoSpaceDN w:val="0"/>
        <w:bidi w:val="0"/>
        <w:adjustRightInd w:val="0"/>
        <w:spacing w:before="91" w:line="293" w:lineRule="auto"/>
        <w:ind w:left="149" w:right="119" w:firstLine="419"/>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法</w:t>
      </w:r>
      <w:r>
        <w:rPr>
          <w:rFonts w:hint="eastAsia" w:ascii="宋体" w:hAnsi="宋体" w:eastAsia="宋体" w:cs="宋体"/>
          <w:color w:val="auto"/>
          <w:spacing w:val="-3"/>
          <w:highlight w:val="none"/>
        </w:rPr>
        <w:t>定</w:t>
      </w:r>
      <w:r>
        <w:rPr>
          <w:rFonts w:hint="eastAsia" w:ascii="宋体" w:hAnsi="宋体" w:eastAsia="宋体" w:cs="宋体"/>
          <w:color w:val="auto"/>
          <w:highlight w:val="none"/>
        </w:rPr>
        <w:t>代</w:t>
      </w:r>
      <w:r>
        <w:rPr>
          <w:rFonts w:hint="eastAsia" w:ascii="宋体" w:hAnsi="宋体" w:eastAsia="宋体" w:cs="宋体"/>
          <w:color w:val="auto"/>
          <w:spacing w:val="-3"/>
          <w:highlight w:val="none"/>
        </w:rPr>
        <w:t>表</w:t>
      </w:r>
      <w:r>
        <w:rPr>
          <w:rFonts w:hint="eastAsia" w:ascii="宋体" w:hAnsi="宋体" w:eastAsia="宋体" w:cs="宋体"/>
          <w:color w:val="auto"/>
          <w:highlight w:val="none"/>
        </w:rPr>
        <w:t>人</w:t>
      </w:r>
      <w:r>
        <w:rPr>
          <w:rFonts w:hint="eastAsia" w:ascii="宋体" w:hAnsi="宋体" w:eastAsia="宋体" w:cs="宋体"/>
          <w:color w:val="auto"/>
          <w:spacing w:val="-3"/>
          <w:highlight w:val="none"/>
        </w:rPr>
        <w:t>和</w:t>
      </w:r>
      <w:r>
        <w:rPr>
          <w:rFonts w:hint="eastAsia" w:ascii="宋体" w:hAnsi="宋体" w:eastAsia="宋体" w:cs="宋体"/>
          <w:color w:val="auto"/>
          <w:highlight w:val="none"/>
        </w:rPr>
        <w:t>委</w:t>
      </w:r>
      <w:r>
        <w:rPr>
          <w:rFonts w:hint="eastAsia" w:ascii="宋体" w:hAnsi="宋体" w:eastAsia="宋体" w:cs="宋体"/>
          <w:color w:val="auto"/>
          <w:spacing w:val="-3"/>
          <w:highlight w:val="none"/>
        </w:rPr>
        <w:t>托</w:t>
      </w:r>
      <w:r>
        <w:rPr>
          <w:rFonts w:hint="eastAsia" w:ascii="宋体" w:hAnsi="宋体" w:eastAsia="宋体" w:cs="宋体"/>
          <w:color w:val="auto"/>
          <w:highlight w:val="none"/>
        </w:rPr>
        <w:t>代</w:t>
      </w:r>
      <w:r>
        <w:rPr>
          <w:rFonts w:hint="eastAsia" w:ascii="宋体" w:hAnsi="宋体" w:eastAsia="宋体" w:cs="宋体"/>
          <w:color w:val="auto"/>
          <w:spacing w:val="-3"/>
          <w:highlight w:val="none"/>
        </w:rPr>
        <w:t>理</w:t>
      </w:r>
      <w:r>
        <w:rPr>
          <w:rFonts w:hint="eastAsia" w:ascii="宋体" w:hAnsi="宋体" w:eastAsia="宋体" w:cs="宋体"/>
          <w:color w:val="auto"/>
          <w:highlight w:val="none"/>
        </w:rPr>
        <w:t>人必</w:t>
      </w:r>
      <w:r>
        <w:rPr>
          <w:rFonts w:hint="eastAsia" w:ascii="宋体" w:hAnsi="宋体" w:eastAsia="宋体" w:cs="宋体"/>
          <w:color w:val="auto"/>
          <w:spacing w:val="-3"/>
          <w:highlight w:val="none"/>
        </w:rPr>
        <w:t>须</w:t>
      </w:r>
      <w:r>
        <w:rPr>
          <w:rFonts w:hint="eastAsia" w:ascii="宋体" w:hAnsi="宋体" w:eastAsia="宋体" w:cs="宋体"/>
          <w:color w:val="auto"/>
          <w:highlight w:val="none"/>
        </w:rPr>
        <w:t>在</w:t>
      </w:r>
      <w:r>
        <w:rPr>
          <w:rFonts w:hint="eastAsia" w:ascii="宋体" w:hAnsi="宋体" w:eastAsia="宋体" w:cs="宋体"/>
          <w:color w:val="auto"/>
          <w:spacing w:val="-3"/>
          <w:highlight w:val="none"/>
        </w:rPr>
        <w:t>授</w:t>
      </w:r>
      <w:r>
        <w:rPr>
          <w:rFonts w:hint="eastAsia" w:ascii="宋体" w:hAnsi="宋体" w:eastAsia="宋体" w:cs="宋体"/>
          <w:color w:val="auto"/>
          <w:spacing w:val="-1"/>
          <w:highlight w:val="none"/>
        </w:rPr>
        <w:t>权</w:t>
      </w:r>
      <w:r>
        <w:rPr>
          <w:rFonts w:hint="eastAsia" w:ascii="宋体" w:hAnsi="宋体" w:eastAsia="宋体" w:cs="宋体"/>
          <w:color w:val="auto"/>
          <w:spacing w:val="-3"/>
          <w:highlight w:val="none"/>
        </w:rPr>
        <w:t>委</w:t>
      </w:r>
      <w:r>
        <w:rPr>
          <w:rFonts w:hint="eastAsia" w:ascii="宋体" w:hAnsi="宋体" w:eastAsia="宋体" w:cs="宋体"/>
          <w:color w:val="auto"/>
          <w:highlight w:val="none"/>
        </w:rPr>
        <w:t>托</w:t>
      </w:r>
      <w:r>
        <w:rPr>
          <w:rFonts w:hint="eastAsia" w:ascii="宋体" w:hAnsi="宋体" w:eastAsia="宋体" w:cs="宋体"/>
          <w:color w:val="auto"/>
          <w:spacing w:val="-3"/>
          <w:highlight w:val="none"/>
        </w:rPr>
        <w:t>书</w:t>
      </w:r>
      <w:r>
        <w:rPr>
          <w:rFonts w:hint="eastAsia" w:ascii="宋体" w:hAnsi="宋体" w:eastAsia="宋体" w:cs="宋体"/>
          <w:color w:val="auto"/>
          <w:highlight w:val="none"/>
        </w:rPr>
        <w:t>上</w:t>
      </w:r>
      <w:r>
        <w:rPr>
          <w:rFonts w:hint="eastAsia" w:ascii="宋体" w:hAnsi="宋体" w:eastAsia="宋体" w:cs="宋体"/>
          <w:color w:val="auto"/>
          <w:spacing w:val="-3"/>
          <w:highlight w:val="none"/>
        </w:rPr>
        <w:t>亲</w:t>
      </w:r>
      <w:r>
        <w:rPr>
          <w:rFonts w:hint="eastAsia" w:ascii="宋体" w:hAnsi="宋体" w:eastAsia="宋体" w:cs="宋体"/>
          <w:color w:val="auto"/>
          <w:highlight w:val="none"/>
        </w:rPr>
        <w:t>笔签</w:t>
      </w:r>
      <w:r>
        <w:rPr>
          <w:rFonts w:hint="eastAsia" w:ascii="宋体" w:hAnsi="宋体" w:eastAsia="宋体" w:cs="宋体"/>
          <w:color w:val="auto"/>
          <w:spacing w:val="-3"/>
          <w:highlight w:val="none"/>
        </w:rPr>
        <w:t>名</w:t>
      </w:r>
      <w:r>
        <w:rPr>
          <w:rFonts w:hint="eastAsia" w:ascii="宋体" w:hAnsi="宋体" w:eastAsia="宋体" w:cs="宋体"/>
          <w:color w:val="auto"/>
          <w:spacing w:val="-20"/>
          <w:highlight w:val="none"/>
        </w:rPr>
        <w:t>，</w:t>
      </w:r>
      <w:r>
        <w:rPr>
          <w:rFonts w:hint="eastAsia" w:ascii="宋体" w:hAnsi="宋体" w:eastAsia="宋体" w:cs="宋体"/>
          <w:color w:val="auto"/>
          <w:spacing w:val="-3"/>
          <w:highlight w:val="none"/>
        </w:rPr>
        <w:t>不</w:t>
      </w:r>
      <w:r>
        <w:rPr>
          <w:rFonts w:hint="eastAsia" w:ascii="宋体" w:hAnsi="宋体" w:eastAsia="宋体" w:cs="宋体"/>
          <w:color w:val="auto"/>
          <w:highlight w:val="none"/>
        </w:rPr>
        <w:t>得</w:t>
      </w:r>
      <w:r>
        <w:rPr>
          <w:rFonts w:hint="eastAsia" w:ascii="宋体" w:hAnsi="宋体" w:eastAsia="宋体" w:cs="宋体"/>
          <w:color w:val="auto"/>
          <w:spacing w:val="-3"/>
          <w:highlight w:val="none"/>
        </w:rPr>
        <w:t>使</w:t>
      </w:r>
      <w:r>
        <w:rPr>
          <w:rFonts w:hint="eastAsia" w:ascii="宋体" w:hAnsi="宋体" w:eastAsia="宋体" w:cs="宋体"/>
          <w:color w:val="auto"/>
          <w:highlight w:val="none"/>
        </w:rPr>
        <w:t>用</w:t>
      </w:r>
      <w:r>
        <w:rPr>
          <w:rFonts w:hint="eastAsia" w:ascii="宋体" w:hAnsi="宋体" w:eastAsia="宋体" w:cs="宋体"/>
          <w:color w:val="auto"/>
          <w:spacing w:val="-3"/>
          <w:highlight w:val="none"/>
        </w:rPr>
        <w:t>印</w:t>
      </w:r>
      <w:r>
        <w:rPr>
          <w:rFonts w:hint="eastAsia" w:ascii="宋体" w:hAnsi="宋体" w:eastAsia="宋体" w:cs="宋体"/>
          <w:color w:val="auto"/>
          <w:highlight w:val="none"/>
        </w:rPr>
        <w:t>章</w:t>
      </w:r>
      <w:r>
        <w:rPr>
          <w:rFonts w:hint="eastAsia" w:ascii="宋体" w:hAnsi="宋体" w:eastAsia="宋体" w:cs="宋体"/>
          <w:color w:val="auto"/>
          <w:spacing w:val="-22"/>
          <w:highlight w:val="none"/>
        </w:rPr>
        <w:t>、</w:t>
      </w:r>
      <w:r>
        <w:rPr>
          <w:rFonts w:hint="eastAsia" w:ascii="宋体" w:hAnsi="宋体" w:eastAsia="宋体" w:cs="宋体"/>
          <w:color w:val="auto"/>
          <w:highlight w:val="none"/>
        </w:rPr>
        <w:t>签名</w:t>
      </w:r>
      <w:r>
        <w:rPr>
          <w:rFonts w:hint="eastAsia" w:ascii="宋体" w:hAnsi="宋体" w:eastAsia="宋体" w:cs="宋体"/>
          <w:color w:val="auto"/>
          <w:spacing w:val="-3"/>
          <w:highlight w:val="none"/>
        </w:rPr>
        <w:t>章</w:t>
      </w:r>
      <w:r>
        <w:rPr>
          <w:rFonts w:hint="eastAsia" w:ascii="宋体" w:hAnsi="宋体" w:eastAsia="宋体" w:cs="宋体"/>
          <w:color w:val="auto"/>
          <w:highlight w:val="none"/>
        </w:rPr>
        <w:t>或</w:t>
      </w:r>
      <w:r>
        <w:rPr>
          <w:rFonts w:hint="eastAsia" w:ascii="宋体" w:hAnsi="宋体" w:eastAsia="宋体" w:cs="宋体"/>
          <w:color w:val="auto"/>
          <w:spacing w:val="-3"/>
          <w:highlight w:val="none"/>
        </w:rPr>
        <w:t>其</w:t>
      </w:r>
      <w:r>
        <w:rPr>
          <w:rFonts w:hint="eastAsia" w:ascii="宋体" w:hAnsi="宋体" w:eastAsia="宋体" w:cs="宋体"/>
          <w:color w:val="auto"/>
          <w:highlight w:val="none"/>
        </w:rPr>
        <w:t>他电子制</w:t>
      </w:r>
      <w:r>
        <w:rPr>
          <w:rFonts w:hint="eastAsia" w:ascii="宋体" w:hAnsi="宋体" w:eastAsia="宋体" w:cs="宋体"/>
          <w:color w:val="auto"/>
          <w:spacing w:val="-3"/>
          <w:highlight w:val="none"/>
        </w:rPr>
        <w:t>版</w:t>
      </w:r>
      <w:r>
        <w:rPr>
          <w:rFonts w:hint="eastAsia" w:ascii="宋体" w:hAnsi="宋体" w:eastAsia="宋体" w:cs="宋体"/>
          <w:color w:val="auto"/>
          <w:highlight w:val="none"/>
        </w:rPr>
        <w:t>签</w:t>
      </w:r>
      <w:r>
        <w:rPr>
          <w:rFonts w:hint="eastAsia" w:ascii="宋体" w:hAnsi="宋体" w:eastAsia="宋体" w:cs="宋体"/>
          <w:color w:val="auto"/>
          <w:spacing w:val="-3"/>
          <w:highlight w:val="none"/>
        </w:rPr>
        <w:t>名</w:t>
      </w:r>
      <w:r>
        <w:rPr>
          <w:rFonts w:hint="eastAsia" w:ascii="宋体" w:hAnsi="宋体" w:eastAsia="宋体" w:cs="宋体"/>
          <w:color w:val="auto"/>
          <w:highlight w:val="none"/>
        </w:rPr>
        <w:t>代</w:t>
      </w:r>
      <w:r>
        <w:rPr>
          <w:rFonts w:hint="eastAsia" w:ascii="宋体" w:hAnsi="宋体" w:eastAsia="宋体" w:cs="宋体"/>
          <w:color w:val="auto"/>
          <w:spacing w:val="-3"/>
          <w:highlight w:val="none"/>
        </w:rPr>
        <w:t>替</w:t>
      </w:r>
      <w:r>
        <w:rPr>
          <w:rFonts w:hint="eastAsia" w:ascii="宋体" w:hAnsi="宋体" w:eastAsia="宋体" w:cs="宋体"/>
          <w:color w:val="auto"/>
          <w:highlight w:val="none"/>
        </w:rPr>
        <w:t>；</w:t>
      </w:r>
    </w:p>
    <w:p w14:paraId="41005F96">
      <w:pPr>
        <w:keepNext w:val="0"/>
        <w:keepLines w:val="0"/>
        <w:widowControl w:val="0"/>
        <w:kinsoku w:val="0"/>
        <w:overflowPunct w:val="0"/>
        <w:autoSpaceDE w:val="0"/>
        <w:autoSpaceDN w:val="0"/>
        <w:bidi w:val="0"/>
        <w:adjustRightInd w:val="0"/>
        <w:spacing w:before="44"/>
        <w:ind w:left="569"/>
        <w:jc w:val="left"/>
        <w:rPr>
          <w:rFonts w:hint="eastAsia" w:ascii="宋体" w:hAnsi="宋体" w:eastAsia="宋体" w:cs="宋体"/>
          <w:color w:val="auto"/>
          <w:spacing w:val="-3"/>
          <w:highlight w:val="none"/>
        </w:rPr>
      </w:pPr>
      <w:r>
        <w:rPr>
          <w:rFonts w:hint="eastAsia" w:ascii="宋体" w:hAnsi="宋体" w:eastAsia="宋体" w:cs="宋体"/>
          <w:color w:val="auto"/>
          <w:spacing w:val="-3"/>
          <w:highlight w:val="none"/>
          <w:lang w:val="en-US" w:eastAsia="zh-CN"/>
        </w:rPr>
        <w:t>2.</w:t>
      </w:r>
      <w:r>
        <w:rPr>
          <w:rFonts w:hint="eastAsia" w:ascii="宋体" w:hAnsi="宋体" w:eastAsia="宋体" w:cs="宋体"/>
          <w:color w:val="auto"/>
          <w:spacing w:val="-3"/>
          <w:highlight w:val="none"/>
        </w:rPr>
        <w:t>如果由投标人的法定代表人签署投标文件，则无须提交授权委托书。</w:t>
      </w:r>
    </w:p>
    <w:p w14:paraId="70813829">
      <w:pPr>
        <w:pStyle w:val="6"/>
        <w:keepNext w:val="0"/>
        <w:keepLines w:val="0"/>
        <w:bidi w:val="0"/>
        <w:rPr>
          <w:rFonts w:hint="eastAsia" w:ascii="宋体" w:hAnsi="宋体" w:eastAsia="宋体" w:cs="宋体"/>
          <w:color w:val="auto"/>
          <w:highlight w:val="none"/>
        </w:rPr>
      </w:pPr>
    </w:p>
    <w:p w14:paraId="29CCF1CA">
      <w:pPr>
        <w:keepNext w:val="0"/>
        <w:keepLines w:val="0"/>
        <w:widowControl w:val="0"/>
        <w:kinsoku w:val="0"/>
        <w:overflowPunct w:val="0"/>
        <w:autoSpaceDE w:val="0"/>
        <w:autoSpaceDN w:val="0"/>
        <w:bidi w:val="0"/>
        <w:adjustRightInd w:val="0"/>
        <w:spacing w:before="4" w:line="160" w:lineRule="exact"/>
        <w:jc w:val="left"/>
        <w:rPr>
          <w:rFonts w:hint="eastAsia" w:ascii="宋体" w:hAnsi="宋体" w:eastAsia="宋体" w:cs="宋体"/>
          <w:color w:val="auto"/>
          <w:sz w:val="16"/>
          <w:highlight w:val="none"/>
        </w:rPr>
      </w:pPr>
    </w:p>
    <w:p w14:paraId="1BC88FB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r>
        <w:rPr>
          <w:rFonts w:hint="eastAsia" w:ascii="宋体" w:hAnsi="宋体" w:eastAsia="宋体" w:cs="宋体"/>
          <w:color w:val="auto"/>
          <w:sz w:val="20"/>
          <w:highlight w:val="none"/>
        </w:rPr>
        <w:br w:type="page"/>
      </w:r>
    </w:p>
    <w:p w14:paraId="510749EE">
      <w:pPr>
        <w:keepNext w:val="0"/>
        <w:keepLines w:val="0"/>
        <w:widowControl w:val="0"/>
        <w:kinsoku w:val="0"/>
        <w:overflowPunct w:val="0"/>
        <w:autoSpaceDE w:val="0"/>
        <w:autoSpaceDN w:val="0"/>
        <w:bidi w:val="0"/>
        <w:adjustRightInd w:val="0"/>
        <w:spacing w:line="381" w:lineRule="exact"/>
        <w:ind w:left="2835"/>
        <w:jc w:val="left"/>
        <w:rPr>
          <w:rFonts w:hint="eastAsia" w:ascii="宋体" w:hAnsi="宋体" w:eastAsia="宋体" w:cs="宋体"/>
          <w:b/>
          <w:bCs/>
          <w:color w:val="auto"/>
          <w:sz w:val="28"/>
          <w:highlight w:val="none"/>
        </w:rPr>
      </w:pPr>
      <w:bookmarkStart w:id="641" w:name="bookmark134"/>
      <w:bookmarkEnd w:id="641"/>
      <w:bookmarkStart w:id="642" w:name="_Toc2852_WPSOffice_Level2"/>
      <w:r>
        <w:rPr>
          <w:rFonts w:hint="eastAsia" w:ascii="宋体" w:hAnsi="宋体" w:eastAsia="宋体" w:cs="宋体"/>
          <w:b/>
          <w:bCs/>
          <w:color w:val="auto"/>
          <w:sz w:val="28"/>
          <w:highlight w:val="none"/>
        </w:rPr>
        <w:t>（二）</w:t>
      </w:r>
      <w:r>
        <w:rPr>
          <w:rFonts w:hint="eastAsia" w:ascii="宋体" w:hAnsi="宋体" w:eastAsia="宋体" w:cs="宋体"/>
          <w:b/>
          <w:bCs/>
          <w:color w:val="auto"/>
          <w:spacing w:val="-3"/>
          <w:sz w:val="28"/>
          <w:highlight w:val="none"/>
        </w:rPr>
        <w:t>法</w:t>
      </w:r>
      <w:r>
        <w:rPr>
          <w:rFonts w:hint="eastAsia" w:ascii="宋体" w:hAnsi="宋体" w:eastAsia="宋体" w:cs="宋体"/>
          <w:b/>
          <w:bCs/>
          <w:color w:val="auto"/>
          <w:sz w:val="28"/>
          <w:highlight w:val="none"/>
        </w:rPr>
        <w:t>定代</w:t>
      </w:r>
      <w:r>
        <w:rPr>
          <w:rFonts w:hint="eastAsia" w:ascii="宋体" w:hAnsi="宋体" w:eastAsia="宋体" w:cs="宋体"/>
          <w:b/>
          <w:bCs/>
          <w:color w:val="auto"/>
          <w:spacing w:val="-3"/>
          <w:sz w:val="28"/>
          <w:highlight w:val="none"/>
        </w:rPr>
        <w:t>表人</w:t>
      </w:r>
      <w:r>
        <w:rPr>
          <w:rFonts w:hint="eastAsia" w:ascii="宋体" w:hAnsi="宋体" w:eastAsia="宋体" w:cs="宋体"/>
          <w:b/>
          <w:bCs/>
          <w:color w:val="auto"/>
          <w:sz w:val="28"/>
          <w:highlight w:val="none"/>
        </w:rPr>
        <w:t>身份证明</w:t>
      </w:r>
      <w:bookmarkEnd w:id="642"/>
    </w:p>
    <w:p w14:paraId="26F87323">
      <w:pPr>
        <w:keepNext w:val="0"/>
        <w:keepLines w:val="0"/>
        <w:widowControl w:val="0"/>
        <w:kinsoku w:val="0"/>
        <w:overflowPunct w:val="0"/>
        <w:autoSpaceDE w:val="0"/>
        <w:autoSpaceDN w:val="0"/>
        <w:bidi w:val="0"/>
        <w:adjustRightInd w:val="0"/>
        <w:spacing w:before="4" w:line="150" w:lineRule="exact"/>
        <w:jc w:val="left"/>
        <w:rPr>
          <w:rFonts w:hint="eastAsia" w:ascii="宋体" w:hAnsi="宋体" w:eastAsia="宋体" w:cs="宋体"/>
          <w:color w:val="auto"/>
          <w:sz w:val="15"/>
          <w:highlight w:val="none"/>
        </w:rPr>
      </w:pPr>
    </w:p>
    <w:p w14:paraId="0D884A6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5F7508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BD0003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72B304E">
      <w:pPr>
        <w:pStyle w:val="3"/>
        <w:keepNext w:val="0"/>
        <w:keepLines w:val="0"/>
        <w:tabs>
          <w:tab w:val="left" w:pos="4950"/>
        </w:tabs>
        <w:kinsoku w:val="0"/>
        <w:overflowPunct w:val="0"/>
        <w:bidi w:val="0"/>
        <w:rPr>
          <w:rFonts w:hint="eastAsia" w:ascii="宋体" w:hAnsi="宋体" w:eastAsia="宋体" w:cs="宋体"/>
          <w:color w:val="auto"/>
          <w:highlight w:val="none"/>
        </w:rPr>
      </w:pPr>
      <w:r>
        <w:rPr>
          <w:rFonts w:hint="eastAsia" w:ascii="宋体" w:hAnsi="宋体" w:eastAsia="宋体" w:cs="宋体"/>
          <w:color w:val="auto"/>
          <w:highlight w:val="none"/>
        </w:rPr>
        <w:t>投标人名称</w:t>
      </w:r>
      <w:r>
        <w:rPr>
          <w:rFonts w:hint="eastAsia" w:ascii="宋体" w:hAnsi="宋体" w:eastAsia="宋体" w:cs="宋体"/>
          <w:color w:val="auto"/>
          <w:spacing w:val="-1"/>
          <w:highlight w:val="none"/>
        </w:rPr>
        <w:t>：</w:t>
      </w:r>
      <w:r>
        <w:rPr>
          <w:rFonts w:hint="eastAsia" w:ascii="宋体" w:hAnsi="宋体" w:eastAsia="宋体" w:cs="宋体"/>
          <w:color w:val="auto"/>
          <w:highlight w:val="none"/>
          <w:u w:val="single"/>
        </w:rPr>
        <w:tab/>
      </w:r>
    </w:p>
    <w:p w14:paraId="0C23E94C">
      <w:pPr>
        <w:pStyle w:val="3"/>
        <w:keepNext w:val="0"/>
        <w:keepLines w:val="0"/>
        <w:tabs>
          <w:tab w:val="left" w:pos="3869"/>
          <w:tab w:val="left" w:pos="5310"/>
          <w:tab w:val="left" w:pos="7110"/>
          <w:tab w:val="left" w:pos="8790"/>
        </w:tabs>
        <w:kinsoku w:val="0"/>
        <w:overflowPunct w:val="0"/>
        <w:bidi w:val="0"/>
        <w:spacing w:before="87" w:line="297" w:lineRule="auto"/>
        <w:ind w:right="295"/>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姓名</w:t>
      </w:r>
      <w:r>
        <w:rPr>
          <w:rFonts w:hint="eastAsia" w:ascii="宋体" w:hAnsi="宋体" w:eastAsia="宋体" w:cs="宋体"/>
          <w:color w:val="auto"/>
          <w:spacing w:val="-1"/>
          <w:highlight w:val="none"/>
        </w:rPr>
        <w:t>：</w:t>
      </w:r>
      <w:r>
        <w:rPr>
          <w:rFonts w:hint="eastAsia" w:ascii="宋体" w:hAnsi="宋体" w:eastAsia="宋体" w:cs="宋体"/>
          <w:color w:val="auto"/>
          <w:highlight w:val="none"/>
          <w:u w:val="single"/>
        </w:rPr>
        <w:t>（法定代表人亲笔签字）</w:t>
      </w:r>
      <w:r>
        <w:rPr>
          <w:rFonts w:hint="eastAsia" w:ascii="宋体" w:hAnsi="宋体" w:eastAsia="宋体" w:cs="宋体"/>
          <w:color w:val="auto"/>
          <w:highlight w:val="none"/>
        </w:rPr>
        <w:t>性别：</w:t>
      </w:r>
      <w:r>
        <w:rPr>
          <w:rFonts w:hint="eastAsia" w:ascii="宋体" w:hAnsi="宋体" w:eastAsia="宋体" w:cs="宋体"/>
          <w:color w:val="auto"/>
          <w:highlight w:val="none"/>
          <w:u w:val="single"/>
        </w:rPr>
        <w:tab/>
      </w:r>
      <w:r>
        <w:rPr>
          <w:rFonts w:hint="eastAsia" w:ascii="宋体" w:hAnsi="宋体" w:eastAsia="宋体" w:cs="宋体"/>
          <w:color w:val="auto"/>
          <w:highlight w:val="none"/>
        </w:rPr>
        <w:t>年龄：</w:t>
      </w:r>
      <w:r>
        <w:rPr>
          <w:rFonts w:hint="eastAsia" w:ascii="宋体" w:hAnsi="宋体" w:eastAsia="宋体" w:cs="宋体"/>
          <w:color w:val="auto"/>
          <w:highlight w:val="none"/>
          <w:u w:val="single"/>
        </w:rPr>
        <w:tab/>
      </w:r>
      <w:r>
        <w:rPr>
          <w:rFonts w:hint="eastAsia" w:ascii="宋体" w:hAnsi="宋体" w:eastAsia="宋体" w:cs="宋体"/>
          <w:color w:val="auto"/>
          <w:highlight w:val="none"/>
        </w:rPr>
        <w:t>职务：</w:t>
      </w:r>
    </w:p>
    <w:p w14:paraId="3F99C2EC">
      <w:pPr>
        <w:pStyle w:val="3"/>
        <w:keepNext w:val="0"/>
        <w:keepLines w:val="0"/>
        <w:tabs>
          <w:tab w:val="left" w:pos="3869"/>
          <w:tab w:val="left" w:pos="5310"/>
          <w:tab w:val="left" w:pos="7110"/>
          <w:tab w:val="left" w:pos="8790"/>
        </w:tabs>
        <w:kinsoku w:val="0"/>
        <w:overflowPunct w:val="0"/>
        <w:bidi w:val="0"/>
        <w:spacing w:before="87" w:line="297" w:lineRule="auto"/>
        <w:ind w:left="0" w:right="295"/>
        <w:rPr>
          <w:rFonts w:hint="eastAsia" w:ascii="宋体" w:hAnsi="宋体" w:eastAsia="宋体" w:cs="宋体"/>
          <w:color w:val="auto"/>
          <w:highlight w:val="none"/>
        </w:rPr>
      </w:pPr>
      <w:r>
        <w:rPr>
          <w:rFonts w:hint="eastAsia" w:ascii="宋体" w:hAnsi="宋体" w:eastAsia="宋体" w:cs="宋体"/>
          <w:color w:val="auto"/>
          <w:highlight w:val="none"/>
        </w:rPr>
        <w:t>系</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（投标人名称）</w:t>
      </w:r>
      <w:r>
        <w:rPr>
          <w:rFonts w:hint="eastAsia" w:ascii="宋体" w:hAnsi="宋体" w:eastAsia="宋体" w:cs="宋体"/>
          <w:color w:val="auto"/>
          <w:highlight w:val="none"/>
        </w:rPr>
        <w:t>的法定代表人。</w:t>
      </w:r>
    </w:p>
    <w:p w14:paraId="38EB1C51">
      <w:pPr>
        <w:pStyle w:val="3"/>
        <w:keepNext w:val="0"/>
        <w:keepLines w:val="0"/>
        <w:kinsoku w:val="0"/>
        <w:overflowPunct w:val="0"/>
        <w:bidi w:val="0"/>
        <w:spacing w:before="28"/>
        <w:ind w:left="629"/>
        <w:rPr>
          <w:rFonts w:hint="eastAsia" w:ascii="宋体" w:hAnsi="宋体" w:eastAsia="宋体" w:cs="宋体"/>
          <w:color w:val="auto"/>
          <w:highlight w:val="none"/>
        </w:rPr>
      </w:pPr>
      <w:r>
        <w:rPr>
          <w:rFonts w:hint="eastAsia" w:ascii="宋体" w:hAnsi="宋体" w:eastAsia="宋体" w:cs="宋体"/>
          <w:color w:val="auto"/>
          <w:highlight w:val="none"/>
        </w:rPr>
        <w:t>特此证明。</w:t>
      </w:r>
    </w:p>
    <w:p w14:paraId="1DFDFE63">
      <w:pPr>
        <w:keepNext w:val="0"/>
        <w:keepLines w:val="0"/>
        <w:widowControl w:val="0"/>
        <w:kinsoku w:val="0"/>
        <w:overflowPunct w:val="0"/>
        <w:autoSpaceDE w:val="0"/>
        <w:autoSpaceDN w:val="0"/>
        <w:bidi w:val="0"/>
        <w:adjustRightInd w:val="0"/>
        <w:spacing w:before="7" w:line="160" w:lineRule="exact"/>
        <w:jc w:val="left"/>
        <w:rPr>
          <w:rFonts w:hint="eastAsia" w:ascii="宋体" w:hAnsi="宋体" w:eastAsia="宋体" w:cs="宋体"/>
          <w:color w:val="auto"/>
          <w:sz w:val="16"/>
          <w:highlight w:val="none"/>
        </w:rPr>
      </w:pPr>
    </w:p>
    <w:p w14:paraId="448F1A9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626CC2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AE29A08">
      <w:pPr>
        <w:keepNext w:val="0"/>
        <w:keepLines w:val="0"/>
        <w:widowControl w:val="0"/>
        <w:kinsoku w:val="0"/>
        <w:overflowPunct w:val="0"/>
        <w:autoSpaceDE w:val="0"/>
        <w:autoSpaceDN w:val="0"/>
        <w:bidi w:val="0"/>
        <w:adjustRightInd w:val="0"/>
        <w:ind w:left="149"/>
        <w:jc w:val="left"/>
        <w:rPr>
          <w:rFonts w:hint="eastAsia" w:ascii="宋体" w:hAnsi="宋体" w:eastAsia="宋体" w:cs="宋体"/>
          <w:color w:val="auto"/>
          <w:highlight w:val="none"/>
        </w:rPr>
      </w:pPr>
      <w:r>
        <w:rPr>
          <w:rFonts w:hint="eastAsia" w:ascii="宋体" w:hAnsi="宋体" w:eastAsia="宋体" w:cs="宋体"/>
          <w:color w:val="auto"/>
          <w:highlight w:val="none"/>
        </w:rPr>
        <w:t>附：</w:t>
      </w:r>
      <w:r>
        <w:rPr>
          <w:rFonts w:hint="eastAsia" w:ascii="宋体" w:hAnsi="宋体" w:eastAsia="宋体" w:cs="宋体"/>
          <w:color w:val="auto"/>
          <w:spacing w:val="-3"/>
          <w:highlight w:val="none"/>
        </w:rPr>
        <w:t>法</w:t>
      </w:r>
      <w:r>
        <w:rPr>
          <w:rFonts w:hint="eastAsia" w:ascii="宋体" w:hAnsi="宋体" w:eastAsia="宋体" w:cs="宋体"/>
          <w:color w:val="auto"/>
          <w:highlight w:val="none"/>
        </w:rPr>
        <w:t>定</w:t>
      </w:r>
      <w:r>
        <w:rPr>
          <w:rFonts w:hint="eastAsia" w:ascii="宋体" w:hAnsi="宋体" w:eastAsia="宋体" w:cs="宋体"/>
          <w:color w:val="auto"/>
          <w:spacing w:val="-3"/>
          <w:highlight w:val="none"/>
        </w:rPr>
        <w:t>代</w:t>
      </w:r>
      <w:r>
        <w:rPr>
          <w:rFonts w:hint="eastAsia" w:ascii="宋体" w:hAnsi="宋体" w:eastAsia="宋体" w:cs="宋体"/>
          <w:color w:val="auto"/>
          <w:highlight w:val="none"/>
        </w:rPr>
        <w:t>表</w:t>
      </w:r>
      <w:r>
        <w:rPr>
          <w:rFonts w:hint="eastAsia" w:ascii="宋体" w:hAnsi="宋体" w:eastAsia="宋体" w:cs="宋体"/>
          <w:color w:val="auto"/>
          <w:spacing w:val="-3"/>
          <w:highlight w:val="none"/>
        </w:rPr>
        <w:t>人</w:t>
      </w:r>
      <w:r>
        <w:rPr>
          <w:rFonts w:hint="eastAsia" w:ascii="宋体" w:hAnsi="宋体" w:eastAsia="宋体" w:cs="宋体"/>
          <w:color w:val="auto"/>
          <w:highlight w:val="none"/>
        </w:rPr>
        <w:t>身</w:t>
      </w:r>
      <w:r>
        <w:rPr>
          <w:rFonts w:hint="eastAsia" w:ascii="宋体" w:hAnsi="宋体" w:eastAsia="宋体" w:cs="宋体"/>
          <w:color w:val="auto"/>
          <w:spacing w:val="-3"/>
          <w:highlight w:val="none"/>
        </w:rPr>
        <w:t>份</w:t>
      </w:r>
      <w:r>
        <w:rPr>
          <w:rFonts w:hint="eastAsia" w:ascii="宋体" w:hAnsi="宋体" w:eastAsia="宋体" w:cs="宋体"/>
          <w:color w:val="auto"/>
          <w:highlight w:val="none"/>
        </w:rPr>
        <w:t>证</w:t>
      </w:r>
      <w:r>
        <w:rPr>
          <w:rFonts w:hint="eastAsia" w:ascii="宋体" w:hAnsi="宋体" w:eastAsia="宋体" w:cs="宋体"/>
          <w:color w:val="auto"/>
          <w:spacing w:val="-3"/>
          <w:highlight w:val="none"/>
        </w:rPr>
        <w:t>复</w:t>
      </w:r>
      <w:r>
        <w:rPr>
          <w:rFonts w:hint="eastAsia" w:ascii="宋体" w:hAnsi="宋体" w:eastAsia="宋体" w:cs="宋体"/>
          <w:color w:val="auto"/>
          <w:highlight w:val="none"/>
        </w:rPr>
        <w:t>印件。</w:t>
      </w:r>
    </w:p>
    <w:p w14:paraId="33759E6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539455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1DBEF0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59C2D3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900461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AFB549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DB824DA">
      <w:pPr>
        <w:keepNext w:val="0"/>
        <w:keepLines w:val="0"/>
        <w:widowControl w:val="0"/>
        <w:kinsoku w:val="0"/>
        <w:overflowPunct w:val="0"/>
        <w:autoSpaceDE w:val="0"/>
        <w:autoSpaceDN w:val="0"/>
        <w:bidi w:val="0"/>
        <w:adjustRightInd w:val="0"/>
        <w:spacing w:before="9" w:line="200" w:lineRule="exact"/>
        <w:jc w:val="left"/>
        <w:rPr>
          <w:rFonts w:hint="eastAsia" w:ascii="宋体" w:hAnsi="宋体" w:eastAsia="宋体" w:cs="宋体"/>
          <w:color w:val="auto"/>
          <w:sz w:val="20"/>
          <w:highlight w:val="none"/>
        </w:rPr>
      </w:pPr>
    </w:p>
    <w:p w14:paraId="10577AC4">
      <w:pPr>
        <w:pStyle w:val="3"/>
        <w:keepNext w:val="0"/>
        <w:keepLines w:val="0"/>
        <w:tabs>
          <w:tab w:val="left" w:pos="6270"/>
        </w:tabs>
        <w:kinsoku w:val="0"/>
        <w:overflowPunct w:val="0"/>
        <w:bidi w:val="0"/>
        <w:ind w:left="3269"/>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ab/>
      </w:r>
      <w:r>
        <w:rPr>
          <w:rFonts w:hint="eastAsia" w:ascii="宋体" w:hAnsi="宋体" w:eastAsia="宋体" w:cs="宋体"/>
          <w:color w:val="auto"/>
          <w:highlight w:val="none"/>
        </w:rPr>
        <w:t>（盖单位章）</w:t>
      </w:r>
    </w:p>
    <w:p w14:paraId="5EF91CFF">
      <w:pPr>
        <w:pStyle w:val="3"/>
        <w:keepNext w:val="0"/>
        <w:keepLines w:val="0"/>
        <w:tabs>
          <w:tab w:val="left" w:pos="5550"/>
          <w:tab w:val="left" w:pos="6510"/>
          <w:tab w:val="left" w:pos="7110"/>
        </w:tabs>
        <w:kinsoku w:val="0"/>
        <w:overflowPunct w:val="0"/>
        <w:bidi w:val="0"/>
        <w:spacing w:before="88"/>
        <w:ind w:left="4469"/>
        <w:rPr>
          <w:rFonts w:hint="eastAsia" w:ascii="宋体" w:hAnsi="宋体" w:eastAsia="宋体" w:cs="宋体"/>
          <w:color w:val="auto"/>
          <w:highlight w:val="none"/>
        </w:rPr>
      </w:pP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3B4D875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E86CB1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24DE88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A8CC6C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F65935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2E4767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E4C5E1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3F635A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6D5E077">
      <w:pPr>
        <w:keepNext w:val="0"/>
        <w:keepLines w:val="0"/>
        <w:widowControl w:val="0"/>
        <w:kinsoku w:val="0"/>
        <w:overflowPunct w:val="0"/>
        <w:autoSpaceDE w:val="0"/>
        <w:autoSpaceDN w:val="0"/>
        <w:bidi w:val="0"/>
        <w:adjustRightInd w:val="0"/>
        <w:spacing w:before="10" w:line="260" w:lineRule="exact"/>
        <w:jc w:val="left"/>
        <w:rPr>
          <w:rFonts w:hint="eastAsia" w:ascii="宋体" w:hAnsi="宋体" w:eastAsia="宋体" w:cs="宋体"/>
          <w:color w:val="auto"/>
          <w:sz w:val="26"/>
          <w:highlight w:val="none"/>
        </w:rPr>
      </w:pPr>
    </w:p>
    <w:p w14:paraId="18977D98">
      <w:pPr>
        <w:keepNext w:val="0"/>
        <w:keepLines w:val="0"/>
        <w:widowControl w:val="0"/>
        <w:kinsoku w:val="0"/>
        <w:overflowPunct w:val="0"/>
        <w:autoSpaceDE w:val="0"/>
        <w:autoSpaceDN w:val="0"/>
        <w:bidi w:val="0"/>
        <w:adjustRightInd w:val="0"/>
        <w:ind w:left="569"/>
        <w:jc w:val="left"/>
        <w:rPr>
          <w:rFonts w:hint="eastAsia" w:ascii="宋体" w:hAnsi="宋体" w:eastAsia="宋体" w:cs="宋体"/>
          <w:color w:val="auto"/>
          <w:sz w:val="20"/>
          <w:highlight w:val="none"/>
        </w:rPr>
      </w:pPr>
      <w:r>
        <w:rPr>
          <w:rFonts w:hint="eastAsia" w:ascii="宋体" w:hAnsi="宋体" w:eastAsia="宋体" w:cs="宋体"/>
          <w:color w:val="auto"/>
          <w:highlight w:val="none"/>
        </w:rPr>
        <w:t>注：</w:t>
      </w:r>
      <w:r>
        <w:rPr>
          <w:rFonts w:hint="eastAsia" w:ascii="宋体" w:hAnsi="宋体" w:eastAsia="宋体" w:cs="宋体"/>
          <w:color w:val="auto"/>
          <w:spacing w:val="-3"/>
          <w:highlight w:val="none"/>
        </w:rPr>
        <w:t>法</w:t>
      </w:r>
      <w:r>
        <w:rPr>
          <w:rFonts w:hint="eastAsia" w:ascii="宋体" w:hAnsi="宋体" w:eastAsia="宋体" w:cs="宋体"/>
          <w:color w:val="auto"/>
          <w:highlight w:val="none"/>
        </w:rPr>
        <w:t>定</w:t>
      </w:r>
      <w:r>
        <w:rPr>
          <w:rFonts w:hint="eastAsia" w:ascii="宋体" w:hAnsi="宋体" w:eastAsia="宋体" w:cs="宋体"/>
          <w:color w:val="auto"/>
          <w:spacing w:val="-3"/>
          <w:highlight w:val="none"/>
        </w:rPr>
        <w:t>代</w:t>
      </w:r>
      <w:r>
        <w:rPr>
          <w:rFonts w:hint="eastAsia" w:ascii="宋体" w:hAnsi="宋体" w:eastAsia="宋体" w:cs="宋体"/>
          <w:color w:val="auto"/>
          <w:highlight w:val="none"/>
        </w:rPr>
        <w:t>表</w:t>
      </w:r>
      <w:r>
        <w:rPr>
          <w:rFonts w:hint="eastAsia" w:ascii="宋体" w:hAnsi="宋体" w:eastAsia="宋体" w:cs="宋体"/>
          <w:color w:val="auto"/>
          <w:spacing w:val="-3"/>
          <w:highlight w:val="none"/>
        </w:rPr>
        <w:t>人</w:t>
      </w:r>
      <w:r>
        <w:rPr>
          <w:rFonts w:hint="eastAsia" w:ascii="宋体" w:hAnsi="宋体" w:eastAsia="宋体" w:cs="宋体"/>
          <w:color w:val="auto"/>
          <w:highlight w:val="none"/>
        </w:rPr>
        <w:t>的</w:t>
      </w:r>
      <w:r>
        <w:rPr>
          <w:rFonts w:hint="eastAsia" w:ascii="宋体" w:hAnsi="宋体" w:eastAsia="宋体" w:cs="宋体"/>
          <w:color w:val="auto"/>
          <w:spacing w:val="-3"/>
          <w:highlight w:val="none"/>
        </w:rPr>
        <w:t>签</w:t>
      </w:r>
      <w:r>
        <w:rPr>
          <w:rFonts w:hint="eastAsia" w:ascii="宋体" w:hAnsi="宋体" w:eastAsia="宋体" w:cs="宋体"/>
          <w:color w:val="auto"/>
          <w:highlight w:val="none"/>
        </w:rPr>
        <w:t>字</w:t>
      </w:r>
      <w:r>
        <w:rPr>
          <w:rFonts w:hint="eastAsia" w:ascii="宋体" w:hAnsi="宋体" w:eastAsia="宋体" w:cs="宋体"/>
          <w:color w:val="auto"/>
          <w:spacing w:val="-3"/>
          <w:highlight w:val="none"/>
        </w:rPr>
        <w:t>必</w:t>
      </w:r>
      <w:r>
        <w:rPr>
          <w:rFonts w:hint="eastAsia" w:ascii="宋体" w:hAnsi="宋体" w:eastAsia="宋体" w:cs="宋体"/>
          <w:color w:val="auto"/>
          <w:highlight w:val="none"/>
        </w:rPr>
        <w:t>须是</w:t>
      </w:r>
      <w:r>
        <w:rPr>
          <w:rFonts w:hint="eastAsia" w:ascii="宋体" w:hAnsi="宋体" w:eastAsia="宋体" w:cs="宋体"/>
          <w:color w:val="auto"/>
          <w:spacing w:val="-3"/>
          <w:highlight w:val="none"/>
        </w:rPr>
        <w:t>亲</w:t>
      </w:r>
      <w:r>
        <w:rPr>
          <w:rFonts w:hint="eastAsia" w:ascii="宋体" w:hAnsi="宋体" w:eastAsia="宋体" w:cs="宋体"/>
          <w:color w:val="auto"/>
          <w:highlight w:val="none"/>
        </w:rPr>
        <w:t>笔</w:t>
      </w:r>
      <w:r>
        <w:rPr>
          <w:rFonts w:hint="eastAsia" w:ascii="宋体" w:hAnsi="宋体" w:eastAsia="宋体" w:cs="宋体"/>
          <w:color w:val="auto"/>
          <w:spacing w:val="-3"/>
          <w:highlight w:val="none"/>
        </w:rPr>
        <w:t>签</w:t>
      </w:r>
      <w:r>
        <w:rPr>
          <w:rFonts w:hint="eastAsia" w:ascii="宋体" w:hAnsi="宋体" w:eastAsia="宋体" w:cs="宋体"/>
          <w:color w:val="auto"/>
          <w:highlight w:val="none"/>
        </w:rPr>
        <w:t>名</w:t>
      </w:r>
      <w:r>
        <w:rPr>
          <w:rFonts w:hint="eastAsia" w:ascii="宋体" w:hAnsi="宋体" w:eastAsia="宋体" w:cs="宋体"/>
          <w:color w:val="auto"/>
          <w:spacing w:val="-3"/>
          <w:highlight w:val="none"/>
        </w:rPr>
        <w:t>，</w:t>
      </w:r>
      <w:r>
        <w:rPr>
          <w:rFonts w:hint="eastAsia" w:ascii="宋体" w:hAnsi="宋体" w:eastAsia="宋体" w:cs="宋体"/>
          <w:color w:val="auto"/>
          <w:highlight w:val="none"/>
        </w:rPr>
        <w:t>不</w:t>
      </w:r>
      <w:r>
        <w:rPr>
          <w:rFonts w:hint="eastAsia" w:ascii="宋体" w:hAnsi="宋体" w:eastAsia="宋体" w:cs="宋体"/>
          <w:color w:val="auto"/>
          <w:spacing w:val="-3"/>
          <w:highlight w:val="none"/>
        </w:rPr>
        <w:t>得</w:t>
      </w:r>
      <w:r>
        <w:rPr>
          <w:rFonts w:hint="eastAsia" w:ascii="宋体" w:hAnsi="宋体" w:eastAsia="宋体" w:cs="宋体"/>
          <w:color w:val="auto"/>
          <w:highlight w:val="none"/>
        </w:rPr>
        <w:t>使</w:t>
      </w:r>
      <w:r>
        <w:rPr>
          <w:rFonts w:hint="eastAsia" w:ascii="宋体" w:hAnsi="宋体" w:eastAsia="宋体" w:cs="宋体"/>
          <w:color w:val="auto"/>
          <w:spacing w:val="-3"/>
          <w:highlight w:val="none"/>
        </w:rPr>
        <w:t>用</w:t>
      </w:r>
      <w:r>
        <w:rPr>
          <w:rFonts w:hint="eastAsia" w:ascii="宋体" w:hAnsi="宋体" w:eastAsia="宋体" w:cs="宋体"/>
          <w:color w:val="auto"/>
          <w:highlight w:val="none"/>
        </w:rPr>
        <w:t>印章</w:t>
      </w:r>
      <w:r>
        <w:rPr>
          <w:rFonts w:hint="eastAsia" w:ascii="宋体" w:hAnsi="宋体" w:eastAsia="宋体" w:cs="宋体"/>
          <w:color w:val="auto"/>
          <w:spacing w:val="-3"/>
          <w:highlight w:val="none"/>
        </w:rPr>
        <w:t>、</w:t>
      </w:r>
      <w:r>
        <w:rPr>
          <w:rFonts w:hint="eastAsia" w:ascii="宋体" w:hAnsi="宋体" w:eastAsia="宋体" w:cs="宋体"/>
          <w:color w:val="auto"/>
          <w:highlight w:val="none"/>
        </w:rPr>
        <w:t>签</w:t>
      </w:r>
      <w:r>
        <w:rPr>
          <w:rFonts w:hint="eastAsia" w:ascii="宋体" w:hAnsi="宋体" w:eastAsia="宋体" w:cs="宋体"/>
          <w:color w:val="auto"/>
          <w:spacing w:val="-3"/>
          <w:highlight w:val="none"/>
        </w:rPr>
        <w:t>名</w:t>
      </w:r>
      <w:r>
        <w:rPr>
          <w:rFonts w:hint="eastAsia" w:ascii="宋体" w:hAnsi="宋体" w:eastAsia="宋体" w:cs="宋体"/>
          <w:color w:val="auto"/>
          <w:highlight w:val="none"/>
        </w:rPr>
        <w:t>章</w:t>
      </w:r>
      <w:r>
        <w:rPr>
          <w:rFonts w:hint="eastAsia" w:ascii="宋体" w:hAnsi="宋体" w:eastAsia="宋体" w:cs="宋体"/>
          <w:color w:val="auto"/>
          <w:spacing w:val="-3"/>
          <w:highlight w:val="none"/>
        </w:rPr>
        <w:t>或</w:t>
      </w:r>
      <w:r>
        <w:rPr>
          <w:rFonts w:hint="eastAsia" w:ascii="宋体" w:hAnsi="宋体" w:eastAsia="宋体" w:cs="宋体"/>
          <w:color w:val="auto"/>
          <w:highlight w:val="none"/>
        </w:rPr>
        <w:t>其</w:t>
      </w:r>
      <w:r>
        <w:rPr>
          <w:rFonts w:hint="eastAsia" w:ascii="宋体" w:hAnsi="宋体" w:eastAsia="宋体" w:cs="宋体"/>
          <w:color w:val="auto"/>
          <w:spacing w:val="-3"/>
          <w:highlight w:val="none"/>
        </w:rPr>
        <w:t>他</w:t>
      </w:r>
      <w:r>
        <w:rPr>
          <w:rFonts w:hint="eastAsia" w:ascii="宋体" w:hAnsi="宋体" w:eastAsia="宋体" w:cs="宋体"/>
          <w:color w:val="auto"/>
          <w:highlight w:val="none"/>
        </w:rPr>
        <w:t>电</w:t>
      </w:r>
      <w:r>
        <w:rPr>
          <w:rFonts w:hint="eastAsia" w:ascii="宋体" w:hAnsi="宋体" w:eastAsia="宋体" w:cs="宋体"/>
          <w:color w:val="auto"/>
          <w:spacing w:val="-3"/>
          <w:highlight w:val="none"/>
        </w:rPr>
        <w:t>子</w:t>
      </w:r>
      <w:r>
        <w:rPr>
          <w:rFonts w:hint="eastAsia" w:ascii="宋体" w:hAnsi="宋体" w:eastAsia="宋体" w:cs="宋体"/>
          <w:color w:val="auto"/>
          <w:highlight w:val="none"/>
        </w:rPr>
        <w:t>制版</w:t>
      </w:r>
      <w:r>
        <w:rPr>
          <w:rFonts w:hint="eastAsia" w:ascii="宋体" w:hAnsi="宋体" w:eastAsia="宋体" w:cs="宋体"/>
          <w:color w:val="auto"/>
          <w:spacing w:val="-3"/>
          <w:highlight w:val="none"/>
        </w:rPr>
        <w:t>签名代替</w:t>
      </w:r>
      <w:r>
        <w:rPr>
          <w:rFonts w:hint="eastAsia" w:ascii="宋体" w:hAnsi="宋体" w:eastAsia="宋体" w:cs="宋体"/>
          <w:color w:val="auto"/>
          <w:highlight w:val="none"/>
        </w:rPr>
        <w:t>。</w:t>
      </w:r>
    </w:p>
    <w:p w14:paraId="143D8A59">
      <w:pPr>
        <w:keepNext w:val="0"/>
        <w:keepLines w:val="0"/>
        <w:kinsoku w:val="0"/>
        <w:autoSpaceDE w:val="0"/>
        <w:autoSpaceDN w:val="0"/>
        <w:bidi w:val="0"/>
        <w:adjustRightInd w:val="0"/>
        <w:snapToGrid w:val="0"/>
        <w:spacing w:before="163" w:line="219" w:lineRule="auto"/>
        <w:ind w:left="3576"/>
        <w:jc w:val="left"/>
        <w:textAlignment w:val="baseline"/>
        <w:rPr>
          <w:rFonts w:hint="eastAsia" w:ascii="宋体" w:hAnsi="宋体" w:eastAsia="宋体" w:cs="宋体"/>
          <w:b/>
          <w:bCs/>
          <w:snapToGrid w:val="0"/>
          <w:color w:val="auto"/>
          <w:kern w:val="0"/>
          <w:sz w:val="24"/>
          <w:szCs w:val="24"/>
          <w:highlight w:val="none"/>
        </w:rPr>
      </w:pPr>
      <w:bookmarkStart w:id="643" w:name="bookmark136"/>
      <w:bookmarkEnd w:id="643"/>
      <w:bookmarkStart w:id="644" w:name="bookmark135"/>
      <w:bookmarkEnd w:id="644"/>
      <w:r>
        <w:rPr>
          <w:rFonts w:hint="eastAsia" w:ascii="宋体" w:hAnsi="宋体" w:eastAsia="宋体" w:cs="宋体"/>
          <w:color w:val="auto"/>
          <w:sz w:val="28"/>
          <w:highlight w:val="none"/>
        </w:rPr>
        <w:br w:type="page"/>
      </w:r>
      <w:bookmarkStart w:id="645" w:name="_Toc5806_WPSOffice_Level1"/>
      <w:r>
        <w:rPr>
          <w:rFonts w:hint="eastAsia" w:ascii="宋体" w:hAnsi="宋体" w:eastAsia="宋体" w:cs="宋体"/>
          <w:b/>
          <w:bCs/>
          <w:snapToGrid w:val="0"/>
          <w:color w:val="auto"/>
          <w:spacing w:val="-1"/>
          <w:kern w:val="0"/>
          <w:sz w:val="24"/>
          <w:szCs w:val="24"/>
          <w:highlight w:val="none"/>
        </w:rPr>
        <w:t>三、联合体协议书</w:t>
      </w:r>
    </w:p>
    <w:p w14:paraId="5224C1DE">
      <w:pPr>
        <w:keepNext w:val="0"/>
        <w:keepLines w:val="0"/>
        <w:kinsoku w:val="0"/>
        <w:autoSpaceDE w:val="0"/>
        <w:autoSpaceDN w:val="0"/>
        <w:bidi w:val="0"/>
        <w:adjustRightInd w:val="0"/>
        <w:snapToGrid w:val="0"/>
        <w:spacing w:line="254" w:lineRule="auto"/>
        <w:jc w:val="left"/>
        <w:textAlignment w:val="baseline"/>
        <w:rPr>
          <w:rFonts w:hint="eastAsia" w:ascii="宋体" w:hAnsi="宋体" w:eastAsia="宋体" w:cs="宋体"/>
          <w:snapToGrid w:val="0"/>
          <w:color w:val="auto"/>
          <w:kern w:val="0"/>
          <w:szCs w:val="21"/>
          <w:highlight w:val="none"/>
        </w:rPr>
      </w:pPr>
    </w:p>
    <w:p w14:paraId="30EA2E55">
      <w:pPr>
        <w:keepNext w:val="0"/>
        <w:keepLines w:val="0"/>
        <w:kinsoku w:val="0"/>
        <w:autoSpaceDE w:val="0"/>
        <w:autoSpaceDN w:val="0"/>
        <w:bidi w:val="0"/>
        <w:adjustRightInd w:val="0"/>
        <w:snapToGrid w:val="0"/>
        <w:spacing w:line="254" w:lineRule="auto"/>
        <w:jc w:val="left"/>
        <w:textAlignment w:val="baseline"/>
        <w:rPr>
          <w:rFonts w:hint="eastAsia" w:ascii="宋体" w:hAnsi="宋体" w:eastAsia="宋体" w:cs="宋体"/>
          <w:snapToGrid w:val="0"/>
          <w:color w:val="auto"/>
          <w:kern w:val="0"/>
          <w:szCs w:val="21"/>
          <w:highlight w:val="none"/>
        </w:rPr>
      </w:pPr>
    </w:p>
    <w:p w14:paraId="27800AAD">
      <w:pPr>
        <w:keepNext w:val="0"/>
        <w:keepLines w:val="0"/>
        <w:kinsoku w:val="0"/>
        <w:autoSpaceDE w:val="0"/>
        <w:autoSpaceDN w:val="0"/>
        <w:bidi w:val="0"/>
        <w:adjustRightInd w:val="0"/>
        <w:snapToGrid w:val="0"/>
        <w:spacing w:line="254" w:lineRule="auto"/>
        <w:jc w:val="left"/>
        <w:textAlignment w:val="baseline"/>
        <w:rPr>
          <w:rFonts w:hint="eastAsia" w:ascii="宋体" w:hAnsi="宋体" w:eastAsia="宋体" w:cs="宋体"/>
          <w:snapToGrid w:val="0"/>
          <w:color w:val="auto"/>
          <w:kern w:val="0"/>
          <w:szCs w:val="21"/>
          <w:highlight w:val="none"/>
        </w:rPr>
      </w:pPr>
    </w:p>
    <w:p w14:paraId="4BDEA706">
      <w:pPr>
        <w:keepNext w:val="0"/>
        <w:keepLines w:val="0"/>
        <w:tabs>
          <w:tab w:val="left" w:pos="2406"/>
        </w:tabs>
        <w:kinsoku w:val="0"/>
        <w:autoSpaceDE w:val="0"/>
        <w:autoSpaceDN w:val="0"/>
        <w:bidi w:val="0"/>
        <w:adjustRightInd w:val="0"/>
        <w:snapToGrid w:val="0"/>
        <w:spacing w:before="78" w:line="307" w:lineRule="auto"/>
        <w:ind w:firstLine="35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single"/>
        </w:rPr>
        <w:tab/>
      </w:r>
      <w:r>
        <w:rPr>
          <w:rFonts w:hint="eastAsia" w:ascii="宋体" w:hAnsi="宋体" w:eastAsia="宋体" w:cs="宋体"/>
          <w:snapToGrid w:val="0"/>
          <w:color w:val="auto"/>
          <w:kern w:val="0"/>
          <w:sz w:val="24"/>
          <w:szCs w:val="24"/>
          <w:highlight w:val="none"/>
          <w:u w:val="single"/>
        </w:rPr>
        <w:t>（所有成员单位名称）</w:t>
      </w:r>
      <w:r>
        <w:rPr>
          <w:rFonts w:hint="eastAsia" w:ascii="宋体" w:hAnsi="宋体" w:eastAsia="宋体" w:cs="宋体"/>
          <w:snapToGrid w:val="0"/>
          <w:color w:val="auto"/>
          <w:kern w:val="0"/>
          <w:sz w:val="24"/>
          <w:szCs w:val="24"/>
          <w:highlight w:val="none"/>
        </w:rPr>
        <w:t>自愿组成</w:t>
      </w:r>
      <w:r>
        <w:rPr>
          <w:rFonts w:hint="eastAsia" w:ascii="宋体" w:hAnsi="宋体" w:eastAsia="宋体" w:cs="宋体"/>
          <w:snapToGrid w:val="0"/>
          <w:color w:val="auto"/>
          <w:kern w:val="0"/>
          <w:sz w:val="24"/>
          <w:szCs w:val="24"/>
          <w:highlight w:val="none"/>
          <w:u w:val="single"/>
        </w:rPr>
        <w:t>（联合体名称）</w:t>
      </w:r>
      <w:r>
        <w:rPr>
          <w:rFonts w:hint="eastAsia" w:ascii="宋体" w:hAnsi="宋体" w:eastAsia="宋体" w:cs="宋体"/>
          <w:snapToGrid w:val="0"/>
          <w:color w:val="auto"/>
          <w:kern w:val="0"/>
          <w:sz w:val="24"/>
          <w:szCs w:val="24"/>
          <w:highlight w:val="none"/>
        </w:rPr>
        <w:t>联合</w:t>
      </w:r>
      <w:r>
        <w:rPr>
          <w:rFonts w:hint="eastAsia" w:ascii="宋体" w:hAnsi="宋体" w:eastAsia="宋体" w:cs="宋体"/>
          <w:snapToGrid w:val="0"/>
          <w:color w:val="auto"/>
          <w:spacing w:val="4"/>
          <w:kern w:val="0"/>
          <w:sz w:val="24"/>
          <w:szCs w:val="24"/>
          <w:highlight w:val="none"/>
        </w:rPr>
        <w:t>体，共同参加</w:t>
      </w:r>
      <w:r>
        <w:rPr>
          <w:rFonts w:hint="eastAsia" w:ascii="宋体" w:hAnsi="宋体" w:eastAsia="宋体" w:cs="宋体"/>
          <w:snapToGrid w:val="0"/>
          <w:color w:val="auto"/>
          <w:spacing w:val="4"/>
          <w:kern w:val="0"/>
          <w:sz w:val="24"/>
          <w:szCs w:val="24"/>
          <w:highlight w:val="none"/>
          <w:u w:val="single"/>
        </w:rPr>
        <w:t>（项目名称）</w:t>
      </w:r>
      <w:r>
        <w:rPr>
          <w:rFonts w:hint="eastAsia" w:ascii="宋体" w:hAnsi="宋体" w:eastAsia="宋体" w:cs="宋体"/>
          <w:snapToGrid w:val="0"/>
          <w:color w:val="auto"/>
          <w:spacing w:val="4"/>
          <w:kern w:val="0"/>
          <w:sz w:val="24"/>
          <w:szCs w:val="24"/>
          <w:highlight w:val="none"/>
        </w:rPr>
        <w:t>标段施工监理投标。现</w:t>
      </w:r>
      <w:r>
        <w:rPr>
          <w:rFonts w:hint="eastAsia" w:ascii="宋体" w:hAnsi="宋体" w:eastAsia="宋体" w:cs="宋体"/>
          <w:snapToGrid w:val="0"/>
          <w:color w:val="auto"/>
          <w:spacing w:val="3"/>
          <w:kern w:val="0"/>
          <w:sz w:val="24"/>
          <w:szCs w:val="24"/>
          <w:highlight w:val="none"/>
        </w:rPr>
        <w:t>就联合体投标事宜</w:t>
      </w:r>
    </w:p>
    <w:p w14:paraId="576B297C">
      <w:pPr>
        <w:keepNext w:val="0"/>
        <w:keepLines w:val="0"/>
        <w:kinsoku w:val="0"/>
        <w:autoSpaceDE w:val="0"/>
        <w:autoSpaceDN w:val="0"/>
        <w:bidi w:val="0"/>
        <w:adjustRightInd w:val="0"/>
        <w:snapToGrid w:val="0"/>
        <w:spacing w:line="220" w:lineRule="auto"/>
        <w:ind w:left="3"/>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订立如下协议。</w:t>
      </w:r>
    </w:p>
    <w:p w14:paraId="3741DBB5">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（某成员单位名称）</w:t>
      </w:r>
      <w:r>
        <w:rPr>
          <w:rFonts w:hint="eastAsia" w:ascii="宋体" w:hAnsi="宋体" w:eastAsia="宋体" w:cs="宋体"/>
          <w:color w:val="auto"/>
          <w:sz w:val="24"/>
          <w:szCs w:val="24"/>
        </w:rPr>
        <w:t>为</w:t>
      </w:r>
      <w:r>
        <w:rPr>
          <w:rFonts w:hint="eastAsia" w:ascii="宋体" w:hAnsi="宋体" w:eastAsia="宋体" w:cs="宋体"/>
          <w:color w:val="auto"/>
          <w:sz w:val="24"/>
          <w:szCs w:val="24"/>
          <w:u w:val="single"/>
        </w:rPr>
        <w:t>（联合体名称）</w:t>
      </w:r>
      <w:r>
        <w:rPr>
          <w:rFonts w:hint="eastAsia" w:ascii="宋体" w:hAnsi="宋体" w:eastAsia="宋体" w:cs="宋体"/>
          <w:color w:val="auto"/>
          <w:sz w:val="24"/>
          <w:szCs w:val="24"/>
        </w:rPr>
        <w:t>牵头人。</w:t>
      </w:r>
    </w:p>
    <w:p w14:paraId="0B56C4DE">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2.联合体各成员授权牵头人代表联合体参加投标活动，签署文件，提交和接收相关的资料、信息及指示，进行合同谈判活动，负责合同实施阶段的组织和协调工作，以及处理与本招标项目有关的一切事宜。</w:t>
      </w:r>
    </w:p>
    <w:p w14:paraId="0E704D01">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3.联合体牵头人在本项目中签署的一切文件和处理的一切事宜，联合体各成员均予以承认。联合体各成员将严格按照招标文件、投标文件和合同的要求全面履行义务，并向招标人承担连带责任。</w:t>
      </w:r>
    </w:p>
    <w:p w14:paraId="02EBDDFC">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4.联合体各成员单位内部的职责分工如下：</w:t>
      </w:r>
      <w:r>
        <w:rPr>
          <w:rFonts w:hint="eastAsia" w:ascii="宋体" w:hAnsi="宋体" w:eastAsia="宋体" w:cs="宋体"/>
          <w:color w:val="auto"/>
          <w:sz w:val="24"/>
          <w:szCs w:val="24"/>
          <w:u w:val="single"/>
        </w:rPr>
        <w:t>（牵头人名称）</w:t>
      </w:r>
      <w:r>
        <w:rPr>
          <w:rFonts w:hint="eastAsia" w:ascii="宋体" w:hAnsi="宋体" w:eastAsia="宋体" w:cs="宋体"/>
          <w:color w:val="auto"/>
          <w:sz w:val="24"/>
          <w:szCs w:val="24"/>
        </w:rPr>
        <w:t>承担专业工程，占总工程量的%；</w:t>
      </w:r>
      <w:r>
        <w:rPr>
          <w:rFonts w:hint="eastAsia" w:ascii="宋体" w:hAnsi="宋体" w:eastAsia="宋体" w:cs="宋体"/>
          <w:color w:val="auto"/>
          <w:sz w:val="24"/>
          <w:szCs w:val="24"/>
          <w:u w:val="single"/>
        </w:rPr>
        <w:t>（成员一名称）</w:t>
      </w:r>
      <w:r>
        <w:rPr>
          <w:rFonts w:hint="eastAsia" w:ascii="宋体" w:hAnsi="宋体" w:eastAsia="宋体" w:cs="宋体"/>
          <w:color w:val="auto"/>
          <w:sz w:val="24"/>
          <w:szCs w:val="24"/>
        </w:rPr>
        <w:t>承担专业工程，占总工程量的%；……。</w:t>
      </w:r>
    </w:p>
    <w:p w14:paraId="0D4219F0">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5.投标工作和联合体在中标后工程实施过程中的有关费用按各自承担的工作量分摊。</w:t>
      </w:r>
    </w:p>
    <w:p w14:paraId="7BA7943C">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6.本协议书自所有成员单位法定代表人签字或盖单位章之日起生效，合同履行完毕后自动失效。</w:t>
      </w:r>
    </w:p>
    <w:p w14:paraId="395F4322">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7.本协议书一式份，联合体成员和招标人各执一份。</w:t>
      </w:r>
    </w:p>
    <w:p w14:paraId="184120EE">
      <w:pPr>
        <w:keepNext w:val="0"/>
        <w:keepLines w:val="0"/>
        <w:kinsoku w:val="0"/>
        <w:autoSpaceDE w:val="0"/>
        <w:autoSpaceDN w:val="0"/>
        <w:bidi w:val="0"/>
        <w:adjustRightInd w:val="0"/>
        <w:snapToGrid w:val="0"/>
        <w:spacing w:line="434" w:lineRule="auto"/>
        <w:jc w:val="left"/>
        <w:textAlignment w:val="baseline"/>
        <w:rPr>
          <w:rFonts w:hint="eastAsia" w:ascii="宋体" w:hAnsi="宋体" w:eastAsia="宋体" w:cs="宋体"/>
          <w:snapToGrid w:val="0"/>
          <w:color w:val="auto"/>
          <w:kern w:val="0"/>
          <w:szCs w:val="21"/>
          <w:highlight w:val="none"/>
        </w:rPr>
      </w:pPr>
    </w:p>
    <w:p w14:paraId="4E283059">
      <w:pPr>
        <w:keepNext w:val="0"/>
        <w:keepLines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联合体牵头人名称：</w:t>
      </w:r>
      <w:r>
        <w:rPr>
          <w:rFonts w:hint="eastAsia" w:ascii="宋体" w:hAnsi="宋体" w:eastAsia="宋体" w:cs="宋体"/>
          <w:color w:val="auto"/>
          <w:sz w:val="24"/>
          <w:szCs w:val="24"/>
          <w:u w:val="single"/>
        </w:rPr>
        <w:t>（盖单位章）</w:t>
      </w:r>
    </w:p>
    <w:p w14:paraId="2353EAE8">
      <w:pPr>
        <w:keepNext w:val="0"/>
        <w:keepLines w:val="0"/>
        <w:bidi w:val="0"/>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（签字）</w:t>
      </w:r>
    </w:p>
    <w:p w14:paraId="57E0F997">
      <w:pPr>
        <w:keepNext w:val="0"/>
        <w:keepLines w:val="0"/>
        <w:bidi w:val="0"/>
        <w:spacing w:line="360" w:lineRule="auto"/>
        <w:rPr>
          <w:rFonts w:hint="eastAsia" w:ascii="宋体" w:hAnsi="宋体" w:eastAsia="宋体" w:cs="宋体"/>
          <w:color w:val="auto"/>
          <w:sz w:val="24"/>
          <w:szCs w:val="24"/>
        </w:rPr>
      </w:pPr>
    </w:p>
    <w:p w14:paraId="47126A99">
      <w:pPr>
        <w:keepNext w:val="0"/>
        <w:keepLines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联合体成员名称：</w:t>
      </w:r>
      <w:r>
        <w:rPr>
          <w:rFonts w:hint="eastAsia" w:ascii="宋体" w:hAnsi="宋体" w:eastAsia="宋体" w:cs="宋体"/>
          <w:color w:val="auto"/>
          <w:sz w:val="24"/>
          <w:szCs w:val="24"/>
          <w:u w:val="single"/>
        </w:rPr>
        <w:t>（盖单位章）</w:t>
      </w:r>
    </w:p>
    <w:p w14:paraId="59FB301F">
      <w:pPr>
        <w:keepNext w:val="0"/>
        <w:keepLines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（签字）</w:t>
      </w:r>
    </w:p>
    <w:p w14:paraId="32259CCB">
      <w:pPr>
        <w:keepNext w:val="0"/>
        <w:keepLines w:val="0"/>
        <w:kinsoku w:val="0"/>
        <w:autoSpaceDE w:val="0"/>
        <w:autoSpaceDN w:val="0"/>
        <w:bidi w:val="0"/>
        <w:adjustRightInd w:val="0"/>
        <w:snapToGrid w:val="0"/>
        <w:spacing w:line="433" w:lineRule="auto"/>
        <w:jc w:val="left"/>
        <w:textAlignment w:val="baseline"/>
        <w:rPr>
          <w:rFonts w:hint="eastAsia" w:ascii="宋体" w:hAnsi="宋体" w:eastAsia="宋体" w:cs="宋体"/>
          <w:snapToGrid w:val="0"/>
          <w:color w:val="auto"/>
          <w:kern w:val="0"/>
          <w:szCs w:val="21"/>
          <w:highlight w:val="none"/>
        </w:rPr>
      </w:pPr>
    </w:p>
    <w:p w14:paraId="606E8099">
      <w:pPr>
        <w:keepNext w:val="0"/>
        <w:keepLines w:val="0"/>
        <w:kinsoku w:val="0"/>
        <w:autoSpaceDE w:val="0"/>
        <w:autoSpaceDN w:val="0"/>
        <w:bidi w:val="0"/>
        <w:adjustRightInd w:val="0"/>
        <w:snapToGrid w:val="0"/>
        <w:spacing w:before="78" w:line="378" w:lineRule="exact"/>
        <w:ind w:left="496"/>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13"/>
          <w:kern w:val="0"/>
          <w:position w:val="3"/>
          <w:sz w:val="24"/>
          <w:szCs w:val="24"/>
          <w:highlight w:val="none"/>
        </w:rPr>
        <w:t>……</w:t>
      </w:r>
    </w:p>
    <w:p w14:paraId="2E5D131F">
      <w:pPr>
        <w:keepNext w:val="0"/>
        <w:keepLines w:val="0"/>
        <w:tabs>
          <w:tab w:val="left" w:pos="7142"/>
        </w:tabs>
        <w:bidi w:val="0"/>
        <w:spacing w:before="23" w:line="219" w:lineRule="auto"/>
        <w:ind w:left="6303"/>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26"/>
          <w:sz w:val="24"/>
          <w:szCs w:val="24"/>
          <w:highlight w:val="none"/>
        </w:rPr>
        <w:t>年月日</w:t>
      </w:r>
    </w:p>
    <w:p w14:paraId="5B841C90">
      <w:pPr>
        <w:keepNext w:val="0"/>
        <w:keepLines w:val="0"/>
        <w:kinsoku w:val="0"/>
        <w:autoSpaceDE w:val="0"/>
        <w:autoSpaceDN w:val="0"/>
        <w:bidi w:val="0"/>
        <w:adjustRightInd w:val="0"/>
        <w:snapToGrid w:val="0"/>
        <w:spacing w:before="163" w:line="220" w:lineRule="auto"/>
        <w:ind w:left="3727"/>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8"/>
          <w:highlight w:val="none"/>
        </w:rPr>
        <w:br w:type="page"/>
      </w:r>
      <w:bookmarkEnd w:id="645"/>
      <w:r>
        <w:rPr>
          <w:rFonts w:hint="eastAsia" w:ascii="宋体" w:hAnsi="宋体" w:eastAsia="宋体" w:cs="宋体"/>
          <w:b/>
          <w:bCs/>
          <w:snapToGrid w:val="0"/>
          <w:color w:val="auto"/>
          <w:spacing w:val="-4"/>
          <w:kern w:val="0"/>
          <w:sz w:val="24"/>
          <w:szCs w:val="24"/>
          <w:highlight w:val="none"/>
        </w:rPr>
        <w:t>四、投标保证金</w:t>
      </w:r>
    </w:p>
    <w:p w14:paraId="696E7B52">
      <w:pPr>
        <w:keepNext w:val="0"/>
        <w:keepLines w:val="0"/>
        <w:kinsoku w:val="0"/>
        <w:autoSpaceDE w:val="0"/>
        <w:autoSpaceDN w:val="0"/>
        <w:bidi w:val="0"/>
        <w:adjustRightInd w:val="0"/>
        <w:snapToGrid w:val="0"/>
        <w:spacing w:line="252" w:lineRule="auto"/>
        <w:jc w:val="left"/>
        <w:textAlignment w:val="baseline"/>
        <w:rPr>
          <w:rFonts w:hint="eastAsia" w:ascii="宋体" w:hAnsi="宋体" w:eastAsia="宋体" w:cs="宋体"/>
          <w:snapToGrid w:val="0"/>
          <w:color w:val="auto"/>
          <w:kern w:val="0"/>
          <w:szCs w:val="21"/>
          <w:highlight w:val="none"/>
        </w:rPr>
      </w:pPr>
    </w:p>
    <w:p w14:paraId="3147C44B">
      <w:pPr>
        <w:keepNext w:val="0"/>
        <w:keepLines w:val="0"/>
        <w:kinsoku w:val="0"/>
        <w:autoSpaceDE w:val="0"/>
        <w:autoSpaceDN w:val="0"/>
        <w:bidi w:val="0"/>
        <w:adjustRightInd w:val="0"/>
        <w:snapToGrid w:val="0"/>
        <w:spacing w:line="253" w:lineRule="auto"/>
        <w:jc w:val="left"/>
        <w:textAlignment w:val="baseline"/>
        <w:rPr>
          <w:rFonts w:hint="eastAsia" w:ascii="宋体" w:hAnsi="宋体" w:eastAsia="宋体" w:cs="宋体"/>
          <w:snapToGrid w:val="0"/>
          <w:color w:val="auto"/>
          <w:kern w:val="0"/>
          <w:szCs w:val="21"/>
          <w:highlight w:val="none"/>
        </w:rPr>
      </w:pPr>
    </w:p>
    <w:p w14:paraId="5425406D">
      <w:pPr>
        <w:keepNext w:val="0"/>
        <w:keepLines w:val="0"/>
        <w:kinsoku w:val="0"/>
        <w:autoSpaceDE w:val="0"/>
        <w:autoSpaceDN w:val="0"/>
        <w:bidi w:val="0"/>
        <w:adjustRightInd w:val="0"/>
        <w:snapToGrid w:val="0"/>
        <w:spacing w:line="253" w:lineRule="auto"/>
        <w:jc w:val="left"/>
        <w:textAlignment w:val="baseline"/>
        <w:rPr>
          <w:rFonts w:hint="eastAsia" w:ascii="宋体" w:hAnsi="宋体" w:eastAsia="宋体" w:cs="宋体"/>
          <w:snapToGrid w:val="0"/>
          <w:color w:val="auto"/>
          <w:kern w:val="0"/>
          <w:szCs w:val="21"/>
          <w:highlight w:val="none"/>
        </w:rPr>
      </w:pPr>
    </w:p>
    <w:p w14:paraId="330946AE">
      <w:pPr>
        <w:keepNext w:val="0"/>
        <w:keepLines w:val="0"/>
        <w:kinsoku w:val="0"/>
        <w:autoSpaceDE w:val="0"/>
        <w:autoSpaceDN w:val="0"/>
        <w:bidi w:val="0"/>
        <w:adjustRightInd w:val="0"/>
        <w:snapToGrid w:val="0"/>
        <w:spacing w:line="252" w:lineRule="auto"/>
        <w:jc w:val="left"/>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如采用银行转账，投标人应在此提供汇款凭证的复印件。</w:t>
      </w:r>
    </w:p>
    <w:p w14:paraId="6AAC8544">
      <w:pPr>
        <w:keepNext w:val="0"/>
        <w:keepLines w:val="0"/>
        <w:kinsoku w:val="0"/>
        <w:autoSpaceDE w:val="0"/>
        <w:autoSpaceDN w:val="0"/>
        <w:bidi w:val="0"/>
        <w:adjustRightInd w:val="0"/>
        <w:snapToGrid w:val="0"/>
        <w:spacing w:line="252" w:lineRule="auto"/>
        <w:jc w:val="left"/>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如采用银行保函，投标人应在此提供银行保函复印件。</w:t>
      </w:r>
    </w:p>
    <w:p w14:paraId="50D3B1B3">
      <w:pPr>
        <w:keepNext w:val="0"/>
        <w:keepLines w:val="0"/>
        <w:kinsoku w:val="0"/>
        <w:autoSpaceDE w:val="0"/>
        <w:autoSpaceDN w:val="0"/>
        <w:bidi w:val="0"/>
        <w:adjustRightInd w:val="0"/>
        <w:snapToGrid w:val="0"/>
        <w:spacing w:line="252" w:lineRule="auto"/>
        <w:jc w:val="left"/>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如采用投标保证保险的，附电子保单打印件。</w:t>
      </w:r>
    </w:p>
    <w:p w14:paraId="166616D3">
      <w:pPr>
        <w:keepNext w:val="0"/>
        <w:keepLines w:val="0"/>
        <w:kinsoku w:val="0"/>
        <w:autoSpaceDE w:val="0"/>
        <w:autoSpaceDN w:val="0"/>
        <w:bidi w:val="0"/>
        <w:adjustRightInd w:val="0"/>
        <w:snapToGrid w:val="0"/>
        <w:spacing w:line="252" w:lineRule="auto"/>
        <w:jc w:val="left"/>
        <w:textAlignment w:val="baseline"/>
        <w:rPr>
          <w:rFonts w:hint="eastAsia" w:ascii="宋体" w:hAnsi="宋体" w:eastAsia="宋体" w:cs="宋体"/>
          <w:snapToGrid w:val="0"/>
          <w:color w:val="auto"/>
          <w:kern w:val="0"/>
          <w:szCs w:val="21"/>
          <w:highlight w:val="none"/>
        </w:rPr>
      </w:pPr>
    </w:p>
    <w:p w14:paraId="477F0632">
      <w:pPr>
        <w:keepNext w:val="0"/>
        <w:keepLines w:val="0"/>
        <w:tabs>
          <w:tab w:val="left" w:pos="1920"/>
        </w:tabs>
        <w:kinsoku w:val="0"/>
        <w:autoSpaceDE w:val="0"/>
        <w:autoSpaceDN w:val="0"/>
        <w:bidi w:val="0"/>
        <w:adjustRightInd w:val="0"/>
        <w:snapToGrid w:val="0"/>
        <w:spacing w:before="78" w:line="220" w:lineRule="auto"/>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single"/>
        </w:rPr>
        <w:tab/>
      </w:r>
      <w:r>
        <w:rPr>
          <w:rFonts w:hint="eastAsia" w:ascii="宋体" w:hAnsi="宋体" w:eastAsia="宋体" w:cs="宋体"/>
          <w:snapToGrid w:val="0"/>
          <w:color w:val="auto"/>
          <w:kern w:val="0"/>
          <w:sz w:val="24"/>
          <w:szCs w:val="24"/>
          <w:highlight w:val="none"/>
        </w:rPr>
        <w:t>（招标人名称</w:t>
      </w:r>
      <w:r>
        <w:rPr>
          <w:rFonts w:hint="eastAsia" w:ascii="宋体" w:hAnsi="宋体" w:eastAsia="宋体" w:cs="宋体"/>
          <w:snapToGrid w:val="0"/>
          <w:color w:val="auto"/>
          <w:spacing w:val="-62"/>
          <w:w w:val="97"/>
          <w:kern w:val="0"/>
          <w:sz w:val="24"/>
          <w:szCs w:val="24"/>
          <w:highlight w:val="none"/>
        </w:rPr>
        <w:t>）：</w:t>
      </w:r>
    </w:p>
    <w:p w14:paraId="49418A19">
      <w:pPr>
        <w:keepNext w:val="0"/>
        <w:keepLines w:val="0"/>
        <w:kinsoku w:val="0"/>
        <w:autoSpaceDE w:val="0"/>
        <w:autoSpaceDN w:val="0"/>
        <w:bidi w:val="0"/>
        <w:adjustRightInd w:val="0"/>
        <w:snapToGrid w:val="0"/>
        <w:spacing w:line="257" w:lineRule="auto"/>
        <w:jc w:val="left"/>
        <w:textAlignment w:val="baseline"/>
        <w:rPr>
          <w:rFonts w:hint="eastAsia" w:ascii="宋体" w:hAnsi="宋体" w:eastAsia="宋体" w:cs="宋体"/>
          <w:snapToGrid w:val="0"/>
          <w:color w:val="auto"/>
          <w:kern w:val="0"/>
          <w:szCs w:val="21"/>
          <w:highlight w:val="none"/>
        </w:rPr>
      </w:pPr>
    </w:p>
    <w:p w14:paraId="6A634925">
      <w:pPr>
        <w:keepNext w:val="0"/>
        <w:keepLines w:val="0"/>
        <w:kinsoku w:val="0"/>
        <w:autoSpaceDE w:val="0"/>
        <w:autoSpaceDN w:val="0"/>
        <w:bidi w:val="0"/>
        <w:adjustRightInd w:val="0"/>
        <w:snapToGrid w:val="0"/>
        <w:spacing w:line="257" w:lineRule="auto"/>
        <w:jc w:val="left"/>
        <w:textAlignment w:val="baseline"/>
        <w:rPr>
          <w:rFonts w:hint="eastAsia" w:ascii="宋体" w:hAnsi="宋体" w:eastAsia="宋体" w:cs="宋体"/>
          <w:snapToGrid w:val="0"/>
          <w:color w:val="auto"/>
          <w:kern w:val="0"/>
          <w:szCs w:val="21"/>
          <w:highlight w:val="none"/>
        </w:rPr>
      </w:pPr>
    </w:p>
    <w:p w14:paraId="48F04C8D">
      <w:pPr>
        <w:keepNext w:val="0"/>
        <w:keepLines w:val="0"/>
        <w:tabs>
          <w:tab w:val="left" w:pos="135"/>
        </w:tabs>
        <w:kinsoku w:val="0"/>
        <w:autoSpaceDE w:val="0"/>
        <w:autoSpaceDN w:val="0"/>
        <w:bidi w:val="0"/>
        <w:adjustRightInd w:val="0"/>
        <w:snapToGrid w:val="0"/>
        <w:spacing w:before="79" w:line="338" w:lineRule="auto"/>
        <w:ind w:firstLine="492"/>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7"/>
          <w:kern w:val="0"/>
          <w:sz w:val="24"/>
          <w:szCs w:val="24"/>
          <w:highlight w:val="none"/>
        </w:rPr>
        <w:t>鉴于</w:t>
      </w:r>
      <w:r>
        <w:rPr>
          <w:rFonts w:hint="eastAsia" w:ascii="宋体" w:hAnsi="宋体" w:eastAsia="宋体" w:cs="宋体"/>
          <w:snapToGrid w:val="0"/>
          <w:color w:val="auto"/>
          <w:spacing w:val="-7"/>
          <w:kern w:val="0"/>
          <w:sz w:val="24"/>
          <w:szCs w:val="24"/>
          <w:highlight w:val="none"/>
          <w:u w:val="single"/>
        </w:rPr>
        <w:t>（投标人名称</w:t>
      </w:r>
      <w:r>
        <w:rPr>
          <w:rFonts w:hint="eastAsia" w:ascii="宋体" w:hAnsi="宋体" w:eastAsia="宋体" w:cs="宋体"/>
          <w:snapToGrid w:val="0"/>
          <w:color w:val="auto"/>
          <w:spacing w:val="-69"/>
          <w:kern w:val="0"/>
          <w:sz w:val="24"/>
          <w:szCs w:val="24"/>
          <w:highlight w:val="none"/>
          <w:u w:val="single"/>
        </w:rPr>
        <w:t>）</w:t>
      </w:r>
      <w:r>
        <w:rPr>
          <w:rFonts w:hint="eastAsia" w:ascii="宋体" w:hAnsi="宋体" w:eastAsia="宋体" w:cs="宋体"/>
          <w:snapToGrid w:val="0"/>
          <w:color w:val="auto"/>
          <w:spacing w:val="-69"/>
          <w:kern w:val="0"/>
          <w:sz w:val="24"/>
          <w:szCs w:val="24"/>
          <w:highlight w:val="none"/>
        </w:rPr>
        <w:t>（</w:t>
      </w:r>
      <w:r>
        <w:rPr>
          <w:rFonts w:hint="eastAsia" w:ascii="宋体" w:hAnsi="宋体" w:eastAsia="宋体" w:cs="宋体"/>
          <w:snapToGrid w:val="0"/>
          <w:color w:val="auto"/>
          <w:spacing w:val="-7"/>
          <w:kern w:val="0"/>
          <w:sz w:val="24"/>
          <w:szCs w:val="24"/>
          <w:highlight w:val="none"/>
        </w:rPr>
        <w:t>以下称“投标人”）于</w:t>
      </w:r>
      <w:r>
        <w:rPr>
          <w:rFonts w:hint="eastAsia" w:ascii="宋体" w:hAnsi="宋体" w:eastAsia="宋体" w:cs="宋体"/>
          <w:snapToGrid w:val="0"/>
          <w:color w:val="auto"/>
          <w:spacing w:val="-7"/>
          <w:kern w:val="0"/>
          <w:sz w:val="24"/>
          <w:szCs w:val="24"/>
          <w:highlight w:val="none"/>
          <w:u w:val="single"/>
        </w:rPr>
        <w:t>年月日</w:t>
      </w:r>
      <w:r>
        <w:rPr>
          <w:rFonts w:hint="eastAsia" w:ascii="宋体" w:hAnsi="宋体" w:eastAsia="宋体" w:cs="宋体"/>
          <w:snapToGrid w:val="0"/>
          <w:color w:val="auto"/>
          <w:spacing w:val="-7"/>
          <w:kern w:val="0"/>
          <w:sz w:val="24"/>
          <w:szCs w:val="24"/>
          <w:highlight w:val="none"/>
        </w:rPr>
        <w:t>参加</w:t>
      </w:r>
      <w:r>
        <w:rPr>
          <w:rFonts w:hint="eastAsia" w:ascii="宋体" w:hAnsi="宋体" w:eastAsia="宋体" w:cs="宋体"/>
          <w:snapToGrid w:val="0"/>
          <w:color w:val="auto"/>
          <w:kern w:val="0"/>
          <w:sz w:val="24"/>
          <w:szCs w:val="24"/>
          <w:highlight w:val="none"/>
          <w:u w:val="single"/>
        </w:rPr>
        <w:tab/>
      </w:r>
      <w:r>
        <w:rPr>
          <w:rFonts w:hint="eastAsia" w:ascii="宋体" w:hAnsi="宋体" w:eastAsia="宋体" w:cs="宋体"/>
          <w:snapToGrid w:val="0"/>
          <w:color w:val="auto"/>
          <w:spacing w:val="8"/>
          <w:kern w:val="0"/>
          <w:sz w:val="24"/>
          <w:szCs w:val="24"/>
          <w:highlight w:val="none"/>
          <w:u w:val="single"/>
        </w:rPr>
        <w:t>（项目名称）</w:t>
      </w:r>
      <w:r>
        <w:rPr>
          <w:rFonts w:hint="eastAsia" w:ascii="宋体" w:hAnsi="宋体" w:eastAsia="宋体" w:cs="宋体"/>
          <w:snapToGrid w:val="0"/>
          <w:color w:val="auto"/>
          <w:spacing w:val="8"/>
          <w:kern w:val="0"/>
          <w:sz w:val="24"/>
          <w:szCs w:val="24"/>
          <w:highlight w:val="none"/>
        </w:rPr>
        <w:t>标段施工监理的投标</w:t>
      </w:r>
      <w:r>
        <w:rPr>
          <w:rFonts w:hint="eastAsia" w:ascii="宋体" w:hAnsi="宋体" w:eastAsia="宋体" w:cs="宋体"/>
          <w:snapToGrid w:val="0"/>
          <w:color w:val="auto"/>
          <w:spacing w:val="-27"/>
          <w:kern w:val="0"/>
          <w:sz w:val="24"/>
          <w:szCs w:val="24"/>
          <w:highlight w:val="none"/>
        </w:rPr>
        <w:t>，</w:t>
      </w:r>
      <w:r>
        <w:rPr>
          <w:rFonts w:hint="eastAsia" w:ascii="宋体" w:hAnsi="宋体" w:eastAsia="宋体" w:cs="宋体"/>
          <w:snapToGrid w:val="0"/>
          <w:color w:val="auto"/>
          <w:spacing w:val="-27"/>
          <w:kern w:val="0"/>
          <w:sz w:val="24"/>
          <w:szCs w:val="24"/>
          <w:highlight w:val="none"/>
          <w:u w:val="single"/>
        </w:rPr>
        <w:t>（</w:t>
      </w:r>
      <w:r>
        <w:rPr>
          <w:rFonts w:hint="eastAsia" w:ascii="宋体" w:hAnsi="宋体" w:eastAsia="宋体" w:cs="宋体"/>
          <w:snapToGrid w:val="0"/>
          <w:color w:val="auto"/>
          <w:spacing w:val="8"/>
          <w:kern w:val="0"/>
          <w:sz w:val="24"/>
          <w:szCs w:val="24"/>
          <w:highlight w:val="none"/>
          <w:u w:val="single"/>
        </w:rPr>
        <w:t>担保人名称</w:t>
      </w:r>
      <w:r>
        <w:rPr>
          <w:rFonts w:hint="eastAsia" w:ascii="宋体" w:hAnsi="宋体" w:eastAsia="宋体" w:cs="宋体"/>
          <w:snapToGrid w:val="0"/>
          <w:color w:val="auto"/>
          <w:spacing w:val="7"/>
          <w:kern w:val="0"/>
          <w:sz w:val="24"/>
          <w:szCs w:val="24"/>
          <w:highlight w:val="none"/>
          <w:u w:val="single"/>
        </w:rPr>
        <w:t>，以下简称“我</w:t>
      </w:r>
      <w:r>
        <w:rPr>
          <w:rFonts w:hint="eastAsia" w:ascii="宋体" w:hAnsi="宋体" w:eastAsia="宋体" w:cs="宋体"/>
          <w:snapToGrid w:val="0"/>
          <w:color w:val="auto"/>
          <w:spacing w:val="-2"/>
          <w:kern w:val="0"/>
          <w:sz w:val="24"/>
          <w:szCs w:val="24"/>
          <w:highlight w:val="none"/>
          <w:u w:val="single"/>
        </w:rPr>
        <w:t>方”）</w:t>
      </w:r>
      <w:r>
        <w:rPr>
          <w:rFonts w:hint="eastAsia" w:ascii="宋体" w:hAnsi="宋体" w:eastAsia="宋体" w:cs="宋体"/>
          <w:snapToGrid w:val="0"/>
          <w:color w:val="auto"/>
          <w:spacing w:val="-2"/>
          <w:kern w:val="0"/>
          <w:sz w:val="24"/>
          <w:szCs w:val="24"/>
          <w:highlight w:val="none"/>
        </w:rPr>
        <w:t>无条件地、不可撤销地保证：若投标人在投标有效期内撤销投</w:t>
      </w:r>
      <w:r>
        <w:rPr>
          <w:rFonts w:hint="eastAsia" w:ascii="宋体" w:hAnsi="宋体" w:eastAsia="宋体" w:cs="宋体"/>
          <w:snapToGrid w:val="0"/>
          <w:color w:val="auto"/>
          <w:spacing w:val="-3"/>
          <w:kern w:val="0"/>
          <w:sz w:val="24"/>
          <w:szCs w:val="24"/>
          <w:highlight w:val="none"/>
        </w:rPr>
        <w:t>标文件，中标后无</w:t>
      </w:r>
      <w:r>
        <w:rPr>
          <w:rFonts w:hint="eastAsia" w:ascii="宋体" w:hAnsi="宋体" w:eastAsia="宋体" w:cs="宋体"/>
          <w:snapToGrid w:val="0"/>
          <w:color w:val="auto"/>
          <w:spacing w:val="5"/>
          <w:kern w:val="0"/>
          <w:sz w:val="24"/>
          <w:szCs w:val="24"/>
          <w:highlight w:val="none"/>
        </w:rPr>
        <w:t>正当理由不与招标人订立合同，在签订合同时向招标人提出附加条件，不按照招标文件要求提交履约保证金，或发生招标文件明确规定可以不予退还投标保证金的其他情</w:t>
      </w:r>
      <w:r>
        <w:rPr>
          <w:rFonts w:hint="eastAsia" w:ascii="宋体" w:hAnsi="宋体" w:eastAsia="宋体" w:cs="宋体"/>
          <w:snapToGrid w:val="0"/>
          <w:color w:val="auto"/>
          <w:spacing w:val="3"/>
          <w:kern w:val="0"/>
          <w:sz w:val="24"/>
          <w:szCs w:val="24"/>
          <w:highlight w:val="none"/>
        </w:rPr>
        <w:t>形，我方承担保证责任。收到你方书面通知后，我方在7日内向你方无</w:t>
      </w:r>
      <w:r>
        <w:rPr>
          <w:rFonts w:hint="eastAsia" w:ascii="宋体" w:hAnsi="宋体" w:eastAsia="宋体" w:cs="宋体"/>
          <w:snapToGrid w:val="0"/>
          <w:color w:val="auto"/>
          <w:spacing w:val="2"/>
          <w:kern w:val="0"/>
          <w:sz w:val="24"/>
          <w:szCs w:val="24"/>
          <w:highlight w:val="none"/>
        </w:rPr>
        <w:t>条件支付人民</w:t>
      </w:r>
      <w:r>
        <w:rPr>
          <w:rFonts w:hint="eastAsia" w:ascii="宋体" w:hAnsi="宋体" w:eastAsia="宋体" w:cs="宋体"/>
          <w:snapToGrid w:val="0"/>
          <w:color w:val="auto"/>
          <w:spacing w:val="-7"/>
          <w:kern w:val="0"/>
          <w:sz w:val="24"/>
          <w:szCs w:val="24"/>
          <w:highlight w:val="none"/>
        </w:rPr>
        <w:t>币（大写）元。</w:t>
      </w:r>
    </w:p>
    <w:p w14:paraId="243CBCED">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本保函在投标有效期或经延长的投标有效期内保持有效。要求我方承担保证责任的通知应在上述期限内送达我方。你方延长投标有效期的决定，应通知我方。</w:t>
      </w:r>
    </w:p>
    <w:p w14:paraId="7DC51698">
      <w:pPr>
        <w:keepNext w:val="0"/>
        <w:keepLines w:val="0"/>
        <w:kinsoku w:val="0"/>
        <w:autoSpaceDE w:val="0"/>
        <w:autoSpaceDN w:val="0"/>
        <w:bidi w:val="0"/>
        <w:adjustRightInd w:val="0"/>
        <w:snapToGrid w:val="0"/>
        <w:spacing w:line="316" w:lineRule="auto"/>
        <w:jc w:val="left"/>
        <w:textAlignment w:val="baseline"/>
        <w:rPr>
          <w:rFonts w:hint="eastAsia" w:ascii="宋体" w:hAnsi="宋体" w:eastAsia="宋体" w:cs="宋体"/>
          <w:snapToGrid w:val="0"/>
          <w:color w:val="auto"/>
          <w:kern w:val="0"/>
          <w:szCs w:val="21"/>
          <w:highlight w:val="none"/>
        </w:rPr>
      </w:pPr>
    </w:p>
    <w:p w14:paraId="4E2FE38C">
      <w:pPr>
        <w:keepNext w:val="0"/>
        <w:keepLines w:val="0"/>
        <w:kinsoku w:val="0"/>
        <w:autoSpaceDE w:val="0"/>
        <w:autoSpaceDN w:val="0"/>
        <w:bidi w:val="0"/>
        <w:adjustRightInd w:val="0"/>
        <w:snapToGrid w:val="0"/>
        <w:spacing w:line="317" w:lineRule="auto"/>
        <w:jc w:val="left"/>
        <w:textAlignment w:val="baseline"/>
        <w:rPr>
          <w:rFonts w:hint="eastAsia" w:ascii="宋体" w:hAnsi="宋体" w:eastAsia="宋体" w:cs="宋体"/>
          <w:snapToGrid w:val="0"/>
          <w:color w:val="auto"/>
          <w:kern w:val="0"/>
          <w:szCs w:val="21"/>
          <w:highlight w:val="none"/>
        </w:rPr>
      </w:pPr>
    </w:p>
    <w:p w14:paraId="3155D5A4">
      <w:pPr>
        <w:keepNext w:val="0"/>
        <w:keepLines w:val="0"/>
        <w:kinsoku w:val="0"/>
        <w:autoSpaceDE w:val="0"/>
        <w:autoSpaceDN w:val="0"/>
        <w:bidi w:val="0"/>
        <w:adjustRightInd w:val="0"/>
        <w:snapToGrid w:val="0"/>
        <w:spacing w:line="317" w:lineRule="auto"/>
        <w:jc w:val="left"/>
        <w:textAlignment w:val="baseline"/>
        <w:rPr>
          <w:rFonts w:hint="eastAsia" w:ascii="宋体" w:hAnsi="宋体" w:eastAsia="宋体" w:cs="宋体"/>
          <w:snapToGrid w:val="0"/>
          <w:color w:val="auto"/>
          <w:kern w:val="0"/>
          <w:szCs w:val="21"/>
          <w:highlight w:val="none"/>
        </w:rPr>
      </w:pPr>
    </w:p>
    <w:p w14:paraId="75DECABA">
      <w:pPr>
        <w:keepNext w:val="0"/>
        <w:keepLines w:val="0"/>
        <w:bidi w:val="0"/>
        <w:spacing w:before="79" w:line="333" w:lineRule="auto"/>
        <w:ind w:left="1989" w:right="632"/>
        <w:rPr>
          <w:rFonts w:hint="eastAsia" w:ascii="宋体" w:hAnsi="宋体" w:eastAsia="宋体" w:cs="宋体"/>
          <w:color w:val="auto"/>
          <w:spacing w:val="5"/>
          <w:sz w:val="24"/>
          <w:szCs w:val="24"/>
          <w:highlight w:val="none"/>
        </w:rPr>
      </w:pPr>
      <w:bookmarkStart w:id="646" w:name="_Toc30870"/>
      <w:bookmarkStart w:id="647" w:name="_Toc5539"/>
      <w:bookmarkStart w:id="648" w:name="_Toc1052"/>
      <w:r>
        <w:rPr>
          <w:rFonts w:hint="eastAsia" w:ascii="宋体" w:hAnsi="宋体" w:eastAsia="宋体" w:cs="宋体"/>
          <w:color w:val="auto"/>
          <w:sz w:val="24"/>
          <w:szCs w:val="24"/>
          <w:highlight w:val="none"/>
        </w:rPr>
        <w:t>担保人名称</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6735DD5E">
      <w:pPr>
        <w:keepNext w:val="0"/>
        <w:keepLines w:val="0"/>
        <w:bidi w:val="0"/>
        <w:spacing w:before="79" w:line="333" w:lineRule="auto"/>
        <w:ind w:left="1989" w:right="63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rPr>
        <w:t>签字）</w:t>
      </w:r>
    </w:p>
    <w:p w14:paraId="66C96829">
      <w:pPr>
        <w:keepNext w:val="0"/>
        <w:keepLines w:val="0"/>
        <w:bidi w:val="0"/>
        <w:spacing w:before="79" w:line="333" w:lineRule="auto"/>
        <w:ind w:left="1989" w:right="632"/>
        <w:rPr>
          <w:rFonts w:hint="eastAsia" w:ascii="宋体" w:hAnsi="宋体" w:eastAsia="宋体" w:cs="宋体"/>
          <w:color w:val="auto"/>
          <w:sz w:val="24"/>
          <w:szCs w:val="24"/>
          <w:highlight w:val="none"/>
          <w:u w:val="single" w:color="auto"/>
        </w:rPr>
      </w:pPr>
      <w:r>
        <w:rPr>
          <w:rFonts w:hint="eastAsia" w:ascii="宋体" w:hAnsi="宋体" w:eastAsia="宋体" w:cs="宋体"/>
          <w:color w:val="auto"/>
          <w:spacing w:val="-17"/>
          <w:sz w:val="24"/>
          <w:szCs w:val="24"/>
          <w:highlight w:val="none"/>
        </w:rPr>
        <w:t>地址：</w:t>
      </w:r>
    </w:p>
    <w:p w14:paraId="25BB0074">
      <w:pPr>
        <w:keepNext w:val="0"/>
        <w:keepLines w:val="0"/>
        <w:bidi w:val="0"/>
        <w:spacing w:before="79" w:line="333" w:lineRule="auto"/>
        <w:ind w:left="1989" w:right="632"/>
        <w:rPr>
          <w:rFonts w:hint="eastAsia" w:ascii="宋体" w:hAnsi="宋体" w:eastAsia="宋体" w:cs="宋体"/>
          <w:color w:val="auto"/>
          <w:spacing w:val="4"/>
          <w:sz w:val="24"/>
          <w:szCs w:val="24"/>
          <w:highlight w:val="none"/>
        </w:rPr>
      </w:pPr>
      <w:r>
        <w:rPr>
          <w:rFonts w:hint="eastAsia" w:ascii="宋体" w:hAnsi="宋体" w:eastAsia="宋体" w:cs="宋体"/>
          <w:color w:val="auto"/>
          <w:spacing w:val="-6"/>
          <w:sz w:val="24"/>
          <w:szCs w:val="24"/>
          <w:highlight w:val="none"/>
        </w:rPr>
        <w:t>邮政编码：</w:t>
      </w:r>
    </w:p>
    <w:p w14:paraId="1C8CE507">
      <w:pPr>
        <w:keepNext w:val="0"/>
        <w:keepLines w:val="0"/>
        <w:bidi w:val="0"/>
        <w:spacing w:before="79" w:line="333" w:lineRule="auto"/>
        <w:ind w:left="1989" w:right="632"/>
        <w:rPr>
          <w:rFonts w:hint="eastAsia" w:ascii="宋体" w:hAnsi="宋体" w:eastAsia="宋体" w:cs="宋体"/>
          <w:color w:val="auto"/>
          <w:sz w:val="24"/>
          <w:szCs w:val="24"/>
          <w:highlight w:val="none"/>
          <w:u w:val="single" w:color="auto"/>
        </w:rPr>
      </w:pPr>
      <w:r>
        <w:rPr>
          <w:rFonts w:hint="eastAsia" w:ascii="宋体" w:hAnsi="宋体" w:eastAsia="宋体" w:cs="宋体"/>
          <w:color w:val="auto"/>
          <w:spacing w:val="-26"/>
          <w:sz w:val="24"/>
          <w:szCs w:val="24"/>
          <w:highlight w:val="none"/>
        </w:rPr>
        <w:t>电话：</w:t>
      </w:r>
    </w:p>
    <w:p w14:paraId="48A62FC9">
      <w:pPr>
        <w:keepNext w:val="0"/>
        <w:keepLines w:val="0"/>
        <w:bidi w:val="0"/>
        <w:spacing w:before="79" w:line="333" w:lineRule="auto"/>
        <w:ind w:left="1989" w:right="632"/>
        <w:rPr>
          <w:rFonts w:hint="eastAsia" w:ascii="宋体" w:hAnsi="宋体" w:eastAsia="宋体" w:cs="宋体"/>
          <w:color w:val="auto"/>
          <w:spacing w:val="-108"/>
          <w:sz w:val="24"/>
          <w:szCs w:val="24"/>
          <w:highlight w:val="none"/>
        </w:rPr>
      </w:pPr>
      <w:r>
        <w:rPr>
          <w:rFonts w:hint="eastAsia" w:ascii="宋体" w:hAnsi="宋体" w:eastAsia="宋体" w:cs="宋体"/>
          <w:color w:val="auto"/>
          <w:spacing w:val="-17"/>
          <w:sz w:val="24"/>
          <w:szCs w:val="24"/>
          <w:highlight w:val="none"/>
        </w:rPr>
        <w:t>传真：</w:t>
      </w:r>
    </w:p>
    <w:p w14:paraId="767B6944">
      <w:pPr>
        <w:keepNext w:val="0"/>
        <w:keepLines w:val="0"/>
        <w:bidi w:val="0"/>
        <w:spacing w:before="20" w:line="326" w:lineRule="auto"/>
        <w:ind w:right="1092" w:firstLine="6392" w:firstLineChars="3400"/>
        <w:rPr>
          <w:rFonts w:hint="eastAsia" w:ascii="宋体" w:hAnsi="宋体" w:eastAsia="宋体" w:cs="宋体"/>
          <w:color w:val="auto"/>
          <w:sz w:val="24"/>
          <w:szCs w:val="24"/>
          <w:highlight w:val="none"/>
        </w:rPr>
      </w:pPr>
      <w:r>
        <w:rPr>
          <w:rFonts w:hint="eastAsia" w:ascii="宋体" w:hAnsi="宋体" w:eastAsia="宋体" w:cs="宋体"/>
          <w:color w:val="auto"/>
          <w:spacing w:val="-26"/>
          <w:sz w:val="24"/>
          <w:szCs w:val="24"/>
          <w:highlight w:val="none"/>
        </w:rPr>
        <w:t>年月日</w:t>
      </w:r>
    </w:p>
    <w:p w14:paraId="41259590">
      <w:pPr>
        <w:keepNext w:val="0"/>
        <w:keepLines w:val="0"/>
        <w:kinsoku w:val="0"/>
        <w:autoSpaceDE w:val="0"/>
        <w:autoSpaceDN w:val="0"/>
        <w:bidi w:val="0"/>
        <w:adjustRightInd w:val="0"/>
        <w:snapToGrid w:val="0"/>
        <w:spacing w:before="1" w:line="219" w:lineRule="auto"/>
        <w:ind w:left="29"/>
        <w:jc w:val="left"/>
        <w:textAlignment w:val="baseline"/>
        <w:rPr>
          <w:rFonts w:hint="eastAsia" w:ascii="宋体" w:hAnsi="宋体" w:eastAsia="宋体" w:cs="宋体"/>
          <w:snapToGrid w:val="0"/>
          <w:color w:val="auto"/>
          <w:spacing w:val="-1"/>
          <w:kern w:val="0"/>
          <w:sz w:val="21"/>
          <w:szCs w:val="21"/>
          <w:highlight w:val="none"/>
        </w:rPr>
      </w:pPr>
    </w:p>
    <w:p w14:paraId="6E67557B">
      <w:pPr>
        <w:keepNext w:val="0"/>
        <w:keepLines w:val="0"/>
        <w:bidi w:val="0"/>
        <w:rPr>
          <w:rFonts w:hint="eastAsia" w:ascii="宋体" w:hAnsi="宋体" w:eastAsia="宋体" w:cs="宋体"/>
          <w:color w:val="auto"/>
        </w:rPr>
      </w:pPr>
      <w:r>
        <w:rPr>
          <w:rFonts w:hint="eastAsia" w:ascii="宋体" w:hAnsi="宋体" w:eastAsia="宋体" w:cs="宋体"/>
          <w:color w:val="auto"/>
        </w:rPr>
        <w:t>注：银行保函也可采用银行的格式，但保函内容不得与上述格式中的内容有实质性修改，否则应判</w:t>
      </w:r>
      <w:bookmarkEnd w:id="646"/>
      <w:bookmarkEnd w:id="647"/>
      <w:bookmarkEnd w:id="648"/>
      <w:r>
        <w:rPr>
          <w:rFonts w:hint="eastAsia" w:ascii="宋体" w:hAnsi="宋体" w:eastAsia="宋体" w:cs="宋体"/>
          <w:color w:val="auto"/>
        </w:rPr>
        <w:t>定无效。</w:t>
      </w:r>
    </w:p>
    <w:p w14:paraId="13531AD9">
      <w:pPr>
        <w:pStyle w:val="3"/>
        <w:keepNext w:val="0"/>
        <w:keepLines w:val="0"/>
        <w:tabs>
          <w:tab w:val="left" w:pos="2069"/>
        </w:tabs>
        <w:kinsoku w:val="0"/>
        <w:overflowPunct w:val="0"/>
        <w:bidi w:val="0"/>
        <w:spacing w:line="480" w:lineRule="auto"/>
        <w:rPr>
          <w:rFonts w:hint="eastAsia" w:ascii="宋体" w:hAnsi="宋体" w:eastAsia="宋体" w:cs="宋体"/>
          <w:color w:val="auto"/>
          <w:highlight w:val="none"/>
        </w:rPr>
      </w:pPr>
    </w:p>
    <w:p w14:paraId="5E17D256">
      <w:pPr>
        <w:keepNext w:val="0"/>
        <w:keepLines w:val="0"/>
        <w:kinsoku w:val="0"/>
        <w:autoSpaceDE w:val="0"/>
        <w:autoSpaceDN w:val="0"/>
        <w:bidi w:val="0"/>
        <w:adjustRightInd w:val="0"/>
        <w:snapToGrid w:val="0"/>
        <w:spacing w:before="164" w:line="219" w:lineRule="auto"/>
        <w:ind w:left="3581"/>
        <w:jc w:val="left"/>
        <w:textAlignment w:val="baseline"/>
        <w:rPr>
          <w:rFonts w:hint="eastAsia" w:ascii="宋体" w:hAnsi="宋体" w:eastAsia="宋体" w:cs="宋体"/>
          <w:snapToGrid w:val="0"/>
          <w:color w:val="auto"/>
          <w:kern w:val="0"/>
          <w:sz w:val="24"/>
          <w:szCs w:val="24"/>
          <w:highlight w:val="none"/>
        </w:rPr>
      </w:pPr>
      <w:bookmarkStart w:id="649" w:name="bookmark138"/>
      <w:bookmarkEnd w:id="649"/>
      <w:bookmarkStart w:id="650" w:name="_Toc30678_WPSOffice_Level1"/>
      <w:r>
        <w:rPr>
          <w:rFonts w:hint="eastAsia" w:ascii="宋体" w:hAnsi="宋体" w:eastAsia="宋体" w:cs="宋体"/>
          <w:color w:val="auto"/>
          <w:sz w:val="28"/>
          <w:highlight w:val="none"/>
        </w:rPr>
        <w:br w:type="page"/>
      </w:r>
      <w:bookmarkEnd w:id="650"/>
      <w:r>
        <w:rPr>
          <w:rFonts w:hint="eastAsia" w:ascii="宋体" w:hAnsi="宋体" w:eastAsia="宋体" w:cs="宋体"/>
          <w:b/>
          <w:bCs/>
          <w:snapToGrid w:val="0"/>
          <w:color w:val="auto"/>
          <w:spacing w:val="-1"/>
          <w:kern w:val="0"/>
          <w:sz w:val="24"/>
          <w:szCs w:val="24"/>
          <w:highlight w:val="none"/>
        </w:rPr>
        <w:t>五、资格审查资料</w:t>
      </w:r>
    </w:p>
    <w:p w14:paraId="5FBAD7D0">
      <w:pPr>
        <w:keepNext w:val="0"/>
        <w:keepLines w:val="0"/>
        <w:kinsoku w:val="0"/>
        <w:autoSpaceDE w:val="0"/>
        <w:autoSpaceDN w:val="0"/>
        <w:bidi w:val="0"/>
        <w:adjustRightInd w:val="0"/>
        <w:snapToGrid w:val="0"/>
        <w:spacing w:before="322" w:line="219" w:lineRule="auto"/>
        <w:ind w:left="2896"/>
        <w:jc w:val="left"/>
        <w:textAlignment w:val="baseline"/>
        <w:rPr>
          <w:rFonts w:hint="eastAsia" w:ascii="宋体" w:hAnsi="宋体" w:eastAsia="宋体" w:cs="宋体"/>
          <w:b/>
          <w:bCs/>
          <w:snapToGrid w:val="0"/>
          <w:color w:val="auto"/>
          <w:kern w:val="0"/>
          <w:sz w:val="30"/>
          <w:szCs w:val="30"/>
          <w:highlight w:val="none"/>
        </w:rPr>
      </w:pPr>
      <w:r>
        <w:rPr>
          <w:rFonts w:hint="eastAsia" w:ascii="宋体" w:hAnsi="宋体" w:eastAsia="宋体" w:cs="宋体"/>
          <w:b/>
          <w:bCs/>
          <w:snapToGrid w:val="0"/>
          <w:color w:val="auto"/>
          <w:spacing w:val="-2"/>
          <w:kern w:val="0"/>
          <w:sz w:val="30"/>
          <w:szCs w:val="30"/>
          <w:highlight w:val="none"/>
        </w:rPr>
        <w:t>（一）投标人基本情况表</w:t>
      </w:r>
    </w:p>
    <w:p w14:paraId="09B8FCFD">
      <w:pPr>
        <w:keepNext w:val="0"/>
        <w:keepLines w:val="0"/>
        <w:kinsoku w:val="0"/>
        <w:autoSpaceDE w:val="0"/>
        <w:autoSpaceDN w:val="0"/>
        <w:bidi w:val="0"/>
        <w:adjustRightInd w:val="0"/>
        <w:snapToGrid w:val="0"/>
        <w:spacing w:line="182" w:lineRule="exact"/>
        <w:jc w:val="left"/>
        <w:textAlignment w:val="baseline"/>
        <w:rPr>
          <w:rFonts w:hint="eastAsia" w:ascii="宋体" w:hAnsi="宋体" w:eastAsia="宋体" w:cs="宋体"/>
          <w:snapToGrid w:val="0"/>
          <w:color w:val="auto"/>
          <w:kern w:val="0"/>
          <w:szCs w:val="21"/>
          <w:highlight w:val="none"/>
        </w:rPr>
      </w:pPr>
    </w:p>
    <w:tbl>
      <w:tblPr>
        <w:tblStyle w:val="21"/>
        <w:tblW w:w="9038" w:type="dxa"/>
        <w:tblInd w:w="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0"/>
        <w:gridCol w:w="897"/>
        <w:gridCol w:w="1025"/>
        <w:gridCol w:w="1286"/>
        <w:gridCol w:w="414"/>
        <w:gridCol w:w="872"/>
        <w:gridCol w:w="828"/>
        <w:gridCol w:w="284"/>
        <w:gridCol w:w="1382"/>
      </w:tblGrid>
      <w:tr w14:paraId="2B99F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050" w:type="dxa"/>
            <w:noWrap w:val="0"/>
            <w:vAlign w:val="top"/>
          </w:tcPr>
          <w:p w14:paraId="3AB0E88A">
            <w:pPr>
              <w:keepNext w:val="0"/>
              <w:keepLines w:val="0"/>
              <w:kinsoku w:val="0"/>
              <w:autoSpaceDE w:val="0"/>
              <w:autoSpaceDN w:val="0"/>
              <w:bidi w:val="0"/>
              <w:adjustRightInd w:val="0"/>
              <w:snapToGrid w:val="0"/>
              <w:spacing w:before="176" w:line="228" w:lineRule="auto"/>
              <w:ind w:left="50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投标人名称</w:t>
            </w:r>
          </w:p>
        </w:tc>
        <w:tc>
          <w:tcPr>
            <w:tcW w:w="6988" w:type="dxa"/>
            <w:gridSpan w:val="8"/>
            <w:noWrap w:val="0"/>
            <w:vAlign w:val="top"/>
          </w:tcPr>
          <w:p w14:paraId="4F609446">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572D3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0" w:type="dxa"/>
            <w:noWrap w:val="0"/>
            <w:vAlign w:val="top"/>
          </w:tcPr>
          <w:p w14:paraId="05B74455">
            <w:pPr>
              <w:keepNext w:val="0"/>
              <w:keepLines w:val="0"/>
              <w:kinsoku w:val="0"/>
              <w:autoSpaceDE w:val="0"/>
              <w:autoSpaceDN w:val="0"/>
              <w:bidi w:val="0"/>
              <w:adjustRightInd w:val="0"/>
              <w:snapToGrid w:val="0"/>
              <w:spacing w:before="173" w:line="229" w:lineRule="auto"/>
              <w:ind w:left="60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注册地址</w:t>
            </w:r>
          </w:p>
        </w:tc>
        <w:tc>
          <w:tcPr>
            <w:tcW w:w="3208" w:type="dxa"/>
            <w:gridSpan w:val="3"/>
            <w:noWrap w:val="0"/>
            <w:vAlign w:val="top"/>
          </w:tcPr>
          <w:p w14:paraId="147DDFAC">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286" w:type="dxa"/>
            <w:gridSpan w:val="2"/>
            <w:noWrap w:val="0"/>
            <w:vAlign w:val="top"/>
          </w:tcPr>
          <w:p w14:paraId="0BF9FDF7">
            <w:pPr>
              <w:keepNext w:val="0"/>
              <w:keepLines w:val="0"/>
              <w:kinsoku w:val="0"/>
              <w:autoSpaceDE w:val="0"/>
              <w:autoSpaceDN w:val="0"/>
              <w:bidi w:val="0"/>
              <w:adjustRightInd w:val="0"/>
              <w:snapToGrid w:val="0"/>
              <w:spacing w:before="173" w:line="228" w:lineRule="auto"/>
              <w:ind w:left="24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邮政编码</w:t>
            </w:r>
          </w:p>
        </w:tc>
        <w:tc>
          <w:tcPr>
            <w:tcW w:w="2494" w:type="dxa"/>
            <w:gridSpan w:val="3"/>
            <w:noWrap w:val="0"/>
            <w:vAlign w:val="top"/>
          </w:tcPr>
          <w:p w14:paraId="6D5A34E8">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69755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Merge w:val="restart"/>
            <w:tcBorders>
              <w:bottom w:val="nil"/>
            </w:tcBorders>
            <w:noWrap w:val="0"/>
            <w:vAlign w:val="top"/>
          </w:tcPr>
          <w:p w14:paraId="253CC84C">
            <w:pPr>
              <w:keepNext w:val="0"/>
              <w:keepLines w:val="0"/>
              <w:kinsoku w:val="0"/>
              <w:autoSpaceDE w:val="0"/>
              <w:autoSpaceDN w:val="0"/>
              <w:bidi w:val="0"/>
              <w:adjustRightInd w:val="0"/>
              <w:snapToGrid w:val="0"/>
              <w:spacing w:line="331" w:lineRule="auto"/>
              <w:jc w:val="left"/>
              <w:textAlignment w:val="baseline"/>
              <w:rPr>
                <w:rFonts w:hint="eastAsia" w:ascii="宋体" w:hAnsi="宋体" w:eastAsia="宋体" w:cs="宋体"/>
                <w:snapToGrid w:val="0"/>
                <w:color w:val="auto"/>
                <w:kern w:val="0"/>
                <w:sz w:val="21"/>
                <w:szCs w:val="21"/>
                <w:highlight w:val="none"/>
                <w:lang w:eastAsia="en-US"/>
              </w:rPr>
            </w:pPr>
          </w:p>
          <w:p w14:paraId="315512AE">
            <w:pPr>
              <w:keepNext w:val="0"/>
              <w:keepLines w:val="0"/>
              <w:kinsoku w:val="0"/>
              <w:autoSpaceDE w:val="0"/>
              <w:autoSpaceDN w:val="0"/>
              <w:bidi w:val="0"/>
              <w:adjustRightInd w:val="0"/>
              <w:snapToGrid w:val="0"/>
              <w:spacing w:before="65" w:line="229" w:lineRule="auto"/>
              <w:ind w:left="6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联系方式</w:t>
            </w:r>
          </w:p>
        </w:tc>
        <w:tc>
          <w:tcPr>
            <w:tcW w:w="897" w:type="dxa"/>
            <w:noWrap w:val="0"/>
            <w:vAlign w:val="top"/>
          </w:tcPr>
          <w:p w14:paraId="4406458F">
            <w:pPr>
              <w:keepNext w:val="0"/>
              <w:keepLines w:val="0"/>
              <w:kinsoku w:val="0"/>
              <w:autoSpaceDE w:val="0"/>
              <w:autoSpaceDN w:val="0"/>
              <w:bidi w:val="0"/>
              <w:adjustRightInd w:val="0"/>
              <w:snapToGrid w:val="0"/>
              <w:spacing w:before="173" w:line="230" w:lineRule="auto"/>
              <w:ind w:left="13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联系人</w:t>
            </w:r>
          </w:p>
        </w:tc>
        <w:tc>
          <w:tcPr>
            <w:tcW w:w="2311" w:type="dxa"/>
            <w:gridSpan w:val="2"/>
            <w:noWrap w:val="0"/>
            <w:vAlign w:val="top"/>
          </w:tcPr>
          <w:p w14:paraId="59977A9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286" w:type="dxa"/>
            <w:gridSpan w:val="2"/>
            <w:noWrap w:val="0"/>
            <w:vAlign w:val="top"/>
          </w:tcPr>
          <w:p w14:paraId="106CDB8C">
            <w:pPr>
              <w:keepNext w:val="0"/>
              <w:keepLines w:val="0"/>
              <w:kinsoku w:val="0"/>
              <w:autoSpaceDE w:val="0"/>
              <w:autoSpaceDN w:val="0"/>
              <w:bidi w:val="0"/>
              <w:adjustRightInd w:val="0"/>
              <w:snapToGrid w:val="0"/>
              <w:spacing w:before="173" w:line="230" w:lineRule="auto"/>
              <w:ind w:left="4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2"/>
                <w:kern w:val="0"/>
                <w:sz w:val="21"/>
                <w:szCs w:val="21"/>
                <w:highlight w:val="none"/>
                <w:lang w:eastAsia="en-US"/>
              </w:rPr>
              <w:t>电话</w:t>
            </w:r>
          </w:p>
        </w:tc>
        <w:tc>
          <w:tcPr>
            <w:tcW w:w="2494" w:type="dxa"/>
            <w:gridSpan w:val="3"/>
            <w:noWrap w:val="0"/>
            <w:vAlign w:val="top"/>
          </w:tcPr>
          <w:p w14:paraId="27667386">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5D696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Merge w:val="continue"/>
            <w:tcBorders>
              <w:top w:val="nil"/>
            </w:tcBorders>
            <w:noWrap w:val="0"/>
            <w:vAlign w:val="top"/>
          </w:tcPr>
          <w:p w14:paraId="4BC04B7C">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897" w:type="dxa"/>
            <w:noWrap w:val="0"/>
            <w:vAlign w:val="top"/>
          </w:tcPr>
          <w:p w14:paraId="2960C5AB">
            <w:pPr>
              <w:keepNext w:val="0"/>
              <w:keepLines w:val="0"/>
              <w:kinsoku w:val="0"/>
              <w:autoSpaceDE w:val="0"/>
              <w:autoSpaceDN w:val="0"/>
              <w:bidi w:val="0"/>
              <w:adjustRightInd w:val="0"/>
              <w:snapToGrid w:val="0"/>
              <w:spacing w:before="174" w:line="227" w:lineRule="auto"/>
              <w:ind w:left="13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传真</w:t>
            </w:r>
          </w:p>
        </w:tc>
        <w:tc>
          <w:tcPr>
            <w:tcW w:w="2311" w:type="dxa"/>
            <w:gridSpan w:val="2"/>
            <w:noWrap w:val="0"/>
            <w:vAlign w:val="top"/>
          </w:tcPr>
          <w:p w14:paraId="71BFB760">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286" w:type="dxa"/>
            <w:gridSpan w:val="2"/>
            <w:noWrap w:val="0"/>
            <w:vAlign w:val="top"/>
          </w:tcPr>
          <w:p w14:paraId="60435B64">
            <w:pPr>
              <w:keepNext w:val="0"/>
              <w:keepLines w:val="0"/>
              <w:kinsoku w:val="0"/>
              <w:autoSpaceDE w:val="0"/>
              <w:autoSpaceDN w:val="0"/>
              <w:bidi w:val="0"/>
              <w:adjustRightInd w:val="0"/>
              <w:snapToGrid w:val="0"/>
              <w:spacing w:before="174" w:line="228" w:lineRule="auto"/>
              <w:ind w:left="25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电子邮件</w:t>
            </w:r>
          </w:p>
        </w:tc>
        <w:tc>
          <w:tcPr>
            <w:tcW w:w="2494" w:type="dxa"/>
            <w:gridSpan w:val="3"/>
            <w:noWrap w:val="0"/>
            <w:vAlign w:val="top"/>
          </w:tcPr>
          <w:p w14:paraId="23BBF127">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645CC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5C01CCD7">
            <w:pPr>
              <w:keepNext w:val="0"/>
              <w:keepLines w:val="0"/>
              <w:kinsoku w:val="0"/>
              <w:autoSpaceDE w:val="0"/>
              <w:autoSpaceDN w:val="0"/>
              <w:bidi w:val="0"/>
              <w:adjustRightInd w:val="0"/>
              <w:snapToGrid w:val="0"/>
              <w:spacing w:before="172" w:line="228" w:lineRule="auto"/>
              <w:ind w:left="50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法定代表人</w:t>
            </w:r>
          </w:p>
        </w:tc>
        <w:tc>
          <w:tcPr>
            <w:tcW w:w="897" w:type="dxa"/>
            <w:noWrap w:val="0"/>
            <w:vAlign w:val="top"/>
          </w:tcPr>
          <w:p w14:paraId="545660ED">
            <w:pPr>
              <w:keepNext w:val="0"/>
              <w:keepLines w:val="0"/>
              <w:kinsoku w:val="0"/>
              <w:autoSpaceDE w:val="0"/>
              <w:autoSpaceDN w:val="0"/>
              <w:bidi w:val="0"/>
              <w:adjustRightInd w:val="0"/>
              <w:snapToGrid w:val="0"/>
              <w:spacing w:before="172" w:line="228" w:lineRule="auto"/>
              <w:ind w:left="24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姓名</w:t>
            </w:r>
          </w:p>
        </w:tc>
        <w:tc>
          <w:tcPr>
            <w:tcW w:w="1025" w:type="dxa"/>
            <w:noWrap w:val="0"/>
            <w:vAlign w:val="top"/>
          </w:tcPr>
          <w:p w14:paraId="10027DC3">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286" w:type="dxa"/>
            <w:noWrap w:val="0"/>
            <w:vAlign w:val="top"/>
          </w:tcPr>
          <w:p w14:paraId="5DBB5E1B">
            <w:pPr>
              <w:keepNext w:val="0"/>
              <w:keepLines w:val="0"/>
              <w:kinsoku w:val="0"/>
              <w:autoSpaceDE w:val="0"/>
              <w:autoSpaceDN w:val="0"/>
              <w:bidi w:val="0"/>
              <w:adjustRightInd w:val="0"/>
              <w:snapToGrid w:val="0"/>
              <w:spacing w:before="172" w:line="228" w:lineRule="auto"/>
              <w:ind w:left="22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技术职称</w:t>
            </w:r>
          </w:p>
        </w:tc>
        <w:tc>
          <w:tcPr>
            <w:tcW w:w="1286" w:type="dxa"/>
            <w:gridSpan w:val="2"/>
            <w:noWrap w:val="0"/>
            <w:vAlign w:val="top"/>
          </w:tcPr>
          <w:p w14:paraId="7F058E47">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112" w:type="dxa"/>
            <w:gridSpan w:val="2"/>
            <w:noWrap w:val="0"/>
            <w:vAlign w:val="top"/>
          </w:tcPr>
          <w:p w14:paraId="004BA763">
            <w:pPr>
              <w:keepNext w:val="0"/>
              <w:keepLines w:val="0"/>
              <w:kinsoku w:val="0"/>
              <w:autoSpaceDE w:val="0"/>
              <w:autoSpaceDN w:val="0"/>
              <w:bidi w:val="0"/>
              <w:adjustRightInd w:val="0"/>
              <w:snapToGrid w:val="0"/>
              <w:spacing w:before="173" w:line="230" w:lineRule="auto"/>
              <w:ind w:left="37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电话</w:t>
            </w:r>
          </w:p>
        </w:tc>
        <w:tc>
          <w:tcPr>
            <w:tcW w:w="1382" w:type="dxa"/>
            <w:noWrap w:val="0"/>
            <w:vAlign w:val="top"/>
          </w:tcPr>
          <w:p w14:paraId="656A3108">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0A112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13AF3160">
            <w:pPr>
              <w:keepNext w:val="0"/>
              <w:keepLines w:val="0"/>
              <w:kinsoku w:val="0"/>
              <w:autoSpaceDE w:val="0"/>
              <w:autoSpaceDN w:val="0"/>
              <w:bidi w:val="0"/>
              <w:adjustRightInd w:val="0"/>
              <w:snapToGrid w:val="0"/>
              <w:spacing w:before="174" w:line="228" w:lineRule="auto"/>
              <w:ind w:left="50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技术负责人</w:t>
            </w:r>
          </w:p>
        </w:tc>
        <w:tc>
          <w:tcPr>
            <w:tcW w:w="897" w:type="dxa"/>
            <w:noWrap w:val="0"/>
            <w:vAlign w:val="top"/>
          </w:tcPr>
          <w:p w14:paraId="5DB03289">
            <w:pPr>
              <w:keepNext w:val="0"/>
              <w:keepLines w:val="0"/>
              <w:kinsoku w:val="0"/>
              <w:autoSpaceDE w:val="0"/>
              <w:autoSpaceDN w:val="0"/>
              <w:bidi w:val="0"/>
              <w:adjustRightInd w:val="0"/>
              <w:snapToGrid w:val="0"/>
              <w:spacing w:before="174" w:line="228" w:lineRule="auto"/>
              <w:ind w:left="24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姓名</w:t>
            </w:r>
          </w:p>
        </w:tc>
        <w:tc>
          <w:tcPr>
            <w:tcW w:w="1025" w:type="dxa"/>
            <w:noWrap w:val="0"/>
            <w:vAlign w:val="top"/>
          </w:tcPr>
          <w:p w14:paraId="3F18B265">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286" w:type="dxa"/>
            <w:noWrap w:val="0"/>
            <w:vAlign w:val="top"/>
          </w:tcPr>
          <w:p w14:paraId="7CD9892A">
            <w:pPr>
              <w:keepNext w:val="0"/>
              <w:keepLines w:val="0"/>
              <w:kinsoku w:val="0"/>
              <w:autoSpaceDE w:val="0"/>
              <w:autoSpaceDN w:val="0"/>
              <w:bidi w:val="0"/>
              <w:adjustRightInd w:val="0"/>
              <w:snapToGrid w:val="0"/>
              <w:spacing w:before="174" w:line="228" w:lineRule="auto"/>
              <w:ind w:left="22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技术职称</w:t>
            </w:r>
          </w:p>
        </w:tc>
        <w:tc>
          <w:tcPr>
            <w:tcW w:w="1286" w:type="dxa"/>
            <w:gridSpan w:val="2"/>
            <w:noWrap w:val="0"/>
            <w:vAlign w:val="top"/>
          </w:tcPr>
          <w:p w14:paraId="253D34EE">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112" w:type="dxa"/>
            <w:gridSpan w:val="2"/>
            <w:noWrap w:val="0"/>
            <w:vAlign w:val="top"/>
          </w:tcPr>
          <w:p w14:paraId="72C6D296">
            <w:pPr>
              <w:keepNext w:val="0"/>
              <w:keepLines w:val="0"/>
              <w:kinsoku w:val="0"/>
              <w:autoSpaceDE w:val="0"/>
              <w:autoSpaceDN w:val="0"/>
              <w:bidi w:val="0"/>
              <w:adjustRightInd w:val="0"/>
              <w:snapToGrid w:val="0"/>
              <w:spacing w:before="174" w:line="230" w:lineRule="auto"/>
              <w:ind w:left="37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电话</w:t>
            </w:r>
          </w:p>
        </w:tc>
        <w:tc>
          <w:tcPr>
            <w:tcW w:w="1382" w:type="dxa"/>
            <w:noWrap w:val="0"/>
            <w:vAlign w:val="top"/>
          </w:tcPr>
          <w:p w14:paraId="509BDF16">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02C6D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7202E1AB">
            <w:pPr>
              <w:keepNext w:val="0"/>
              <w:keepLines w:val="0"/>
              <w:kinsoku w:val="0"/>
              <w:autoSpaceDE w:val="0"/>
              <w:autoSpaceDN w:val="0"/>
              <w:bidi w:val="0"/>
              <w:adjustRightInd w:val="0"/>
              <w:snapToGrid w:val="0"/>
              <w:spacing w:before="173" w:line="227" w:lineRule="auto"/>
              <w:ind w:left="1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企业监理资质证书</w:t>
            </w:r>
          </w:p>
        </w:tc>
        <w:tc>
          <w:tcPr>
            <w:tcW w:w="6988" w:type="dxa"/>
            <w:gridSpan w:val="8"/>
            <w:noWrap w:val="0"/>
            <w:vAlign w:val="top"/>
          </w:tcPr>
          <w:p w14:paraId="2A7058C0">
            <w:pPr>
              <w:keepNext w:val="0"/>
              <w:keepLines w:val="0"/>
              <w:kinsoku w:val="0"/>
              <w:autoSpaceDE w:val="0"/>
              <w:autoSpaceDN w:val="0"/>
              <w:bidi w:val="0"/>
              <w:adjustRightInd w:val="0"/>
              <w:snapToGrid w:val="0"/>
              <w:spacing w:before="173" w:line="227" w:lineRule="auto"/>
              <w:ind w:left="106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类型：等级：证书号：</w:t>
            </w:r>
          </w:p>
        </w:tc>
      </w:tr>
      <w:tr w14:paraId="23ED58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71E6F4A2">
            <w:pPr>
              <w:keepNext w:val="0"/>
              <w:keepLines w:val="0"/>
              <w:kinsoku w:val="0"/>
              <w:autoSpaceDE w:val="0"/>
              <w:autoSpaceDN w:val="0"/>
              <w:bidi w:val="0"/>
              <w:adjustRightInd w:val="0"/>
              <w:snapToGrid w:val="0"/>
              <w:spacing w:before="174" w:line="227" w:lineRule="auto"/>
              <w:ind w:left="19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统一社会信用代码</w:t>
            </w:r>
          </w:p>
        </w:tc>
        <w:tc>
          <w:tcPr>
            <w:tcW w:w="3208" w:type="dxa"/>
            <w:gridSpan w:val="3"/>
            <w:noWrap w:val="0"/>
            <w:vAlign w:val="top"/>
          </w:tcPr>
          <w:p w14:paraId="074C2428">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3780" w:type="dxa"/>
            <w:gridSpan w:val="5"/>
            <w:noWrap w:val="0"/>
            <w:vAlign w:val="top"/>
          </w:tcPr>
          <w:p w14:paraId="6B9EEFCE">
            <w:pPr>
              <w:keepNext w:val="0"/>
              <w:keepLines w:val="0"/>
              <w:kinsoku w:val="0"/>
              <w:autoSpaceDE w:val="0"/>
              <w:autoSpaceDN w:val="0"/>
              <w:bidi w:val="0"/>
              <w:adjustRightInd w:val="0"/>
              <w:snapToGrid w:val="0"/>
              <w:spacing w:before="174" w:line="228" w:lineRule="auto"/>
              <w:ind w:left="119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5"/>
                <w:kern w:val="0"/>
                <w:sz w:val="21"/>
                <w:szCs w:val="21"/>
                <w:highlight w:val="none"/>
                <w:lang w:eastAsia="en-US"/>
              </w:rPr>
              <w:t>员工总人数：</w:t>
            </w:r>
          </w:p>
        </w:tc>
      </w:tr>
      <w:tr w14:paraId="5D67A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0" w:type="dxa"/>
            <w:noWrap w:val="0"/>
            <w:vAlign w:val="top"/>
          </w:tcPr>
          <w:p w14:paraId="05793A6A">
            <w:pPr>
              <w:keepNext w:val="0"/>
              <w:keepLines w:val="0"/>
              <w:kinsoku w:val="0"/>
              <w:autoSpaceDE w:val="0"/>
              <w:autoSpaceDN w:val="0"/>
              <w:bidi w:val="0"/>
              <w:adjustRightInd w:val="0"/>
              <w:snapToGrid w:val="0"/>
              <w:spacing w:before="173" w:line="227" w:lineRule="auto"/>
              <w:ind w:left="60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注册资本</w:t>
            </w:r>
          </w:p>
        </w:tc>
        <w:tc>
          <w:tcPr>
            <w:tcW w:w="3208" w:type="dxa"/>
            <w:gridSpan w:val="3"/>
            <w:noWrap w:val="0"/>
            <w:vAlign w:val="top"/>
          </w:tcPr>
          <w:p w14:paraId="5BAE1815">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14" w:type="dxa"/>
            <w:vMerge w:val="restart"/>
            <w:tcBorders>
              <w:bottom w:val="nil"/>
            </w:tcBorders>
            <w:noWrap w:val="0"/>
            <w:textDirection w:val="tbRlV"/>
            <w:vAlign w:val="top"/>
          </w:tcPr>
          <w:p w14:paraId="66080B6F">
            <w:pPr>
              <w:keepNext w:val="0"/>
              <w:keepLines w:val="0"/>
              <w:kinsoku w:val="0"/>
              <w:autoSpaceDE w:val="0"/>
              <w:autoSpaceDN w:val="0"/>
              <w:bidi w:val="0"/>
              <w:adjustRightInd w:val="0"/>
              <w:snapToGrid w:val="0"/>
              <w:spacing w:before="91" w:line="216" w:lineRule="auto"/>
              <w:ind w:left="62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其中</w:t>
            </w:r>
          </w:p>
        </w:tc>
        <w:tc>
          <w:tcPr>
            <w:tcW w:w="1700" w:type="dxa"/>
            <w:gridSpan w:val="2"/>
            <w:noWrap w:val="0"/>
            <w:vAlign w:val="top"/>
          </w:tcPr>
          <w:p w14:paraId="6934271D">
            <w:pPr>
              <w:keepNext w:val="0"/>
              <w:keepLines w:val="0"/>
              <w:kinsoku w:val="0"/>
              <w:autoSpaceDE w:val="0"/>
              <w:autoSpaceDN w:val="0"/>
              <w:bidi w:val="0"/>
              <w:adjustRightInd w:val="0"/>
              <w:snapToGrid w:val="0"/>
              <w:spacing w:before="172" w:line="228" w:lineRule="auto"/>
              <w:ind w:left="2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高级职称人员</w:t>
            </w:r>
          </w:p>
        </w:tc>
        <w:tc>
          <w:tcPr>
            <w:tcW w:w="1666" w:type="dxa"/>
            <w:gridSpan w:val="2"/>
            <w:noWrap w:val="0"/>
            <w:vAlign w:val="top"/>
          </w:tcPr>
          <w:p w14:paraId="1BF3A23D">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55D3C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3F34575F">
            <w:pPr>
              <w:keepNext w:val="0"/>
              <w:keepLines w:val="0"/>
              <w:kinsoku w:val="0"/>
              <w:autoSpaceDE w:val="0"/>
              <w:autoSpaceDN w:val="0"/>
              <w:bidi w:val="0"/>
              <w:adjustRightInd w:val="0"/>
              <w:snapToGrid w:val="0"/>
              <w:spacing w:before="175" w:line="228" w:lineRule="auto"/>
              <w:ind w:left="6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成立日期</w:t>
            </w:r>
          </w:p>
        </w:tc>
        <w:tc>
          <w:tcPr>
            <w:tcW w:w="3208" w:type="dxa"/>
            <w:gridSpan w:val="3"/>
            <w:noWrap w:val="0"/>
            <w:vAlign w:val="top"/>
          </w:tcPr>
          <w:p w14:paraId="7FC06909">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14" w:type="dxa"/>
            <w:vMerge w:val="continue"/>
            <w:tcBorders>
              <w:top w:val="nil"/>
              <w:bottom w:val="nil"/>
            </w:tcBorders>
            <w:noWrap w:val="0"/>
            <w:textDirection w:val="tbRlV"/>
            <w:vAlign w:val="top"/>
          </w:tcPr>
          <w:p w14:paraId="580AC2F7">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700" w:type="dxa"/>
            <w:gridSpan w:val="2"/>
            <w:noWrap w:val="0"/>
            <w:vAlign w:val="top"/>
          </w:tcPr>
          <w:p w14:paraId="7E5362F2">
            <w:pPr>
              <w:keepNext w:val="0"/>
              <w:keepLines w:val="0"/>
              <w:kinsoku w:val="0"/>
              <w:autoSpaceDE w:val="0"/>
              <w:autoSpaceDN w:val="0"/>
              <w:bidi w:val="0"/>
              <w:adjustRightInd w:val="0"/>
              <w:snapToGrid w:val="0"/>
              <w:spacing w:before="175" w:line="228" w:lineRule="auto"/>
              <w:ind w:left="24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中级职称人员</w:t>
            </w:r>
          </w:p>
        </w:tc>
        <w:tc>
          <w:tcPr>
            <w:tcW w:w="1666" w:type="dxa"/>
            <w:gridSpan w:val="2"/>
            <w:noWrap w:val="0"/>
            <w:vAlign w:val="top"/>
          </w:tcPr>
          <w:p w14:paraId="78B79152">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5F054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5138CAFA">
            <w:pPr>
              <w:keepNext w:val="0"/>
              <w:keepLines w:val="0"/>
              <w:kinsoku w:val="0"/>
              <w:autoSpaceDE w:val="0"/>
              <w:autoSpaceDN w:val="0"/>
              <w:bidi w:val="0"/>
              <w:adjustRightInd w:val="0"/>
              <w:snapToGrid w:val="0"/>
              <w:spacing w:before="174" w:line="227" w:lineRule="auto"/>
              <w:ind w:left="18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基本账户开户银行</w:t>
            </w:r>
          </w:p>
        </w:tc>
        <w:tc>
          <w:tcPr>
            <w:tcW w:w="3208" w:type="dxa"/>
            <w:gridSpan w:val="3"/>
            <w:noWrap w:val="0"/>
            <w:vAlign w:val="top"/>
          </w:tcPr>
          <w:p w14:paraId="5ED3A99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14" w:type="dxa"/>
            <w:vMerge w:val="continue"/>
            <w:tcBorders>
              <w:top w:val="nil"/>
              <w:bottom w:val="nil"/>
            </w:tcBorders>
            <w:noWrap w:val="0"/>
            <w:textDirection w:val="tbRlV"/>
            <w:vAlign w:val="top"/>
          </w:tcPr>
          <w:p w14:paraId="69047407">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700" w:type="dxa"/>
            <w:gridSpan w:val="2"/>
            <w:noWrap w:val="0"/>
            <w:vAlign w:val="top"/>
          </w:tcPr>
          <w:p w14:paraId="213B46FC">
            <w:pPr>
              <w:keepNext w:val="0"/>
              <w:keepLines w:val="0"/>
              <w:kinsoku w:val="0"/>
              <w:autoSpaceDE w:val="0"/>
              <w:autoSpaceDN w:val="0"/>
              <w:bidi w:val="0"/>
              <w:adjustRightInd w:val="0"/>
              <w:snapToGrid w:val="0"/>
              <w:spacing w:before="173" w:line="228" w:lineRule="auto"/>
              <w:ind w:left="22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技术人员数量</w:t>
            </w:r>
          </w:p>
        </w:tc>
        <w:tc>
          <w:tcPr>
            <w:tcW w:w="1666" w:type="dxa"/>
            <w:gridSpan w:val="2"/>
            <w:noWrap w:val="0"/>
            <w:vAlign w:val="top"/>
          </w:tcPr>
          <w:p w14:paraId="31AA68C4">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2D52D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6CE29B23">
            <w:pPr>
              <w:keepNext w:val="0"/>
              <w:keepLines w:val="0"/>
              <w:kinsoku w:val="0"/>
              <w:autoSpaceDE w:val="0"/>
              <w:autoSpaceDN w:val="0"/>
              <w:bidi w:val="0"/>
              <w:adjustRightInd w:val="0"/>
              <w:snapToGrid w:val="0"/>
              <w:spacing w:before="175" w:line="227" w:lineRule="auto"/>
              <w:ind w:left="18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基本账户银行账号</w:t>
            </w:r>
          </w:p>
        </w:tc>
        <w:tc>
          <w:tcPr>
            <w:tcW w:w="3208" w:type="dxa"/>
            <w:gridSpan w:val="3"/>
            <w:noWrap w:val="0"/>
            <w:vAlign w:val="top"/>
          </w:tcPr>
          <w:p w14:paraId="40091AB6">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14" w:type="dxa"/>
            <w:vMerge w:val="continue"/>
            <w:tcBorders>
              <w:top w:val="nil"/>
            </w:tcBorders>
            <w:noWrap w:val="0"/>
            <w:textDirection w:val="tbRlV"/>
            <w:vAlign w:val="top"/>
          </w:tcPr>
          <w:p w14:paraId="0A9C9892">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700" w:type="dxa"/>
            <w:gridSpan w:val="2"/>
            <w:noWrap w:val="0"/>
            <w:vAlign w:val="top"/>
          </w:tcPr>
          <w:p w14:paraId="26B68C3E">
            <w:pPr>
              <w:keepNext w:val="0"/>
              <w:keepLines w:val="0"/>
              <w:kinsoku w:val="0"/>
              <w:autoSpaceDE w:val="0"/>
              <w:autoSpaceDN w:val="0"/>
              <w:bidi w:val="0"/>
              <w:adjustRightInd w:val="0"/>
              <w:snapToGrid w:val="0"/>
              <w:spacing w:before="175" w:line="228" w:lineRule="auto"/>
              <w:ind w:left="23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各类注册人员</w:t>
            </w:r>
          </w:p>
        </w:tc>
        <w:tc>
          <w:tcPr>
            <w:tcW w:w="1666" w:type="dxa"/>
            <w:gridSpan w:val="2"/>
            <w:noWrap w:val="0"/>
            <w:vAlign w:val="top"/>
          </w:tcPr>
          <w:p w14:paraId="2739D872">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792AF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600BD04C">
            <w:pPr>
              <w:keepNext w:val="0"/>
              <w:keepLines w:val="0"/>
              <w:kinsoku w:val="0"/>
              <w:autoSpaceDE w:val="0"/>
              <w:autoSpaceDN w:val="0"/>
              <w:bidi w:val="0"/>
              <w:adjustRightInd w:val="0"/>
              <w:snapToGrid w:val="0"/>
              <w:spacing w:before="174" w:line="228" w:lineRule="auto"/>
              <w:ind w:left="71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经营范围</w:t>
            </w:r>
          </w:p>
        </w:tc>
        <w:tc>
          <w:tcPr>
            <w:tcW w:w="6988" w:type="dxa"/>
            <w:gridSpan w:val="8"/>
            <w:noWrap w:val="0"/>
            <w:vAlign w:val="top"/>
          </w:tcPr>
          <w:p w14:paraId="34CEF45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7DC31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2" w:hRule="atLeast"/>
        </w:trPr>
        <w:tc>
          <w:tcPr>
            <w:tcW w:w="2050" w:type="dxa"/>
            <w:noWrap w:val="0"/>
            <w:vAlign w:val="center"/>
          </w:tcPr>
          <w:p w14:paraId="29CAD2EA">
            <w:pPr>
              <w:keepNext w:val="0"/>
              <w:keepLines w:val="0"/>
              <w:kinsoku w:val="0"/>
              <w:autoSpaceDE w:val="0"/>
              <w:autoSpaceDN w:val="0"/>
              <w:bidi w:val="0"/>
              <w:adjustRightInd w:val="0"/>
              <w:snapToGrid w:val="0"/>
              <w:spacing w:line="228" w:lineRule="auto"/>
              <w:ind w:left="726" w:leftChars="0" w:hanging="726" w:hangingChars="346"/>
              <w:jc w:val="center"/>
              <w:textAlignment w:val="baseline"/>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投标人关联企业情况</w:t>
            </w:r>
          </w:p>
        </w:tc>
        <w:tc>
          <w:tcPr>
            <w:tcW w:w="6988" w:type="dxa"/>
            <w:gridSpan w:val="8"/>
            <w:noWrap w:val="0"/>
            <w:vAlign w:val="top"/>
          </w:tcPr>
          <w:p w14:paraId="5690B51B">
            <w:pPr>
              <w:keepNext w:val="0"/>
              <w:keepLines w:val="0"/>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投标人应提供关联企业情况，包括：</w:t>
            </w:r>
          </w:p>
          <w:p w14:paraId="41C54649">
            <w:pPr>
              <w:keepNext w:val="0"/>
              <w:keepLines w:val="0"/>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（1）投标人的所有股东名称及相应股权（出资额）比例；如投标人为上市公司，投标人应提供股权占公司股份总数%以上的所有股东名称及相应股权比例；</w:t>
            </w:r>
          </w:p>
          <w:p w14:paraId="7642DF1E">
            <w:pPr>
              <w:keepNext w:val="0"/>
              <w:keepLines w:val="0"/>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（2）投标人投资（控股）或管理的下属企业名称、持有股权（出资额）比例；</w:t>
            </w:r>
          </w:p>
          <w:p w14:paraId="0B426062">
            <w:pPr>
              <w:keepNext w:val="0"/>
              <w:keepLines w:val="0"/>
              <w:bidi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rPr>
              <w:t>（3）与投标人单位负责人（即法定代表人）为同一人的其他单位名称。</w:t>
            </w:r>
          </w:p>
        </w:tc>
      </w:tr>
      <w:tr w14:paraId="29F7E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2050" w:type="dxa"/>
            <w:noWrap w:val="0"/>
            <w:vAlign w:val="top"/>
          </w:tcPr>
          <w:p w14:paraId="2608B800">
            <w:pPr>
              <w:keepNext w:val="0"/>
              <w:keepLines w:val="0"/>
              <w:kinsoku w:val="0"/>
              <w:autoSpaceDE w:val="0"/>
              <w:autoSpaceDN w:val="0"/>
              <w:bidi w:val="0"/>
              <w:adjustRightInd w:val="0"/>
              <w:snapToGrid w:val="0"/>
              <w:spacing w:before="175" w:line="229" w:lineRule="auto"/>
              <w:ind w:left="82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备注</w:t>
            </w:r>
          </w:p>
        </w:tc>
        <w:tc>
          <w:tcPr>
            <w:tcW w:w="6988" w:type="dxa"/>
            <w:gridSpan w:val="8"/>
            <w:noWrap w:val="0"/>
            <w:vAlign w:val="top"/>
          </w:tcPr>
          <w:p w14:paraId="2CAB43B5">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bl>
    <w:p w14:paraId="7E9CCBBE">
      <w:pPr>
        <w:keepNext w:val="0"/>
        <w:keepLines w:val="0"/>
        <w:bidi w:val="0"/>
        <w:rPr>
          <w:rFonts w:hint="eastAsia" w:ascii="宋体" w:hAnsi="宋体" w:eastAsia="宋体" w:cs="宋体"/>
          <w:color w:val="auto"/>
        </w:rPr>
      </w:pPr>
      <w:r>
        <w:rPr>
          <w:rFonts w:hint="eastAsia" w:ascii="宋体" w:hAnsi="宋体" w:eastAsia="宋体" w:cs="宋体"/>
          <w:color w:val="auto"/>
        </w:rPr>
        <w:t>注：投标人应根据招标文件第二章“投标人须知”第3.5.1项的要求在本表后附相关证明材料。</w:t>
      </w:r>
    </w:p>
    <w:p w14:paraId="656A4195">
      <w:pPr>
        <w:keepNext w:val="0"/>
        <w:keepLines w:val="0"/>
        <w:widowControl w:val="0"/>
        <w:kinsoku w:val="0"/>
        <w:overflowPunct w:val="0"/>
        <w:autoSpaceDE w:val="0"/>
        <w:autoSpaceDN w:val="0"/>
        <w:bidi w:val="0"/>
        <w:adjustRightInd w:val="0"/>
        <w:spacing w:before="36"/>
        <w:ind w:left="609"/>
        <w:jc w:val="left"/>
        <w:rPr>
          <w:rFonts w:hint="eastAsia" w:ascii="宋体" w:hAnsi="宋体" w:eastAsia="宋体" w:cs="宋体"/>
          <w:color w:val="auto"/>
          <w:highlight w:val="none"/>
        </w:rPr>
        <w:sectPr>
          <w:pgSz w:w="11907" w:h="16838"/>
          <w:pgMar w:top="1134" w:right="1134" w:bottom="1134" w:left="1134" w:header="882" w:footer="1219" w:gutter="0"/>
          <w:lnNumType w:countBy="0" w:distance="360"/>
          <w:cols w:space="720" w:num="1"/>
        </w:sectPr>
      </w:pPr>
    </w:p>
    <w:p w14:paraId="1A8B5DEC">
      <w:pPr>
        <w:pStyle w:val="3"/>
        <w:keepNext w:val="0"/>
        <w:keepLines w:val="0"/>
        <w:kinsoku w:val="0"/>
        <w:overflowPunct w:val="0"/>
        <w:bidi w:val="0"/>
        <w:spacing w:line="340" w:lineRule="exact"/>
        <w:ind w:left="2835"/>
        <w:rPr>
          <w:rFonts w:hint="eastAsia" w:ascii="宋体" w:hAnsi="宋体" w:eastAsia="宋体" w:cs="宋体"/>
          <w:b/>
          <w:bCs/>
          <w:color w:val="auto"/>
          <w:sz w:val="20"/>
          <w:highlight w:val="none"/>
        </w:rPr>
      </w:pPr>
      <w:bookmarkStart w:id="651" w:name="bookmark140"/>
      <w:bookmarkEnd w:id="651"/>
      <w:r>
        <w:rPr>
          <w:rFonts w:hint="eastAsia" w:ascii="宋体" w:hAnsi="宋体" w:eastAsia="宋体" w:cs="宋体"/>
          <w:b/>
          <w:bCs/>
          <w:color w:val="auto"/>
          <w:highlight w:val="none"/>
        </w:rPr>
        <w:t>（二）投标人企业组织机构框图</w:t>
      </w:r>
    </w:p>
    <w:p w14:paraId="39CEE87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83B2DB">
      <w:pPr>
        <w:keepNext w:val="0"/>
        <w:keepLines w:val="0"/>
        <w:widowControl w:val="0"/>
        <w:kinsoku w:val="0"/>
        <w:overflowPunct w:val="0"/>
        <w:autoSpaceDE w:val="0"/>
        <w:autoSpaceDN w:val="0"/>
        <w:bidi w:val="0"/>
        <w:adjustRightInd w:val="0"/>
        <w:spacing w:before="7" w:line="220" w:lineRule="exact"/>
        <w:jc w:val="left"/>
        <w:rPr>
          <w:rFonts w:hint="eastAsia" w:ascii="宋体" w:hAnsi="宋体" w:eastAsia="宋体" w:cs="宋体"/>
          <w:color w:val="auto"/>
          <w:sz w:val="22"/>
          <w:highlight w:val="none"/>
        </w:rPr>
      </w:pPr>
    </w:p>
    <w:tbl>
      <w:tblPr>
        <w:tblStyle w:val="21"/>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570"/>
      </w:tblGrid>
      <w:tr w14:paraId="7B9AB3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89" w:hRule="atLeast"/>
        </w:trPr>
        <w:tc>
          <w:tcPr>
            <w:tcW w:w="9570" w:type="dxa"/>
            <w:tcBorders>
              <w:bottom w:val="single" w:color="auto" w:sz="6" w:space="0"/>
            </w:tcBorders>
            <w:noWrap w:val="0"/>
            <w:vAlign w:val="top"/>
          </w:tcPr>
          <w:p w14:paraId="596FC150">
            <w:pPr>
              <w:keepNext w:val="0"/>
              <w:keepLines w:val="0"/>
              <w:bidi w:val="0"/>
              <w:spacing w:line="400" w:lineRule="atLeast"/>
              <w:ind w:left="266" w:right="174" w:rightChars="83" w:firstLine="4"/>
              <w:rPr>
                <w:rFonts w:hint="eastAsia" w:ascii="宋体" w:hAnsi="宋体" w:eastAsia="宋体" w:cs="宋体"/>
                <w:color w:val="auto"/>
                <w:kern w:val="21"/>
                <w:szCs w:val="21"/>
                <w:highlight w:val="none"/>
              </w:rPr>
            </w:pPr>
          </w:p>
          <w:p w14:paraId="2EC39A8A">
            <w:pPr>
              <w:keepNext w:val="0"/>
              <w:keepLines w:val="0"/>
              <w:bidi w:val="0"/>
              <w:spacing w:line="520" w:lineRule="atLeast"/>
              <w:ind w:left="266" w:right="174" w:rightChars="83" w:firstLine="4"/>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以框图方式表示</w:t>
            </w:r>
          </w:p>
          <w:p w14:paraId="191D4DC5">
            <w:pPr>
              <w:keepNext w:val="0"/>
              <w:keepLines w:val="0"/>
              <w:bidi w:val="0"/>
              <w:spacing w:line="400" w:lineRule="atLeast"/>
              <w:ind w:right="174" w:rightChars="83" w:firstLine="4"/>
              <w:rPr>
                <w:rFonts w:hint="eastAsia" w:ascii="宋体" w:hAnsi="宋体" w:eastAsia="宋体" w:cs="宋体"/>
                <w:color w:val="auto"/>
                <w:kern w:val="21"/>
                <w:szCs w:val="21"/>
                <w:highlight w:val="none"/>
              </w:rPr>
            </w:pPr>
          </w:p>
        </w:tc>
      </w:tr>
      <w:tr w14:paraId="45FB1B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27" w:hRule="atLeast"/>
        </w:trPr>
        <w:tc>
          <w:tcPr>
            <w:tcW w:w="9570" w:type="dxa"/>
            <w:tcBorders>
              <w:bottom w:val="single" w:color="auto" w:sz="6" w:space="0"/>
            </w:tcBorders>
            <w:noWrap w:val="0"/>
            <w:vAlign w:val="top"/>
          </w:tcPr>
          <w:p w14:paraId="48FB1BB3">
            <w:pPr>
              <w:keepNext w:val="0"/>
              <w:keepLines w:val="0"/>
              <w:bidi w:val="0"/>
              <w:spacing w:line="400" w:lineRule="atLeast"/>
              <w:ind w:left="266" w:right="174" w:rightChars="83" w:firstLine="4"/>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说明</w:t>
            </w:r>
          </w:p>
          <w:p w14:paraId="0C24F1E7">
            <w:pPr>
              <w:keepNext w:val="0"/>
              <w:keepLines w:val="0"/>
              <w:bidi w:val="0"/>
              <w:spacing w:line="400" w:lineRule="atLeast"/>
              <w:ind w:left="266" w:right="174" w:rightChars="83" w:firstLine="4"/>
              <w:rPr>
                <w:rFonts w:hint="eastAsia" w:ascii="宋体" w:hAnsi="宋体" w:eastAsia="宋体" w:cs="宋体"/>
                <w:color w:val="auto"/>
                <w:kern w:val="21"/>
                <w:szCs w:val="21"/>
                <w:highlight w:val="none"/>
              </w:rPr>
            </w:pPr>
          </w:p>
        </w:tc>
      </w:tr>
    </w:tbl>
    <w:p w14:paraId="0283008C">
      <w:pPr>
        <w:keepNext w:val="0"/>
        <w:keepLines w:val="0"/>
        <w:widowControl w:val="0"/>
        <w:kinsoku w:val="0"/>
        <w:overflowPunct w:val="0"/>
        <w:autoSpaceDE w:val="0"/>
        <w:autoSpaceDN w:val="0"/>
        <w:bidi w:val="0"/>
        <w:adjustRightInd w:val="0"/>
        <w:spacing w:before="10" w:line="100" w:lineRule="exact"/>
        <w:jc w:val="left"/>
        <w:rPr>
          <w:rFonts w:hint="eastAsia" w:ascii="宋体" w:hAnsi="宋体" w:eastAsia="宋体" w:cs="宋体"/>
          <w:color w:val="auto"/>
          <w:sz w:val="10"/>
          <w:highlight w:val="none"/>
        </w:rPr>
      </w:pPr>
    </w:p>
    <w:p w14:paraId="18E0DF3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9B9573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326DF5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3A2C36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0EBCF9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AB412F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01B428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CC5C2E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408811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6C3CEE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71937F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1C342D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C56B3C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A8501F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78CC16C">
      <w:pPr>
        <w:pStyle w:val="3"/>
        <w:keepNext w:val="0"/>
        <w:keepLines w:val="0"/>
        <w:kinsoku w:val="0"/>
        <w:overflowPunct w:val="0"/>
        <w:bidi w:val="0"/>
        <w:spacing w:line="340" w:lineRule="exact"/>
        <w:ind w:left="2775"/>
        <w:rPr>
          <w:rFonts w:hint="eastAsia" w:ascii="宋体" w:hAnsi="宋体" w:eastAsia="宋体" w:cs="宋体"/>
          <w:color w:val="auto"/>
          <w:highlight w:val="none"/>
        </w:rPr>
      </w:pPr>
      <w:bookmarkStart w:id="652" w:name="bookmark141"/>
      <w:bookmarkEnd w:id="652"/>
      <w:bookmarkStart w:id="653" w:name="_Toc6505_WPSOffice_Level2"/>
      <w:r>
        <w:rPr>
          <w:rFonts w:hint="eastAsia" w:ascii="宋体" w:hAnsi="宋体" w:eastAsia="宋体" w:cs="宋体"/>
          <w:color w:val="auto"/>
          <w:highlight w:val="none"/>
        </w:rPr>
        <w:br w:type="page"/>
      </w:r>
      <w:r>
        <w:rPr>
          <w:rFonts w:hint="eastAsia" w:ascii="宋体" w:hAnsi="宋体" w:eastAsia="宋体" w:cs="宋体"/>
          <w:b/>
          <w:bCs/>
          <w:color w:val="auto"/>
          <w:highlight w:val="none"/>
        </w:rPr>
        <w:t>（三）近年完成的类似项目情况汇总表</w:t>
      </w:r>
      <w:bookmarkEnd w:id="653"/>
    </w:p>
    <w:p w14:paraId="364B23D3">
      <w:pPr>
        <w:keepNext w:val="0"/>
        <w:keepLines w:val="0"/>
        <w:widowControl w:val="0"/>
        <w:kinsoku w:val="0"/>
        <w:overflowPunct w:val="0"/>
        <w:autoSpaceDE w:val="0"/>
        <w:autoSpaceDN w:val="0"/>
        <w:bidi w:val="0"/>
        <w:adjustRightInd w:val="0"/>
        <w:spacing w:before="4" w:line="150" w:lineRule="exact"/>
        <w:jc w:val="left"/>
        <w:rPr>
          <w:rFonts w:hint="eastAsia" w:ascii="宋体" w:hAnsi="宋体" w:eastAsia="宋体" w:cs="宋体"/>
          <w:color w:val="auto"/>
          <w:sz w:val="15"/>
          <w:highlight w:val="none"/>
        </w:rPr>
      </w:pPr>
    </w:p>
    <w:p w14:paraId="73A15C5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689"/>
        <w:gridCol w:w="831"/>
        <w:gridCol w:w="831"/>
        <w:gridCol w:w="831"/>
        <w:gridCol w:w="734"/>
        <w:gridCol w:w="734"/>
        <w:gridCol w:w="734"/>
        <w:gridCol w:w="736"/>
        <w:gridCol w:w="1217"/>
        <w:gridCol w:w="831"/>
        <w:gridCol w:w="831"/>
      </w:tblGrid>
      <w:tr w14:paraId="75FA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571" w:type="dxa"/>
            <w:noWrap w:val="0"/>
            <w:vAlign w:val="center"/>
          </w:tcPr>
          <w:p w14:paraId="70178133">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689" w:type="dxa"/>
            <w:noWrap w:val="0"/>
            <w:vAlign w:val="center"/>
          </w:tcPr>
          <w:p w14:paraId="2DC65566">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w:t>
            </w:r>
          </w:p>
          <w:p w14:paraId="629BC9D9">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w:t>
            </w:r>
          </w:p>
        </w:tc>
        <w:tc>
          <w:tcPr>
            <w:tcW w:w="831" w:type="dxa"/>
            <w:noWrap w:val="0"/>
            <w:vAlign w:val="center"/>
          </w:tcPr>
          <w:p w14:paraId="6CEAB4B5">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新建/</w:t>
            </w:r>
          </w:p>
          <w:p w14:paraId="314817C4">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改扩建</w:t>
            </w:r>
          </w:p>
        </w:tc>
        <w:tc>
          <w:tcPr>
            <w:tcW w:w="831" w:type="dxa"/>
            <w:noWrap w:val="0"/>
            <w:vAlign w:val="center"/>
          </w:tcPr>
          <w:p w14:paraId="38E47D50">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公路</w:t>
            </w:r>
          </w:p>
          <w:p w14:paraId="2821402A">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等级</w:t>
            </w:r>
          </w:p>
        </w:tc>
        <w:tc>
          <w:tcPr>
            <w:tcW w:w="831" w:type="dxa"/>
            <w:noWrap w:val="0"/>
            <w:vAlign w:val="center"/>
          </w:tcPr>
          <w:p w14:paraId="38E669A1">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交工验收时间</w:t>
            </w:r>
          </w:p>
        </w:tc>
        <w:tc>
          <w:tcPr>
            <w:tcW w:w="734" w:type="dxa"/>
            <w:noWrap w:val="0"/>
            <w:vAlign w:val="center"/>
          </w:tcPr>
          <w:p w14:paraId="6C200E05">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路基</w:t>
            </w:r>
          </w:p>
          <w:p w14:paraId="56B56EAD">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（km）</w:t>
            </w:r>
          </w:p>
        </w:tc>
        <w:tc>
          <w:tcPr>
            <w:tcW w:w="734" w:type="dxa"/>
            <w:noWrap w:val="0"/>
            <w:vAlign w:val="center"/>
          </w:tcPr>
          <w:p w14:paraId="2DFF9024">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路面</w:t>
            </w:r>
          </w:p>
          <w:p w14:paraId="2E3BB206">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（km）</w:t>
            </w:r>
          </w:p>
        </w:tc>
        <w:tc>
          <w:tcPr>
            <w:tcW w:w="734" w:type="dxa"/>
            <w:noWrap w:val="0"/>
            <w:vAlign w:val="center"/>
          </w:tcPr>
          <w:p w14:paraId="2CE0DC7D">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桥梁</w:t>
            </w:r>
          </w:p>
          <w:p w14:paraId="4B8A5F21">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概况</w:t>
            </w:r>
          </w:p>
        </w:tc>
        <w:tc>
          <w:tcPr>
            <w:tcW w:w="736" w:type="dxa"/>
            <w:noWrap w:val="0"/>
            <w:vAlign w:val="center"/>
          </w:tcPr>
          <w:p w14:paraId="02642E57">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隧道</w:t>
            </w:r>
          </w:p>
          <w:p w14:paraId="7EB22DBA">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概况</w:t>
            </w:r>
          </w:p>
        </w:tc>
        <w:tc>
          <w:tcPr>
            <w:tcW w:w="1217" w:type="dxa"/>
            <w:noWrap w:val="0"/>
            <w:vAlign w:val="center"/>
          </w:tcPr>
          <w:p w14:paraId="1CEC7062">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交通安全</w:t>
            </w:r>
          </w:p>
          <w:p w14:paraId="75722E16">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设施工程</w:t>
            </w:r>
          </w:p>
          <w:p w14:paraId="0DDE28A5">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（km）</w:t>
            </w:r>
          </w:p>
        </w:tc>
        <w:tc>
          <w:tcPr>
            <w:tcW w:w="831" w:type="dxa"/>
            <w:noWrap w:val="0"/>
            <w:vAlign w:val="center"/>
          </w:tcPr>
          <w:p w14:paraId="62686155">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机电</w:t>
            </w:r>
          </w:p>
          <w:p w14:paraId="5A4055B5">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工程</w:t>
            </w:r>
          </w:p>
          <w:p w14:paraId="7BF22224">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（km）</w:t>
            </w:r>
          </w:p>
        </w:tc>
        <w:tc>
          <w:tcPr>
            <w:tcW w:w="831" w:type="dxa"/>
            <w:noWrap w:val="0"/>
            <w:vAlign w:val="center"/>
          </w:tcPr>
          <w:p w14:paraId="5A471E51">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证明资料所在页码</w:t>
            </w:r>
          </w:p>
        </w:tc>
      </w:tr>
      <w:tr w14:paraId="0A30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4F7275C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235E0CC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6BCE277">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ABA119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75DDF7E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6AA55EF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55C26E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62D4ADD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65F3B14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07AFD69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235B32D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740D4071">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6CB3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0D527FA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35063A54">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3EF907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CA3C6F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7FD565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2C28B69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15ACF6D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1792E98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2C7AB20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45D9748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148974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20550ECD">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3204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252083E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4B8E9AA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ED8398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515CC27">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0A3E19D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1EE39DD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3C1C7E8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3355B7A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5CE353F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0E9B8C4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78CDE8A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D413976">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76E4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469D43F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46F02FE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9ACFBE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6C72E8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B2CA7F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1C25402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1F344F6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7F61CD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41D6034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161B366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7EEBF8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2E54877">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3E15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7D36E7B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0A00BF0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15E956E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A112F2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C7F529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67D0894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338DA2C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0DCDCC7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17AFCB6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2E32B7B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957BF1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79BC245C">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7A4A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1187ED8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7C036A5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16E2A6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7F05E4F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2CB38F57">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0C95FE5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60A6863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22634211">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3307675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28B1C1C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80262E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01BFA4E">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5708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0F85CBA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259B5BE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7A857F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0D015F2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0B94E66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2479920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860944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87F87B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2D5E53A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3EDBB761">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61D456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F31AF06">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430A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209AB544">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66C4E39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1F12797">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EEB8C9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F9FD60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3AA74D1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43566451">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7B7EDE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40D428C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21C4D6E4">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F088ED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2C85F71">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155F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26F2D28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1B6F492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9BA0C7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CFC3EB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25EC6D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0B9FF5D7">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3DBC3B0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6DD27C1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46906DD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2F4B59A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9BF810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30E6C0D">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47FB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420888B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6EDB613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0BB4E94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D36507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BD077A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7C650C1">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6A8EC3C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288D8B4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12ED715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6175C38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B71ED5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5D2E04E">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3B55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1AF3CFD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3D5125C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136F7FD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2779FDD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EC48BE1">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796CCB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549A1181">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5BAB351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00A8689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6FAEE66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CA78F4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B8FBA0E">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5687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760B700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54C4D33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298A485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A6476D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AB26AE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3839D83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590B91A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4372B5D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7BDD425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0A7663F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2F4AB23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0EA5162E">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2DB6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2A8C62C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24A4F3A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592D91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0D124B8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70A97454">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16902DB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9214D0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1A0CB55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5C4F615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518F217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D00927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747A90AE">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7AB1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03E854D7">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0CE61724">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6B6EFD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0F8643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2E9908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6C698A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090F9F2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20B9B28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0BC05DD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7B73B2B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D7666D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D38656A">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bl>
    <w:p w14:paraId="4B188A9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DB3976F">
      <w:pPr>
        <w:pStyle w:val="6"/>
        <w:keepNext w:val="0"/>
        <w:keepLines w:val="0"/>
        <w:bidi w:val="0"/>
        <w:rPr>
          <w:rFonts w:hint="eastAsia" w:ascii="宋体" w:hAnsi="宋体" w:eastAsia="宋体" w:cs="宋体"/>
          <w:color w:val="auto"/>
          <w:highlight w:val="none"/>
        </w:rPr>
      </w:pPr>
    </w:p>
    <w:p w14:paraId="57C98652">
      <w:pPr>
        <w:keepNext w:val="0"/>
        <w:keepLines w:val="0"/>
        <w:bidi w:val="0"/>
        <w:rPr>
          <w:rFonts w:hint="eastAsia" w:ascii="宋体" w:hAnsi="宋体" w:eastAsia="宋体" w:cs="宋体"/>
          <w:color w:val="auto"/>
          <w:highlight w:val="none"/>
        </w:rPr>
      </w:pPr>
    </w:p>
    <w:p w14:paraId="00B450BB">
      <w:pPr>
        <w:pStyle w:val="6"/>
        <w:keepNext w:val="0"/>
        <w:keepLines w:val="0"/>
        <w:bidi w:val="0"/>
        <w:rPr>
          <w:rFonts w:hint="eastAsia" w:ascii="宋体" w:hAnsi="宋体" w:eastAsia="宋体" w:cs="宋体"/>
          <w:color w:val="auto"/>
          <w:highlight w:val="none"/>
        </w:rPr>
      </w:pPr>
    </w:p>
    <w:p w14:paraId="2693E863">
      <w:pPr>
        <w:keepNext w:val="0"/>
        <w:keepLines w:val="0"/>
        <w:bidi w:val="0"/>
        <w:rPr>
          <w:rFonts w:hint="eastAsia" w:ascii="宋体" w:hAnsi="宋体" w:eastAsia="宋体" w:cs="宋体"/>
          <w:color w:val="auto"/>
          <w:highlight w:val="none"/>
        </w:rPr>
      </w:pPr>
    </w:p>
    <w:p w14:paraId="7DD64C1E">
      <w:pPr>
        <w:pStyle w:val="6"/>
        <w:keepNext w:val="0"/>
        <w:keepLines w:val="0"/>
        <w:bidi w:val="0"/>
        <w:rPr>
          <w:rFonts w:hint="eastAsia" w:ascii="宋体" w:hAnsi="宋体" w:eastAsia="宋体" w:cs="宋体"/>
          <w:color w:val="auto"/>
          <w:highlight w:val="none"/>
        </w:rPr>
      </w:pPr>
    </w:p>
    <w:p w14:paraId="22ACCA51">
      <w:pPr>
        <w:keepNext w:val="0"/>
        <w:keepLines w:val="0"/>
        <w:bidi w:val="0"/>
        <w:rPr>
          <w:rFonts w:hint="eastAsia" w:ascii="宋体" w:hAnsi="宋体" w:eastAsia="宋体" w:cs="宋体"/>
          <w:color w:val="auto"/>
          <w:highlight w:val="none"/>
        </w:rPr>
      </w:pPr>
    </w:p>
    <w:p w14:paraId="3D31902C">
      <w:pPr>
        <w:pStyle w:val="6"/>
        <w:keepNext w:val="0"/>
        <w:keepLines w:val="0"/>
        <w:bidi w:val="0"/>
        <w:rPr>
          <w:rFonts w:hint="eastAsia" w:ascii="宋体" w:hAnsi="宋体" w:eastAsia="宋体" w:cs="宋体"/>
          <w:color w:val="auto"/>
          <w:highlight w:val="none"/>
        </w:rPr>
      </w:pPr>
    </w:p>
    <w:p w14:paraId="5A2C4865">
      <w:pPr>
        <w:keepNext w:val="0"/>
        <w:keepLines w:val="0"/>
        <w:bidi w:val="0"/>
        <w:rPr>
          <w:rFonts w:hint="eastAsia" w:ascii="宋体" w:hAnsi="宋体" w:eastAsia="宋体" w:cs="宋体"/>
          <w:color w:val="auto"/>
          <w:highlight w:val="none"/>
        </w:rPr>
      </w:pPr>
    </w:p>
    <w:p w14:paraId="48C39FEB">
      <w:pPr>
        <w:pStyle w:val="6"/>
        <w:keepNext w:val="0"/>
        <w:keepLines w:val="0"/>
        <w:bidi w:val="0"/>
        <w:rPr>
          <w:rFonts w:hint="eastAsia" w:ascii="宋体" w:hAnsi="宋体" w:eastAsia="宋体" w:cs="宋体"/>
          <w:color w:val="auto"/>
          <w:highlight w:val="none"/>
        </w:rPr>
      </w:pPr>
    </w:p>
    <w:p w14:paraId="427D06A2">
      <w:pPr>
        <w:keepNext w:val="0"/>
        <w:keepLines w:val="0"/>
        <w:bidi w:val="0"/>
        <w:rPr>
          <w:rFonts w:hint="eastAsia" w:ascii="宋体" w:hAnsi="宋体" w:eastAsia="宋体" w:cs="宋体"/>
          <w:color w:val="auto"/>
          <w:highlight w:val="none"/>
        </w:rPr>
      </w:pPr>
    </w:p>
    <w:p w14:paraId="51D2207F">
      <w:pPr>
        <w:pStyle w:val="6"/>
        <w:keepNext w:val="0"/>
        <w:keepLines w:val="0"/>
        <w:bidi w:val="0"/>
        <w:rPr>
          <w:rFonts w:hint="eastAsia" w:ascii="宋体" w:hAnsi="宋体" w:eastAsia="宋体" w:cs="宋体"/>
          <w:color w:val="auto"/>
          <w:highlight w:val="none"/>
        </w:rPr>
      </w:pPr>
    </w:p>
    <w:p w14:paraId="5D1C4A0A">
      <w:pPr>
        <w:keepNext w:val="0"/>
        <w:keepLines w:val="0"/>
        <w:bidi w:val="0"/>
        <w:rPr>
          <w:rFonts w:hint="eastAsia" w:ascii="宋体" w:hAnsi="宋体" w:eastAsia="宋体" w:cs="宋体"/>
          <w:color w:val="auto"/>
          <w:highlight w:val="none"/>
        </w:rPr>
      </w:pPr>
    </w:p>
    <w:p w14:paraId="63C8B654">
      <w:pPr>
        <w:pStyle w:val="6"/>
        <w:keepNext w:val="0"/>
        <w:keepLines w:val="0"/>
        <w:bidi w:val="0"/>
        <w:rPr>
          <w:rFonts w:hint="eastAsia" w:ascii="宋体" w:hAnsi="宋体" w:eastAsia="宋体" w:cs="宋体"/>
          <w:color w:val="auto"/>
          <w:highlight w:val="none"/>
        </w:rPr>
      </w:pPr>
    </w:p>
    <w:p w14:paraId="3630442F">
      <w:pPr>
        <w:keepNext w:val="0"/>
        <w:keepLines w:val="0"/>
        <w:bidi w:val="0"/>
        <w:rPr>
          <w:rFonts w:hint="eastAsia" w:ascii="宋体" w:hAnsi="宋体" w:eastAsia="宋体" w:cs="宋体"/>
          <w:color w:val="auto"/>
          <w:highlight w:val="none"/>
        </w:rPr>
      </w:pPr>
    </w:p>
    <w:p w14:paraId="4F096D9D">
      <w:pPr>
        <w:pStyle w:val="6"/>
        <w:keepNext w:val="0"/>
        <w:keepLines w:val="0"/>
        <w:bidi w:val="0"/>
        <w:rPr>
          <w:rFonts w:hint="eastAsia" w:ascii="宋体" w:hAnsi="宋体" w:eastAsia="宋体" w:cs="宋体"/>
          <w:color w:val="auto"/>
          <w:highlight w:val="none"/>
        </w:rPr>
      </w:pPr>
    </w:p>
    <w:p w14:paraId="7EE1760A">
      <w:pPr>
        <w:keepNext w:val="0"/>
        <w:keepLines w:val="0"/>
        <w:bidi w:val="0"/>
        <w:rPr>
          <w:rFonts w:hint="eastAsia" w:ascii="宋体" w:hAnsi="宋体" w:eastAsia="宋体" w:cs="宋体"/>
          <w:color w:val="auto"/>
          <w:highlight w:val="none"/>
        </w:rPr>
      </w:pPr>
    </w:p>
    <w:p w14:paraId="45A028EC">
      <w:pPr>
        <w:pStyle w:val="6"/>
        <w:keepNext w:val="0"/>
        <w:keepLines w:val="0"/>
        <w:bidi w:val="0"/>
        <w:rPr>
          <w:rFonts w:hint="eastAsia" w:ascii="宋体" w:hAnsi="宋体" w:eastAsia="宋体" w:cs="宋体"/>
          <w:color w:val="auto"/>
          <w:highlight w:val="none"/>
        </w:rPr>
      </w:pPr>
    </w:p>
    <w:p w14:paraId="3A1B561E">
      <w:pPr>
        <w:keepNext w:val="0"/>
        <w:keepLines w:val="0"/>
        <w:pageBreakBefore/>
        <w:bidi w:val="0"/>
        <w:spacing w:before="240" w:beforeLines="100" w:line="360" w:lineRule="auto"/>
        <w:jc w:val="center"/>
        <w:outlineLvl w:val="3"/>
        <w:rPr>
          <w:rFonts w:hint="eastAsia" w:ascii="宋体" w:hAnsi="宋体" w:eastAsia="宋体" w:cs="宋体"/>
          <w:bCs/>
          <w:color w:val="auto"/>
          <w:kern w:val="21"/>
          <w:sz w:val="24"/>
          <w:szCs w:val="24"/>
          <w:highlight w:val="none"/>
        </w:rPr>
      </w:pPr>
      <w:r>
        <w:rPr>
          <w:rFonts w:hint="eastAsia" w:ascii="宋体" w:hAnsi="宋体" w:eastAsia="宋体" w:cs="宋体"/>
          <w:b/>
          <w:color w:val="auto"/>
          <w:kern w:val="21"/>
          <w:sz w:val="24"/>
          <w:szCs w:val="24"/>
          <w:highlight w:val="none"/>
        </w:rPr>
        <w:t>（四）近年完成的类似项目情况表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6"/>
        <w:gridCol w:w="6284"/>
      </w:tblGrid>
      <w:tr w14:paraId="392B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26A9A24D">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1253E22F">
            <w:pPr>
              <w:keepNext w:val="0"/>
              <w:keepLines w:val="0"/>
              <w:topLinePunct/>
              <w:bidi w:val="0"/>
              <w:jc w:val="center"/>
              <w:rPr>
                <w:rFonts w:hint="eastAsia" w:ascii="宋体" w:hAnsi="宋体" w:eastAsia="宋体" w:cs="宋体"/>
                <w:color w:val="auto"/>
                <w:kern w:val="21"/>
                <w:szCs w:val="21"/>
                <w:highlight w:val="none"/>
              </w:rPr>
            </w:pPr>
          </w:p>
        </w:tc>
      </w:tr>
      <w:tr w14:paraId="5F75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300DBB9A">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项目名称</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47F05447">
            <w:pPr>
              <w:keepNext w:val="0"/>
              <w:keepLines w:val="0"/>
              <w:topLinePunct/>
              <w:bidi w:val="0"/>
              <w:jc w:val="center"/>
              <w:rPr>
                <w:rFonts w:hint="eastAsia" w:ascii="宋体" w:hAnsi="宋体" w:eastAsia="宋体" w:cs="宋体"/>
                <w:color w:val="auto"/>
                <w:kern w:val="21"/>
                <w:szCs w:val="21"/>
                <w:highlight w:val="none"/>
              </w:rPr>
            </w:pPr>
          </w:p>
        </w:tc>
      </w:tr>
      <w:tr w14:paraId="6ADE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54ACCB60">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项目所在地</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40ADAD37">
            <w:pPr>
              <w:keepNext w:val="0"/>
              <w:keepLines w:val="0"/>
              <w:topLinePunct/>
              <w:bidi w:val="0"/>
              <w:jc w:val="center"/>
              <w:rPr>
                <w:rFonts w:hint="eastAsia" w:ascii="宋体" w:hAnsi="宋体" w:eastAsia="宋体" w:cs="宋体"/>
                <w:color w:val="auto"/>
                <w:kern w:val="21"/>
                <w:szCs w:val="21"/>
                <w:highlight w:val="none"/>
              </w:rPr>
            </w:pPr>
          </w:p>
        </w:tc>
      </w:tr>
      <w:tr w14:paraId="2D4B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2890298E">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委托人名称</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591D8160">
            <w:pPr>
              <w:keepNext w:val="0"/>
              <w:keepLines w:val="0"/>
              <w:topLinePunct/>
              <w:bidi w:val="0"/>
              <w:jc w:val="center"/>
              <w:rPr>
                <w:rFonts w:hint="eastAsia" w:ascii="宋体" w:hAnsi="宋体" w:eastAsia="宋体" w:cs="宋体"/>
                <w:color w:val="auto"/>
                <w:kern w:val="21"/>
                <w:szCs w:val="21"/>
                <w:highlight w:val="none"/>
              </w:rPr>
            </w:pPr>
          </w:p>
        </w:tc>
      </w:tr>
      <w:tr w14:paraId="6111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5B015974">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委托人地址</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15D5671A">
            <w:pPr>
              <w:keepNext w:val="0"/>
              <w:keepLines w:val="0"/>
              <w:topLinePunct/>
              <w:bidi w:val="0"/>
              <w:jc w:val="center"/>
              <w:rPr>
                <w:rFonts w:hint="eastAsia" w:ascii="宋体" w:hAnsi="宋体" w:eastAsia="宋体" w:cs="宋体"/>
                <w:color w:val="auto"/>
                <w:kern w:val="21"/>
                <w:szCs w:val="21"/>
                <w:highlight w:val="none"/>
              </w:rPr>
            </w:pPr>
          </w:p>
        </w:tc>
      </w:tr>
      <w:tr w14:paraId="0F99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016F4E86">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委托人电话</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607E5BD9">
            <w:pPr>
              <w:keepNext w:val="0"/>
              <w:keepLines w:val="0"/>
              <w:topLinePunct/>
              <w:bidi w:val="0"/>
              <w:jc w:val="center"/>
              <w:rPr>
                <w:rFonts w:hint="eastAsia" w:ascii="宋体" w:hAnsi="宋体" w:eastAsia="宋体" w:cs="宋体"/>
                <w:color w:val="auto"/>
                <w:kern w:val="21"/>
                <w:szCs w:val="21"/>
                <w:highlight w:val="none"/>
              </w:rPr>
            </w:pPr>
          </w:p>
        </w:tc>
      </w:tr>
      <w:tr w14:paraId="7D1F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634EBC8E">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项目等级</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163CC038">
            <w:pPr>
              <w:keepNext w:val="0"/>
              <w:keepLines w:val="0"/>
              <w:topLinePunct/>
              <w:bidi w:val="0"/>
              <w:jc w:val="center"/>
              <w:rPr>
                <w:rFonts w:hint="eastAsia" w:ascii="宋体" w:hAnsi="宋体" w:eastAsia="宋体" w:cs="宋体"/>
                <w:color w:val="auto"/>
                <w:kern w:val="21"/>
                <w:szCs w:val="21"/>
                <w:highlight w:val="none"/>
              </w:rPr>
            </w:pPr>
          </w:p>
        </w:tc>
      </w:tr>
      <w:tr w14:paraId="3089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48E01BBA">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项目总投资</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29CF96F3">
            <w:pPr>
              <w:keepNext w:val="0"/>
              <w:keepLines w:val="0"/>
              <w:topLinePunct/>
              <w:bidi w:val="0"/>
              <w:jc w:val="center"/>
              <w:rPr>
                <w:rFonts w:hint="eastAsia" w:ascii="宋体" w:hAnsi="宋体" w:eastAsia="宋体" w:cs="宋体"/>
                <w:color w:val="auto"/>
                <w:kern w:val="21"/>
                <w:szCs w:val="21"/>
                <w:highlight w:val="none"/>
              </w:rPr>
            </w:pPr>
          </w:p>
        </w:tc>
      </w:tr>
      <w:tr w14:paraId="49E2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5528A706">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监理服务费</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30062815">
            <w:pPr>
              <w:keepNext w:val="0"/>
              <w:keepLines w:val="0"/>
              <w:topLinePunct/>
              <w:bidi w:val="0"/>
              <w:jc w:val="center"/>
              <w:rPr>
                <w:rFonts w:hint="eastAsia" w:ascii="宋体" w:hAnsi="宋体" w:eastAsia="宋体" w:cs="宋体"/>
                <w:color w:val="auto"/>
                <w:kern w:val="21"/>
                <w:szCs w:val="21"/>
                <w:highlight w:val="none"/>
              </w:rPr>
            </w:pPr>
          </w:p>
        </w:tc>
      </w:tr>
      <w:tr w14:paraId="37FC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785E5BDE">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监理服务期限</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2D6C37F9">
            <w:pPr>
              <w:keepNext w:val="0"/>
              <w:keepLines w:val="0"/>
              <w:topLinePunct/>
              <w:bidi w:val="0"/>
              <w:jc w:val="center"/>
              <w:rPr>
                <w:rFonts w:hint="eastAsia" w:ascii="宋体" w:hAnsi="宋体" w:eastAsia="宋体" w:cs="宋体"/>
                <w:color w:val="auto"/>
                <w:kern w:val="21"/>
                <w:szCs w:val="21"/>
                <w:highlight w:val="none"/>
              </w:rPr>
            </w:pPr>
          </w:p>
        </w:tc>
      </w:tr>
      <w:tr w14:paraId="2DC5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3D6E8DF8">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监理内容</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2F73282F">
            <w:pPr>
              <w:keepNext w:val="0"/>
              <w:keepLines w:val="0"/>
              <w:topLinePunct/>
              <w:bidi w:val="0"/>
              <w:jc w:val="center"/>
              <w:rPr>
                <w:rFonts w:hint="eastAsia" w:ascii="宋体" w:hAnsi="宋体" w:eastAsia="宋体" w:cs="宋体"/>
                <w:color w:val="auto"/>
                <w:kern w:val="21"/>
                <w:szCs w:val="21"/>
                <w:highlight w:val="none"/>
              </w:rPr>
            </w:pPr>
          </w:p>
        </w:tc>
      </w:tr>
      <w:tr w14:paraId="28FA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18EF72BC">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总监理工程师或驻地监理工程师</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26D504A9">
            <w:pPr>
              <w:keepNext w:val="0"/>
              <w:keepLines w:val="0"/>
              <w:topLinePunct/>
              <w:bidi w:val="0"/>
              <w:jc w:val="center"/>
              <w:rPr>
                <w:rFonts w:hint="eastAsia" w:ascii="宋体" w:hAnsi="宋体" w:eastAsia="宋体" w:cs="宋体"/>
                <w:color w:val="auto"/>
                <w:kern w:val="21"/>
                <w:szCs w:val="21"/>
                <w:highlight w:val="none"/>
              </w:rPr>
            </w:pPr>
          </w:p>
        </w:tc>
      </w:tr>
      <w:tr w14:paraId="6D28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55A87B44">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项目描述</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23D36A54">
            <w:pPr>
              <w:keepNext w:val="0"/>
              <w:keepLines w:val="0"/>
              <w:topLinePunct/>
              <w:bidi w:val="0"/>
              <w:jc w:val="center"/>
              <w:rPr>
                <w:rFonts w:hint="eastAsia" w:ascii="宋体" w:hAnsi="宋体" w:eastAsia="宋体" w:cs="宋体"/>
                <w:color w:val="auto"/>
                <w:kern w:val="21"/>
                <w:szCs w:val="21"/>
                <w:highlight w:val="none"/>
              </w:rPr>
            </w:pPr>
          </w:p>
        </w:tc>
      </w:tr>
      <w:tr w14:paraId="7B35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1ED0151C">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备注</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1941451C">
            <w:pPr>
              <w:keepNext w:val="0"/>
              <w:keepLines w:val="0"/>
              <w:topLinePunct/>
              <w:bidi w:val="0"/>
              <w:jc w:val="center"/>
              <w:rPr>
                <w:rFonts w:hint="eastAsia" w:ascii="宋体" w:hAnsi="宋体" w:eastAsia="宋体" w:cs="宋体"/>
                <w:color w:val="auto"/>
                <w:kern w:val="21"/>
                <w:szCs w:val="21"/>
                <w:highlight w:val="none"/>
              </w:rPr>
            </w:pPr>
          </w:p>
          <w:p w14:paraId="7E76AB09">
            <w:pPr>
              <w:keepNext w:val="0"/>
              <w:keepLines w:val="0"/>
              <w:topLinePunct/>
              <w:bidi w:val="0"/>
              <w:jc w:val="center"/>
              <w:rPr>
                <w:rFonts w:hint="eastAsia" w:ascii="宋体" w:hAnsi="宋体" w:eastAsia="宋体" w:cs="宋体"/>
                <w:color w:val="auto"/>
                <w:kern w:val="21"/>
                <w:szCs w:val="21"/>
                <w:highlight w:val="none"/>
              </w:rPr>
            </w:pPr>
          </w:p>
        </w:tc>
      </w:tr>
    </w:tbl>
    <w:p w14:paraId="0E1CCD43">
      <w:pPr>
        <w:pStyle w:val="18"/>
        <w:keepNext w:val="0"/>
        <w:keepLines w:val="0"/>
        <w:bidi w:val="0"/>
        <w:rPr>
          <w:rFonts w:hint="eastAsia" w:ascii="宋体" w:hAnsi="宋体" w:eastAsia="宋体" w:cs="宋体"/>
          <w:color w:val="auto"/>
          <w:kern w:val="21"/>
          <w:highlight w:val="none"/>
        </w:rPr>
      </w:pPr>
    </w:p>
    <w:p w14:paraId="19D75238">
      <w:pPr>
        <w:pStyle w:val="18"/>
        <w:keepNext w:val="0"/>
        <w:keepLines w:val="0"/>
        <w:bidi w:val="0"/>
        <w:rPr>
          <w:rFonts w:hint="eastAsia" w:ascii="宋体" w:hAnsi="宋体" w:eastAsia="宋体" w:cs="宋体"/>
          <w:color w:val="auto"/>
          <w:kern w:val="21"/>
          <w:highlight w:val="none"/>
        </w:rPr>
      </w:pPr>
    </w:p>
    <w:p w14:paraId="79F10985">
      <w:pPr>
        <w:pStyle w:val="18"/>
        <w:keepNext w:val="0"/>
        <w:keepLines w:val="0"/>
        <w:bidi w:val="0"/>
        <w:ind w:left="357" w:leftChars="170"/>
        <w:rPr>
          <w:rFonts w:hint="eastAsia" w:ascii="宋体" w:hAnsi="宋体" w:eastAsia="宋体" w:cs="宋体"/>
          <w:color w:val="auto"/>
          <w:kern w:val="21"/>
          <w:highlight w:val="none"/>
        </w:rPr>
      </w:pPr>
      <w:r>
        <w:rPr>
          <w:rFonts w:hint="eastAsia" w:ascii="宋体" w:hAnsi="宋体" w:eastAsia="宋体" w:cs="宋体"/>
          <w:color w:val="auto"/>
          <w:kern w:val="21"/>
          <w:highlight w:val="none"/>
        </w:rPr>
        <w:t>注：1</w:t>
      </w:r>
      <w:r>
        <w:rPr>
          <w:rFonts w:hint="eastAsia" w:ascii="宋体" w:hAnsi="宋体" w:eastAsia="宋体" w:cs="宋体"/>
          <w:color w:val="auto"/>
          <w:kern w:val="21"/>
          <w:highlight w:val="none"/>
          <w:lang w:val="en-US" w:eastAsia="zh-CN"/>
        </w:rPr>
        <w:t>.</w:t>
      </w:r>
      <w:r>
        <w:rPr>
          <w:rFonts w:hint="eastAsia" w:ascii="宋体" w:hAnsi="宋体" w:eastAsia="宋体" w:cs="宋体"/>
          <w:color w:val="auto"/>
          <w:kern w:val="21"/>
          <w:highlight w:val="none"/>
        </w:rPr>
        <w:t>每张表格只填写一个项目，并标明序号，序号应与汇总表中一致。</w:t>
      </w:r>
    </w:p>
    <w:p w14:paraId="344B8E55">
      <w:pPr>
        <w:pStyle w:val="18"/>
        <w:keepNext w:val="0"/>
        <w:keepLines w:val="0"/>
        <w:bidi w:val="0"/>
        <w:ind w:left="357" w:leftChars="170" w:firstLine="36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2</w:t>
      </w:r>
      <w:r>
        <w:rPr>
          <w:rFonts w:hint="eastAsia" w:ascii="宋体" w:hAnsi="宋体" w:eastAsia="宋体" w:cs="宋体"/>
          <w:color w:val="auto"/>
          <w:kern w:val="21"/>
          <w:highlight w:val="none"/>
          <w:lang w:val="en-US" w:eastAsia="zh-CN"/>
        </w:rPr>
        <w:t>.</w:t>
      </w:r>
      <w:r>
        <w:rPr>
          <w:rFonts w:hint="eastAsia" w:ascii="宋体" w:hAnsi="宋体" w:eastAsia="宋体" w:cs="宋体"/>
          <w:color w:val="auto"/>
          <w:kern w:val="21"/>
          <w:highlight w:val="none"/>
        </w:rPr>
        <w:t>投标人应根据招标文件第二章“投标人须知”第3.5.2项的要求在本表后附相关证明材料。</w:t>
      </w:r>
    </w:p>
    <w:p w14:paraId="5C0CB410">
      <w:pPr>
        <w:pStyle w:val="18"/>
        <w:keepNext w:val="0"/>
        <w:keepLines w:val="0"/>
        <w:bidi w:val="0"/>
        <w:ind w:left="894" w:leftChars="340" w:hanging="180" w:hangingChars="100"/>
        <w:rPr>
          <w:rFonts w:hint="eastAsia" w:ascii="宋体" w:hAnsi="宋体" w:eastAsia="宋体" w:cs="宋体"/>
          <w:color w:val="auto"/>
          <w:kern w:val="21"/>
          <w:highlight w:val="none"/>
        </w:rPr>
      </w:pPr>
      <w:r>
        <w:rPr>
          <w:rFonts w:hint="eastAsia" w:ascii="宋体" w:hAnsi="宋体" w:eastAsia="宋体" w:cs="宋体"/>
          <w:color w:val="auto"/>
          <w:kern w:val="21"/>
          <w:highlight w:val="none"/>
        </w:rPr>
        <w:t>3</w:t>
      </w:r>
      <w:r>
        <w:rPr>
          <w:rFonts w:hint="eastAsia" w:ascii="宋体" w:hAnsi="宋体" w:eastAsia="宋体" w:cs="宋体"/>
          <w:color w:val="auto"/>
          <w:kern w:val="21"/>
          <w:highlight w:val="none"/>
          <w:lang w:val="en-US" w:eastAsia="zh-CN"/>
        </w:rPr>
        <w:t>.</w:t>
      </w:r>
      <w:r>
        <w:rPr>
          <w:rFonts w:hint="eastAsia" w:ascii="宋体" w:hAnsi="宋体" w:eastAsia="宋体" w:cs="宋体"/>
          <w:color w:val="auto"/>
          <w:kern w:val="21"/>
          <w:highlight w:val="none"/>
        </w:rPr>
        <w:t>如近年来，投标人法人机构发生合法变更或重组或法人名称变更时，应提供相关部门的合法批件或其他相关证明材料来证明其所附业绩的继承性。</w:t>
      </w:r>
    </w:p>
    <w:p w14:paraId="0DFFC23C">
      <w:pPr>
        <w:keepNext w:val="0"/>
        <w:keepLines w:val="0"/>
        <w:bidi w:val="0"/>
        <w:spacing w:line="360" w:lineRule="auto"/>
        <w:rPr>
          <w:rFonts w:hint="eastAsia" w:ascii="宋体" w:hAnsi="宋体" w:eastAsia="宋体" w:cs="宋体"/>
          <w:b/>
          <w:bCs/>
          <w:color w:val="auto"/>
          <w:kern w:val="21"/>
          <w:highlight w:val="none"/>
        </w:rPr>
      </w:pPr>
    </w:p>
    <w:p w14:paraId="1328E5EE">
      <w:pPr>
        <w:pStyle w:val="18"/>
        <w:keepNext w:val="0"/>
        <w:keepLines w:val="0"/>
        <w:bidi w:val="0"/>
        <w:rPr>
          <w:rFonts w:hint="eastAsia" w:ascii="宋体" w:hAnsi="宋体" w:eastAsia="宋体" w:cs="宋体"/>
          <w:color w:val="auto"/>
          <w:kern w:val="21"/>
          <w:highlight w:val="none"/>
        </w:rPr>
      </w:pPr>
    </w:p>
    <w:p w14:paraId="646D84ED">
      <w:pPr>
        <w:pStyle w:val="6"/>
        <w:keepNext w:val="0"/>
        <w:keepLines w:val="0"/>
        <w:bidi w:val="0"/>
        <w:rPr>
          <w:rFonts w:hint="eastAsia" w:ascii="宋体" w:hAnsi="宋体" w:eastAsia="宋体" w:cs="宋体"/>
          <w:color w:val="auto"/>
          <w:highlight w:val="none"/>
        </w:rPr>
      </w:pPr>
    </w:p>
    <w:p w14:paraId="1F5C1893">
      <w:pPr>
        <w:keepNext w:val="0"/>
        <w:keepLines w:val="0"/>
        <w:bidi w:val="0"/>
        <w:rPr>
          <w:rFonts w:hint="eastAsia" w:ascii="宋体" w:hAnsi="宋体" w:eastAsia="宋体" w:cs="宋体"/>
          <w:color w:val="auto"/>
          <w:highlight w:val="none"/>
        </w:rPr>
      </w:pPr>
    </w:p>
    <w:p w14:paraId="62EC9AFE">
      <w:pPr>
        <w:pStyle w:val="6"/>
        <w:keepNext w:val="0"/>
        <w:keepLines w:val="0"/>
        <w:bidi w:val="0"/>
        <w:rPr>
          <w:rFonts w:hint="eastAsia" w:ascii="宋体" w:hAnsi="宋体" w:eastAsia="宋体" w:cs="宋体"/>
          <w:color w:val="auto"/>
          <w:highlight w:val="none"/>
        </w:rPr>
      </w:pPr>
    </w:p>
    <w:p w14:paraId="1FCBFF33">
      <w:pPr>
        <w:keepNext w:val="0"/>
        <w:keepLines w:val="0"/>
        <w:bidi w:val="0"/>
        <w:rPr>
          <w:rFonts w:hint="eastAsia" w:ascii="宋体" w:hAnsi="宋体" w:eastAsia="宋体" w:cs="宋体"/>
          <w:color w:val="auto"/>
          <w:highlight w:val="none"/>
        </w:rPr>
      </w:pPr>
    </w:p>
    <w:p w14:paraId="212EA8D1">
      <w:pPr>
        <w:pStyle w:val="6"/>
        <w:keepNext w:val="0"/>
        <w:keepLines w:val="0"/>
        <w:bidi w:val="0"/>
        <w:rPr>
          <w:rFonts w:hint="eastAsia" w:ascii="宋体" w:hAnsi="宋体" w:eastAsia="宋体" w:cs="宋体"/>
          <w:color w:val="auto"/>
          <w:highlight w:val="none"/>
        </w:rPr>
      </w:pPr>
    </w:p>
    <w:p w14:paraId="00C74B94">
      <w:pPr>
        <w:keepNext w:val="0"/>
        <w:keepLines w:val="0"/>
        <w:bidi w:val="0"/>
        <w:rPr>
          <w:rFonts w:hint="eastAsia" w:ascii="宋体" w:hAnsi="宋体" w:eastAsia="宋体" w:cs="宋体"/>
          <w:color w:val="auto"/>
          <w:highlight w:val="none"/>
        </w:rPr>
      </w:pPr>
    </w:p>
    <w:p w14:paraId="276E899D">
      <w:pPr>
        <w:pStyle w:val="6"/>
        <w:keepNext w:val="0"/>
        <w:keepLines w:val="0"/>
        <w:bidi w:val="0"/>
        <w:rPr>
          <w:rFonts w:hint="eastAsia" w:ascii="宋体" w:hAnsi="宋体" w:eastAsia="宋体" w:cs="宋体"/>
          <w:color w:val="auto"/>
          <w:highlight w:val="none"/>
        </w:rPr>
      </w:pPr>
    </w:p>
    <w:p w14:paraId="23E20214">
      <w:pPr>
        <w:keepNext w:val="0"/>
        <w:keepLines w:val="0"/>
        <w:bidi w:val="0"/>
        <w:rPr>
          <w:rFonts w:hint="eastAsia" w:ascii="宋体" w:hAnsi="宋体" w:eastAsia="宋体" w:cs="宋体"/>
          <w:color w:val="auto"/>
          <w:highlight w:val="none"/>
        </w:rPr>
      </w:pPr>
    </w:p>
    <w:p w14:paraId="5CC7C2CA">
      <w:pPr>
        <w:pStyle w:val="6"/>
        <w:keepNext w:val="0"/>
        <w:keepLines w:val="0"/>
        <w:bidi w:val="0"/>
        <w:rPr>
          <w:rFonts w:hint="eastAsia" w:ascii="宋体" w:hAnsi="宋体" w:eastAsia="宋体" w:cs="宋体"/>
          <w:color w:val="auto"/>
          <w:highlight w:val="none"/>
        </w:rPr>
      </w:pPr>
    </w:p>
    <w:p w14:paraId="73968EB9">
      <w:pPr>
        <w:keepNext w:val="0"/>
        <w:keepLines w:val="0"/>
        <w:bidi w:val="0"/>
        <w:rPr>
          <w:rFonts w:hint="eastAsia" w:ascii="宋体" w:hAnsi="宋体" w:eastAsia="宋体" w:cs="宋体"/>
          <w:color w:val="auto"/>
          <w:highlight w:val="none"/>
        </w:rPr>
      </w:pPr>
    </w:p>
    <w:p w14:paraId="06472269">
      <w:pPr>
        <w:keepNext w:val="0"/>
        <w:keepLines w:val="0"/>
        <w:widowControl w:val="0"/>
        <w:kinsoku w:val="0"/>
        <w:overflowPunct w:val="0"/>
        <w:autoSpaceDE w:val="0"/>
        <w:autoSpaceDN w:val="0"/>
        <w:bidi w:val="0"/>
        <w:adjustRightInd w:val="0"/>
        <w:spacing w:before="10" w:line="240" w:lineRule="exact"/>
        <w:jc w:val="left"/>
        <w:rPr>
          <w:rFonts w:hint="eastAsia" w:ascii="宋体" w:hAnsi="宋体" w:eastAsia="宋体" w:cs="宋体"/>
          <w:color w:val="auto"/>
          <w:sz w:val="24"/>
          <w:highlight w:val="none"/>
        </w:rPr>
      </w:pPr>
    </w:p>
    <w:p w14:paraId="3537A535">
      <w:pPr>
        <w:pStyle w:val="3"/>
        <w:keepNext w:val="0"/>
        <w:keepLines w:val="0"/>
        <w:kinsoku w:val="0"/>
        <w:overflowPunct w:val="0"/>
        <w:bidi w:val="0"/>
        <w:spacing w:line="340" w:lineRule="exact"/>
        <w:ind w:left="0" w:right="15"/>
        <w:jc w:val="center"/>
        <w:rPr>
          <w:rFonts w:hint="eastAsia" w:ascii="宋体" w:hAnsi="宋体" w:eastAsia="宋体" w:cs="宋体"/>
          <w:b/>
          <w:bCs/>
          <w:color w:val="auto"/>
          <w:highlight w:val="none"/>
        </w:rPr>
      </w:pPr>
      <w:bookmarkStart w:id="654" w:name="bookmark142"/>
      <w:bookmarkEnd w:id="654"/>
      <w:bookmarkStart w:id="655" w:name="_Toc20299_WPSOffice_Level2"/>
      <w:r>
        <w:rPr>
          <w:rFonts w:hint="eastAsia" w:ascii="宋体" w:hAnsi="宋体" w:eastAsia="宋体" w:cs="宋体"/>
          <w:b/>
          <w:bCs/>
          <w:color w:val="auto"/>
          <w:highlight w:val="none"/>
        </w:rPr>
        <w:t>（五）投标人的信誉情况表</w:t>
      </w:r>
      <w:bookmarkEnd w:id="655"/>
    </w:p>
    <w:p w14:paraId="1592E68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9C1BEC8">
      <w:pPr>
        <w:keepNext w:val="0"/>
        <w:keepLines w:val="0"/>
        <w:widowControl w:val="0"/>
        <w:kinsoku w:val="0"/>
        <w:overflowPunct w:val="0"/>
        <w:autoSpaceDE w:val="0"/>
        <w:autoSpaceDN w:val="0"/>
        <w:bidi w:val="0"/>
        <w:adjustRightInd w:val="0"/>
        <w:spacing w:before="14" w:line="200" w:lineRule="exact"/>
        <w:jc w:val="left"/>
        <w:rPr>
          <w:rFonts w:hint="eastAsia" w:ascii="宋体" w:hAnsi="宋体" w:eastAsia="宋体" w:cs="宋体"/>
          <w:color w:val="auto"/>
          <w:sz w:val="20"/>
          <w:highlight w:val="none"/>
        </w:rPr>
      </w:pPr>
    </w:p>
    <w:tbl>
      <w:tblPr>
        <w:tblStyle w:val="21"/>
        <w:tblW w:w="0" w:type="auto"/>
        <w:jc w:val="center"/>
        <w:tblLayout w:type="fixed"/>
        <w:tblCellMar>
          <w:top w:w="0" w:type="dxa"/>
          <w:left w:w="108" w:type="dxa"/>
          <w:bottom w:w="0" w:type="dxa"/>
          <w:right w:w="108" w:type="dxa"/>
        </w:tblCellMar>
      </w:tblPr>
      <w:tblGrid>
        <w:gridCol w:w="4261"/>
        <w:gridCol w:w="4263"/>
      </w:tblGrid>
      <w:tr w14:paraId="6200FD4D">
        <w:tblPrEx>
          <w:tblCellMar>
            <w:top w:w="0" w:type="dxa"/>
            <w:left w:w="108" w:type="dxa"/>
            <w:bottom w:w="0" w:type="dxa"/>
            <w:right w:w="108" w:type="dxa"/>
          </w:tblCellMar>
        </w:tblPrEx>
        <w:trPr>
          <w:trHeight w:val="883" w:hRule="exact"/>
          <w:jc w:val="center"/>
        </w:trPr>
        <w:tc>
          <w:tcPr>
            <w:tcW w:w="4261" w:type="dxa"/>
            <w:tcBorders>
              <w:top w:val="single" w:color="000000" w:sz="4" w:space="0"/>
              <w:left w:val="single" w:color="000000" w:sz="4" w:space="0"/>
              <w:bottom w:val="single" w:color="000000" w:sz="4" w:space="0"/>
              <w:right w:val="single" w:color="000000" w:sz="4" w:space="0"/>
            </w:tcBorders>
            <w:noWrap w:val="0"/>
            <w:vAlign w:val="top"/>
          </w:tcPr>
          <w:p w14:paraId="6EAA1643">
            <w:pPr>
              <w:pStyle w:val="30"/>
              <w:keepNext w:val="0"/>
              <w:keepLines w:val="0"/>
              <w:kinsoku w:val="0"/>
              <w:overflowPunct w:val="0"/>
              <w:bidi w:val="0"/>
              <w:spacing w:before="1" w:line="100" w:lineRule="exact"/>
              <w:rPr>
                <w:rFonts w:hint="eastAsia" w:ascii="宋体" w:hAnsi="宋体" w:eastAsia="宋体" w:cs="宋体"/>
                <w:color w:val="auto"/>
                <w:sz w:val="10"/>
                <w:highlight w:val="none"/>
              </w:rPr>
            </w:pPr>
          </w:p>
          <w:p w14:paraId="589F6F8E">
            <w:pPr>
              <w:pStyle w:val="30"/>
              <w:keepNext w:val="0"/>
              <w:keepLines w:val="0"/>
              <w:kinsoku w:val="0"/>
              <w:overflowPunct w:val="0"/>
              <w:bidi w:val="0"/>
              <w:spacing w:line="200" w:lineRule="exact"/>
              <w:rPr>
                <w:rFonts w:hint="eastAsia" w:ascii="宋体" w:hAnsi="宋体" w:eastAsia="宋体" w:cs="宋体"/>
                <w:color w:val="auto"/>
                <w:sz w:val="20"/>
                <w:highlight w:val="none"/>
              </w:rPr>
            </w:pPr>
          </w:p>
          <w:p w14:paraId="3C71D24A">
            <w:pPr>
              <w:pStyle w:val="30"/>
              <w:keepNext w:val="0"/>
              <w:keepLines w:val="0"/>
              <w:kinsoku w:val="0"/>
              <w:overflowPunct w:val="0"/>
              <w:bidi w:val="0"/>
              <w:ind w:right="3"/>
              <w:jc w:val="center"/>
              <w:rPr>
                <w:rFonts w:hint="eastAsia" w:ascii="宋体" w:hAnsi="宋体" w:eastAsia="宋体" w:cs="宋体"/>
                <w:color w:val="auto"/>
                <w:highlight w:val="none"/>
              </w:rPr>
            </w:pPr>
            <w:r>
              <w:rPr>
                <w:rFonts w:hint="eastAsia" w:ascii="宋体" w:hAnsi="宋体" w:eastAsia="宋体" w:cs="宋体"/>
                <w:color w:val="auto"/>
                <w:sz w:val="20"/>
                <w:highlight w:val="none"/>
              </w:rPr>
              <w:t>项目</w:t>
            </w:r>
          </w:p>
        </w:tc>
        <w:tc>
          <w:tcPr>
            <w:tcW w:w="4263" w:type="dxa"/>
            <w:tcBorders>
              <w:top w:val="single" w:color="000000" w:sz="4" w:space="0"/>
              <w:left w:val="single" w:color="000000" w:sz="4" w:space="0"/>
              <w:bottom w:val="single" w:color="000000" w:sz="4" w:space="0"/>
              <w:right w:val="single" w:color="000000" w:sz="4" w:space="0"/>
            </w:tcBorders>
            <w:noWrap w:val="0"/>
            <w:vAlign w:val="top"/>
          </w:tcPr>
          <w:p w14:paraId="53ACA7FC">
            <w:pPr>
              <w:pStyle w:val="30"/>
              <w:keepNext w:val="0"/>
              <w:keepLines w:val="0"/>
              <w:kinsoku w:val="0"/>
              <w:overflowPunct w:val="0"/>
              <w:bidi w:val="0"/>
              <w:spacing w:before="1" w:line="100" w:lineRule="exact"/>
              <w:rPr>
                <w:rFonts w:hint="eastAsia" w:ascii="宋体" w:hAnsi="宋体" w:eastAsia="宋体" w:cs="宋体"/>
                <w:color w:val="auto"/>
                <w:sz w:val="10"/>
                <w:highlight w:val="none"/>
              </w:rPr>
            </w:pPr>
          </w:p>
          <w:p w14:paraId="33BD86D0">
            <w:pPr>
              <w:pStyle w:val="30"/>
              <w:keepNext w:val="0"/>
              <w:keepLines w:val="0"/>
              <w:kinsoku w:val="0"/>
              <w:overflowPunct w:val="0"/>
              <w:bidi w:val="0"/>
              <w:spacing w:line="200" w:lineRule="exact"/>
              <w:rPr>
                <w:rFonts w:hint="eastAsia" w:ascii="宋体" w:hAnsi="宋体" w:eastAsia="宋体" w:cs="宋体"/>
                <w:color w:val="auto"/>
                <w:sz w:val="20"/>
                <w:highlight w:val="none"/>
              </w:rPr>
            </w:pPr>
          </w:p>
          <w:p w14:paraId="4A2A7F11">
            <w:pPr>
              <w:pStyle w:val="30"/>
              <w:keepNext w:val="0"/>
              <w:keepLines w:val="0"/>
              <w:kinsoku w:val="0"/>
              <w:overflowPunct w:val="0"/>
              <w:bidi w:val="0"/>
              <w:ind w:right="5"/>
              <w:jc w:val="center"/>
              <w:rPr>
                <w:rFonts w:hint="eastAsia" w:ascii="宋体" w:hAnsi="宋体" w:eastAsia="宋体" w:cs="宋体"/>
                <w:color w:val="auto"/>
                <w:highlight w:val="none"/>
              </w:rPr>
            </w:pPr>
            <w:r>
              <w:rPr>
                <w:rFonts w:hint="eastAsia" w:ascii="宋体" w:hAnsi="宋体" w:eastAsia="宋体" w:cs="宋体"/>
                <w:color w:val="auto"/>
                <w:sz w:val="20"/>
                <w:highlight w:val="none"/>
              </w:rPr>
              <w:t>投标人</w:t>
            </w:r>
            <w:r>
              <w:rPr>
                <w:rFonts w:hint="eastAsia" w:ascii="宋体" w:hAnsi="宋体" w:eastAsia="宋体" w:cs="宋体"/>
                <w:color w:val="auto"/>
                <w:spacing w:val="2"/>
                <w:sz w:val="20"/>
                <w:highlight w:val="none"/>
              </w:rPr>
              <w:t>情</w:t>
            </w:r>
            <w:r>
              <w:rPr>
                <w:rFonts w:hint="eastAsia" w:ascii="宋体" w:hAnsi="宋体" w:eastAsia="宋体" w:cs="宋体"/>
                <w:color w:val="auto"/>
                <w:sz w:val="20"/>
                <w:highlight w:val="none"/>
              </w:rPr>
              <w:t>况说明</w:t>
            </w:r>
          </w:p>
        </w:tc>
      </w:tr>
      <w:tr w14:paraId="7C13D09C">
        <w:tblPrEx>
          <w:tblCellMar>
            <w:top w:w="0" w:type="dxa"/>
            <w:left w:w="108" w:type="dxa"/>
            <w:bottom w:w="0" w:type="dxa"/>
            <w:right w:w="108" w:type="dxa"/>
          </w:tblCellMar>
        </w:tblPrEx>
        <w:trPr>
          <w:trHeight w:val="1769" w:hRule="exact"/>
          <w:jc w:val="center"/>
        </w:trPr>
        <w:tc>
          <w:tcPr>
            <w:tcW w:w="4261" w:type="dxa"/>
            <w:tcBorders>
              <w:top w:val="single" w:color="000000" w:sz="4" w:space="0"/>
              <w:left w:val="single" w:color="000000" w:sz="4" w:space="0"/>
              <w:bottom w:val="single" w:color="000000" w:sz="4" w:space="0"/>
              <w:right w:val="single" w:color="000000" w:sz="4" w:space="0"/>
            </w:tcBorders>
            <w:noWrap w:val="0"/>
            <w:vAlign w:val="top"/>
          </w:tcPr>
          <w:p w14:paraId="59E3F81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4263" w:type="dxa"/>
            <w:tcBorders>
              <w:top w:val="single" w:color="000000" w:sz="4" w:space="0"/>
              <w:left w:val="single" w:color="000000" w:sz="4" w:space="0"/>
              <w:bottom w:val="single" w:color="000000" w:sz="4" w:space="0"/>
              <w:right w:val="single" w:color="000000" w:sz="4" w:space="0"/>
            </w:tcBorders>
            <w:noWrap w:val="0"/>
            <w:vAlign w:val="top"/>
          </w:tcPr>
          <w:p w14:paraId="35F5FBB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1B8123A9">
        <w:tblPrEx>
          <w:tblCellMar>
            <w:top w:w="0" w:type="dxa"/>
            <w:left w:w="108" w:type="dxa"/>
            <w:bottom w:w="0" w:type="dxa"/>
            <w:right w:w="108" w:type="dxa"/>
          </w:tblCellMar>
        </w:tblPrEx>
        <w:trPr>
          <w:trHeight w:val="1771" w:hRule="exact"/>
          <w:jc w:val="center"/>
        </w:trPr>
        <w:tc>
          <w:tcPr>
            <w:tcW w:w="4261" w:type="dxa"/>
            <w:tcBorders>
              <w:top w:val="single" w:color="000000" w:sz="4" w:space="0"/>
              <w:left w:val="single" w:color="000000" w:sz="4" w:space="0"/>
              <w:bottom w:val="single" w:color="000000" w:sz="4" w:space="0"/>
              <w:right w:val="single" w:color="000000" w:sz="4" w:space="0"/>
            </w:tcBorders>
            <w:noWrap w:val="0"/>
            <w:vAlign w:val="top"/>
          </w:tcPr>
          <w:p w14:paraId="4A717D9D">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4263" w:type="dxa"/>
            <w:tcBorders>
              <w:top w:val="single" w:color="000000" w:sz="4" w:space="0"/>
              <w:left w:val="single" w:color="000000" w:sz="4" w:space="0"/>
              <w:bottom w:val="single" w:color="000000" w:sz="4" w:space="0"/>
              <w:right w:val="single" w:color="000000" w:sz="4" w:space="0"/>
            </w:tcBorders>
            <w:noWrap w:val="0"/>
            <w:vAlign w:val="top"/>
          </w:tcPr>
          <w:p w14:paraId="4DBDABBB">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421A0224">
        <w:tblPrEx>
          <w:tblCellMar>
            <w:top w:w="0" w:type="dxa"/>
            <w:left w:w="108" w:type="dxa"/>
            <w:bottom w:w="0" w:type="dxa"/>
            <w:right w:w="108" w:type="dxa"/>
          </w:tblCellMar>
        </w:tblPrEx>
        <w:trPr>
          <w:trHeight w:val="1769" w:hRule="exact"/>
          <w:jc w:val="center"/>
        </w:trPr>
        <w:tc>
          <w:tcPr>
            <w:tcW w:w="4261" w:type="dxa"/>
            <w:tcBorders>
              <w:top w:val="single" w:color="000000" w:sz="4" w:space="0"/>
              <w:left w:val="single" w:color="000000" w:sz="4" w:space="0"/>
              <w:bottom w:val="single" w:color="000000" w:sz="4" w:space="0"/>
              <w:right w:val="single" w:color="000000" w:sz="4" w:space="0"/>
            </w:tcBorders>
            <w:noWrap w:val="0"/>
            <w:vAlign w:val="top"/>
          </w:tcPr>
          <w:p w14:paraId="32EACCE6">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4263" w:type="dxa"/>
            <w:tcBorders>
              <w:top w:val="single" w:color="000000" w:sz="4" w:space="0"/>
              <w:left w:val="single" w:color="000000" w:sz="4" w:space="0"/>
              <w:bottom w:val="single" w:color="000000" w:sz="4" w:space="0"/>
              <w:right w:val="single" w:color="000000" w:sz="4" w:space="0"/>
            </w:tcBorders>
            <w:noWrap w:val="0"/>
            <w:vAlign w:val="top"/>
          </w:tcPr>
          <w:p w14:paraId="416A885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2026A3D7">
        <w:tblPrEx>
          <w:tblCellMar>
            <w:top w:w="0" w:type="dxa"/>
            <w:left w:w="108" w:type="dxa"/>
            <w:bottom w:w="0" w:type="dxa"/>
            <w:right w:w="108" w:type="dxa"/>
          </w:tblCellMar>
        </w:tblPrEx>
        <w:trPr>
          <w:trHeight w:val="1771" w:hRule="exact"/>
          <w:jc w:val="center"/>
        </w:trPr>
        <w:tc>
          <w:tcPr>
            <w:tcW w:w="4261" w:type="dxa"/>
            <w:tcBorders>
              <w:top w:val="single" w:color="000000" w:sz="4" w:space="0"/>
              <w:left w:val="single" w:color="000000" w:sz="4" w:space="0"/>
              <w:bottom w:val="single" w:color="000000" w:sz="4" w:space="0"/>
              <w:right w:val="single" w:color="000000" w:sz="4" w:space="0"/>
            </w:tcBorders>
            <w:noWrap w:val="0"/>
            <w:vAlign w:val="top"/>
          </w:tcPr>
          <w:p w14:paraId="73A5B38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4263" w:type="dxa"/>
            <w:tcBorders>
              <w:top w:val="single" w:color="000000" w:sz="4" w:space="0"/>
              <w:left w:val="single" w:color="000000" w:sz="4" w:space="0"/>
              <w:bottom w:val="single" w:color="000000" w:sz="4" w:space="0"/>
              <w:right w:val="single" w:color="000000" w:sz="4" w:space="0"/>
            </w:tcBorders>
            <w:noWrap w:val="0"/>
            <w:vAlign w:val="top"/>
          </w:tcPr>
          <w:p w14:paraId="0E9D62AD">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0E07A6F6">
        <w:tblPrEx>
          <w:tblCellMar>
            <w:top w:w="0" w:type="dxa"/>
            <w:left w:w="108" w:type="dxa"/>
            <w:bottom w:w="0" w:type="dxa"/>
            <w:right w:w="108" w:type="dxa"/>
          </w:tblCellMar>
        </w:tblPrEx>
        <w:trPr>
          <w:trHeight w:val="1769" w:hRule="exact"/>
          <w:jc w:val="center"/>
        </w:trPr>
        <w:tc>
          <w:tcPr>
            <w:tcW w:w="4261" w:type="dxa"/>
            <w:tcBorders>
              <w:top w:val="single" w:color="000000" w:sz="4" w:space="0"/>
              <w:left w:val="single" w:color="000000" w:sz="4" w:space="0"/>
              <w:bottom w:val="single" w:color="000000" w:sz="4" w:space="0"/>
              <w:right w:val="single" w:color="000000" w:sz="4" w:space="0"/>
            </w:tcBorders>
            <w:noWrap w:val="0"/>
            <w:vAlign w:val="top"/>
          </w:tcPr>
          <w:p w14:paraId="6587C21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4263" w:type="dxa"/>
            <w:tcBorders>
              <w:top w:val="single" w:color="000000" w:sz="4" w:space="0"/>
              <w:left w:val="single" w:color="000000" w:sz="4" w:space="0"/>
              <w:bottom w:val="single" w:color="000000" w:sz="4" w:space="0"/>
              <w:right w:val="single" w:color="000000" w:sz="4" w:space="0"/>
            </w:tcBorders>
            <w:noWrap w:val="0"/>
            <w:vAlign w:val="top"/>
          </w:tcPr>
          <w:p w14:paraId="5A1FF84D">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bl>
    <w:p w14:paraId="50CE965B">
      <w:pPr>
        <w:keepNext w:val="0"/>
        <w:keepLines w:val="0"/>
        <w:widowControl w:val="0"/>
        <w:kinsoku w:val="0"/>
        <w:overflowPunct w:val="0"/>
        <w:autoSpaceDE w:val="0"/>
        <w:autoSpaceDN w:val="0"/>
        <w:bidi w:val="0"/>
        <w:adjustRightInd w:val="0"/>
        <w:spacing w:before="57" w:line="295" w:lineRule="auto"/>
        <w:ind w:firstLine="420" w:firstLineChars="200"/>
        <w:jc w:val="left"/>
        <w:rPr>
          <w:rFonts w:hint="eastAsia" w:ascii="宋体" w:hAnsi="宋体" w:eastAsia="宋体" w:cs="宋体"/>
          <w:color w:val="auto"/>
          <w:highlight w:val="none"/>
        </w:rPr>
      </w:pPr>
    </w:p>
    <w:p w14:paraId="31BE9073">
      <w:pPr>
        <w:keepNext w:val="0"/>
        <w:keepLines w:val="0"/>
        <w:widowControl w:val="0"/>
        <w:kinsoku w:val="0"/>
        <w:overflowPunct w:val="0"/>
        <w:autoSpaceDE w:val="0"/>
        <w:autoSpaceDN w:val="0"/>
        <w:bidi w:val="0"/>
        <w:adjustRightInd w:val="0"/>
        <w:spacing w:before="57" w:line="295" w:lineRule="auto"/>
        <w:ind w:left="630" w:hanging="630" w:hangingChars="3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注：1.</w:t>
      </w:r>
      <w:r>
        <w:rPr>
          <w:rFonts w:hint="eastAsia" w:ascii="宋体" w:hAnsi="宋体" w:eastAsia="宋体" w:cs="宋体"/>
          <w:color w:val="auto"/>
          <w:highlight w:val="none"/>
        </w:rPr>
        <w:t>投标人应按照招标文件第二章“投标人须知”前附表附录3和“投标人须知”正文第1.4.4项规定，逐条说明其信誉情况。</w:t>
      </w:r>
    </w:p>
    <w:p w14:paraId="545AE1A0">
      <w:pPr>
        <w:keepNext w:val="0"/>
        <w:keepLines w:val="0"/>
        <w:widowControl w:val="0"/>
        <w:numPr>
          <w:ilvl w:val="0"/>
          <w:numId w:val="0"/>
        </w:numPr>
        <w:kinsoku w:val="0"/>
        <w:overflowPunct w:val="0"/>
        <w:autoSpaceDE w:val="0"/>
        <w:autoSpaceDN w:val="0"/>
        <w:bidi w:val="0"/>
        <w:adjustRightInd w:val="0"/>
        <w:spacing w:before="57" w:line="295"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投</w:t>
      </w:r>
      <w:r>
        <w:rPr>
          <w:rFonts w:hint="eastAsia" w:ascii="宋体" w:hAnsi="宋体" w:eastAsia="宋体" w:cs="宋体"/>
          <w:color w:val="auto"/>
          <w:spacing w:val="-3"/>
          <w:highlight w:val="none"/>
        </w:rPr>
        <w:t>标</w:t>
      </w:r>
      <w:r>
        <w:rPr>
          <w:rFonts w:hint="eastAsia" w:ascii="宋体" w:hAnsi="宋体" w:eastAsia="宋体" w:cs="宋体"/>
          <w:color w:val="auto"/>
          <w:highlight w:val="none"/>
        </w:rPr>
        <w:t>人</w:t>
      </w:r>
      <w:r>
        <w:rPr>
          <w:rFonts w:hint="eastAsia" w:ascii="宋体" w:hAnsi="宋体" w:eastAsia="宋体" w:cs="宋体"/>
          <w:color w:val="auto"/>
          <w:spacing w:val="-3"/>
          <w:highlight w:val="none"/>
        </w:rPr>
        <w:t>应</w:t>
      </w:r>
      <w:r>
        <w:rPr>
          <w:rFonts w:hint="eastAsia" w:ascii="宋体" w:hAnsi="宋体" w:eastAsia="宋体" w:cs="宋体"/>
          <w:color w:val="auto"/>
          <w:highlight w:val="none"/>
        </w:rPr>
        <w:t>根</w:t>
      </w:r>
      <w:r>
        <w:rPr>
          <w:rFonts w:hint="eastAsia" w:ascii="宋体" w:hAnsi="宋体" w:eastAsia="宋体" w:cs="宋体"/>
          <w:color w:val="auto"/>
          <w:spacing w:val="-3"/>
          <w:highlight w:val="none"/>
        </w:rPr>
        <w:t>据</w:t>
      </w:r>
      <w:r>
        <w:rPr>
          <w:rFonts w:hint="eastAsia" w:ascii="宋体" w:hAnsi="宋体" w:eastAsia="宋体" w:cs="宋体"/>
          <w:color w:val="auto"/>
          <w:highlight w:val="none"/>
        </w:rPr>
        <w:t>招</w:t>
      </w:r>
      <w:r>
        <w:rPr>
          <w:rFonts w:hint="eastAsia" w:ascii="宋体" w:hAnsi="宋体" w:eastAsia="宋体" w:cs="宋体"/>
          <w:color w:val="auto"/>
          <w:spacing w:val="-3"/>
          <w:highlight w:val="none"/>
        </w:rPr>
        <w:t>标</w:t>
      </w:r>
      <w:r>
        <w:rPr>
          <w:rFonts w:hint="eastAsia" w:ascii="宋体" w:hAnsi="宋体" w:eastAsia="宋体" w:cs="宋体"/>
          <w:color w:val="auto"/>
          <w:highlight w:val="none"/>
        </w:rPr>
        <w:t>文</w:t>
      </w:r>
      <w:r>
        <w:rPr>
          <w:rFonts w:hint="eastAsia" w:ascii="宋体" w:hAnsi="宋体" w:eastAsia="宋体" w:cs="宋体"/>
          <w:color w:val="auto"/>
          <w:spacing w:val="-3"/>
          <w:highlight w:val="none"/>
        </w:rPr>
        <w:t>件</w:t>
      </w:r>
      <w:r>
        <w:rPr>
          <w:rFonts w:hint="eastAsia" w:ascii="宋体" w:hAnsi="宋体" w:eastAsia="宋体" w:cs="宋体"/>
          <w:color w:val="auto"/>
          <w:highlight w:val="none"/>
        </w:rPr>
        <w:t>第二</w:t>
      </w:r>
      <w:r>
        <w:rPr>
          <w:rFonts w:hint="eastAsia" w:ascii="宋体" w:hAnsi="宋体" w:eastAsia="宋体" w:cs="宋体"/>
          <w:color w:val="auto"/>
          <w:spacing w:val="-22"/>
          <w:highlight w:val="none"/>
        </w:rPr>
        <w:t>章</w:t>
      </w:r>
      <w:r>
        <w:rPr>
          <w:rFonts w:hint="eastAsia" w:ascii="宋体" w:hAnsi="宋体" w:eastAsia="宋体" w:cs="宋体"/>
          <w:color w:val="auto"/>
          <w:highlight w:val="none"/>
        </w:rPr>
        <w:t>“</w:t>
      </w:r>
      <w:r>
        <w:rPr>
          <w:rFonts w:hint="eastAsia" w:ascii="宋体" w:hAnsi="宋体" w:eastAsia="宋体" w:cs="宋体"/>
          <w:color w:val="auto"/>
          <w:spacing w:val="-3"/>
          <w:highlight w:val="none"/>
        </w:rPr>
        <w:t>投</w:t>
      </w:r>
      <w:r>
        <w:rPr>
          <w:rFonts w:hint="eastAsia" w:ascii="宋体" w:hAnsi="宋体" w:eastAsia="宋体" w:cs="宋体"/>
          <w:color w:val="auto"/>
          <w:highlight w:val="none"/>
        </w:rPr>
        <w:t>标</w:t>
      </w:r>
      <w:r>
        <w:rPr>
          <w:rFonts w:hint="eastAsia" w:ascii="宋体" w:hAnsi="宋体" w:eastAsia="宋体" w:cs="宋体"/>
          <w:color w:val="auto"/>
          <w:spacing w:val="-3"/>
          <w:highlight w:val="none"/>
        </w:rPr>
        <w:t>人</w:t>
      </w:r>
      <w:r>
        <w:rPr>
          <w:rFonts w:hint="eastAsia" w:ascii="宋体" w:hAnsi="宋体" w:eastAsia="宋体" w:cs="宋体"/>
          <w:color w:val="auto"/>
          <w:highlight w:val="none"/>
        </w:rPr>
        <w:t>须</w:t>
      </w:r>
      <w:r>
        <w:rPr>
          <w:rFonts w:hint="eastAsia" w:ascii="宋体" w:hAnsi="宋体" w:eastAsia="宋体" w:cs="宋体"/>
          <w:color w:val="auto"/>
          <w:spacing w:val="-1"/>
          <w:highlight w:val="none"/>
        </w:rPr>
        <w:t>知</w:t>
      </w:r>
      <w:r>
        <w:rPr>
          <w:rFonts w:hint="eastAsia" w:ascii="宋体" w:hAnsi="宋体" w:eastAsia="宋体" w:cs="宋体"/>
          <w:color w:val="auto"/>
          <w:spacing w:val="-22"/>
          <w:highlight w:val="none"/>
        </w:rPr>
        <w:t>”</w:t>
      </w:r>
      <w:r>
        <w:rPr>
          <w:rFonts w:hint="eastAsia" w:ascii="宋体" w:hAnsi="宋体" w:eastAsia="宋体" w:cs="宋体"/>
          <w:color w:val="auto"/>
          <w:highlight w:val="none"/>
        </w:rPr>
        <w:t>第</w:t>
      </w:r>
      <w:r>
        <w:rPr>
          <w:rFonts w:hint="eastAsia" w:ascii="宋体" w:hAnsi="宋体" w:eastAsia="宋体" w:cs="宋体"/>
          <w:color w:val="auto"/>
          <w:spacing w:val="-3"/>
          <w:highlight w:val="none"/>
        </w:rPr>
        <w:t>3</w:t>
      </w:r>
      <w:r>
        <w:rPr>
          <w:rFonts w:hint="eastAsia" w:ascii="宋体" w:hAnsi="宋体" w:eastAsia="宋体" w:cs="宋体"/>
          <w:color w:val="auto"/>
          <w:highlight w:val="none"/>
        </w:rPr>
        <w:t>.5</w:t>
      </w:r>
      <w:r>
        <w:rPr>
          <w:rFonts w:hint="eastAsia" w:ascii="宋体" w:hAnsi="宋体" w:eastAsia="宋体" w:cs="宋体"/>
          <w:color w:val="auto"/>
          <w:spacing w:val="-1"/>
          <w:highlight w:val="none"/>
        </w:rPr>
        <w:t>.</w:t>
      </w:r>
      <w:r>
        <w:rPr>
          <w:rFonts w:hint="eastAsia" w:ascii="宋体" w:hAnsi="宋体" w:eastAsia="宋体" w:cs="宋体"/>
          <w:color w:val="auto"/>
          <w:highlight w:val="none"/>
        </w:rPr>
        <w:t>3</w:t>
      </w:r>
      <w:r>
        <w:rPr>
          <w:rFonts w:hint="eastAsia" w:ascii="宋体" w:hAnsi="宋体" w:eastAsia="宋体" w:cs="宋体"/>
          <w:color w:val="auto"/>
          <w:spacing w:val="-3"/>
          <w:highlight w:val="none"/>
        </w:rPr>
        <w:t>项</w:t>
      </w:r>
      <w:r>
        <w:rPr>
          <w:rFonts w:hint="eastAsia" w:ascii="宋体" w:hAnsi="宋体" w:eastAsia="宋体" w:cs="宋体"/>
          <w:color w:val="auto"/>
          <w:highlight w:val="none"/>
        </w:rPr>
        <w:t>的</w:t>
      </w:r>
      <w:r>
        <w:rPr>
          <w:rFonts w:hint="eastAsia" w:ascii="宋体" w:hAnsi="宋体" w:eastAsia="宋体" w:cs="宋体"/>
          <w:color w:val="auto"/>
          <w:spacing w:val="-3"/>
          <w:highlight w:val="none"/>
        </w:rPr>
        <w:t>要</w:t>
      </w:r>
      <w:r>
        <w:rPr>
          <w:rFonts w:hint="eastAsia" w:ascii="宋体" w:hAnsi="宋体" w:eastAsia="宋体" w:cs="宋体"/>
          <w:color w:val="auto"/>
          <w:highlight w:val="none"/>
        </w:rPr>
        <w:t>求</w:t>
      </w:r>
      <w:r>
        <w:rPr>
          <w:rFonts w:hint="eastAsia" w:ascii="宋体" w:hAnsi="宋体" w:eastAsia="宋体" w:cs="宋体"/>
          <w:color w:val="auto"/>
          <w:spacing w:val="-3"/>
          <w:highlight w:val="none"/>
        </w:rPr>
        <w:t>在</w:t>
      </w:r>
      <w:r>
        <w:rPr>
          <w:rFonts w:hint="eastAsia" w:ascii="宋体" w:hAnsi="宋体" w:eastAsia="宋体" w:cs="宋体"/>
          <w:color w:val="auto"/>
          <w:highlight w:val="none"/>
        </w:rPr>
        <w:t>本</w:t>
      </w:r>
      <w:r>
        <w:rPr>
          <w:rFonts w:hint="eastAsia" w:ascii="宋体" w:hAnsi="宋体" w:eastAsia="宋体" w:cs="宋体"/>
          <w:color w:val="auto"/>
          <w:spacing w:val="-3"/>
          <w:highlight w:val="none"/>
        </w:rPr>
        <w:t>表</w:t>
      </w:r>
      <w:r>
        <w:rPr>
          <w:rFonts w:hint="eastAsia" w:ascii="宋体" w:hAnsi="宋体" w:eastAsia="宋体" w:cs="宋体"/>
          <w:color w:val="auto"/>
          <w:highlight w:val="none"/>
        </w:rPr>
        <w:t>后</w:t>
      </w:r>
      <w:r>
        <w:rPr>
          <w:rFonts w:hint="eastAsia" w:ascii="宋体" w:hAnsi="宋体" w:eastAsia="宋体" w:cs="宋体"/>
          <w:color w:val="auto"/>
          <w:spacing w:val="-3"/>
          <w:highlight w:val="none"/>
        </w:rPr>
        <w:t>附</w:t>
      </w:r>
      <w:r>
        <w:rPr>
          <w:rFonts w:hint="eastAsia" w:ascii="宋体" w:hAnsi="宋体" w:eastAsia="宋体" w:cs="宋体"/>
          <w:color w:val="auto"/>
          <w:highlight w:val="none"/>
        </w:rPr>
        <w:t>相关</w:t>
      </w:r>
      <w:r>
        <w:rPr>
          <w:rFonts w:hint="eastAsia" w:ascii="宋体" w:hAnsi="宋体" w:eastAsia="宋体" w:cs="宋体"/>
          <w:color w:val="auto"/>
          <w:spacing w:val="-3"/>
          <w:highlight w:val="none"/>
        </w:rPr>
        <w:t>证</w:t>
      </w:r>
      <w:r>
        <w:rPr>
          <w:rFonts w:hint="eastAsia" w:ascii="宋体" w:hAnsi="宋体" w:eastAsia="宋体" w:cs="宋体"/>
          <w:color w:val="auto"/>
          <w:highlight w:val="none"/>
        </w:rPr>
        <w:t>明</w:t>
      </w:r>
      <w:r>
        <w:rPr>
          <w:rFonts w:hint="eastAsia" w:ascii="宋体" w:hAnsi="宋体" w:eastAsia="宋体" w:cs="宋体"/>
          <w:color w:val="auto"/>
          <w:spacing w:val="-3"/>
          <w:highlight w:val="none"/>
        </w:rPr>
        <w:t>材料</w:t>
      </w:r>
      <w:r>
        <w:rPr>
          <w:rFonts w:hint="eastAsia" w:ascii="宋体" w:hAnsi="宋体" w:eastAsia="宋体" w:cs="宋体"/>
          <w:color w:val="auto"/>
          <w:highlight w:val="none"/>
        </w:rPr>
        <w:t>。</w:t>
      </w:r>
    </w:p>
    <w:p w14:paraId="2F25ED29">
      <w:pPr>
        <w:keepNext w:val="0"/>
        <w:keepLines w:val="0"/>
        <w:widowControl w:val="0"/>
        <w:kinsoku w:val="0"/>
        <w:overflowPunct w:val="0"/>
        <w:autoSpaceDE w:val="0"/>
        <w:autoSpaceDN w:val="0"/>
        <w:bidi w:val="0"/>
        <w:adjustRightInd w:val="0"/>
        <w:spacing w:line="319" w:lineRule="exact"/>
        <w:ind w:left="629"/>
        <w:jc w:val="left"/>
        <w:rPr>
          <w:rFonts w:hint="eastAsia" w:ascii="宋体" w:hAnsi="宋体" w:eastAsia="宋体" w:cs="宋体"/>
          <w:color w:val="auto"/>
          <w:highlight w:val="none"/>
        </w:rPr>
        <w:sectPr>
          <w:pgSz w:w="11907" w:h="16838"/>
          <w:pgMar w:top="1134" w:right="1134" w:bottom="1134" w:left="1134" w:header="882" w:footer="1219" w:gutter="0"/>
          <w:lnNumType w:countBy="0" w:distance="360"/>
          <w:cols w:space="720" w:num="1"/>
        </w:sectPr>
      </w:pPr>
    </w:p>
    <w:p w14:paraId="37D968E9">
      <w:pPr>
        <w:keepNext w:val="0"/>
        <w:keepLines w:val="0"/>
        <w:kinsoku w:val="0"/>
        <w:autoSpaceDE w:val="0"/>
        <w:autoSpaceDN w:val="0"/>
        <w:bidi w:val="0"/>
        <w:adjustRightInd w:val="0"/>
        <w:snapToGrid w:val="0"/>
        <w:spacing w:before="59" w:line="219" w:lineRule="auto"/>
        <w:ind w:left="1057"/>
        <w:jc w:val="left"/>
        <w:textAlignment w:val="baseline"/>
        <w:rPr>
          <w:rFonts w:hint="eastAsia" w:ascii="宋体" w:hAnsi="宋体" w:eastAsia="宋体" w:cs="宋体"/>
          <w:b/>
          <w:bCs/>
          <w:snapToGrid w:val="0"/>
          <w:color w:val="auto"/>
          <w:kern w:val="0"/>
          <w:sz w:val="30"/>
          <w:szCs w:val="30"/>
          <w:highlight w:val="none"/>
        </w:rPr>
      </w:pPr>
      <w:bookmarkStart w:id="656" w:name="bookmark143"/>
      <w:bookmarkEnd w:id="656"/>
      <w:r>
        <w:rPr>
          <w:rFonts w:hint="eastAsia" w:ascii="宋体" w:hAnsi="宋体" w:eastAsia="宋体" w:cs="宋体"/>
          <w:b/>
          <w:bCs/>
          <w:snapToGrid w:val="0"/>
          <w:color w:val="auto"/>
          <w:kern w:val="0"/>
          <w:sz w:val="30"/>
          <w:szCs w:val="30"/>
          <w:highlight w:val="none"/>
        </w:rPr>
        <w:t>（六）拟委任的总监理工程师或驻地监理工程师资历表</w:t>
      </w:r>
    </w:p>
    <w:tbl>
      <w:tblPr>
        <w:tblStyle w:val="21"/>
        <w:tblpPr w:leftFromText="180" w:rightFromText="180" w:vertAnchor="text" w:horzAnchor="page" w:tblpX="1456" w:tblpY="254"/>
        <w:tblOverlap w:val="never"/>
        <w:tblW w:w="943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8"/>
        <w:gridCol w:w="56"/>
        <w:gridCol w:w="1244"/>
        <w:gridCol w:w="325"/>
        <w:gridCol w:w="1144"/>
        <w:gridCol w:w="1491"/>
        <w:gridCol w:w="366"/>
        <w:gridCol w:w="1665"/>
        <w:gridCol w:w="419"/>
        <w:gridCol w:w="1389"/>
      </w:tblGrid>
      <w:tr w14:paraId="1EE21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1338" w:type="dxa"/>
            <w:noWrap w:val="0"/>
            <w:vAlign w:val="center"/>
          </w:tcPr>
          <w:p w14:paraId="58836633">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 w:val="21"/>
                <w:szCs w:val="21"/>
                <w:highlight w:val="none"/>
                <w:lang w:eastAsia="en-US"/>
              </w:rPr>
              <w:t>姓名</w:t>
            </w:r>
          </w:p>
        </w:tc>
        <w:tc>
          <w:tcPr>
            <w:tcW w:w="1625" w:type="dxa"/>
            <w:gridSpan w:val="3"/>
            <w:noWrap w:val="0"/>
            <w:vAlign w:val="center"/>
          </w:tcPr>
          <w:p w14:paraId="22F1F587">
            <w:pPr>
              <w:keepNext w:val="0"/>
              <w:keepLines w:val="0"/>
              <w:kinsoku w:val="0"/>
              <w:autoSpaceDE w:val="0"/>
              <w:autoSpaceDN w:val="0"/>
              <w:bidi w:val="0"/>
              <w:adjustRightInd w:val="0"/>
              <w:snapToGrid w:val="0"/>
              <w:jc w:val="center"/>
              <w:textAlignment w:val="baseline"/>
              <w:rPr>
                <w:rFonts w:hint="eastAsia" w:ascii="宋体" w:hAnsi="宋体" w:eastAsia="宋体" w:cs="宋体"/>
                <w:snapToGrid w:val="0"/>
                <w:color w:val="auto"/>
                <w:kern w:val="0"/>
                <w:sz w:val="21"/>
                <w:szCs w:val="21"/>
                <w:highlight w:val="none"/>
                <w:lang w:eastAsia="en-US"/>
              </w:rPr>
            </w:pPr>
          </w:p>
        </w:tc>
        <w:tc>
          <w:tcPr>
            <w:tcW w:w="1144" w:type="dxa"/>
            <w:noWrap w:val="0"/>
            <w:vAlign w:val="center"/>
          </w:tcPr>
          <w:p w14:paraId="1ABC99D6">
            <w:pPr>
              <w:keepNext w:val="0"/>
              <w:keepLines w:val="0"/>
              <w:kinsoku w:val="0"/>
              <w:autoSpaceDE w:val="0"/>
              <w:autoSpaceDN w:val="0"/>
              <w:bidi w:val="0"/>
              <w:adjustRightInd w:val="0"/>
              <w:snapToGrid w:val="0"/>
              <w:spacing w:before="65" w:line="228" w:lineRule="auto"/>
              <w:ind w:left="115"/>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 w:val="21"/>
                <w:szCs w:val="21"/>
                <w:highlight w:val="none"/>
                <w:lang w:eastAsia="en-US"/>
              </w:rPr>
              <w:t>年龄</w:t>
            </w:r>
          </w:p>
        </w:tc>
        <w:tc>
          <w:tcPr>
            <w:tcW w:w="1491" w:type="dxa"/>
            <w:noWrap w:val="0"/>
            <w:vAlign w:val="center"/>
          </w:tcPr>
          <w:p w14:paraId="1DD86B04">
            <w:pPr>
              <w:keepNext w:val="0"/>
              <w:keepLines w:val="0"/>
              <w:kinsoku w:val="0"/>
              <w:autoSpaceDE w:val="0"/>
              <w:autoSpaceDN w:val="0"/>
              <w:bidi w:val="0"/>
              <w:adjustRightInd w:val="0"/>
              <w:snapToGrid w:val="0"/>
              <w:jc w:val="center"/>
              <w:textAlignment w:val="baseline"/>
              <w:rPr>
                <w:rFonts w:hint="eastAsia" w:ascii="宋体" w:hAnsi="宋体" w:eastAsia="宋体" w:cs="宋体"/>
                <w:snapToGrid w:val="0"/>
                <w:color w:val="auto"/>
                <w:kern w:val="0"/>
                <w:sz w:val="21"/>
                <w:szCs w:val="21"/>
                <w:highlight w:val="none"/>
                <w:lang w:eastAsia="en-US"/>
              </w:rPr>
            </w:pPr>
          </w:p>
        </w:tc>
        <w:tc>
          <w:tcPr>
            <w:tcW w:w="2031" w:type="dxa"/>
            <w:gridSpan w:val="2"/>
            <w:noWrap w:val="0"/>
            <w:vAlign w:val="center"/>
          </w:tcPr>
          <w:p w14:paraId="03E034D5">
            <w:pPr>
              <w:keepNext w:val="0"/>
              <w:keepLines w:val="0"/>
              <w:bidi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执业或职业资格证书名称</w:t>
            </w:r>
          </w:p>
        </w:tc>
        <w:tc>
          <w:tcPr>
            <w:tcW w:w="1808" w:type="dxa"/>
            <w:gridSpan w:val="2"/>
            <w:noWrap w:val="0"/>
            <w:vAlign w:val="top"/>
          </w:tcPr>
          <w:p w14:paraId="6FC31F6C">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rPr>
            </w:pPr>
          </w:p>
        </w:tc>
      </w:tr>
      <w:tr w14:paraId="6690E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trPr>
        <w:tc>
          <w:tcPr>
            <w:tcW w:w="1338" w:type="dxa"/>
            <w:noWrap w:val="0"/>
            <w:vAlign w:val="center"/>
          </w:tcPr>
          <w:p w14:paraId="675833F2">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技术职称</w:t>
            </w:r>
          </w:p>
        </w:tc>
        <w:tc>
          <w:tcPr>
            <w:tcW w:w="1625" w:type="dxa"/>
            <w:gridSpan w:val="3"/>
            <w:noWrap w:val="0"/>
            <w:vAlign w:val="center"/>
          </w:tcPr>
          <w:p w14:paraId="18D7C160">
            <w:pPr>
              <w:keepNext w:val="0"/>
              <w:keepLines w:val="0"/>
              <w:kinsoku w:val="0"/>
              <w:autoSpaceDE w:val="0"/>
              <w:autoSpaceDN w:val="0"/>
              <w:bidi w:val="0"/>
              <w:adjustRightInd w:val="0"/>
              <w:snapToGrid w:val="0"/>
              <w:jc w:val="center"/>
              <w:textAlignment w:val="baseline"/>
              <w:rPr>
                <w:rFonts w:hint="eastAsia" w:ascii="宋体" w:hAnsi="宋体" w:eastAsia="宋体" w:cs="宋体"/>
                <w:snapToGrid w:val="0"/>
                <w:color w:val="auto"/>
                <w:kern w:val="0"/>
                <w:sz w:val="21"/>
                <w:szCs w:val="21"/>
                <w:highlight w:val="none"/>
                <w:lang w:eastAsia="en-US"/>
              </w:rPr>
            </w:pPr>
          </w:p>
        </w:tc>
        <w:tc>
          <w:tcPr>
            <w:tcW w:w="1144" w:type="dxa"/>
            <w:noWrap w:val="0"/>
            <w:vAlign w:val="center"/>
          </w:tcPr>
          <w:p w14:paraId="4B6453D9">
            <w:pPr>
              <w:keepNext w:val="0"/>
              <w:keepLines w:val="0"/>
              <w:kinsoku w:val="0"/>
              <w:autoSpaceDE w:val="0"/>
              <w:autoSpaceDN w:val="0"/>
              <w:bidi w:val="0"/>
              <w:adjustRightInd w:val="0"/>
              <w:snapToGrid w:val="0"/>
              <w:spacing w:before="66" w:line="229" w:lineRule="auto"/>
              <w:ind w:left="118"/>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sz w:val="21"/>
                <w:szCs w:val="21"/>
                <w:highlight w:val="none"/>
                <w:lang w:eastAsia="en-US"/>
              </w:rPr>
              <w:t>学历</w:t>
            </w:r>
          </w:p>
        </w:tc>
        <w:tc>
          <w:tcPr>
            <w:tcW w:w="1491" w:type="dxa"/>
            <w:noWrap w:val="0"/>
            <w:vAlign w:val="center"/>
          </w:tcPr>
          <w:p w14:paraId="7DEB0E8F">
            <w:pPr>
              <w:keepNext w:val="0"/>
              <w:keepLines w:val="0"/>
              <w:kinsoku w:val="0"/>
              <w:autoSpaceDE w:val="0"/>
              <w:autoSpaceDN w:val="0"/>
              <w:bidi w:val="0"/>
              <w:adjustRightInd w:val="0"/>
              <w:snapToGrid w:val="0"/>
              <w:jc w:val="center"/>
              <w:textAlignment w:val="baseline"/>
              <w:rPr>
                <w:rFonts w:hint="eastAsia" w:ascii="宋体" w:hAnsi="宋体" w:eastAsia="宋体" w:cs="宋体"/>
                <w:snapToGrid w:val="0"/>
                <w:color w:val="auto"/>
                <w:kern w:val="0"/>
                <w:sz w:val="21"/>
                <w:szCs w:val="21"/>
                <w:highlight w:val="none"/>
                <w:lang w:eastAsia="en-US"/>
              </w:rPr>
            </w:pPr>
          </w:p>
        </w:tc>
        <w:tc>
          <w:tcPr>
            <w:tcW w:w="2031" w:type="dxa"/>
            <w:gridSpan w:val="2"/>
            <w:noWrap w:val="0"/>
            <w:vAlign w:val="center"/>
          </w:tcPr>
          <w:p w14:paraId="6A849517">
            <w:pPr>
              <w:keepNext w:val="0"/>
              <w:keepLines w:val="0"/>
              <w:bidi w:val="0"/>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拟在本标段工程任职</w:t>
            </w:r>
          </w:p>
        </w:tc>
        <w:tc>
          <w:tcPr>
            <w:tcW w:w="1808" w:type="dxa"/>
            <w:gridSpan w:val="2"/>
            <w:noWrap w:val="0"/>
            <w:vAlign w:val="top"/>
          </w:tcPr>
          <w:p w14:paraId="3CB1E43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7AC5B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338" w:type="dxa"/>
            <w:noWrap w:val="0"/>
            <w:vAlign w:val="center"/>
          </w:tcPr>
          <w:p w14:paraId="09C8D3D2">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工作年限</w:t>
            </w:r>
          </w:p>
        </w:tc>
        <w:tc>
          <w:tcPr>
            <w:tcW w:w="4260" w:type="dxa"/>
            <w:gridSpan w:val="5"/>
            <w:noWrap w:val="0"/>
            <w:vAlign w:val="center"/>
          </w:tcPr>
          <w:p w14:paraId="56F7AA73">
            <w:pPr>
              <w:keepNext w:val="0"/>
              <w:keepLines w:val="0"/>
              <w:kinsoku w:val="0"/>
              <w:autoSpaceDE w:val="0"/>
              <w:autoSpaceDN w:val="0"/>
              <w:bidi w:val="0"/>
              <w:adjustRightInd w:val="0"/>
              <w:snapToGrid w:val="0"/>
              <w:jc w:val="center"/>
              <w:textAlignment w:val="baseline"/>
              <w:rPr>
                <w:rFonts w:hint="eastAsia" w:ascii="宋体" w:hAnsi="宋体" w:eastAsia="宋体" w:cs="宋体"/>
                <w:snapToGrid w:val="0"/>
                <w:color w:val="auto"/>
                <w:kern w:val="0"/>
                <w:sz w:val="21"/>
                <w:szCs w:val="21"/>
                <w:highlight w:val="none"/>
                <w:lang w:eastAsia="en-US"/>
              </w:rPr>
            </w:pPr>
          </w:p>
        </w:tc>
        <w:tc>
          <w:tcPr>
            <w:tcW w:w="2031" w:type="dxa"/>
            <w:gridSpan w:val="2"/>
            <w:noWrap w:val="0"/>
            <w:vAlign w:val="center"/>
          </w:tcPr>
          <w:p w14:paraId="26316788">
            <w:pPr>
              <w:keepNext w:val="0"/>
              <w:keepLines w:val="0"/>
              <w:kinsoku w:val="0"/>
              <w:autoSpaceDE w:val="0"/>
              <w:autoSpaceDN w:val="0"/>
              <w:bidi w:val="0"/>
              <w:adjustRightInd w:val="0"/>
              <w:snapToGrid w:val="0"/>
              <w:spacing w:before="65" w:line="228" w:lineRule="auto"/>
              <w:ind w:left="109"/>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从事监理工作年限</w:t>
            </w:r>
          </w:p>
        </w:tc>
        <w:tc>
          <w:tcPr>
            <w:tcW w:w="1808" w:type="dxa"/>
            <w:gridSpan w:val="2"/>
            <w:noWrap w:val="0"/>
            <w:vAlign w:val="top"/>
          </w:tcPr>
          <w:p w14:paraId="1D8A4DE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31029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338" w:type="dxa"/>
            <w:noWrap w:val="0"/>
            <w:vAlign w:val="top"/>
          </w:tcPr>
          <w:p w14:paraId="4E75966A">
            <w:pPr>
              <w:keepNext w:val="0"/>
              <w:keepLines w:val="0"/>
              <w:kinsoku w:val="0"/>
              <w:autoSpaceDE w:val="0"/>
              <w:autoSpaceDN w:val="0"/>
              <w:bidi w:val="0"/>
              <w:adjustRightInd w:val="0"/>
              <w:snapToGrid w:val="0"/>
              <w:spacing w:before="221" w:line="228" w:lineRule="auto"/>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毕业学校</w:t>
            </w:r>
          </w:p>
        </w:tc>
        <w:tc>
          <w:tcPr>
            <w:tcW w:w="8099" w:type="dxa"/>
            <w:gridSpan w:val="9"/>
            <w:noWrap w:val="0"/>
            <w:vAlign w:val="top"/>
          </w:tcPr>
          <w:p w14:paraId="7255E09A">
            <w:pPr>
              <w:keepNext w:val="0"/>
              <w:keepLines w:val="0"/>
              <w:tabs>
                <w:tab w:val="left" w:pos="866"/>
              </w:tabs>
              <w:kinsoku w:val="0"/>
              <w:autoSpaceDE w:val="0"/>
              <w:autoSpaceDN w:val="0"/>
              <w:bidi w:val="0"/>
              <w:adjustRightInd w:val="0"/>
              <w:snapToGrid w:val="0"/>
              <w:spacing w:before="221" w:line="228" w:lineRule="auto"/>
              <w:ind w:left="23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5"/>
                <w:sz w:val="21"/>
                <w:szCs w:val="21"/>
                <w:highlight w:val="none"/>
              </w:rPr>
              <w:t>年月毕业于学校专业，学制年</w:t>
            </w:r>
          </w:p>
        </w:tc>
      </w:tr>
      <w:tr w14:paraId="732370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9437" w:type="dxa"/>
            <w:gridSpan w:val="10"/>
            <w:noWrap w:val="0"/>
            <w:vAlign w:val="top"/>
          </w:tcPr>
          <w:p w14:paraId="04BE6302">
            <w:pPr>
              <w:keepNext w:val="0"/>
              <w:keepLines w:val="0"/>
              <w:kinsoku w:val="0"/>
              <w:autoSpaceDE w:val="0"/>
              <w:autoSpaceDN w:val="0"/>
              <w:bidi w:val="0"/>
              <w:adjustRightInd w:val="0"/>
              <w:snapToGrid w:val="0"/>
              <w:spacing w:before="221" w:line="231" w:lineRule="auto"/>
              <w:ind w:left="369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经历</w:t>
            </w:r>
          </w:p>
        </w:tc>
      </w:tr>
      <w:tr w14:paraId="00275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1" w:hRule="atLeast"/>
        </w:trPr>
        <w:tc>
          <w:tcPr>
            <w:tcW w:w="1394" w:type="dxa"/>
            <w:gridSpan w:val="2"/>
            <w:noWrap w:val="0"/>
            <w:vAlign w:val="center"/>
          </w:tcPr>
          <w:p w14:paraId="7F7C2B27">
            <w:pPr>
              <w:keepNext w:val="0"/>
              <w:keepLines w:val="0"/>
              <w:bidi w:val="0"/>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时间</w:t>
            </w:r>
          </w:p>
        </w:tc>
        <w:tc>
          <w:tcPr>
            <w:tcW w:w="4570" w:type="dxa"/>
            <w:gridSpan w:val="5"/>
            <w:noWrap w:val="0"/>
            <w:vAlign w:val="center"/>
          </w:tcPr>
          <w:p w14:paraId="1EA92010">
            <w:pPr>
              <w:keepNext w:val="0"/>
              <w:keepLines w:val="0"/>
              <w:bidi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参加过的类似工程项目名称</w:t>
            </w:r>
          </w:p>
        </w:tc>
        <w:tc>
          <w:tcPr>
            <w:tcW w:w="2084" w:type="dxa"/>
            <w:gridSpan w:val="2"/>
            <w:noWrap w:val="0"/>
            <w:vAlign w:val="center"/>
          </w:tcPr>
          <w:p w14:paraId="3AB3E86E">
            <w:pPr>
              <w:keepNext w:val="0"/>
              <w:keepLines w:val="0"/>
              <w:bidi w:val="0"/>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担任职务</w:t>
            </w:r>
          </w:p>
        </w:tc>
        <w:tc>
          <w:tcPr>
            <w:tcW w:w="1389" w:type="dxa"/>
            <w:noWrap w:val="0"/>
            <w:vAlign w:val="center"/>
          </w:tcPr>
          <w:p w14:paraId="56EE8341">
            <w:pPr>
              <w:keepNext w:val="0"/>
              <w:keepLines w:val="0"/>
              <w:bidi w:val="0"/>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委托人及联系电话</w:t>
            </w:r>
          </w:p>
        </w:tc>
      </w:tr>
      <w:tr w14:paraId="41748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394" w:type="dxa"/>
            <w:gridSpan w:val="2"/>
            <w:noWrap w:val="0"/>
            <w:vAlign w:val="top"/>
          </w:tcPr>
          <w:p w14:paraId="3DDE8D9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570" w:type="dxa"/>
            <w:gridSpan w:val="5"/>
            <w:noWrap w:val="0"/>
            <w:vAlign w:val="top"/>
          </w:tcPr>
          <w:p w14:paraId="55BCC23C">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2084" w:type="dxa"/>
            <w:gridSpan w:val="2"/>
            <w:noWrap w:val="0"/>
            <w:vAlign w:val="top"/>
          </w:tcPr>
          <w:p w14:paraId="76C7FB4F">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389" w:type="dxa"/>
            <w:noWrap w:val="0"/>
            <w:vAlign w:val="top"/>
          </w:tcPr>
          <w:p w14:paraId="68B502EF">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3848D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394" w:type="dxa"/>
            <w:gridSpan w:val="2"/>
            <w:noWrap w:val="0"/>
            <w:vAlign w:val="top"/>
          </w:tcPr>
          <w:p w14:paraId="05DBA33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570" w:type="dxa"/>
            <w:gridSpan w:val="5"/>
            <w:noWrap w:val="0"/>
            <w:vAlign w:val="top"/>
          </w:tcPr>
          <w:p w14:paraId="348C75D9">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2084" w:type="dxa"/>
            <w:gridSpan w:val="2"/>
            <w:noWrap w:val="0"/>
            <w:vAlign w:val="top"/>
          </w:tcPr>
          <w:p w14:paraId="73B93FFF">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389" w:type="dxa"/>
            <w:noWrap w:val="0"/>
            <w:vAlign w:val="top"/>
          </w:tcPr>
          <w:p w14:paraId="0CEAB7D0">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3549E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394" w:type="dxa"/>
            <w:gridSpan w:val="2"/>
            <w:noWrap w:val="0"/>
            <w:vAlign w:val="top"/>
          </w:tcPr>
          <w:p w14:paraId="3217E636">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570" w:type="dxa"/>
            <w:gridSpan w:val="5"/>
            <w:noWrap w:val="0"/>
            <w:vAlign w:val="top"/>
          </w:tcPr>
          <w:p w14:paraId="7805FE40">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2084" w:type="dxa"/>
            <w:gridSpan w:val="2"/>
            <w:noWrap w:val="0"/>
            <w:vAlign w:val="top"/>
          </w:tcPr>
          <w:p w14:paraId="08FDA00D">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389" w:type="dxa"/>
            <w:noWrap w:val="0"/>
            <w:vAlign w:val="top"/>
          </w:tcPr>
          <w:p w14:paraId="54F3FB19">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31E29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394" w:type="dxa"/>
            <w:gridSpan w:val="2"/>
            <w:noWrap w:val="0"/>
            <w:vAlign w:val="top"/>
          </w:tcPr>
          <w:p w14:paraId="4F9DB0A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570" w:type="dxa"/>
            <w:gridSpan w:val="5"/>
            <w:noWrap w:val="0"/>
            <w:vAlign w:val="top"/>
          </w:tcPr>
          <w:p w14:paraId="67E7BD2E">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2084" w:type="dxa"/>
            <w:gridSpan w:val="2"/>
            <w:noWrap w:val="0"/>
            <w:vAlign w:val="top"/>
          </w:tcPr>
          <w:p w14:paraId="105F519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389" w:type="dxa"/>
            <w:noWrap w:val="0"/>
            <w:vAlign w:val="top"/>
          </w:tcPr>
          <w:p w14:paraId="68A52340">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2DA1D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394" w:type="dxa"/>
            <w:gridSpan w:val="2"/>
            <w:noWrap w:val="0"/>
            <w:vAlign w:val="top"/>
          </w:tcPr>
          <w:p w14:paraId="3F9948F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570" w:type="dxa"/>
            <w:gridSpan w:val="5"/>
            <w:noWrap w:val="0"/>
            <w:vAlign w:val="top"/>
          </w:tcPr>
          <w:p w14:paraId="7C8A0E99">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2084" w:type="dxa"/>
            <w:gridSpan w:val="2"/>
            <w:noWrap w:val="0"/>
            <w:vAlign w:val="top"/>
          </w:tcPr>
          <w:p w14:paraId="0CAC6BD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389" w:type="dxa"/>
            <w:noWrap w:val="0"/>
            <w:vAlign w:val="top"/>
          </w:tcPr>
          <w:p w14:paraId="54BF87C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27ABD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394" w:type="dxa"/>
            <w:gridSpan w:val="2"/>
            <w:noWrap w:val="0"/>
            <w:vAlign w:val="top"/>
          </w:tcPr>
          <w:p w14:paraId="129A35CC">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570" w:type="dxa"/>
            <w:gridSpan w:val="5"/>
            <w:noWrap w:val="0"/>
            <w:vAlign w:val="top"/>
          </w:tcPr>
          <w:p w14:paraId="6E02EF8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2084" w:type="dxa"/>
            <w:gridSpan w:val="2"/>
            <w:noWrap w:val="0"/>
            <w:vAlign w:val="top"/>
          </w:tcPr>
          <w:p w14:paraId="14C10CFE">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389" w:type="dxa"/>
            <w:noWrap w:val="0"/>
            <w:vAlign w:val="top"/>
          </w:tcPr>
          <w:p w14:paraId="04EA6750">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065FE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638" w:type="dxa"/>
            <w:gridSpan w:val="3"/>
            <w:noWrap w:val="0"/>
            <w:vAlign w:val="top"/>
          </w:tcPr>
          <w:p w14:paraId="6A547490">
            <w:pPr>
              <w:keepNext w:val="0"/>
              <w:keepLines w:val="0"/>
              <w:kinsoku w:val="0"/>
              <w:autoSpaceDE w:val="0"/>
              <w:autoSpaceDN w:val="0"/>
              <w:bidi w:val="0"/>
              <w:adjustRightInd w:val="0"/>
              <w:snapToGrid w:val="0"/>
              <w:spacing w:line="242" w:lineRule="auto"/>
              <w:jc w:val="left"/>
              <w:textAlignment w:val="baseline"/>
              <w:rPr>
                <w:rFonts w:hint="eastAsia" w:ascii="宋体" w:hAnsi="宋体" w:eastAsia="宋体" w:cs="宋体"/>
                <w:snapToGrid w:val="0"/>
                <w:color w:val="auto"/>
                <w:kern w:val="0"/>
                <w:sz w:val="21"/>
                <w:szCs w:val="21"/>
                <w:highlight w:val="none"/>
                <w:lang w:eastAsia="en-US"/>
              </w:rPr>
            </w:pPr>
          </w:p>
          <w:p w14:paraId="7BDC6231">
            <w:pPr>
              <w:keepNext w:val="0"/>
              <w:keepLines w:val="0"/>
              <w:kinsoku w:val="0"/>
              <w:autoSpaceDE w:val="0"/>
              <w:autoSpaceDN w:val="0"/>
              <w:bidi w:val="0"/>
              <w:adjustRightInd w:val="0"/>
              <w:snapToGrid w:val="0"/>
              <w:spacing w:before="65" w:line="228" w:lineRule="auto"/>
              <w:ind w:left="8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获奖情况</w:t>
            </w:r>
          </w:p>
        </w:tc>
        <w:tc>
          <w:tcPr>
            <w:tcW w:w="6799" w:type="dxa"/>
            <w:gridSpan w:val="7"/>
            <w:noWrap w:val="0"/>
            <w:vAlign w:val="top"/>
          </w:tcPr>
          <w:p w14:paraId="5547E5B7">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7F39C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2638" w:type="dxa"/>
            <w:gridSpan w:val="3"/>
            <w:noWrap w:val="0"/>
            <w:vAlign w:val="top"/>
          </w:tcPr>
          <w:p w14:paraId="0EA8621E">
            <w:pPr>
              <w:keepNext w:val="0"/>
              <w:keepLines w:val="0"/>
              <w:kinsoku w:val="0"/>
              <w:autoSpaceDE w:val="0"/>
              <w:autoSpaceDN w:val="0"/>
              <w:bidi w:val="0"/>
              <w:adjustRightInd w:val="0"/>
              <w:snapToGrid w:val="0"/>
              <w:spacing w:line="464" w:lineRule="auto"/>
              <w:jc w:val="left"/>
              <w:textAlignment w:val="baseline"/>
              <w:rPr>
                <w:rFonts w:hint="eastAsia" w:ascii="宋体" w:hAnsi="宋体" w:eastAsia="宋体" w:cs="宋体"/>
                <w:snapToGrid w:val="0"/>
                <w:color w:val="auto"/>
                <w:kern w:val="0"/>
                <w:sz w:val="21"/>
                <w:szCs w:val="21"/>
                <w:highlight w:val="none"/>
                <w:lang w:eastAsia="en-US"/>
              </w:rPr>
            </w:pPr>
          </w:p>
          <w:p w14:paraId="66190A78">
            <w:pPr>
              <w:keepNext w:val="0"/>
              <w:keepLines w:val="0"/>
              <w:kinsoku w:val="0"/>
              <w:autoSpaceDE w:val="0"/>
              <w:autoSpaceDN w:val="0"/>
              <w:bidi w:val="0"/>
              <w:adjustRightInd w:val="0"/>
              <w:snapToGrid w:val="0"/>
              <w:spacing w:before="65" w:line="229" w:lineRule="auto"/>
              <w:ind w:firstLine="1040" w:firstLineChars="50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备注</w:t>
            </w:r>
          </w:p>
        </w:tc>
        <w:tc>
          <w:tcPr>
            <w:tcW w:w="6799" w:type="dxa"/>
            <w:gridSpan w:val="7"/>
            <w:noWrap w:val="0"/>
            <w:vAlign w:val="top"/>
          </w:tcPr>
          <w:p w14:paraId="6C8B329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bl>
    <w:p w14:paraId="5CB616D3">
      <w:pPr>
        <w:keepNext w:val="0"/>
        <w:keepLines w:val="0"/>
        <w:kinsoku w:val="0"/>
        <w:autoSpaceDE w:val="0"/>
        <w:autoSpaceDN w:val="0"/>
        <w:bidi w:val="0"/>
        <w:adjustRightInd w:val="0"/>
        <w:snapToGrid w:val="0"/>
        <w:spacing w:before="147"/>
        <w:ind w:firstLine="210" w:firstLineChars="1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注：1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本表应填写总监理工程师（含备选）或驻地监理工程师（含备选）相关情况。</w:t>
      </w:r>
    </w:p>
    <w:p w14:paraId="7DC9AD50">
      <w:pPr>
        <w:keepNext w:val="0"/>
        <w:keepLines w:val="0"/>
        <w:bidi w:val="0"/>
        <w:ind w:firstLine="630" w:firstLineChars="300"/>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投标人应根据招标文件第二章“投标人须知”第3.5.4项的要求在本表后附相关证明材。</w:t>
      </w:r>
    </w:p>
    <w:p w14:paraId="5B247588">
      <w:pPr>
        <w:keepNext w:val="0"/>
        <w:keepLines w:val="0"/>
        <w:bidi w:val="0"/>
        <w:ind w:firstLine="630" w:firstLineChars="300"/>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本人（亲笔签名）知晓为本项目的总监理工程师/驻地监理工程师，并对其真实性负责。</w:t>
      </w:r>
    </w:p>
    <w:p w14:paraId="183849E1">
      <w:pPr>
        <w:keepNext w:val="0"/>
        <w:keepLines w:val="0"/>
        <w:kinsoku w:val="0"/>
        <w:autoSpaceDE w:val="0"/>
        <w:autoSpaceDN w:val="0"/>
        <w:bidi w:val="0"/>
        <w:adjustRightInd w:val="0"/>
        <w:snapToGrid w:val="0"/>
        <w:spacing w:before="155" w:line="368" w:lineRule="auto"/>
        <w:ind w:firstLine="416" w:firstLineChars="200"/>
        <w:jc w:val="both"/>
        <w:textAlignment w:val="baseline"/>
        <w:rPr>
          <w:rFonts w:hint="eastAsia" w:ascii="宋体" w:hAnsi="宋体" w:eastAsia="宋体" w:cs="宋体"/>
          <w:snapToGrid w:val="0"/>
          <w:color w:val="auto"/>
          <w:spacing w:val="4"/>
          <w:kern w:val="0"/>
          <w:sz w:val="20"/>
          <w:highlight w:val="none"/>
        </w:rPr>
      </w:pPr>
    </w:p>
    <w:p w14:paraId="46577332">
      <w:pPr>
        <w:keepNext w:val="0"/>
        <w:keepLines w:val="0"/>
        <w:bidi w:val="0"/>
        <w:spacing w:before="65" w:line="233" w:lineRule="auto"/>
        <w:ind w:left="1775"/>
        <w:rPr>
          <w:rFonts w:hint="eastAsia" w:ascii="宋体" w:hAnsi="宋体" w:eastAsia="宋体" w:cs="宋体"/>
          <w:b/>
          <w:bCs/>
          <w:color w:val="auto"/>
          <w:spacing w:val="-3"/>
          <w:sz w:val="30"/>
          <w:szCs w:val="30"/>
          <w:highlight w:val="none"/>
        </w:rPr>
      </w:pPr>
      <w:bookmarkStart w:id="657" w:name="bookmark144"/>
      <w:bookmarkEnd w:id="657"/>
    </w:p>
    <w:p w14:paraId="0C1D013A">
      <w:pPr>
        <w:keepNext w:val="0"/>
        <w:keepLines w:val="0"/>
        <w:bidi w:val="0"/>
        <w:spacing w:before="65" w:line="233" w:lineRule="auto"/>
        <w:ind w:left="1775"/>
        <w:rPr>
          <w:rFonts w:hint="eastAsia" w:ascii="宋体" w:hAnsi="宋体" w:eastAsia="宋体" w:cs="宋体"/>
          <w:b/>
          <w:bCs/>
          <w:color w:val="auto"/>
          <w:spacing w:val="-3"/>
          <w:sz w:val="30"/>
          <w:szCs w:val="30"/>
          <w:highlight w:val="none"/>
        </w:rPr>
      </w:pPr>
    </w:p>
    <w:p w14:paraId="36FE5E63">
      <w:pPr>
        <w:keepNext w:val="0"/>
        <w:keepLines w:val="0"/>
        <w:kinsoku w:val="0"/>
        <w:autoSpaceDE w:val="0"/>
        <w:autoSpaceDN w:val="0"/>
        <w:bidi w:val="0"/>
        <w:adjustRightInd w:val="0"/>
        <w:snapToGrid w:val="0"/>
        <w:spacing w:before="59" w:line="218" w:lineRule="auto"/>
        <w:ind w:left="1351"/>
        <w:jc w:val="left"/>
        <w:textAlignment w:val="baseline"/>
        <w:rPr>
          <w:rFonts w:hint="eastAsia" w:ascii="宋体" w:hAnsi="宋体" w:eastAsia="宋体" w:cs="宋体"/>
          <w:snapToGrid w:val="0"/>
          <w:color w:val="auto"/>
          <w:kern w:val="0"/>
          <w:sz w:val="30"/>
          <w:szCs w:val="30"/>
          <w:highlight w:val="none"/>
        </w:rPr>
      </w:pPr>
      <w:r>
        <w:rPr>
          <w:rFonts w:hint="eastAsia" w:ascii="宋体" w:hAnsi="宋体" w:eastAsia="宋体" w:cs="宋体"/>
          <w:b/>
          <w:bCs/>
          <w:snapToGrid w:val="0"/>
          <w:color w:val="auto"/>
          <w:kern w:val="0"/>
          <w:sz w:val="30"/>
          <w:szCs w:val="30"/>
          <w:highlight w:val="none"/>
        </w:rPr>
        <w:t>（</w:t>
      </w:r>
      <w:r>
        <w:rPr>
          <w:rFonts w:hint="eastAsia" w:ascii="宋体" w:hAnsi="宋体" w:eastAsia="宋体" w:cs="宋体"/>
          <w:b/>
          <w:bCs/>
          <w:snapToGrid w:val="0"/>
          <w:color w:val="auto"/>
          <w:kern w:val="0"/>
          <w:sz w:val="30"/>
          <w:szCs w:val="30"/>
          <w:highlight w:val="none"/>
          <w:lang w:val="en-US" w:eastAsia="zh-CN"/>
        </w:rPr>
        <w:t>七</w:t>
      </w:r>
      <w:r>
        <w:rPr>
          <w:rFonts w:hint="eastAsia" w:ascii="宋体" w:hAnsi="宋体" w:eastAsia="宋体" w:cs="宋体"/>
          <w:b/>
          <w:bCs/>
          <w:snapToGrid w:val="0"/>
          <w:color w:val="auto"/>
          <w:kern w:val="0"/>
          <w:sz w:val="30"/>
          <w:szCs w:val="30"/>
          <w:highlight w:val="none"/>
        </w:rPr>
        <w:t>）关于使用广东省信用评价等级的申请承</w:t>
      </w:r>
      <w:r>
        <w:rPr>
          <w:rFonts w:hint="eastAsia" w:ascii="宋体" w:hAnsi="宋体" w:eastAsia="宋体" w:cs="宋体"/>
          <w:b/>
          <w:bCs/>
          <w:snapToGrid w:val="0"/>
          <w:color w:val="auto"/>
          <w:spacing w:val="-1"/>
          <w:kern w:val="0"/>
          <w:sz w:val="30"/>
          <w:szCs w:val="30"/>
          <w:highlight w:val="none"/>
        </w:rPr>
        <w:t>诺书</w:t>
      </w:r>
    </w:p>
    <w:p w14:paraId="7CDFD053">
      <w:pPr>
        <w:keepNext w:val="0"/>
        <w:keepLines w:val="0"/>
        <w:kinsoku w:val="0"/>
        <w:autoSpaceDE w:val="0"/>
        <w:autoSpaceDN w:val="0"/>
        <w:bidi w:val="0"/>
        <w:adjustRightInd w:val="0"/>
        <w:snapToGrid w:val="0"/>
        <w:spacing w:line="306" w:lineRule="auto"/>
        <w:jc w:val="left"/>
        <w:textAlignment w:val="baseline"/>
        <w:rPr>
          <w:rFonts w:hint="eastAsia" w:ascii="宋体" w:hAnsi="宋体" w:eastAsia="宋体" w:cs="宋体"/>
          <w:snapToGrid w:val="0"/>
          <w:color w:val="auto"/>
          <w:kern w:val="0"/>
          <w:szCs w:val="21"/>
          <w:highlight w:val="none"/>
        </w:rPr>
      </w:pPr>
    </w:p>
    <w:p w14:paraId="7688C997">
      <w:pPr>
        <w:keepNext w:val="0"/>
        <w:keepLines w:val="0"/>
        <w:kinsoku w:val="0"/>
        <w:autoSpaceDE w:val="0"/>
        <w:autoSpaceDN w:val="0"/>
        <w:bidi w:val="0"/>
        <w:adjustRightInd w:val="0"/>
        <w:snapToGrid w:val="0"/>
        <w:spacing w:before="78" w:line="220" w:lineRule="auto"/>
        <w:ind w:left="109"/>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致招标人</w:t>
      </w:r>
      <w:r>
        <w:rPr>
          <w:rFonts w:hint="eastAsia" w:ascii="宋体" w:hAnsi="宋体" w:eastAsia="宋体" w:cs="宋体"/>
          <w:snapToGrid w:val="0"/>
          <w:color w:val="auto"/>
          <w:spacing w:val="-16"/>
          <w:kern w:val="0"/>
          <w:sz w:val="24"/>
          <w:szCs w:val="24"/>
          <w:highlight w:val="none"/>
        </w:rPr>
        <w:t>：</w:t>
      </w:r>
      <w:r>
        <w:rPr>
          <w:rFonts w:hint="eastAsia" w:ascii="宋体" w:hAnsi="宋体" w:eastAsia="宋体" w:cs="宋体"/>
          <w:snapToGrid w:val="0"/>
          <w:color w:val="auto"/>
          <w:spacing w:val="-16"/>
          <w:kern w:val="0"/>
          <w:sz w:val="24"/>
          <w:szCs w:val="24"/>
          <w:highlight w:val="none"/>
          <w:u w:val="single"/>
        </w:rPr>
        <w:t>（</w:t>
      </w:r>
      <w:r>
        <w:rPr>
          <w:rFonts w:hint="eastAsia" w:ascii="宋体" w:hAnsi="宋体" w:eastAsia="宋体" w:cs="宋体"/>
          <w:snapToGrid w:val="0"/>
          <w:color w:val="auto"/>
          <w:spacing w:val="2"/>
          <w:kern w:val="0"/>
          <w:sz w:val="24"/>
          <w:szCs w:val="24"/>
          <w:highlight w:val="none"/>
          <w:u w:val="single"/>
        </w:rPr>
        <w:t>招标人全称）</w:t>
      </w:r>
    </w:p>
    <w:p w14:paraId="18F03C47">
      <w:pPr>
        <w:keepNext w:val="0"/>
        <w:keepLines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按照相关要求，现我单位对使用信用等级申请如下：</w:t>
      </w:r>
    </w:p>
    <w:p w14:paraId="1DC45A2B">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一、我单位在施工监理招标（第标段）的招标中，第次使用（或不使用）广东省交通运输厅发布的年度信用评价等级结果和对应等级分值。</w:t>
      </w:r>
    </w:p>
    <w:p w14:paraId="28FD16C6">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二、我单位承诺，在递交本次申请后，我单位将失去一次使用等级结果（不使用时上述填“/”）参与投标的机会。当累计使用超过规定的次数，我单位同意按降低一个信用等级对应分值来认定参与投标评审。</w:t>
      </w:r>
    </w:p>
    <w:p w14:paraId="0CB80642">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三、如果我单位发生违反规定使用信用等级结果的情形，自愿接受省级交通运输主管部门的处理。</w:t>
      </w:r>
    </w:p>
    <w:p w14:paraId="1EC18B2B">
      <w:pPr>
        <w:keepNext w:val="0"/>
        <w:keepLines w:val="0"/>
        <w:bidi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附件：本单位使用年度广东省公路水运工程从业单位信用等级情况汇总表</w:t>
      </w:r>
      <w:r>
        <w:rPr>
          <w:rFonts w:hint="eastAsia" w:ascii="宋体" w:hAnsi="宋体" w:eastAsia="宋体" w:cs="宋体"/>
          <w:color w:val="auto"/>
          <w:sz w:val="24"/>
          <w:szCs w:val="24"/>
          <w:lang w:eastAsia="zh-CN"/>
        </w:rPr>
        <w:t>。</w:t>
      </w:r>
    </w:p>
    <w:p w14:paraId="597A6E78">
      <w:pPr>
        <w:keepNext w:val="0"/>
        <w:keepLines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特此承诺</w:t>
      </w:r>
    </w:p>
    <w:p w14:paraId="7122CF79">
      <w:pPr>
        <w:keepNext w:val="0"/>
        <w:keepLines w:val="0"/>
        <w:kinsoku w:val="0"/>
        <w:autoSpaceDE w:val="0"/>
        <w:autoSpaceDN w:val="0"/>
        <w:bidi w:val="0"/>
        <w:adjustRightInd w:val="0"/>
        <w:snapToGrid w:val="0"/>
        <w:spacing w:line="345" w:lineRule="auto"/>
        <w:jc w:val="left"/>
        <w:textAlignment w:val="baseline"/>
        <w:rPr>
          <w:rFonts w:hint="eastAsia" w:ascii="宋体" w:hAnsi="宋体" w:eastAsia="宋体" w:cs="宋体"/>
          <w:snapToGrid w:val="0"/>
          <w:color w:val="auto"/>
          <w:kern w:val="0"/>
          <w:szCs w:val="21"/>
          <w:highlight w:val="none"/>
        </w:rPr>
      </w:pPr>
    </w:p>
    <w:p w14:paraId="67EABD27">
      <w:pPr>
        <w:keepNext w:val="0"/>
        <w:keepLines w:val="0"/>
        <w:kinsoku w:val="0"/>
        <w:autoSpaceDE w:val="0"/>
        <w:autoSpaceDN w:val="0"/>
        <w:bidi w:val="0"/>
        <w:adjustRightInd w:val="0"/>
        <w:snapToGrid w:val="0"/>
        <w:spacing w:before="78" w:line="220" w:lineRule="auto"/>
        <w:ind w:left="2308"/>
        <w:jc w:val="left"/>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spacing w:val="-2"/>
          <w:kern w:val="0"/>
          <w:sz w:val="24"/>
          <w:szCs w:val="24"/>
          <w:highlight w:val="none"/>
        </w:rPr>
        <w:t>投标人（单位全称</w:t>
      </w:r>
      <w:r>
        <w:rPr>
          <w:rFonts w:hint="eastAsia" w:ascii="宋体" w:hAnsi="宋体" w:eastAsia="宋体" w:cs="宋体"/>
          <w:snapToGrid w:val="0"/>
          <w:color w:val="auto"/>
          <w:spacing w:val="-59"/>
          <w:kern w:val="0"/>
          <w:sz w:val="24"/>
          <w:szCs w:val="24"/>
          <w:highlight w:val="none"/>
        </w:rPr>
        <w:t>）：</w:t>
      </w:r>
    </w:p>
    <w:p w14:paraId="1315A73D">
      <w:pPr>
        <w:keepNext w:val="0"/>
        <w:keepLines w:val="0"/>
        <w:kinsoku w:val="0"/>
        <w:autoSpaceDE w:val="0"/>
        <w:autoSpaceDN w:val="0"/>
        <w:bidi w:val="0"/>
        <w:adjustRightInd w:val="0"/>
        <w:snapToGrid w:val="0"/>
        <w:spacing w:line="283" w:lineRule="auto"/>
        <w:jc w:val="left"/>
        <w:textAlignment w:val="baseline"/>
        <w:rPr>
          <w:rFonts w:hint="eastAsia" w:ascii="宋体" w:hAnsi="宋体" w:eastAsia="宋体" w:cs="宋体"/>
          <w:snapToGrid w:val="0"/>
          <w:color w:val="auto"/>
          <w:kern w:val="0"/>
          <w:szCs w:val="21"/>
          <w:highlight w:val="none"/>
        </w:rPr>
      </w:pPr>
    </w:p>
    <w:p w14:paraId="5738D78E">
      <w:pPr>
        <w:keepNext w:val="0"/>
        <w:keepLines w:val="0"/>
        <w:kinsoku w:val="0"/>
        <w:autoSpaceDE w:val="0"/>
        <w:autoSpaceDN w:val="0"/>
        <w:bidi w:val="0"/>
        <w:adjustRightInd w:val="0"/>
        <w:snapToGrid w:val="0"/>
        <w:spacing w:line="283" w:lineRule="auto"/>
        <w:jc w:val="left"/>
        <w:textAlignment w:val="baseline"/>
        <w:rPr>
          <w:rFonts w:hint="eastAsia" w:ascii="宋体" w:hAnsi="宋体" w:eastAsia="宋体" w:cs="宋体"/>
          <w:snapToGrid w:val="0"/>
          <w:color w:val="auto"/>
          <w:kern w:val="0"/>
          <w:szCs w:val="21"/>
          <w:highlight w:val="none"/>
        </w:rPr>
      </w:pPr>
    </w:p>
    <w:p w14:paraId="5569AB50">
      <w:pPr>
        <w:keepNext w:val="0"/>
        <w:keepLines w:val="0"/>
        <w:kinsoku w:val="0"/>
        <w:autoSpaceDE w:val="0"/>
        <w:autoSpaceDN w:val="0"/>
        <w:bidi w:val="0"/>
        <w:adjustRightInd w:val="0"/>
        <w:snapToGrid w:val="0"/>
        <w:spacing w:before="79" w:line="219" w:lineRule="auto"/>
        <w:ind w:left="2308"/>
        <w:jc w:val="left"/>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spacing w:val="-1"/>
          <w:kern w:val="0"/>
          <w:sz w:val="24"/>
          <w:szCs w:val="24"/>
          <w:highlight w:val="none"/>
        </w:rPr>
        <w:t>投标人的法定代表人或其委托代理人签名：</w:t>
      </w:r>
    </w:p>
    <w:p w14:paraId="4691CBD8">
      <w:pPr>
        <w:keepNext w:val="0"/>
        <w:keepLines w:val="0"/>
        <w:kinsoku w:val="0"/>
        <w:autoSpaceDE w:val="0"/>
        <w:autoSpaceDN w:val="0"/>
        <w:bidi w:val="0"/>
        <w:adjustRightInd w:val="0"/>
        <w:snapToGrid w:val="0"/>
        <w:spacing w:line="327" w:lineRule="auto"/>
        <w:jc w:val="left"/>
        <w:textAlignment w:val="baseline"/>
        <w:rPr>
          <w:rFonts w:hint="eastAsia" w:ascii="宋体" w:hAnsi="宋体" w:eastAsia="宋体" w:cs="宋体"/>
          <w:snapToGrid w:val="0"/>
          <w:color w:val="auto"/>
          <w:kern w:val="0"/>
          <w:szCs w:val="21"/>
          <w:highlight w:val="none"/>
        </w:rPr>
      </w:pPr>
    </w:p>
    <w:p w14:paraId="534E0DD7">
      <w:pPr>
        <w:keepNext w:val="0"/>
        <w:keepLines w:val="0"/>
        <w:kinsoku w:val="0"/>
        <w:autoSpaceDE w:val="0"/>
        <w:autoSpaceDN w:val="0"/>
        <w:bidi w:val="0"/>
        <w:adjustRightInd w:val="0"/>
        <w:snapToGrid w:val="0"/>
        <w:spacing w:line="328" w:lineRule="auto"/>
        <w:jc w:val="left"/>
        <w:textAlignment w:val="baseline"/>
        <w:rPr>
          <w:rFonts w:hint="eastAsia" w:ascii="宋体" w:hAnsi="宋体" w:eastAsia="宋体" w:cs="宋体"/>
          <w:snapToGrid w:val="0"/>
          <w:color w:val="auto"/>
          <w:kern w:val="0"/>
          <w:szCs w:val="21"/>
          <w:highlight w:val="none"/>
        </w:rPr>
      </w:pPr>
    </w:p>
    <w:p w14:paraId="69942D1D">
      <w:pPr>
        <w:keepNext w:val="0"/>
        <w:keepLines w:val="0"/>
        <w:kinsoku w:val="0"/>
        <w:autoSpaceDE w:val="0"/>
        <w:autoSpaceDN w:val="0"/>
        <w:bidi w:val="0"/>
        <w:adjustRightInd w:val="0"/>
        <w:snapToGrid w:val="0"/>
        <w:spacing w:before="79" w:line="219" w:lineRule="auto"/>
        <w:jc w:val="righ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6"/>
          <w:kern w:val="0"/>
          <w:sz w:val="24"/>
          <w:szCs w:val="24"/>
          <w:highlight w:val="none"/>
        </w:rPr>
        <w:t>年月日</w:t>
      </w:r>
    </w:p>
    <w:p w14:paraId="0FEB5E38">
      <w:pPr>
        <w:keepNext w:val="0"/>
        <w:keepLines w:val="0"/>
        <w:kinsoku w:val="0"/>
        <w:autoSpaceDE w:val="0"/>
        <w:autoSpaceDN w:val="0"/>
        <w:bidi w:val="0"/>
        <w:adjustRightInd w:val="0"/>
        <w:snapToGrid w:val="0"/>
        <w:spacing w:before="165" w:line="400" w:lineRule="exact"/>
        <w:jc w:val="left"/>
        <w:textAlignment w:val="baseline"/>
        <w:rPr>
          <w:rFonts w:hint="eastAsia" w:ascii="宋体" w:hAnsi="宋体" w:eastAsia="宋体" w:cs="宋体"/>
          <w:snapToGrid w:val="0"/>
          <w:color w:val="auto"/>
          <w:spacing w:val="2"/>
          <w:kern w:val="0"/>
          <w:sz w:val="19"/>
          <w:szCs w:val="19"/>
          <w:highlight w:val="none"/>
        </w:rPr>
      </w:pPr>
    </w:p>
    <w:p w14:paraId="274458F9">
      <w:pPr>
        <w:keepNext w:val="0"/>
        <w:keepLines w:val="0"/>
        <w:bidi w:val="0"/>
        <w:ind w:left="600" w:hanging="600" w:hangingChars="300"/>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注：</w:t>
      </w:r>
      <w:r>
        <w:rPr>
          <w:rFonts w:hint="eastAsia" w:ascii="宋体" w:hAnsi="宋体" w:eastAsia="宋体" w:cs="宋体"/>
          <w:color w:val="auto"/>
          <w:sz w:val="20"/>
          <w:szCs w:val="20"/>
        </w:rPr>
        <w:t>1</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rPr>
        <w:t>AA、A级信用等级企业必须填写此申请承诺书；选择“使用”时需和附表（情况汇总表）一起编入投标文件中。</w:t>
      </w:r>
    </w:p>
    <w:p w14:paraId="4CD357E4">
      <w:pPr>
        <w:keepNext w:val="0"/>
        <w:keepLines w:val="0"/>
        <w:bidi w:val="0"/>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2.</w:t>
      </w:r>
      <w:r>
        <w:rPr>
          <w:rFonts w:hint="eastAsia" w:ascii="宋体" w:hAnsi="宋体" w:eastAsia="宋体" w:cs="宋体"/>
          <w:color w:val="auto"/>
          <w:sz w:val="20"/>
          <w:szCs w:val="20"/>
        </w:rPr>
        <w:t>中标候选人公示将对所有承诺使用最新一年度AA、A级投标人的年度信用等级使用情况进行公开。</w:t>
      </w:r>
    </w:p>
    <w:p w14:paraId="0B92C634">
      <w:pPr>
        <w:keepNext w:val="0"/>
        <w:keepLines w:val="0"/>
        <w:bidi w:val="0"/>
        <w:jc w:val="left"/>
        <w:rPr>
          <w:rFonts w:hint="eastAsia" w:ascii="宋体" w:hAnsi="宋体" w:eastAsia="宋体" w:cs="宋体"/>
          <w:color w:val="auto"/>
          <w:highlight w:val="none"/>
        </w:rPr>
      </w:pPr>
    </w:p>
    <w:p w14:paraId="571C4F26">
      <w:pPr>
        <w:pStyle w:val="6"/>
        <w:keepNext w:val="0"/>
        <w:keepLines w:val="0"/>
        <w:bidi w:val="0"/>
        <w:rPr>
          <w:rFonts w:hint="eastAsia" w:ascii="宋体" w:hAnsi="宋体" w:eastAsia="宋体" w:cs="宋体"/>
          <w:color w:val="auto"/>
          <w:highlight w:val="none"/>
        </w:rPr>
      </w:pPr>
    </w:p>
    <w:p w14:paraId="4876BB9C">
      <w:pPr>
        <w:keepNext w:val="0"/>
        <w:keepLines w:val="0"/>
        <w:pageBreakBefore/>
        <w:bidi w:val="0"/>
        <w:spacing w:before="240" w:beforeLines="100" w:line="360" w:lineRule="auto"/>
        <w:rPr>
          <w:rFonts w:hint="eastAsia" w:ascii="宋体" w:hAnsi="宋体" w:eastAsia="宋体" w:cs="宋体"/>
          <w:bCs/>
          <w:color w:val="auto"/>
          <w:kern w:val="21"/>
          <w:sz w:val="28"/>
          <w:szCs w:val="28"/>
          <w:highlight w:val="none"/>
        </w:rPr>
      </w:pPr>
      <w:r>
        <w:rPr>
          <w:rFonts w:hint="eastAsia" w:ascii="宋体" w:hAnsi="宋体" w:eastAsia="宋体" w:cs="宋体"/>
          <w:bCs/>
          <w:color w:val="auto"/>
          <w:kern w:val="21"/>
          <w:sz w:val="28"/>
          <w:szCs w:val="28"/>
          <w:highlight w:val="none"/>
        </w:rPr>
        <w:t>附表：</w:t>
      </w:r>
    </w:p>
    <w:p w14:paraId="0ED48502">
      <w:pPr>
        <w:keepNext w:val="0"/>
        <w:keepLines w:val="0"/>
        <w:autoSpaceDE w:val="0"/>
        <w:autoSpaceDN w:val="0"/>
        <w:bidi w:val="0"/>
        <w:spacing w:line="360" w:lineRule="auto"/>
        <w:jc w:val="center"/>
        <w:rPr>
          <w:rFonts w:hint="eastAsia" w:ascii="宋体" w:hAnsi="宋体" w:eastAsia="宋体" w:cs="宋体"/>
          <w:bCs/>
          <w:color w:val="auto"/>
          <w:kern w:val="21"/>
          <w:sz w:val="28"/>
          <w:szCs w:val="28"/>
          <w:highlight w:val="none"/>
        </w:rPr>
      </w:pPr>
      <w:r>
        <w:rPr>
          <w:rFonts w:hint="eastAsia" w:ascii="宋体" w:hAnsi="宋体" w:eastAsia="宋体" w:cs="宋体"/>
          <w:bCs/>
          <w:color w:val="auto"/>
          <w:kern w:val="21"/>
          <w:sz w:val="28"/>
          <w:szCs w:val="28"/>
          <w:highlight w:val="none"/>
        </w:rPr>
        <w:t>单位使用年度广东省公路工程从业单位</w:t>
      </w:r>
    </w:p>
    <w:p w14:paraId="75124CB9">
      <w:pPr>
        <w:keepNext w:val="0"/>
        <w:keepLines w:val="0"/>
        <w:autoSpaceDE w:val="0"/>
        <w:autoSpaceDN w:val="0"/>
        <w:bidi w:val="0"/>
        <w:spacing w:line="360" w:lineRule="auto"/>
        <w:jc w:val="center"/>
        <w:rPr>
          <w:rFonts w:hint="eastAsia" w:ascii="宋体" w:hAnsi="宋体" w:eastAsia="宋体" w:cs="宋体"/>
          <w:bCs/>
          <w:color w:val="auto"/>
          <w:kern w:val="21"/>
          <w:sz w:val="28"/>
          <w:szCs w:val="28"/>
          <w:highlight w:val="none"/>
        </w:rPr>
      </w:pPr>
      <w:r>
        <w:rPr>
          <w:rFonts w:hint="eastAsia" w:ascii="宋体" w:hAnsi="宋体" w:eastAsia="宋体" w:cs="宋体"/>
          <w:bCs/>
          <w:color w:val="auto"/>
          <w:kern w:val="21"/>
          <w:sz w:val="28"/>
          <w:szCs w:val="28"/>
          <w:highlight w:val="none"/>
        </w:rPr>
        <w:t>信用等级情况汇总表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303"/>
        <w:gridCol w:w="1950"/>
        <w:gridCol w:w="2353"/>
        <w:gridCol w:w="2327"/>
        <w:gridCol w:w="686"/>
      </w:tblGrid>
      <w:tr w14:paraId="34AF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4C929266">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1303" w:type="dxa"/>
            <w:noWrap w:val="0"/>
            <w:vAlign w:val="center"/>
          </w:tcPr>
          <w:p w14:paraId="08A47E75">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招标人名称</w:t>
            </w:r>
          </w:p>
        </w:tc>
        <w:tc>
          <w:tcPr>
            <w:tcW w:w="1950" w:type="dxa"/>
            <w:noWrap w:val="0"/>
            <w:vAlign w:val="center"/>
          </w:tcPr>
          <w:p w14:paraId="74A97361">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标段（标类）名称</w:t>
            </w:r>
          </w:p>
        </w:tc>
        <w:tc>
          <w:tcPr>
            <w:tcW w:w="2353" w:type="dxa"/>
            <w:noWrap w:val="0"/>
            <w:vAlign w:val="center"/>
          </w:tcPr>
          <w:p w14:paraId="3F0A08C5">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递交文件时间（年月日）</w:t>
            </w:r>
          </w:p>
        </w:tc>
        <w:tc>
          <w:tcPr>
            <w:tcW w:w="2327" w:type="dxa"/>
            <w:noWrap w:val="0"/>
            <w:vAlign w:val="center"/>
          </w:tcPr>
          <w:p w14:paraId="6429E093">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使用信用等级（AA/A）</w:t>
            </w:r>
          </w:p>
        </w:tc>
        <w:tc>
          <w:tcPr>
            <w:tcW w:w="686" w:type="dxa"/>
            <w:noWrap w:val="0"/>
            <w:vAlign w:val="center"/>
          </w:tcPr>
          <w:p w14:paraId="3D9D4AB8">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备注</w:t>
            </w:r>
          </w:p>
        </w:tc>
      </w:tr>
      <w:tr w14:paraId="5E6E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73996576">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303" w:type="dxa"/>
            <w:noWrap w:val="0"/>
            <w:vAlign w:val="center"/>
          </w:tcPr>
          <w:p w14:paraId="3E39250C">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17C03C35">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4F7C57D1">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39D3D03D">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384D9FF0">
            <w:pPr>
              <w:keepNext w:val="0"/>
              <w:keepLines w:val="0"/>
              <w:autoSpaceDE w:val="0"/>
              <w:autoSpaceDN w:val="0"/>
              <w:bidi w:val="0"/>
              <w:jc w:val="center"/>
              <w:rPr>
                <w:rFonts w:hint="eastAsia" w:ascii="宋体" w:hAnsi="宋体" w:eastAsia="宋体" w:cs="宋体"/>
                <w:color w:val="auto"/>
                <w:kern w:val="21"/>
                <w:szCs w:val="21"/>
                <w:highlight w:val="none"/>
              </w:rPr>
            </w:pPr>
          </w:p>
        </w:tc>
      </w:tr>
      <w:tr w14:paraId="59E3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2439DFA3">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303" w:type="dxa"/>
            <w:noWrap w:val="0"/>
            <w:vAlign w:val="center"/>
          </w:tcPr>
          <w:p w14:paraId="5AF939C0">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401D81A4">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1D7E5ED5">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6618C469">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4F382561">
            <w:pPr>
              <w:keepNext w:val="0"/>
              <w:keepLines w:val="0"/>
              <w:autoSpaceDE w:val="0"/>
              <w:autoSpaceDN w:val="0"/>
              <w:bidi w:val="0"/>
              <w:jc w:val="center"/>
              <w:rPr>
                <w:rFonts w:hint="eastAsia" w:ascii="宋体" w:hAnsi="宋体" w:eastAsia="宋体" w:cs="宋体"/>
                <w:color w:val="auto"/>
                <w:kern w:val="21"/>
                <w:szCs w:val="21"/>
                <w:highlight w:val="none"/>
              </w:rPr>
            </w:pPr>
          </w:p>
        </w:tc>
      </w:tr>
      <w:tr w14:paraId="0B0A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09CB67BB">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303" w:type="dxa"/>
            <w:noWrap w:val="0"/>
            <w:vAlign w:val="center"/>
          </w:tcPr>
          <w:p w14:paraId="4E61C2BD">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7448931C">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3272E507">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229AA89D">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69F0E70B">
            <w:pPr>
              <w:keepNext w:val="0"/>
              <w:keepLines w:val="0"/>
              <w:autoSpaceDE w:val="0"/>
              <w:autoSpaceDN w:val="0"/>
              <w:bidi w:val="0"/>
              <w:jc w:val="center"/>
              <w:rPr>
                <w:rFonts w:hint="eastAsia" w:ascii="宋体" w:hAnsi="宋体" w:eastAsia="宋体" w:cs="宋体"/>
                <w:color w:val="auto"/>
                <w:kern w:val="21"/>
                <w:szCs w:val="21"/>
                <w:highlight w:val="none"/>
              </w:rPr>
            </w:pPr>
          </w:p>
        </w:tc>
      </w:tr>
      <w:tr w14:paraId="65F3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4479D015">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303" w:type="dxa"/>
            <w:noWrap w:val="0"/>
            <w:vAlign w:val="center"/>
          </w:tcPr>
          <w:p w14:paraId="11525EBF">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69F31AB5">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528AA60A">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705E9223">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69B4757E">
            <w:pPr>
              <w:keepNext w:val="0"/>
              <w:keepLines w:val="0"/>
              <w:autoSpaceDE w:val="0"/>
              <w:autoSpaceDN w:val="0"/>
              <w:bidi w:val="0"/>
              <w:jc w:val="center"/>
              <w:rPr>
                <w:rFonts w:hint="eastAsia" w:ascii="宋体" w:hAnsi="宋体" w:eastAsia="宋体" w:cs="宋体"/>
                <w:color w:val="auto"/>
                <w:kern w:val="21"/>
                <w:szCs w:val="21"/>
                <w:highlight w:val="none"/>
              </w:rPr>
            </w:pPr>
          </w:p>
        </w:tc>
      </w:tr>
      <w:tr w14:paraId="53FC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4BF081B7">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1303" w:type="dxa"/>
            <w:noWrap w:val="0"/>
            <w:vAlign w:val="center"/>
          </w:tcPr>
          <w:p w14:paraId="15DB2DF1">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689B6869">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4CC2B44A">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0CA321A9">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7738D580">
            <w:pPr>
              <w:keepNext w:val="0"/>
              <w:keepLines w:val="0"/>
              <w:autoSpaceDE w:val="0"/>
              <w:autoSpaceDN w:val="0"/>
              <w:bidi w:val="0"/>
              <w:jc w:val="center"/>
              <w:rPr>
                <w:rFonts w:hint="eastAsia" w:ascii="宋体" w:hAnsi="宋体" w:eastAsia="宋体" w:cs="宋体"/>
                <w:color w:val="auto"/>
                <w:kern w:val="21"/>
                <w:szCs w:val="21"/>
                <w:highlight w:val="none"/>
              </w:rPr>
            </w:pPr>
          </w:p>
        </w:tc>
      </w:tr>
      <w:tr w14:paraId="0784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3C2B1D23">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1303" w:type="dxa"/>
            <w:noWrap w:val="0"/>
            <w:vAlign w:val="center"/>
          </w:tcPr>
          <w:p w14:paraId="4AB36DD1">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730977B4">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728BB1C1">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28395579">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6C0D12E8">
            <w:pPr>
              <w:keepNext w:val="0"/>
              <w:keepLines w:val="0"/>
              <w:autoSpaceDE w:val="0"/>
              <w:autoSpaceDN w:val="0"/>
              <w:bidi w:val="0"/>
              <w:jc w:val="center"/>
              <w:rPr>
                <w:rFonts w:hint="eastAsia" w:ascii="宋体" w:hAnsi="宋体" w:eastAsia="宋体" w:cs="宋体"/>
                <w:color w:val="auto"/>
                <w:kern w:val="21"/>
                <w:szCs w:val="21"/>
                <w:highlight w:val="none"/>
              </w:rPr>
            </w:pPr>
          </w:p>
        </w:tc>
      </w:tr>
      <w:tr w14:paraId="2446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6E5C5E29">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1303" w:type="dxa"/>
            <w:noWrap w:val="0"/>
            <w:vAlign w:val="center"/>
          </w:tcPr>
          <w:p w14:paraId="0D5AEB7D">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05C4898A">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6AE051AF">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11EB325E">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7D3ECD0E">
            <w:pPr>
              <w:keepNext w:val="0"/>
              <w:keepLines w:val="0"/>
              <w:autoSpaceDE w:val="0"/>
              <w:autoSpaceDN w:val="0"/>
              <w:bidi w:val="0"/>
              <w:jc w:val="center"/>
              <w:rPr>
                <w:rFonts w:hint="eastAsia" w:ascii="宋体" w:hAnsi="宋体" w:eastAsia="宋体" w:cs="宋体"/>
                <w:color w:val="auto"/>
                <w:kern w:val="21"/>
                <w:szCs w:val="21"/>
                <w:highlight w:val="none"/>
              </w:rPr>
            </w:pPr>
          </w:p>
        </w:tc>
      </w:tr>
      <w:tr w14:paraId="0691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6C30ABF2">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1303" w:type="dxa"/>
            <w:noWrap w:val="0"/>
            <w:vAlign w:val="center"/>
          </w:tcPr>
          <w:p w14:paraId="4C49FC31">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7E31A1D9">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34E5469E">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4EC3472D">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1D5BCAF5">
            <w:pPr>
              <w:keepNext w:val="0"/>
              <w:keepLines w:val="0"/>
              <w:autoSpaceDE w:val="0"/>
              <w:autoSpaceDN w:val="0"/>
              <w:bidi w:val="0"/>
              <w:jc w:val="center"/>
              <w:rPr>
                <w:rFonts w:hint="eastAsia" w:ascii="宋体" w:hAnsi="宋体" w:eastAsia="宋体" w:cs="宋体"/>
                <w:color w:val="auto"/>
                <w:kern w:val="21"/>
                <w:szCs w:val="21"/>
                <w:highlight w:val="none"/>
              </w:rPr>
            </w:pPr>
          </w:p>
        </w:tc>
      </w:tr>
      <w:tr w14:paraId="154A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2FDFBDCB">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303" w:type="dxa"/>
            <w:noWrap w:val="0"/>
            <w:vAlign w:val="center"/>
          </w:tcPr>
          <w:p w14:paraId="18EE3E85">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1BEE15BC">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493ECAE4">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5CE67D0F">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23F25AAD">
            <w:pPr>
              <w:keepNext w:val="0"/>
              <w:keepLines w:val="0"/>
              <w:autoSpaceDE w:val="0"/>
              <w:autoSpaceDN w:val="0"/>
              <w:bidi w:val="0"/>
              <w:jc w:val="center"/>
              <w:rPr>
                <w:rFonts w:hint="eastAsia" w:ascii="宋体" w:hAnsi="宋体" w:eastAsia="宋体" w:cs="宋体"/>
                <w:color w:val="auto"/>
                <w:kern w:val="21"/>
                <w:szCs w:val="21"/>
                <w:highlight w:val="none"/>
              </w:rPr>
            </w:pPr>
          </w:p>
        </w:tc>
      </w:tr>
    </w:tbl>
    <w:p w14:paraId="52C35CAC">
      <w:pPr>
        <w:pStyle w:val="18"/>
        <w:keepNext w:val="0"/>
        <w:keepLines w:val="0"/>
        <w:bidi w:val="0"/>
        <w:ind w:left="306" w:hanging="306" w:hangingChars="170"/>
        <w:rPr>
          <w:rFonts w:hint="eastAsia" w:ascii="宋体" w:hAnsi="宋体" w:eastAsia="宋体" w:cs="宋体"/>
          <w:color w:val="auto"/>
          <w:kern w:val="21"/>
          <w:highlight w:val="none"/>
        </w:rPr>
      </w:pPr>
    </w:p>
    <w:p w14:paraId="4A1C2D9F">
      <w:pPr>
        <w:pStyle w:val="18"/>
        <w:keepNext w:val="0"/>
        <w:keepLines w:val="0"/>
        <w:bidi w:val="0"/>
        <w:ind w:firstLine="200" w:firstLineChars="100"/>
        <w:rPr>
          <w:rFonts w:hint="eastAsia" w:ascii="宋体" w:hAnsi="宋体" w:eastAsia="宋体" w:cs="宋体"/>
          <w:color w:val="auto"/>
          <w:kern w:val="21"/>
          <w:sz w:val="20"/>
          <w:szCs w:val="21"/>
          <w:highlight w:val="none"/>
        </w:rPr>
      </w:pPr>
      <w:r>
        <w:rPr>
          <w:rFonts w:hint="eastAsia" w:ascii="宋体" w:hAnsi="宋体" w:eastAsia="宋体" w:cs="宋体"/>
          <w:color w:val="auto"/>
          <w:kern w:val="21"/>
          <w:sz w:val="20"/>
          <w:szCs w:val="21"/>
          <w:highlight w:val="none"/>
        </w:rPr>
        <w:t>注</w:t>
      </w:r>
      <w:r>
        <w:rPr>
          <w:rFonts w:hint="eastAsia" w:ascii="宋体" w:hAnsi="宋体" w:eastAsia="宋体" w:cs="宋体"/>
          <w:color w:val="auto"/>
          <w:kern w:val="21"/>
          <w:sz w:val="20"/>
          <w:szCs w:val="21"/>
          <w:highlight w:val="none"/>
          <w:lang w:eastAsia="zh-CN"/>
        </w:rPr>
        <w:t>：</w:t>
      </w:r>
      <w:r>
        <w:rPr>
          <w:rFonts w:hint="eastAsia" w:ascii="宋体" w:hAnsi="宋体" w:eastAsia="宋体" w:cs="宋体"/>
          <w:color w:val="auto"/>
          <w:kern w:val="21"/>
          <w:sz w:val="20"/>
          <w:szCs w:val="21"/>
          <w:highlight w:val="none"/>
        </w:rPr>
        <w:t>应如实填报信用评价等级使用情况。</w:t>
      </w:r>
    </w:p>
    <w:p w14:paraId="74BEE33E">
      <w:pPr>
        <w:keepNext w:val="0"/>
        <w:keepLines w:val="0"/>
        <w:bidi w:val="0"/>
        <w:rPr>
          <w:rFonts w:hint="eastAsia" w:ascii="宋体" w:hAnsi="宋体" w:eastAsia="宋体" w:cs="宋体"/>
          <w:color w:val="auto"/>
          <w:highlight w:val="none"/>
        </w:rPr>
      </w:pPr>
    </w:p>
    <w:p w14:paraId="096BF86D">
      <w:pPr>
        <w:pStyle w:val="6"/>
        <w:keepNext w:val="0"/>
        <w:keepLines w:val="0"/>
        <w:bidi w:val="0"/>
        <w:rPr>
          <w:rFonts w:hint="eastAsia" w:ascii="宋体" w:hAnsi="宋体" w:eastAsia="宋体" w:cs="宋体"/>
          <w:color w:val="auto"/>
          <w:highlight w:val="none"/>
        </w:rPr>
      </w:pPr>
    </w:p>
    <w:p w14:paraId="18EE24D3">
      <w:pPr>
        <w:keepNext w:val="0"/>
        <w:keepLines w:val="0"/>
        <w:bidi w:val="0"/>
        <w:rPr>
          <w:rFonts w:hint="eastAsia" w:ascii="宋体" w:hAnsi="宋体" w:eastAsia="宋体" w:cs="宋体"/>
          <w:color w:val="auto"/>
          <w:highlight w:val="none"/>
        </w:rPr>
      </w:pPr>
    </w:p>
    <w:p w14:paraId="15BDB491">
      <w:pPr>
        <w:pStyle w:val="6"/>
        <w:keepNext w:val="0"/>
        <w:keepLines w:val="0"/>
        <w:bidi w:val="0"/>
        <w:rPr>
          <w:rFonts w:hint="eastAsia" w:ascii="宋体" w:hAnsi="宋体" w:eastAsia="宋体" w:cs="宋体"/>
          <w:color w:val="auto"/>
          <w:highlight w:val="none"/>
        </w:rPr>
      </w:pPr>
    </w:p>
    <w:p w14:paraId="0C71F89A">
      <w:pPr>
        <w:keepNext w:val="0"/>
        <w:keepLines w:val="0"/>
        <w:bidi w:val="0"/>
        <w:rPr>
          <w:rFonts w:hint="eastAsia" w:ascii="宋体" w:hAnsi="宋体" w:eastAsia="宋体" w:cs="宋体"/>
          <w:color w:val="auto"/>
          <w:highlight w:val="none"/>
        </w:rPr>
        <w:sectPr>
          <w:footerReference r:id="rId19" w:type="default"/>
          <w:pgSz w:w="11907" w:h="16838"/>
          <w:pgMar w:top="1134" w:right="1134" w:bottom="1134" w:left="1134" w:header="882" w:footer="1759" w:gutter="0"/>
          <w:lnNumType w:countBy="0" w:distance="360"/>
          <w:cols w:space="720" w:num="1"/>
        </w:sectPr>
      </w:pPr>
    </w:p>
    <w:p w14:paraId="37723AAF">
      <w:pPr>
        <w:keepNext w:val="0"/>
        <w:keepLines w:val="0"/>
        <w:kinsoku w:val="0"/>
        <w:autoSpaceDE w:val="0"/>
        <w:autoSpaceDN w:val="0"/>
        <w:bidi w:val="0"/>
        <w:adjustRightInd w:val="0"/>
        <w:snapToGrid w:val="0"/>
        <w:spacing w:before="78" w:line="220" w:lineRule="auto"/>
        <w:ind w:left="3818"/>
        <w:jc w:val="left"/>
        <w:textAlignment w:val="baseline"/>
        <w:outlineLvl w:val="9"/>
        <w:rPr>
          <w:rFonts w:hint="eastAsia" w:ascii="宋体" w:hAnsi="宋体" w:eastAsia="宋体" w:cs="宋体"/>
          <w:snapToGrid w:val="0"/>
          <w:color w:val="auto"/>
          <w:kern w:val="0"/>
          <w:sz w:val="24"/>
          <w:szCs w:val="24"/>
          <w:highlight w:val="none"/>
        </w:rPr>
      </w:pPr>
      <w:bookmarkStart w:id="658" w:name="bookmark146"/>
      <w:bookmarkEnd w:id="658"/>
      <w:bookmarkStart w:id="659" w:name="_Toc28403"/>
      <w:bookmarkStart w:id="660" w:name="_Toc15752"/>
      <w:bookmarkStart w:id="661" w:name="_Toc11332_WPSOffice_Level1"/>
      <w:r>
        <w:rPr>
          <w:rFonts w:hint="eastAsia" w:ascii="宋体" w:hAnsi="宋体" w:eastAsia="宋体" w:cs="宋体"/>
          <w:b/>
          <w:bCs/>
          <w:snapToGrid w:val="0"/>
          <w:color w:val="auto"/>
          <w:spacing w:val="-2"/>
          <w:kern w:val="0"/>
          <w:sz w:val="24"/>
          <w:szCs w:val="24"/>
          <w:highlight w:val="none"/>
        </w:rPr>
        <w:t>六、其他资料</w:t>
      </w:r>
      <w:bookmarkEnd w:id="659"/>
      <w:bookmarkEnd w:id="660"/>
    </w:p>
    <w:p w14:paraId="33E3C10B">
      <w:pPr>
        <w:keepNext w:val="0"/>
        <w:keepLines w:val="0"/>
        <w:kinsoku w:val="0"/>
        <w:autoSpaceDE w:val="0"/>
        <w:autoSpaceDN w:val="0"/>
        <w:bidi w:val="0"/>
        <w:adjustRightInd w:val="0"/>
        <w:snapToGrid w:val="0"/>
        <w:spacing w:line="250" w:lineRule="auto"/>
        <w:jc w:val="left"/>
        <w:textAlignment w:val="baseline"/>
        <w:rPr>
          <w:rFonts w:hint="eastAsia" w:ascii="宋体" w:hAnsi="宋体" w:eastAsia="宋体" w:cs="宋体"/>
          <w:snapToGrid w:val="0"/>
          <w:color w:val="auto"/>
          <w:kern w:val="0"/>
          <w:szCs w:val="21"/>
          <w:highlight w:val="none"/>
        </w:rPr>
      </w:pPr>
    </w:p>
    <w:p w14:paraId="667C793E">
      <w:pPr>
        <w:keepNext w:val="0"/>
        <w:keepLines w:val="0"/>
        <w:kinsoku w:val="0"/>
        <w:autoSpaceDE w:val="0"/>
        <w:autoSpaceDN w:val="0"/>
        <w:bidi w:val="0"/>
        <w:adjustRightInd w:val="0"/>
        <w:snapToGrid w:val="0"/>
        <w:spacing w:line="251" w:lineRule="auto"/>
        <w:jc w:val="left"/>
        <w:textAlignment w:val="baseline"/>
        <w:rPr>
          <w:rFonts w:hint="eastAsia" w:ascii="宋体" w:hAnsi="宋体" w:eastAsia="宋体" w:cs="宋体"/>
          <w:snapToGrid w:val="0"/>
          <w:color w:val="auto"/>
          <w:kern w:val="0"/>
          <w:szCs w:val="21"/>
          <w:highlight w:val="none"/>
        </w:rPr>
      </w:pPr>
    </w:p>
    <w:p w14:paraId="7458F56B">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（一）提供最新年度广东省公路工程从业单位信用评价等级（若有），并标识单位所在位置；</w:t>
      </w:r>
    </w:p>
    <w:p w14:paraId="03796B2B">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（二）初次进入且无广东省最新年度信用评价等级的，但在最新一年度的全国综合评价结果为C级或D级的，提供最新一年度的全国综合评价结果单位查询所在页；</w:t>
      </w:r>
    </w:p>
    <w:p w14:paraId="2BAAF303">
      <w:pPr>
        <w:keepNext w:val="0"/>
        <w:keepLines w:val="0"/>
        <w:bidi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（三）如上一年度有信用评价而最新年度在广东省无信用等级的需提供上一年度有信用评价（若有），并标识单位所在位置</w:t>
      </w:r>
      <w:r>
        <w:rPr>
          <w:rFonts w:hint="eastAsia" w:ascii="宋体" w:hAnsi="宋体" w:eastAsia="宋体" w:cs="宋体"/>
          <w:color w:val="auto"/>
          <w:sz w:val="24"/>
          <w:szCs w:val="24"/>
          <w:lang w:val="en-US" w:eastAsia="zh-CN"/>
        </w:rPr>
        <w:t>；</w:t>
      </w:r>
    </w:p>
    <w:p w14:paraId="2C83AC7B">
      <w:pPr>
        <w:keepNext w:val="0"/>
        <w:keepLines w:val="0"/>
        <w:bidi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四）详细说明投标人投标文件递交截止日前1年内，因公路工程（含附属设施）质量、安全、履约问题或招标投标问题等原因被交通运输部行政处罚、广东省交通运输厅行政处罚或正式约谈、招标项目所在地地级以上</w:t>
      </w:r>
      <w:r>
        <w:rPr>
          <w:rFonts w:hint="eastAsia" w:ascii="宋体" w:hAnsi="宋体" w:eastAsia="宋体" w:cs="宋体"/>
          <w:color w:val="auto"/>
          <w:sz w:val="24"/>
          <w:szCs w:val="24"/>
          <w:u w:val="single"/>
        </w:rPr>
        <w:t>市交通运输局</w:t>
      </w:r>
      <w:r>
        <w:rPr>
          <w:rFonts w:hint="eastAsia" w:ascii="宋体" w:hAnsi="宋体" w:eastAsia="宋体" w:cs="宋体"/>
          <w:color w:val="auto"/>
          <w:sz w:val="24"/>
          <w:szCs w:val="24"/>
        </w:rPr>
        <w:t>行政处罚的文件</w:t>
      </w:r>
      <w:r>
        <w:rPr>
          <w:rFonts w:hint="eastAsia" w:ascii="宋体" w:hAnsi="宋体" w:eastAsia="宋体" w:cs="宋体"/>
          <w:color w:val="auto"/>
          <w:sz w:val="24"/>
          <w:szCs w:val="24"/>
          <w:lang w:val="en-US" w:eastAsia="zh-CN"/>
        </w:rPr>
        <w:t>；</w:t>
      </w:r>
    </w:p>
    <w:p w14:paraId="052A09AF">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（五）投标人认为需要的其它内容（如体现技术能力的相关证明材料）。</w:t>
      </w:r>
    </w:p>
    <w:p w14:paraId="6287B2B2">
      <w:pPr>
        <w:keepNext w:val="0"/>
        <w:keepLines w:val="0"/>
        <w:widowControl w:val="0"/>
        <w:kinsoku w:val="0"/>
        <w:overflowPunct w:val="0"/>
        <w:autoSpaceDE w:val="0"/>
        <w:autoSpaceDN w:val="0"/>
        <w:bidi w:val="0"/>
        <w:adjustRightInd w:val="0"/>
        <w:spacing w:line="381" w:lineRule="exact"/>
        <w:ind w:right="3473"/>
        <w:jc w:val="center"/>
        <w:rPr>
          <w:rFonts w:hint="eastAsia" w:ascii="宋体" w:hAnsi="宋体" w:eastAsia="宋体" w:cs="宋体"/>
          <w:color w:val="auto"/>
          <w:sz w:val="28"/>
          <w:highlight w:val="none"/>
        </w:rPr>
      </w:pPr>
    </w:p>
    <w:p w14:paraId="002787AC">
      <w:pPr>
        <w:keepNext w:val="0"/>
        <w:keepLines w:val="0"/>
        <w:widowControl w:val="0"/>
        <w:kinsoku w:val="0"/>
        <w:overflowPunct w:val="0"/>
        <w:autoSpaceDE w:val="0"/>
        <w:autoSpaceDN w:val="0"/>
        <w:bidi w:val="0"/>
        <w:adjustRightInd w:val="0"/>
        <w:spacing w:line="381" w:lineRule="exact"/>
        <w:ind w:right="3473"/>
        <w:jc w:val="center"/>
        <w:rPr>
          <w:rFonts w:hint="eastAsia" w:ascii="宋体" w:hAnsi="宋体" w:eastAsia="宋体" w:cs="宋体"/>
          <w:color w:val="auto"/>
          <w:sz w:val="28"/>
          <w:highlight w:val="none"/>
        </w:rPr>
      </w:pPr>
    </w:p>
    <w:p w14:paraId="30BD984F">
      <w:pPr>
        <w:keepNext w:val="0"/>
        <w:keepLines w:val="0"/>
        <w:kinsoku w:val="0"/>
        <w:autoSpaceDE w:val="0"/>
        <w:autoSpaceDN w:val="0"/>
        <w:bidi w:val="0"/>
        <w:adjustRightInd w:val="0"/>
        <w:snapToGrid w:val="0"/>
        <w:spacing w:before="64" w:line="225" w:lineRule="auto"/>
        <w:ind w:left="2736"/>
        <w:jc w:val="left"/>
        <w:textAlignment w:val="baseline"/>
        <w:rPr>
          <w:rFonts w:hint="eastAsia" w:ascii="宋体" w:hAnsi="宋体" w:eastAsia="宋体" w:cs="宋体"/>
          <w:snapToGrid w:val="0"/>
          <w:color w:val="auto"/>
          <w:kern w:val="0"/>
          <w:sz w:val="31"/>
          <w:szCs w:val="31"/>
          <w:highlight w:val="none"/>
        </w:rPr>
      </w:pPr>
      <w:r>
        <w:rPr>
          <w:rFonts w:hint="eastAsia" w:ascii="宋体" w:hAnsi="宋体" w:eastAsia="宋体" w:cs="宋体"/>
          <w:color w:val="auto"/>
          <w:sz w:val="28"/>
          <w:highlight w:val="none"/>
        </w:rPr>
        <w:br w:type="page"/>
      </w:r>
      <w:r>
        <w:rPr>
          <w:rFonts w:hint="eastAsia" w:ascii="宋体" w:hAnsi="宋体" w:eastAsia="宋体" w:cs="宋体"/>
          <w:b/>
          <w:bCs/>
          <w:snapToGrid w:val="0"/>
          <w:color w:val="auto"/>
          <w:spacing w:val="8"/>
          <w:kern w:val="0"/>
          <w:sz w:val="31"/>
          <w:szCs w:val="31"/>
          <w:highlight w:val="none"/>
        </w:rPr>
        <w:t>（一）投标人的自评分表</w:t>
      </w:r>
    </w:p>
    <w:p w14:paraId="797C155D">
      <w:pPr>
        <w:keepNext w:val="0"/>
        <w:keepLines w:val="0"/>
        <w:kinsoku w:val="0"/>
        <w:autoSpaceDE w:val="0"/>
        <w:autoSpaceDN w:val="0"/>
        <w:bidi w:val="0"/>
        <w:adjustRightInd w:val="0"/>
        <w:snapToGrid w:val="0"/>
        <w:spacing w:line="194" w:lineRule="exact"/>
        <w:jc w:val="left"/>
        <w:textAlignment w:val="baseline"/>
        <w:rPr>
          <w:rFonts w:hint="eastAsia" w:ascii="宋体" w:hAnsi="宋体" w:eastAsia="宋体" w:cs="宋体"/>
          <w:snapToGrid w:val="0"/>
          <w:color w:val="auto"/>
          <w:kern w:val="0"/>
          <w:szCs w:val="21"/>
          <w:highlight w:val="none"/>
        </w:rPr>
      </w:pPr>
    </w:p>
    <w:tbl>
      <w:tblPr>
        <w:tblStyle w:val="21"/>
        <w:tblW w:w="89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5"/>
        <w:gridCol w:w="1359"/>
        <w:gridCol w:w="911"/>
        <w:gridCol w:w="1679"/>
        <w:gridCol w:w="1221"/>
        <w:gridCol w:w="1392"/>
        <w:gridCol w:w="1569"/>
      </w:tblGrid>
      <w:tr w14:paraId="3B53A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3" w:hRule="atLeast"/>
        </w:trPr>
        <w:tc>
          <w:tcPr>
            <w:tcW w:w="815" w:type="dxa"/>
            <w:noWrap w:val="0"/>
            <w:vAlign w:val="center"/>
          </w:tcPr>
          <w:p w14:paraId="1964C1CA">
            <w:pPr>
              <w:keepNext w:val="0"/>
              <w:keepLines w:val="0"/>
              <w:kinsoku w:val="0"/>
              <w:autoSpaceDE w:val="0"/>
              <w:autoSpaceDN w:val="0"/>
              <w:bidi w:val="0"/>
              <w:adjustRightInd w:val="0"/>
              <w:snapToGrid w:val="0"/>
              <w:spacing w:before="65" w:line="229" w:lineRule="auto"/>
              <w:ind w:left="113"/>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5"/>
                <w:kern w:val="0"/>
                <w:sz w:val="24"/>
                <w:szCs w:val="24"/>
                <w:highlight w:val="none"/>
                <w:lang w:eastAsia="en-US"/>
              </w:rPr>
              <w:t>序号</w:t>
            </w:r>
          </w:p>
        </w:tc>
        <w:tc>
          <w:tcPr>
            <w:tcW w:w="1359" w:type="dxa"/>
            <w:noWrap w:val="0"/>
            <w:vAlign w:val="center"/>
          </w:tcPr>
          <w:p w14:paraId="0B67AF95">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7"/>
                <w:kern w:val="0"/>
                <w:sz w:val="24"/>
                <w:szCs w:val="24"/>
                <w:highlight w:val="none"/>
                <w:lang w:eastAsia="en-US"/>
              </w:rPr>
              <w:t>评分因素</w:t>
            </w:r>
          </w:p>
        </w:tc>
        <w:tc>
          <w:tcPr>
            <w:tcW w:w="911" w:type="dxa"/>
            <w:noWrap w:val="0"/>
            <w:vAlign w:val="center"/>
          </w:tcPr>
          <w:p w14:paraId="36FA1A51">
            <w:pPr>
              <w:keepNext w:val="0"/>
              <w:keepLines w:val="0"/>
              <w:kinsoku w:val="0"/>
              <w:autoSpaceDE w:val="0"/>
              <w:autoSpaceDN w:val="0"/>
              <w:bidi w:val="0"/>
              <w:adjustRightInd w:val="0"/>
              <w:snapToGrid w:val="0"/>
              <w:spacing w:before="65" w:line="228" w:lineRule="auto"/>
              <w:ind w:left="249"/>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4"/>
                <w:kern w:val="0"/>
                <w:sz w:val="24"/>
                <w:szCs w:val="24"/>
                <w:highlight w:val="none"/>
                <w:lang w:eastAsia="en-US"/>
              </w:rPr>
              <w:t>满分</w:t>
            </w:r>
          </w:p>
        </w:tc>
        <w:tc>
          <w:tcPr>
            <w:tcW w:w="1679" w:type="dxa"/>
            <w:noWrap w:val="0"/>
            <w:vAlign w:val="center"/>
          </w:tcPr>
          <w:p w14:paraId="10CFC239">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7"/>
                <w:kern w:val="0"/>
                <w:sz w:val="24"/>
                <w:szCs w:val="24"/>
                <w:highlight w:val="none"/>
                <w:lang w:eastAsia="en-US"/>
              </w:rPr>
              <w:t>评分标准</w:t>
            </w:r>
          </w:p>
        </w:tc>
        <w:tc>
          <w:tcPr>
            <w:tcW w:w="1221" w:type="dxa"/>
            <w:noWrap w:val="0"/>
            <w:vAlign w:val="center"/>
          </w:tcPr>
          <w:p w14:paraId="4CB178A0">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5"/>
                <w:kern w:val="0"/>
                <w:sz w:val="24"/>
                <w:szCs w:val="24"/>
                <w:highlight w:val="none"/>
                <w:lang w:eastAsia="en-US"/>
              </w:rPr>
              <w:t>自评分</w:t>
            </w:r>
          </w:p>
        </w:tc>
        <w:tc>
          <w:tcPr>
            <w:tcW w:w="1392" w:type="dxa"/>
            <w:noWrap w:val="0"/>
            <w:vAlign w:val="center"/>
          </w:tcPr>
          <w:p w14:paraId="186E997F">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7"/>
                <w:kern w:val="0"/>
                <w:sz w:val="24"/>
                <w:szCs w:val="24"/>
                <w:highlight w:val="none"/>
                <w:lang w:eastAsia="en-US"/>
              </w:rPr>
              <w:t>评分情况说明</w:t>
            </w:r>
          </w:p>
        </w:tc>
        <w:tc>
          <w:tcPr>
            <w:tcW w:w="1569" w:type="dxa"/>
            <w:noWrap w:val="0"/>
            <w:vAlign w:val="center"/>
          </w:tcPr>
          <w:p w14:paraId="77B32A5B">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6"/>
                <w:kern w:val="0"/>
                <w:sz w:val="24"/>
                <w:szCs w:val="24"/>
                <w:highlight w:val="none"/>
                <w:lang w:eastAsia="en-US"/>
              </w:rPr>
              <w:t>页码索引</w:t>
            </w:r>
          </w:p>
        </w:tc>
      </w:tr>
      <w:tr w14:paraId="0B155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5" w:type="dxa"/>
            <w:noWrap w:val="0"/>
            <w:vAlign w:val="top"/>
          </w:tcPr>
          <w:p w14:paraId="569684A8">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359" w:type="dxa"/>
            <w:noWrap w:val="0"/>
            <w:vAlign w:val="top"/>
          </w:tcPr>
          <w:p w14:paraId="1F77AD6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911" w:type="dxa"/>
            <w:noWrap w:val="0"/>
            <w:vAlign w:val="top"/>
          </w:tcPr>
          <w:p w14:paraId="1577B3DF">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679" w:type="dxa"/>
            <w:noWrap w:val="0"/>
            <w:vAlign w:val="center"/>
          </w:tcPr>
          <w:p w14:paraId="1AB8EE7A">
            <w:pPr>
              <w:keepNext w:val="0"/>
              <w:keepLines w:val="0"/>
              <w:kinsoku w:val="0"/>
              <w:autoSpaceDE w:val="0"/>
              <w:autoSpaceDN w:val="0"/>
              <w:bidi w:val="0"/>
              <w:adjustRightInd w:val="0"/>
              <w:snapToGrid w:val="0"/>
              <w:spacing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7"/>
                <w:kern w:val="0"/>
                <w:position w:val="15"/>
                <w:sz w:val="24"/>
                <w:szCs w:val="24"/>
                <w:highlight w:val="none"/>
                <w:lang w:eastAsia="en-US"/>
              </w:rPr>
              <w:t>与评标办法规</w:t>
            </w:r>
            <w:r>
              <w:rPr>
                <w:rFonts w:hint="eastAsia" w:ascii="宋体" w:hAnsi="宋体" w:eastAsia="宋体" w:cs="宋体"/>
                <w:snapToGrid w:val="0"/>
                <w:color w:val="auto"/>
                <w:spacing w:val="5"/>
                <w:kern w:val="0"/>
                <w:sz w:val="24"/>
                <w:szCs w:val="24"/>
                <w:highlight w:val="none"/>
                <w:lang w:eastAsia="en-US"/>
              </w:rPr>
              <w:t>定一致</w:t>
            </w:r>
          </w:p>
        </w:tc>
        <w:tc>
          <w:tcPr>
            <w:tcW w:w="1221" w:type="dxa"/>
            <w:noWrap w:val="0"/>
            <w:vAlign w:val="top"/>
          </w:tcPr>
          <w:p w14:paraId="095A07F1">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392" w:type="dxa"/>
            <w:noWrap w:val="0"/>
            <w:vAlign w:val="top"/>
          </w:tcPr>
          <w:p w14:paraId="7F3A6614">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569" w:type="dxa"/>
            <w:noWrap w:val="0"/>
            <w:vAlign w:val="top"/>
          </w:tcPr>
          <w:p w14:paraId="620C9F29">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r>
      <w:tr w14:paraId="06C46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815" w:type="dxa"/>
            <w:noWrap w:val="0"/>
            <w:vAlign w:val="top"/>
          </w:tcPr>
          <w:p w14:paraId="0C1A2C43">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359" w:type="dxa"/>
            <w:noWrap w:val="0"/>
            <w:vAlign w:val="top"/>
          </w:tcPr>
          <w:p w14:paraId="6C903AF3">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911" w:type="dxa"/>
            <w:noWrap w:val="0"/>
            <w:vAlign w:val="top"/>
          </w:tcPr>
          <w:p w14:paraId="7BE7E0BF">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679" w:type="dxa"/>
            <w:noWrap w:val="0"/>
            <w:vAlign w:val="center"/>
          </w:tcPr>
          <w:p w14:paraId="077E7F0C">
            <w:pPr>
              <w:keepNext w:val="0"/>
              <w:keepLines w:val="0"/>
              <w:kinsoku w:val="0"/>
              <w:autoSpaceDE w:val="0"/>
              <w:autoSpaceDN w:val="0"/>
              <w:bidi w:val="0"/>
              <w:adjustRightInd w:val="0"/>
              <w:snapToGrid w:val="0"/>
              <w:spacing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7"/>
                <w:kern w:val="0"/>
                <w:position w:val="15"/>
                <w:sz w:val="24"/>
                <w:szCs w:val="24"/>
                <w:highlight w:val="none"/>
                <w:lang w:eastAsia="en-US"/>
              </w:rPr>
              <w:t>与评标办法规</w:t>
            </w:r>
            <w:r>
              <w:rPr>
                <w:rFonts w:hint="eastAsia" w:ascii="宋体" w:hAnsi="宋体" w:eastAsia="宋体" w:cs="宋体"/>
                <w:snapToGrid w:val="0"/>
                <w:color w:val="auto"/>
                <w:spacing w:val="5"/>
                <w:kern w:val="0"/>
                <w:sz w:val="24"/>
                <w:szCs w:val="24"/>
                <w:highlight w:val="none"/>
                <w:lang w:eastAsia="en-US"/>
              </w:rPr>
              <w:t>定一致</w:t>
            </w:r>
          </w:p>
        </w:tc>
        <w:tc>
          <w:tcPr>
            <w:tcW w:w="1221" w:type="dxa"/>
            <w:noWrap w:val="0"/>
            <w:vAlign w:val="top"/>
          </w:tcPr>
          <w:p w14:paraId="4E404653">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392" w:type="dxa"/>
            <w:noWrap w:val="0"/>
            <w:vAlign w:val="top"/>
          </w:tcPr>
          <w:p w14:paraId="09C7017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569" w:type="dxa"/>
            <w:noWrap w:val="0"/>
            <w:vAlign w:val="top"/>
          </w:tcPr>
          <w:p w14:paraId="73501B0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r>
      <w:tr w14:paraId="073D1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5" w:type="dxa"/>
            <w:noWrap w:val="0"/>
            <w:vAlign w:val="top"/>
          </w:tcPr>
          <w:p w14:paraId="0A2ABCA9">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359" w:type="dxa"/>
            <w:noWrap w:val="0"/>
            <w:vAlign w:val="top"/>
          </w:tcPr>
          <w:p w14:paraId="254ED434">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911" w:type="dxa"/>
            <w:noWrap w:val="0"/>
            <w:vAlign w:val="top"/>
          </w:tcPr>
          <w:p w14:paraId="32E1BC64">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679" w:type="dxa"/>
            <w:noWrap w:val="0"/>
            <w:vAlign w:val="center"/>
          </w:tcPr>
          <w:p w14:paraId="012D42A0">
            <w:pPr>
              <w:keepNext w:val="0"/>
              <w:keepLines w:val="0"/>
              <w:kinsoku w:val="0"/>
              <w:autoSpaceDE w:val="0"/>
              <w:autoSpaceDN w:val="0"/>
              <w:bidi w:val="0"/>
              <w:adjustRightInd w:val="0"/>
              <w:snapToGrid w:val="0"/>
              <w:spacing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7"/>
                <w:kern w:val="0"/>
                <w:position w:val="15"/>
                <w:sz w:val="24"/>
                <w:szCs w:val="24"/>
                <w:highlight w:val="none"/>
                <w:lang w:eastAsia="en-US"/>
              </w:rPr>
              <w:t>与评标办法规</w:t>
            </w:r>
            <w:r>
              <w:rPr>
                <w:rFonts w:hint="eastAsia" w:ascii="宋体" w:hAnsi="宋体" w:eastAsia="宋体" w:cs="宋体"/>
                <w:snapToGrid w:val="0"/>
                <w:color w:val="auto"/>
                <w:spacing w:val="5"/>
                <w:kern w:val="0"/>
                <w:sz w:val="24"/>
                <w:szCs w:val="24"/>
                <w:highlight w:val="none"/>
                <w:lang w:eastAsia="en-US"/>
              </w:rPr>
              <w:t>定一致</w:t>
            </w:r>
          </w:p>
        </w:tc>
        <w:tc>
          <w:tcPr>
            <w:tcW w:w="1221" w:type="dxa"/>
            <w:noWrap w:val="0"/>
            <w:vAlign w:val="top"/>
          </w:tcPr>
          <w:p w14:paraId="4AFAE7F5">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392" w:type="dxa"/>
            <w:noWrap w:val="0"/>
            <w:vAlign w:val="top"/>
          </w:tcPr>
          <w:p w14:paraId="0C360876">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569" w:type="dxa"/>
            <w:noWrap w:val="0"/>
            <w:vAlign w:val="top"/>
          </w:tcPr>
          <w:p w14:paraId="7A8756F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r>
      <w:tr w14:paraId="1C1C3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2174" w:type="dxa"/>
            <w:gridSpan w:val="2"/>
            <w:noWrap w:val="0"/>
            <w:vAlign w:val="top"/>
          </w:tcPr>
          <w:p w14:paraId="0CB762A2">
            <w:pPr>
              <w:keepNext w:val="0"/>
              <w:keepLines w:val="0"/>
              <w:kinsoku w:val="0"/>
              <w:autoSpaceDE w:val="0"/>
              <w:autoSpaceDN w:val="0"/>
              <w:bidi w:val="0"/>
              <w:adjustRightInd w:val="0"/>
              <w:snapToGrid w:val="0"/>
              <w:spacing w:line="246" w:lineRule="auto"/>
              <w:jc w:val="left"/>
              <w:textAlignment w:val="baseline"/>
              <w:rPr>
                <w:rFonts w:hint="eastAsia" w:ascii="宋体" w:hAnsi="宋体" w:eastAsia="宋体" w:cs="宋体"/>
                <w:snapToGrid w:val="0"/>
                <w:color w:val="auto"/>
                <w:kern w:val="0"/>
                <w:sz w:val="24"/>
                <w:szCs w:val="24"/>
                <w:highlight w:val="none"/>
                <w:lang w:eastAsia="en-US"/>
              </w:rPr>
            </w:pPr>
          </w:p>
          <w:p w14:paraId="7BFDC7CC">
            <w:pPr>
              <w:keepNext w:val="0"/>
              <w:keepLines w:val="0"/>
              <w:kinsoku w:val="0"/>
              <w:autoSpaceDE w:val="0"/>
              <w:autoSpaceDN w:val="0"/>
              <w:bidi w:val="0"/>
              <w:adjustRightInd w:val="0"/>
              <w:snapToGrid w:val="0"/>
              <w:spacing w:before="65" w:line="229" w:lineRule="auto"/>
              <w:ind w:left="883"/>
              <w:jc w:val="left"/>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4"/>
                <w:kern w:val="0"/>
                <w:sz w:val="24"/>
                <w:szCs w:val="24"/>
                <w:highlight w:val="none"/>
                <w:lang w:eastAsia="en-US"/>
              </w:rPr>
              <w:t>合计</w:t>
            </w:r>
          </w:p>
        </w:tc>
        <w:tc>
          <w:tcPr>
            <w:tcW w:w="911" w:type="dxa"/>
            <w:noWrap w:val="0"/>
            <w:vAlign w:val="top"/>
          </w:tcPr>
          <w:p w14:paraId="1C4853A4">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679" w:type="dxa"/>
            <w:noWrap w:val="0"/>
            <w:vAlign w:val="top"/>
          </w:tcPr>
          <w:p w14:paraId="5905D343">
            <w:pPr>
              <w:keepNext w:val="0"/>
              <w:keepLines w:val="0"/>
              <w:tabs>
                <w:tab w:val="left" w:pos="890"/>
              </w:tabs>
              <w:kinsoku w:val="0"/>
              <w:autoSpaceDE w:val="0"/>
              <w:autoSpaceDN w:val="0"/>
              <w:bidi w:val="0"/>
              <w:adjustRightInd w:val="0"/>
              <w:snapToGrid w:val="0"/>
              <w:spacing w:before="218" w:line="241" w:lineRule="exact"/>
              <w:ind w:left="793"/>
              <w:jc w:val="left"/>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kern w:val="0"/>
                <w:sz w:val="24"/>
                <w:szCs w:val="24"/>
                <w:highlight w:val="none"/>
                <w:u w:val="single"/>
                <w:lang w:eastAsia="en-US"/>
              </w:rPr>
              <w:tab/>
            </w:r>
          </w:p>
        </w:tc>
        <w:tc>
          <w:tcPr>
            <w:tcW w:w="1221" w:type="dxa"/>
            <w:noWrap w:val="0"/>
            <w:vAlign w:val="top"/>
          </w:tcPr>
          <w:p w14:paraId="0F8CA43D">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2961" w:type="dxa"/>
            <w:gridSpan w:val="2"/>
            <w:noWrap w:val="0"/>
            <w:vAlign w:val="top"/>
          </w:tcPr>
          <w:p w14:paraId="36ACF558">
            <w:pPr>
              <w:keepNext w:val="0"/>
              <w:keepLines w:val="0"/>
              <w:tabs>
                <w:tab w:val="left" w:pos="1528"/>
              </w:tabs>
              <w:kinsoku w:val="0"/>
              <w:autoSpaceDE w:val="0"/>
              <w:autoSpaceDN w:val="0"/>
              <w:bidi w:val="0"/>
              <w:adjustRightInd w:val="0"/>
              <w:snapToGrid w:val="0"/>
              <w:spacing w:before="218" w:line="241" w:lineRule="exact"/>
              <w:ind w:left="1431"/>
              <w:jc w:val="left"/>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kern w:val="0"/>
                <w:sz w:val="24"/>
                <w:szCs w:val="24"/>
                <w:highlight w:val="none"/>
                <w:u w:val="single"/>
                <w:lang w:eastAsia="en-US"/>
              </w:rPr>
              <w:tab/>
            </w:r>
          </w:p>
        </w:tc>
      </w:tr>
    </w:tbl>
    <w:p w14:paraId="3192D2FB">
      <w:pPr>
        <w:keepNext w:val="0"/>
        <w:keepLines w:val="0"/>
        <w:kinsoku w:val="0"/>
        <w:autoSpaceDE w:val="0"/>
        <w:autoSpaceDN w:val="0"/>
        <w:bidi w:val="0"/>
        <w:adjustRightInd w:val="0"/>
        <w:snapToGrid w:val="0"/>
        <w:spacing w:line="373" w:lineRule="auto"/>
        <w:jc w:val="left"/>
        <w:textAlignment w:val="baseline"/>
        <w:rPr>
          <w:rFonts w:hint="eastAsia" w:ascii="宋体" w:hAnsi="宋体" w:eastAsia="宋体" w:cs="宋体"/>
          <w:snapToGrid w:val="0"/>
          <w:color w:val="auto"/>
          <w:kern w:val="0"/>
          <w:szCs w:val="21"/>
          <w:highlight w:val="none"/>
          <w:lang w:eastAsia="en-US"/>
        </w:rPr>
      </w:pPr>
    </w:p>
    <w:p w14:paraId="3E0BF72D">
      <w:pPr>
        <w:keepNext w:val="0"/>
        <w:keepLines w:val="0"/>
        <w:kinsoku w:val="0"/>
        <w:autoSpaceDE w:val="0"/>
        <w:autoSpaceDN w:val="0"/>
        <w:bidi w:val="0"/>
        <w:adjustRightInd w:val="0"/>
        <w:snapToGrid w:val="0"/>
        <w:spacing w:before="65" w:line="227" w:lineRule="auto"/>
        <w:ind w:left="4202" w:leftChars="0" w:firstLine="246" w:firstLineChars="100"/>
        <w:jc w:val="left"/>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3"/>
          <w:kern w:val="0"/>
          <w:sz w:val="24"/>
          <w:szCs w:val="24"/>
          <w:highlight w:val="none"/>
          <w:lang w:eastAsia="en-US"/>
        </w:rPr>
        <w:t>投标人：(盖单位章)</w:t>
      </w:r>
    </w:p>
    <w:p w14:paraId="00060684">
      <w:pPr>
        <w:keepNext w:val="0"/>
        <w:keepLines w:val="0"/>
        <w:kinsoku w:val="0"/>
        <w:autoSpaceDE w:val="0"/>
        <w:autoSpaceDN w:val="0"/>
        <w:bidi w:val="0"/>
        <w:adjustRightInd w:val="0"/>
        <w:snapToGrid w:val="0"/>
        <w:spacing w:line="250" w:lineRule="auto"/>
        <w:jc w:val="left"/>
        <w:textAlignment w:val="baseline"/>
        <w:rPr>
          <w:rFonts w:hint="eastAsia" w:ascii="宋体" w:hAnsi="宋体" w:eastAsia="宋体" w:cs="宋体"/>
          <w:snapToGrid w:val="0"/>
          <w:color w:val="auto"/>
          <w:kern w:val="0"/>
          <w:sz w:val="24"/>
          <w:szCs w:val="24"/>
          <w:highlight w:val="none"/>
          <w:lang w:eastAsia="en-US"/>
        </w:rPr>
      </w:pPr>
    </w:p>
    <w:p w14:paraId="596457CE">
      <w:pPr>
        <w:keepNext w:val="0"/>
        <w:keepLines w:val="0"/>
        <w:kinsoku w:val="0"/>
        <w:autoSpaceDE w:val="0"/>
        <w:autoSpaceDN w:val="0"/>
        <w:bidi w:val="0"/>
        <w:adjustRightInd w:val="0"/>
        <w:snapToGrid w:val="0"/>
        <w:spacing w:line="251" w:lineRule="auto"/>
        <w:jc w:val="left"/>
        <w:textAlignment w:val="baseline"/>
        <w:rPr>
          <w:rFonts w:hint="eastAsia" w:ascii="宋体" w:hAnsi="宋体" w:eastAsia="宋体" w:cs="宋体"/>
          <w:snapToGrid w:val="0"/>
          <w:color w:val="auto"/>
          <w:kern w:val="0"/>
          <w:sz w:val="24"/>
          <w:szCs w:val="24"/>
          <w:highlight w:val="none"/>
          <w:lang w:eastAsia="en-US"/>
        </w:rPr>
      </w:pPr>
    </w:p>
    <w:p w14:paraId="0DEAF92B">
      <w:pPr>
        <w:keepNext w:val="0"/>
        <w:keepLines w:val="0"/>
        <w:widowControl w:val="0"/>
        <w:kinsoku w:val="0"/>
        <w:overflowPunct w:val="0"/>
        <w:autoSpaceDE w:val="0"/>
        <w:autoSpaceDN w:val="0"/>
        <w:bidi w:val="0"/>
        <w:adjustRightInd w:val="0"/>
        <w:spacing w:line="381" w:lineRule="exact"/>
        <w:ind w:right="587" w:firstLine="4386" w:firstLineChars="1700"/>
        <w:rPr>
          <w:rFonts w:hint="eastAsia" w:ascii="宋体" w:hAnsi="宋体" w:eastAsia="宋体" w:cs="宋体"/>
          <w:color w:val="auto"/>
          <w:sz w:val="24"/>
          <w:szCs w:val="24"/>
          <w:highlight w:val="none"/>
          <w:lang w:eastAsia="zh-CN"/>
        </w:rPr>
      </w:pPr>
      <w:bookmarkStart w:id="662" w:name="_Toc7981"/>
      <w:bookmarkStart w:id="663" w:name="_Toc25612"/>
      <w:r>
        <w:rPr>
          <w:rFonts w:hint="eastAsia" w:ascii="宋体" w:hAnsi="宋体" w:eastAsia="宋体" w:cs="宋体"/>
          <w:snapToGrid w:val="0"/>
          <w:color w:val="auto"/>
          <w:spacing w:val="9"/>
          <w:kern w:val="0"/>
          <w:sz w:val="24"/>
          <w:szCs w:val="24"/>
          <w:highlight w:val="none"/>
        </w:rPr>
        <w:t>法定代表人（或被授权人）签名：</w:t>
      </w:r>
      <w:bookmarkEnd w:id="662"/>
      <w:bookmarkEnd w:id="663"/>
    </w:p>
    <w:p w14:paraId="4C4F87C8">
      <w:pPr>
        <w:keepNext w:val="0"/>
        <w:keepLines w:val="0"/>
        <w:kinsoku w:val="0"/>
        <w:autoSpaceDE w:val="0"/>
        <w:autoSpaceDN w:val="0"/>
        <w:bidi w:val="0"/>
        <w:adjustRightInd w:val="0"/>
        <w:snapToGrid w:val="0"/>
        <w:spacing w:before="163" w:line="219" w:lineRule="auto"/>
        <w:ind w:left="3696"/>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8"/>
          <w:highlight w:val="none"/>
        </w:rPr>
        <w:br w:type="page"/>
      </w:r>
      <w:bookmarkEnd w:id="661"/>
      <w:r>
        <w:rPr>
          <w:rFonts w:hint="eastAsia" w:ascii="宋体" w:hAnsi="宋体" w:eastAsia="宋体" w:cs="宋体"/>
          <w:b/>
          <w:bCs/>
          <w:snapToGrid w:val="0"/>
          <w:color w:val="auto"/>
          <w:spacing w:val="-1"/>
          <w:kern w:val="0"/>
          <w:sz w:val="28"/>
          <w:szCs w:val="28"/>
          <w:highlight w:val="none"/>
        </w:rPr>
        <w:t>七、技术建议书</w:t>
      </w:r>
    </w:p>
    <w:p w14:paraId="68E7531E">
      <w:pPr>
        <w:keepNext w:val="0"/>
        <w:keepLines w:val="0"/>
        <w:kinsoku w:val="0"/>
        <w:autoSpaceDE w:val="0"/>
        <w:autoSpaceDN w:val="0"/>
        <w:bidi w:val="0"/>
        <w:adjustRightInd w:val="0"/>
        <w:snapToGrid w:val="0"/>
        <w:spacing w:line="260" w:lineRule="auto"/>
        <w:jc w:val="left"/>
        <w:textAlignment w:val="baseline"/>
        <w:rPr>
          <w:rFonts w:hint="eastAsia" w:ascii="宋体" w:hAnsi="宋体" w:eastAsia="宋体" w:cs="宋体"/>
          <w:snapToGrid w:val="0"/>
          <w:color w:val="auto"/>
          <w:kern w:val="0"/>
          <w:szCs w:val="21"/>
          <w:highlight w:val="none"/>
        </w:rPr>
      </w:pPr>
    </w:p>
    <w:p w14:paraId="1C581C0E">
      <w:pPr>
        <w:keepNext w:val="0"/>
        <w:keepLines w:val="0"/>
        <w:kinsoku w:val="0"/>
        <w:autoSpaceDE w:val="0"/>
        <w:autoSpaceDN w:val="0"/>
        <w:bidi w:val="0"/>
        <w:adjustRightInd w:val="0"/>
        <w:snapToGrid w:val="0"/>
        <w:spacing w:line="261" w:lineRule="auto"/>
        <w:jc w:val="left"/>
        <w:textAlignment w:val="baseline"/>
        <w:rPr>
          <w:rFonts w:hint="eastAsia" w:ascii="宋体" w:hAnsi="宋体" w:eastAsia="宋体" w:cs="宋体"/>
          <w:snapToGrid w:val="0"/>
          <w:color w:val="auto"/>
          <w:kern w:val="0"/>
          <w:szCs w:val="21"/>
          <w:highlight w:val="none"/>
        </w:rPr>
      </w:pPr>
    </w:p>
    <w:p w14:paraId="6564DEF1">
      <w:pPr>
        <w:keepNext w:val="0"/>
        <w:keepLines w:val="0"/>
        <w:kinsoku w:val="0"/>
        <w:autoSpaceDE w:val="0"/>
        <w:autoSpaceDN w:val="0"/>
        <w:bidi w:val="0"/>
        <w:adjustRightInd w:val="0"/>
        <w:snapToGrid w:val="0"/>
        <w:spacing w:line="261" w:lineRule="auto"/>
        <w:jc w:val="left"/>
        <w:textAlignment w:val="baseline"/>
        <w:rPr>
          <w:rFonts w:hint="eastAsia" w:ascii="宋体" w:hAnsi="宋体" w:eastAsia="宋体" w:cs="宋体"/>
          <w:snapToGrid w:val="0"/>
          <w:color w:val="auto"/>
          <w:kern w:val="0"/>
          <w:szCs w:val="21"/>
          <w:highlight w:val="none"/>
        </w:rPr>
      </w:pPr>
    </w:p>
    <w:p w14:paraId="12D68702">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1.工程概述：主要对拟投监理标段的工程总体概况进行简单描述。</w:t>
      </w:r>
    </w:p>
    <w:p w14:paraId="560285CE">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2.监理工作范围：依据监理合同中约定的监理服务的要求和范围，对拟投监理标段的监理工作安排、主要监理人员的岗位职责进行必要的阐述。</w:t>
      </w:r>
    </w:p>
    <w:p w14:paraId="0D104A9D">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3.现场监理机构设置与人员安排：通过框图形式，明确拟投监理标段的组织机构设置。</w:t>
      </w:r>
    </w:p>
    <w:p w14:paraId="4F0F8B9B">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4.监理仪器、设备和设施的配备：投标人根据拟投监理标段的现场工作需要，对其拟投入本工程的监理仪器、设备和设施的配备等情况做简要介绍。</w:t>
      </w:r>
    </w:p>
    <w:p w14:paraId="083262F9">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5.监理工作程序：结合监理工作的阶段划分，对工程质量控制、进度控制、施工安全控制、施工环境保护、费用控制、合同及其他事项管理、文件资料管理等方面，进行监理工作的方法与流程的简要阐述。</w:t>
      </w:r>
    </w:p>
    <w:p w14:paraId="66C21EC6">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6.监理大纲（或监理方案）和措施（包含《广东省公路工程施工标准化指南》中对监理的要求执行方案）。</w:t>
      </w:r>
    </w:p>
    <w:p w14:paraId="0DB407CE">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7.本工程监理工作的重点与难点分析：根据招标文件及现场考察，对本工程监理工作需要特别给予重视的问题逐一论述并给出解决方法。</w:t>
      </w:r>
    </w:p>
    <w:p w14:paraId="015B9E51">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8.对本工程建议：为更好地完成本工程的监理工作，监理人可根据以往的经验，对本工程监理工作提出建议。</w:t>
      </w:r>
    </w:p>
    <w:p w14:paraId="52098DD4">
      <w:pPr>
        <w:keepNext w:val="0"/>
        <w:keepLines w:val="0"/>
        <w:widowControl w:val="0"/>
        <w:wordWrap w:val="0"/>
        <w:autoSpaceDE w:val="0"/>
        <w:autoSpaceDN w:val="0"/>
        <w:bidi w:val="0"/>
        <w:adjustRightInd w:val="0"/>
        <w:spacing w:line="360" w:lineRule="auto"/>
        <w:jc w:val="left"/>
        <w:rPr>
          <w:rFonts w:hint="eastAsia" w:ascii="宋体" w:hAnsi="宋体" w:eastAsia="宋体" w:cs="宋体"/>
          <w:color w:val="auto"/>
          <w:highlight w:val="none"/>
          <w:u w:val="single"/>
        </w:rPr>
        <w:sectPr>
          <w:footerReference r:id="rId20" w:type="default"/>
          <w:pgSz w:w="11907" w:h="16838"/>
          <w:pgMar w:top="1134" w:right="1134" w:bottom="1134" w:left="1134" w:header="882" w:footer="1219" w:gutter="0"/>
          <w:lnNumType w:countBy="0" w:distance="360"/>
          <w:cols w:space="720" w:num="1"/>
        </w:sectPr>
      </w:pPr>
    </w:p>
    <w:p w14:paraId="471F64B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605243D">
      <w:pPr>
        <w:keepNext w:val="0"/>
        <w:keepLines w:val="0"/>
        <w:widowControl w:val="0"/>
        <w:kinsoku w:val="0"/>
        <w:overflowPunct w:val="0"/>
        <w:autoSpaceDE w:val="0"/>
        <w:autoSpaceDN w:val="0"/>
        <w:bidi w:val="0"/>
        <w:adjustRightInd w:val="0"/>
        <w:spacing w:before="2"/>
        <w:rPr>
          <w:rFonts w:hint="eastAsia" w:ascii="宋体" w:hAnsi="宋体" w:eastAsia="宋体" w:cs="宋体"/>
          <w:color w:val="auto"/>
          <w:sz w:val="18"/>
          <w:szCs w:val="24"/>
          <w:highlight w:val="none"/>
        </w:rPr>
      </w:pPr>
    </w:p>
    <w:p w14:paraId="7983A6B5">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r>
        <w:rPr>
          <w:rFonts w:hint="eastAsia" w:ascii="宋体" w:hAnsi="宋体" w:eastAsia="宋体" w:cs="宋体"/>
          <w:color w:val="auto"/>
          <w:sz w:val="40"/>
          <w:szCs w:val="24"/>
          <w:highlight w:val="none"/>
        </w:rPr>
        <w:t>广东省</w:t>
      </w:r>
    </w:p>
    <w:p w14:paraId="026F1BDB">
      <w:pPr>
        <w:keepNext w:val="0"/>
        <w:keepLines w:val="0"/>
        <w:widowControl w:val="0"/>
        <w:kinsoku w:val="0"/>
        <w:overflowPunct w:val="0"/>
        <w:autoSpaceDE w:val="0"/>
        <w:autoSpaceDN w:val="0"/>
        <w:bidi w:val="0"/>
        <w:adjustRightInd w:val="0"/>
        <w:spacing w:before="6"/>
        <w:rPr>
          <w:rFonts w:hint="eastAsia" w:ascii="宋体" w:hAnsi="宋体" w:eastAsia="宋体" w:cs="宋体"/>
          <w:color w:val="auto"/>
          <w:sz w:val="34"/>
          <w:szCs w:val="24"/>
          <w:highlight w:val="none"/>
        </w:rPr>
      </w:pPr>
    </w:p>
    <w:p w14:paraId="11D3D11B">
      <w:pPr>
        <w:keepNext w:val="0"/>
        <w:keepLines w:val="0"/>
        <w:widowControl w:val="0"/>
        <w:tabs>
          <w:tab w:val="left" w:pos="4271"/>
        </w:tabs>
        <w:kinsoku w:val="0"/>
        <w:overflowPunct w:val="0"/>
        <w:autoSpaceDE w:val="0"/>
        <w:autoSpaceDN w:val="0"/>
        <w:bidi w:val="0"/>
        <w:adjustRightInd w:val="0"/>
        <w:ind w:left="1473"/>
        <w:rPr>
          <w:rFonts w:hint="eastAsia" w:ascii="宋体" w:hAnsi="宋体" w:eastAsia="宋体" w:cs="宋体"/>
          <w:color w:val="auto"/>
          <w:sz w:val="40"/>
          <w:szCs w:val="24"/>
          <w:highlight w:val="none"/>
        </w:rPr>
      </w:pPr>
      <w:r>
        <w:rPr>
          <w:rFonts w:hint="eastAsia" w:ascii="宋体" w:hAnsi="宋体" w:eastAsia="宋体" w:cs="宋体"/>
          <w:color w:val="auto"/>
          <w:sz w:val="40"/>
          <w:szCs w:val="24"/>
          <w:highlight w:val="none"/>
          <w:u w:val="single"/>
        </w:rPr>
        <w:t>（</w:t>
      </w:r>
      <w:r>
        <w:rPr>
          <w:rFonts w:hint="eastAsia" w:ascii="宋体" w:hAnsi="宋体" w:eastAsia="宋体" w:cs="宋体"/>
          <w:color w:val="auto"/>
          <w:spacing w:val="-3"/>
          <w:sz w:val="40"/>
          <w:szCs w:val="24"/>
          <w:highlight w:val="none"/>
          <w:u w:val="single"/>
        </w:rPr>
        <w:t>项</w:t>
      </w:r>
      <w:r>
        <w:rPr>
          <w:rFonts w:hint="eastAsia" w:ascii="宋体" w:hAnsi="宋体" w:eastAsia="宋体" w:cs="宋体"/>
          <w:color w:val="auto"/>
          <w:sz w:val="40"/>
          <w:szCs w:val="24"/>
          <w:highlight w:val="none"/>
          <w:u w:val="single"/>
        </w:rPr>
        <w:t>目名</w:t>
      </w:r>
      <w:r>
        <w:rPr>
          <w:rFonts w:hint="eastAsia" w:ascii="宋体" w:hAnsi="宋体" w:eastAsia="宋体" w:cs="宋体"/>
          <w:color w:val="auto"/>
          <w:spacing w:val="-3"/>
          <w:sz w:val="40"/>
          <w:szCs w:val="24"/>
          <w:highlight w:val="none"/>
          <w:u w:val="single"/>
        </w:rPr>
        <w:t>称</w:t>
      </w:r>
      <w:r>
        <w:rPr>
          <w:rFonts w:hint="eastAsia" w:ascii="宋体" w:hAnsi="宋体" w:eastAsia="宋体" w:cs="宋体"/>
          <w:color w:val="auto"/>
          <w:sz w:val="40"/>
          <w:szCs w:val="24"/>
          <w:highlight w:val="none"/>
          <w:u w:val="single"/>
        </w:rPr>
        <w:t>）</w:t>
      </w:r>
      <w:r>
        <w:rPr>
          <w:rFonts w:hint="eastAsia" w:ascii="宋体" w:hAnsi="宋体" w:eastAsia="宋体" w:cs="宋体"/>
          <w:color w:val="auto"/>
          <w:sz w:val="40"/>
          <w:szCs w:val="24"/>
          <w:highlight w:val="none"/>
          <w:u w:val="single"/>
        </w:rPr>
        <w:tab/>
      </w:r>
      <w:r>
        <w:rPr>
          <w:rFonts w:hint="eastAsia" w:ascii="宋体" w:hAnsi="宋体" w:eastAsia="宋体" w:cs="宋体"/>
          <w:color w:val="auto"/>
          <w:spacing w:val="-1"/>
          <w:sz w:val="40"/>
          <w:szCs w:val="24"/>
          <w:highlight w:val="none"/>
        </w:rPr>
        <w:t>标</w:t>
      </w:r>
      <w:r>
        <w:rPr>
          <w:rFonts w:hint="eastAsia" w:ascii="宋体" w:hAnsi="宋体" w:eastAsia="宋体" w:cs="宋体"/>
          <w:color w:val="auto"/>
          <w:spacing w:val="-3"/>
          <w:sz w:val="40"/>
          <w:szCs w:val="24"/>
          <w:highlight w:val="none"/>
        </w:rPr>
        <w:t>段</w:t>
      </w:r>
      <w:r>
        <w:rPr>
          <w:rFonts w:hint="eastAsia" w:ascii="宋体" w:hAnsi="宋体" w:eastAsia="宋体" w:cs="宋体"/>
          <w:color w:val="auto"/>
          <w:spacing w:val="-1"/>
          <w:sz w:val="40"/>
          <w:szCs w:val="24"/>
          <w:highlight w:val="none"/>
        </w:rPr>
        <w:t>施工</w:t>
      </w:r>
      <w:r>
        <w:rPr>
          <w:rFonts w:hint="eastAsia" w:ascii="宋体" w:hAnsi="宋体" w:eastAsia="宋体" w:cs="宋体"/>
          <w:color w:val="auto"/>
          <w:spacing w:val="-3"/>
          <w:sz w:val="40"/>
          <w:szCs w:val="24"/>
          <w:highlight w:val="none"/>
        </w:rPr>
        <w:t>监</w:t>
      </w:r>
      <w:r>
        <w:rPr>
          <w:rFonts w:hint="eastAsia" w:ascii="宋体" w:hAnsi="宋体" w:eastAsia="宋体" w:cs="宋体"/>
          <w:color w:val="auto"/>
          <w:spacing w:val="-1"/>
          <w:sz w:val="40"/>
          <w:szCs w:val="24"/>
          <w:highlight w:val="none"/>
        </w:rPr>
        <w:t>理招</w:t>
      </w:r>
      <w:r>
        <w:rPr>
          <w:rFonts w:hint="eastAsia" w:ascii="宋体" w:hAnsi="宋体" w:eastAsia="宋体" w:cs="宋体"/>
          <w:color w:val="auto"/>
          <w:sz w:val="40"/>
          <w:szCs w:val="24"/>
          <w:highlight w:val="none"/>
        </w:rPr>
        <w:t>标</w:t>
      </w:r>
    </w:p>
    <w:p w14:paraId="167C9C0A">
      <w:pPr>
        <w:keepNext w:val="0"/>
        <w:keepLines w:val="0"/>
        <w:widowControl w:val="0"/>
        <w:kinsoku w:val="0"/>
        <w:overflowPunct w:val="0"/>
        <w:autoSpaceDE w:val="0"/>
        <w:autoSpaceDN w:val="0"/>
        <w:bidi w:val="0"/>
        <w:adjustRightInd w:val="0"/>
        <w:rPr>
          <w:rFonts w:hint="eastAsia" w:ascii="宋体" w:hAnsi="宋体" w:eastAsia="宋体" w:cs="宋体"/>
          <w:color w:val="auto"/>
          <w:sz w:val="40"/>
          <w:szCs w:val="24"/>
          <w:highlight w:val="none"/>
        </w:rPr>
      </w:pPr>
    </w:p>
    <w:p w14:paraId="1B9A6C9E">
      <w:pPr>
        <w:keepNext w:val="0"/>
        <w:keepLines w:val="0"/>
        <w:widowControl w:val="0"/>
        <w:kinsoku w:val="0"/>
        <w:overflowPunct w:val="0"/>
        <w:autoSpaceDE w:val="0"/>
        <w:autoSpaceDN w:val="0"/>
        <w:bidi w:val="0"/>
        <w:adjustRightInd w:val="0"/>
        <w:rPr>
          <w:rFonts w:hint="eastAsia" w:ascii="宋体" w:hAnsi="宋体" w:eastAsia="宋体" w:cs="宋体"/>
          <w:color w:val="auto"/>
          <w:sz w:val="40"/>
          <w:szCs w:val="24"/>
          <w:highlight w:val="none"/>
        </w:rPr>
      </w:pPr>
    </w:p>
    <w:p w14:paraId="161527EF">
      <w:pPr>
        <w:keepNext w:val="0"/>
        <w:keepLines w:val="0"/>
        <w:widowControl w:val="0"/>
        <w:kinsoku w:val="0"/>
        <w:overflowPunct w:val="0"/>
        <w:autoSpaceDE w:val="0"/>
        <w:autoSpaceDN w:val="0"/>
        <w:bidi w:val="0"/>
        <w:adjustRightInd w:val="0"/>
        <w:spacing w:before="7"/>
        <w:rPr>
          <w:rFonts w:hint="eastAsia" w:ascii="宋体" w:hAnsi="宋体" w:eastAsia="宋体" w:cs="宋体"/>
          <w:color w:val="auto"/>
          <w:sz w:val="51"/>
          <w:szCs w:val="24"/>
          <w:highlight w:val="none"/>
        </w:rPr>
      </w:pPr>
    </w:p>
    <w:p w14:paraId="1EA202A4">
      <w:pPr>
        <w:keepNext w:val="0"/>
        <w:keepLines w:val="0"/>
        <w:widowControl w:val="0"/>
        <w:tabs>
          <w:tab w:val="left" w:pos="888"/>
          <w:tab w:val="left" w:pos="1771"/>
          <w:tab w:val="left" w:pos="2654"/>
        </w:tabs>
        <w:kinsoku w:val="0"/>
        <w:overflowPunct w:val="0"/>
        <w:autoSpaceDE w:val="0"/>
        <w:autoSpaceDN w:val="0"/>
        <w:bidi w:val="0"/>
        <w:adjustRightInd w:val="0"/>
        <w:ind w:left="4"/>
        <w:jc w:val="center"/>
        <w:rPr>
          <w:rFonts w:hint="eastAsia" w:ascii="宋体" w:hAnsi="宋体" w:eastAsia="宋体" w:cs="宋体"/>
          <w:b/>
          <w:color w:val="auto"/>
          <w:sz w:val="44"/>
          <w:szCs w:val="24"/>
          <w:highlight w:val="none"/>
        </w:rPr>
      </w:pPr>
      <w:r>
        <w:rPr>
          <w:rFonts w:hint="eastAsia" w:ascii="宋体" w:hAnsi="宋体" w:eastAsia="宋体" w:cs="宋体"/>
          <w:b/>
          <w:color w:val="auto"/>
          <w:sz w:val="44"/>
          <w:szCs w:val="24"/>
          <w:highlight w:val="none"/>
        </w:rPr>
        <w:t>投</w:t>
      </w:r>
      <w:r>
        <w:rPr>
          <w:rFonts w:hint="eastAsia" w:ascii="宋体" w:hAnsi="宋体" w:eastAsia="宋体" w:cs="宋体"/>
          <w:b/>
          <w:color w:val="auto"/>
          <w:sz w:val="44"/>
          <w:szCs w:val="24"/>
          <w:highlight w:val="none"/>
        </w:rPr>
        <w:tab/>
      </w:r>
      <w:r>
        <w:rPr>
          <w:rFonts w:hint="eastAsia" w:ascii="宋体" w:hAnsi="宋体" w:eastAsia="宋体" w:cs="宋体"/>
          <w:b/>
          <w:color w:val="auto"/>
          <w:sz w:val="44"/>
          <w:szCs w:val="24"/>
          <w:highlight w:val="none"/>
        </w:rPr>
        <w:t>标</w:t>
      </w:r>
      <w:r>
        <w:rPr>
          <w:rFonts w:hint="eastAsia" w:ascii="宋体" w:hAnsi="宋体" w:eastAsia="宋体" w:cs="宋体"/>
          <w:b/>
          <w:color w:val="auto"/>
          <w:sz w:val="44"/>
          <w:szCs w:val="24"/>
          <w:highlight w:val="none"/>
        </w:rPr>
        <w:tab/>
      </w:r>
      <w:r>
        <w:rPr>
          <w:rFonts w:hint="eastAsia" w:ascii="宋体" w:hAnsi="宋体" w:eastAsia="宋体" w:cs="宋体"/>
          <w:b/>
          <w:color w:val="auto"/>
          <w:sz w:val="44"/>
          <w:szCs w:val="24"/>
          <w:highlight w:val="none"/>
        </w:rPr>
        <w:t>文</w:t>
      </w:r>
      <w:r>
        <w:rPr>
          <w:rFonts w:hint="eastAsia" w:ascii="宋体" w:hAnsi="宋体" w:eastAsia="宋体" w:cs="宋体"/>
          <w:b/>
          <w:color w:val="auto"/>
          <w:sz w:val="44"/>
          <w:szCs w:val="24"/>
          <w:highlight w:val="none"/>
        </w:rPr>
        <w:tab/>
      </w:r>
      <w:r>
        <w:rPr>
          <w:rFonts w:hint="eastAsia" w:ascii="宋体" w:hAnsi="宋体" w:eastAsia="宋体" w:cs="宋体"/>
          <w:b/>
          <w:color w:val="auto"/>
          <w:sz w:val="44"/>
          <w:szCs w:val="24"/>
          <w:highlight w:val="none"/>
        </w:rPr>
        <w:t>件</w:t>
      </w:r>
    </w:p>
    <w:p w14:paraId="13881B68">
      <w:pPr>
        <w:keepNext w:val="0"/>
        <w:keepLines w:val="0"/>
        <w:kinsoku w:val="0"/>
        <w:overflowPunct w:val="0"/>
        <w:bidi w:val="0"/>
        <w:ind w:left="184"/>
        <w:jc w:val="center"/>
        <w:rPr>
          <w:rFonts w:hint="eastAsia" w:ascii="宋体" w:hAnsi="宋体" w:eastAsia="宋体" w:cs="宋体"/>
          <w:color w:val="auto"/>
          <w:highlight w:val="none"/>
        </w:rPr>
      </w:pPr>
      <w:r>
        <w:rPr>
          <w:rFonts w:hint="eastAsia" w:ascii="宋体" w:hAnsi="宋体" w:eastAsia="宋体" w:cs="宋体"/>
          <w:b/>
          <w:color w:val="auto"/>
          <w:w w:val="95"/>
          <w:sz w:val="32"/>
          <w:szCs w:val="24"/>
          <w:highlight w:val="none"/>
        </w:rPr>
        <w:t>（报价文件）</w:t>
      </w:r>
    </w:p>
    <w:p w14:paraId="3789C6D1">
      <w:pPr>
        <w:keepNext w:val="0"/>
        <w:keepLines w:val="0"/>
        <w:widowControl w:val="0"/>
        <w:kinsoku w:val="0"/>
        <w:overflowPunct w:val="0"/>
        <w:autoSpaceDE w:val="0"/>
        <w:autoSpaceDN w:val="0"/>
        <w:bidi w:val="0"/>
        <w:adjustRightInd w:val="0"/>
        <w:spacing w:before="6" w:line="190" w:lineRule="exact"/>
        <w:jc w:val="left"/>
        <w:rPr>
          <w:rFonts w:hint="eastAsia" w:ascii="宋体" w:hAnsi="宋体" w:eastAsia="宋体" w:cs="宋体"/>
          <w:color w:val="auto"/>
          <w:sz w:val="19"/>
          <w:highlight w:val="none"/>
        </w:rPr>
      </w:pPr>
    </w:p>
    <w:p w14:paraId="3D39B71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71243B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A4A62D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5A2DD7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0EEABF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2CC433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CF05E2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C45D55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3C8B1F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73B763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D82EC4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5B4AD0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ED140D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D2BDB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FB99DB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CDF106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3015B5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EA8F7E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F8F2039">
      <w:pPr>
        <w:keepNext w:val="0"/>
        <w:keepLines w:val="0"/>
        <w:widowControl w:val="0"/>
        <w:tabs>
          <w:tab w:val="left" w:pos="6065"/>
        </w:tabs>
        <w:kinsoku w:val="0"/>
        <w:overflowPunct w:val="0"/>
        <w:autoSpaceDE w:val="0"/>
        <w:autoSpaceDN w:val="0"/>
        <w:bidi w:val="0"/>
        <w:adjustRightInd w:val="0"/>
        <w:ind w:left="184"/>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rPr>
        <w:t>投标人：</w:t>
      </w:r>
      <w:r>
        <w:rPr>
          <w:rFonts w:hint="eastAsia" w:ascii="宋体" w:hAnsi="宋体" w:eastAsia="宋体" w:cs="宋体"/>
          <w:color w:val="auto"/>
          <w:sz w:val="28"/>
          <w:highlight w:val="none"/>
          <w:u w:val="single"/>
        </w:rPr>
        <w:tab/>
      </w:r>
      <w:r>
        <w:rPr>
          <w:rFonts w:hint="eastAsia" w:ascii="宋体" w:hAnsi="宋体" w:eastAsia="宋体" w:cs="宋体"/>
          <w:color w:val="auto"/>
          <w:sz w:val="28"/>
          <w:highlight w:val="none"/>
        </w:rPr>
        <w:t>(盖单位章)</w:t>
      </w:r>
    </w:p>
    <w:p w14:paraId="38B0DFF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2465D94">
      <w:pPr>
        <w:keepNext w:val="0"/>
        <w:keepLines w:val="0"/>
        <w:widowControl w:val="0"/>
        <w:kinsoku w:val="0"/>
        <w:overflowPunct w:val="0"/>
        <w:autoSpaceDE w:val="0"/>
        <w:autoSpaceDN w:val="0"/>
        <w:bidi w:val="0"/>
        <w:adjustRightInd w:val="0"/>
        <w:spacing w:before="17" w:line="260" w:lineRule="exact"/>
        <w:jc w:val="left"/>
        <w:rPr>
          <w:rFonts w:hint="eastAsia" w:ascii="宋体" w:hAnsi="宋体" w:eastAsia="宋体" w:cs="宋体"/>
          <w:color w:val="auto"/>
          <w:sz w:val="26"/>
          <w:highlight w:val="none"/>
        </w:rPr>
      </w:pPr>
    </w:p>
    <w:p w14:paraId="050D70FA">
      <w:pPr>
        <w:keepNext w:val="0"/>
        <w:keepLines w:val="0"/>
        <w:widowControl w:val="0"/>
        <w:tabs>
          <w:tab w:val="left" w:pos="3461"/>
          <w:tab w:val="left" w:pos="4863"/>
          <w:tab w:val="left" w:pos="6402"/>
        </w:tabs>
        <w:kinsoku w:val="0"/>
        <w:overflowPunct w:val="0"/>
        <w:autoSpaceDE w:val="0"/>
        <w:autoSpaceDN w:val="0"/>
        <w:bidi w:val="0"/>
        <w:adjustRightInd w:val="0"/>
        <w:spacing w:line="381" w:lineRule="exact"/>
        <w:ind w:left="2342"/>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u w:val="single"/>
        </w:rPr>
        <w:tab/>
      </w:r>
      <w:bookmarkStart w:id="664" w:name="_Toc19847_WPSOffice_Level2"/>
      <w:r>
        <w:rPr>
          <w:rFonts w:hint="eastAsia" w:ascii="宋体" w:hAnsi="宋体" w:eastAsia="宋体" w:cs="宋体"/>
          <w:color w:val="auto"/>
          <w:spacing w:val="2"/>
          <w:sz w:val="28"/>
          <w:highlight w:val="none"/>
        </w:rPr>
        <w:t>年</w:t>
      </w:r>
      <w:r>
        <w:rPr>
          <w:rFonts w:hint="eastAsia" w:ascii="宋体" w:hAnsi="宋体" w:eastAsia="宋体" w:cs="宋体"/>
          <w:color w:val="auto"/>
          <w:spacing w:val="2"/>
          <w:sz w:val="28"/>
          <w:highlight w:val="none"/>
          <w:u w:val="single"/>
        </w:rPr>
        <w:tab/>
      </w:r>
      <w:r>
        <w:rPr>
          <w:rFonts w:hint="eastAsia" w:ascii="宋体" w:hAnsi="宋体" w:eastAsia="宋体" w:cs="宋体"/>
          <w:color w:val="auto"/>
          <w:spacing w:val="2"/>
          <w:sz w:val="28"/>
          <w:highlight w:val="none"/>
        </w:rPr>
        <w:t>月</w:t>
      </w:r>
      <w:r>
        <w:rPr>
          <w:rFonts w:hint="eastAsia" w:ascii="宋体" w:hAnsi="宋体" w:eastAsia="宋体" w:cs="宋体"/>
          <w:color w:val="auto"/>
          <w:spacing w:val="2"/>
          <w:sz w:val="28"/>
          <w:highlight w:val="none"/>
          <w:u w:val="single"/>
        </w:rPr>
        <w:tab/>
      </w:r>
      <w:r>
        <w:rPr>
          <w:rFonts w:hint="eastAsia" w:ascii="宋体" w:hAnsi="宋体" w:eastAsia="宋体" w:cs="宋体"/>
          <w:color w:val="auto"/>
          <w:sz w:val="28"/>
          <w:highlight w:val="none"/>
        </w:rPr>
        <w:t>日</w:t>
      </w:r>
      <w:bookmarkEnd w:id="664"/>
    </w:p>
    <w:p w14:paraId="420B2A30">
      <w:pPr>
        <w:keepNext w:val="0"/>
        <w:keepLines w:val="0"/>
        <w:widowControl w:val="0"/>
        <w:tabs>
          <w:tab w:val="left" w:pos="3461"/>
          <w:tab w:val="left" w:pos="4863"/>
          <w:tab w:val="left" w:pos="6402"/>
        </w:tabs>
        <w:kinsoku w:val="0"/>
        <w:overflowPunct w:val="0"/>
        <w:autoSpaceDE w:val="0"/>
        <w:autoSpaceDN w:val="0"/>
        <w:bidi w:val="0"/>
        <w:adjustRightInd w:val="0"/>
        <w:spacing w:line="381" w:lineRule="exact"/>
        <w:ind w:left="2342"/>
        <w:jc w:val="left"/>
        <w:rPr>
          <w:rFonts w:hint="eastAsia" w:ascii="宋体" w:hAnsi="宋体" w:eastAsia="宋体" w:cs="宋体"/>
          <w:color w:val="auto"/>
          <w:sz w:val="28"/>
          <w:highlight w:val="none"/>
        </w:rPr>
        <w:sectPr>
          <w:pgSz w:w="11907" w:h="16838"/>
          <w:pgMar w:top="1134" w:right="1134" w:bottom="1134" w:left="1134" w:header="882" w:footer="1219" w:gutter="0"/>
          <w:lnNumType w:countBy="0" w:distance="360"/>
          <w:cols w:space="720" w:num="1"/>
        </w:sectPr>
      </w:pPr>
    </w:p>
    <w:p w14:paraId="20F1A20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04F4A7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54572B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50B884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6BEA41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DF195DB">
      <w:pPr>
        <w:keepNext w:val="0"/>
        <w:keepLines w:val="0"/>
        <w:widowControl w:val="0"/>
        <w:kinsoku w:val="0"/>
        <w:overflowPunct w:val="0"/>
        <w:autoSpaceDE w:val="0"/>
        <w:autoSpaceDN w:val="0"/>
        <w:bidi w:val="0"/>
        <w:adjustRightInd w:val="0"/>
        <w:spacing w:before="7" w:line="260" w:lineRule="exact"/>
        <w:jc w:val="left"/>
        <w:rPr>
          <w:rFonts w:hint="eastAsia" w:ascii="宋体" w:hAnsi="宋体" w:eastAsia="宋体" w:cs="宋体"/>
          <w:color w:val="auto"/>
          <w:sz w:val="26"/>
          <w:highlight w:val="none"/>
        </w:rPr>
      </w:pPr>
    </w:p>
    <w:p w14:paraId="2536DC5F">
      <w:pPr>
        <w:keepNext w:val="0"/>
        <w:keepLines w:val="0"/>
        <w:widowControl w:val="0"/>
        <w:tabs>
          <w:tab w:val="left" w:pos="781"/>
        </w:tabs>
        <w:kinsoku w:val="0"/>
        <w:overflowPunct w:val="0"/>
        <w:autoSpaceDE w:val="0"/>
        <w:autoSpaceDN w:val="0"/>
        <w:bidi w:val="0"/>
        <w:adjustRightInd w:val="0"/>
        <w:spacing w:line="400" w:lineRule="exact"/>
        <w:ind w:left="182"/>
        <w:jc w:val="center"/>
        <w:rPr>
          <w:rFonts w:hint="eastAsia" w:ascii="宋体" w:hAnsi="宋体" w:eastAsia="宋体" w:cs="宋体"/>
          <w:color w:val="auto"/>
          <w:sz w:val="30"/>
          <w:highlight w:val="none"/>
        </w:rPr>
      </w:pPr>
      <w:bookmarkStart w:id="665" w:name="bookmark149"/>
      <w:bookmarkEnd w:id="665"/>
      <w:bookmarkStart w:id="666" w:name="_Toc3915_WPSOffice_Level2"/>
      <w:r>
        <w:rPr>
          <w:rFonts w:hint="eastAsia" w:ascii="宋体" w:hAnsi="宋体" w:eastAsia="宋体" w:cs="宋体"/>
          <w:color w:val="auto"/>
          <w:sz w:val="30"/>
          <w:highlight w:val="none"/>
        </w:rPr>
        <w:t>目</w:t>
      </w:r>
      <w:r>
        <w:rPr>
          <w:rFonts w:hint="eastAsia" w:ascii="宋体" w:hAnsi="宋体" w:eastAsia="宋体" w:cs="宋体"/>
          <w:color w:val="auto"/>
          <w:sz w:val="30"/>
          <w:highlight w:val="none"/>
        </w:rPr>
        <w:tab/>
      </w:r>
      <w:r>
        <w:rPr>
          <w:rFonts w:hint="eastAsia" w:ascii="宋体" w:hAnsi="宋体" w:eastAsia="宋体" w:cs="宋体"/>
          <w:color w:val="auto"/>
          <w:sz w:val="30"/>
          <w:highlight w:val="none"/>
        </w:rPr>
        <w:t>录</w:t>
      </w:r>
      <w:bookmarkEnd w:id="666"/>
    </w:p>
    <w:p w14:paraId="000BE5E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F3985B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EA6067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3EDE11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932632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06DDF76">
      <w:pPr>
        <w:keepNext w:val="0"/>
        <w:keepLines w:val="0"/>
        <w:widowControl w:val="0"/>
        <w:kinsoku w:val="0"/>
        <w:overflowPunct w:val="0"/>
        <w:autoSpaceDE w:val="0"/>
        <w:autoSpaceDN w:val="0"/>
        <w:bidi w:val="0"/>
        <w:adjustRightInd w:val="0"/>
        <w:spacing w:before="3" w:line="200" w:lineRule="exact"/>
        <w:jc w:val="left"/>
        <w:rPr>
          <w:rFonts w:hint="eastAsia" w:ascii="宋体" w:hAnsi="宋体" w:eastAsia="宋体" w:cs="宋体"/>
          <w:color w:val="auto"/>
          <w:sz w:val="20"/>
          <w:highlight w:val="none"/>
        </w:rPr>
      </w:pPr>
    </w:p>
    <w:p w14:paraId="760150D9">
      <w:pPr>
        <w:keepNext w:val="0"/>
        <w:keepLines w:val="0"/>
        <w:widowControl w:val="0"/>
        <w:numPr>
          <w:ilvl w:val="0"/>
          <w:numId w:val="10"/>
        </w:numPr>
        <w:kinsoku w:val="0"/>
        <w:overflowPunct w:val="0"/>
        <w:autoSpaceDE w:val="0"/>
        <w:autoSpaceDN w:val="0"/>
        <w:bidi w:val="0"/>
        <w:adjustRightInd w:val="0"/>
        <w:spacing w:line="381" w:lineRule="exact"/>
        <w:ind w:left="1423"/>
        <w:jc w:val="left"/>
        <w:rPr>
          <w:rFonts w:hint="eastAsia" w:ascii="宋体" w:hAnsi="宋体" w:eastAsia="宋体" w:cs="宋体"/>
          <w:color w:val="auto"/>
          <w:sz w:val="28"/>
          <w:highlight w:val="none"/>
        </w:rPr>
      </w:pPr>
      <w:bookmarkStart w:id="667" w:name="_Toc25735_WPSOffice_Level1"/>
      <w:r>
        <w:rPr>
          <w:rFonts w:hint="eastAsia" w:ascii="宋体" w:hAnsi="宋体" w:eastAsia="宋体" w:cs="宋体"/>
          <w:color w:val="auto"/>
          <w:sz w:val="28"/>
          <w:highlight w:val="none"/>
        </w:rPr>
        <w:t>投</w:t>
      </w:r>
      <w:r>
        <w:rPr>
          <w:rFonts w:hint="eastAsia" w:ascii="宋体" w:hAnsi="宋体" w:eastAsia="宋体" w:cs="宋体"/>
          <w:color w:val="auto"/>
          <w:spacing w:val="-2"/>
          <w:sz w:val="28"/>
          <w:highlight w:val="none"/>
        </w:rPr>
        <w:t>标</w:t>
      </w:r>
      <w:r>
        <w:rPr>
          <w:rFonts w:hint="eastAsia" w:ascii="宋体" w:hAnsi="宋体" w:eastAsia="宋体" w:cs="宋体"/>
          <w:color w:val="auto"/>
          <w:sz w:val="28"/>
          <w:highlight w:val="none"/>
        </w:rPr>
        <w:t>函</w:t>
      </w:r>
      <w:bookmarkEnd w:id="667"/>
    </w:p>
    <w:p w14:paraId="6E8F2C0C">
      <w:pPr>
        <w:keepNext w:val="0"/>
        <w:keepLines w:val="0"/>
        <w:widowControl w:val="0"/>
        <w:numPr>
          <w:ilvl w:val="0"/>
          <w:numId w:val="10"/>
        </w:numPr>
        <w:kinsoku w:val="0"/>
        <w:overflowPunct w:val="0"/>
        <w:autoSpaceDE w:val="0"/>
        <w:autoSpaceDN w:val="0"/>
        <w:bidi w:val="0"/>
        <w:adjustRightInd w:val="0"/>
        <w:spacing w:line="381" w:lineRule="exact"/>
        <w:ind w:left="1423"/>
        <w:jc w:val="left"/>
        <w:rPr>
          <w:rFonts w:hint="eastAsia" w:ascii="宋体" w:hAnsi="宋体" w:eastAsia="宋体" w:cs="宋体"/>
          <w:color w:val="auto"/>
          <w:spacing w:val="-2"/>
          <w:sz w:val="28"/>
          <w:highlight w:val="none"/>
        </w:rPr>
      </w:pPr>
      <w:r>
        <w:rPr>
          <w:rFonts w:hint="eastAsia" w:ascii="宋体" w:hAnsi="宋体" w:eastAsia="宋体" w:cs="宋体"/>
          <w:color w:val="auto"/>
          <w:spacing w:val="-2"/>
          <w:sz w:val="28"/>
          <w:highlight w:val="none"/>
        </w:rPr>
        <w:t>监理服务费用清单</w:t>
      </w:r>
    </w:p>
    <w:p w14:paraId="55A9426F">
      <w:pPr>
        <w:keepNext w:val="0"/>
        <w:keepLines w:val="0"/>
        <w:bidi w:val="0"/>
        <w:rPr>
          <w:rFonts w:hint="eastAsia" w:ascii="宋体" w:hAnsi="宋体" w:eastAsia="宋体" w:cs="宋体"/>
          <w:color w:val="auto"/>
          <w:highlight w:val="none"/>
        </w:rPr>
      </w:pPr>
    </w:p>
    <w:p w14:paraId="06859D7F">
      <w:pPr>
        <w:keepNext w:val="0"/>
        <w:keepLines w:val="0"/>
        <w:bidi w:val="0"/>
        <w:rPr>
          <w:rFonts w:hint="eastAsia" w:ascii="宋体" w:hAnsi="宋体" w:eastAsia="宋体" w:cs="宋体"/>
          <w:color w:val="auto"/>
          <w:highlight w:val="none"/>
        </w:rPr>
      </w:pPr>
    </w:p>
    <w:p w14:paraId="7776FCD9">
      <w:pPr>
        <w:pStyle w:val="6"/>
        <w:keepNext w:val="0"/>
        <w:keepLines w:val="0"/>
        <w:bidi w:val="0"/>
        <w:rPr>
          <w:rFonts w:hint="eastAsia" w:ascii="宋体" w:hAnsi="宋体" w:eastAsia="宋体" w:cs="宋体"/>
          <w:color w:val="auto"/>
          <w:highlight w:val="none"/>
        </w:rPr>
      </w:pPr>
    </w:p>
    <w:p w14:paraId="22C33E01">
      <w:pPr>
        <w:keepNext w:val="0"/>
        <w:keepLines w:val="0"/>
        <w:bidi w:val="0"/>
        <w:rPr>
          <w:rFonts w:hint="eastAsia" w:ascii="宋体" w:hAnsi="宋体" w:eastAsia="宋体" w:cs="宋体"/>
          <w:color w:val="auto"/>
          <w:highlight w:val="none"/>
        </w:rPr>
      </w:pPr>
    </w:p>
    <w:p w14:paraId="2A2E51DB">
      <w:pPr>
        <w:pStyle w:val="6"/>
        <w:keepNext w:val="0"/>
        <w:keepLines w:val="0"/>
        <w:bidi w:val="0"/>
        <w:rPr>
          <w:rFonts w:hint="eastAsia" w:ascii="宋体" w:hAnsi="宋体" w:eastAsia="宋体" w:cs="宋体"/>
          <w:color w:val="auto"/>
          <w:highlight w:val="none"/>
        </w:rPr>
      </w:pPr>
    </w:p>
    <w:p w14:paraId="33BC89CA">
      <w:pPr>
        <w:keepNext w:val="0"/>
        <w:keepLines w:val="0"/>
        <w:bidi w:val="0"/>
        <w:rPr>
          <w:rFonts w:hint="eastAsia" w:ascii="宋体" w:hAnsi="宋体" w:eastAsia="宋体" w:cs="宋体"/>
          <w:color w:val="auto"/>
          <w:highlight w:val="none"/>
        </w:rPr>
      </w:pPr>
    </w:p>
    <w:p w14:paraId="6B29E64D">
      <w:pPr>
        <w:pStyle w:val="6"/>
        <w:keepNext w:val="0"/>
        <w:keepLines w:val="0"/>
        <w:bidi w:val="0"/>
        <w:rPr>
          <w:rFonts w:hint="eastAsia" w:ascii="宋体" w:hAnsi="宋体" w:eastAsia="宋体" w:cs="宋体"/>
          <w:color w:val="auto"/>
          <w:highlight w:val="none"/>
        </w:rPr>
      </w:pPr>
    </w:p>
    <w:p w14:paraId="7F323EBE">
      <w:pPr>
        <w:keepNext w:val="0"/>
        <w:keepLines w:val="0"/>
        <w:bidi w:val="0"/>
        <w:rPr>
          <w:rFonts w:hint="eastAsia" w:ascii="宋体" w:hAnsi="宋体" w:eastAsia="宋体" w:cs="宋体"/>
          <w:color w:val="auto"/>
          <w:highlight w:val="none"/>
        </w:rPr>
      </w:pPr>
    </w:p>
    <w:p w14:paraId="2F92E9D4">
      <w:pPr>
        <w:pStyle w:val="6"/>
        <w:keepNext w:val="0"/>
        <w:keepLines w:val="0"/>
        <w:bidi w:val="0"/>
        <w:rPr>
          <w:rFonts w:hint="eastAsia" w:ascii="宋体" w:hAnsi="宋体" w:eastAsia="宋体" w:cs="宋体"/>
          <w:color w:val="auto"/>
          <w:highlight w:val="none"/>
        </w:rPr>
      </w:pPr>
    </w:p>
    <w:p w14:paraId="44AEF4A7">
      <w:pPr>
        <w:keepNext w:val="0"/>
        <w:keepLines w:val="0"/>
        <w:bidi w:val="0"/>
        <w:rPr>
          <w:rFonts w:hint="eastAsia" w:ascii="宋体" w:hAnsi="宋体" w:eastAsia="宋体" w:cs="宋体"/>
          <w:color w:val="auto"/>
          <w:highlight w:val="none"/>
        </w:rPr>
      </w:pPr>
    </w:p>
    <w:p w14:paraId="5BE34D28">
      <w:pPr>
        <w:pStyle w:val="6"/>
        <w:keepNext w:val="0"/>
        <w:keepLines w:val="0"/>
        <w:bidi w:val="0"/>
        <w:rPr>
          <w:rFonts w:hint="eastAsia" w:ascii="宋体" w:hAnsi="宋体" w:eastAsia="宋体" w:cs="宋体"/>
          <w:color w:val="auto"/>
          <w:highlight w:val="none"/>
        </w:rPr>
      </w:pPr>
    </w:p>
    <w:p w14:paraId="5743CFD5">
      <w:pPr>
        <w:keepNext w:val="0"/>
        <w:keepLines w:val="0"/>
        <w:bidi w:val="0"/>
        <w:rPr>
          <w:rFonts w:hint="eastAsia" w:ascii="宋体" w:hAnsi="宋体" w:eastAsia="宋体" w:cs="宋体"/>
          <w:color w:val="auto"/>
          <w:highlight w:val="none"/>
        </w:rPr>
      </w:pPr>
    </w:p>
    <w:p w14:paraId="5C39E653">
      <w:pPr>
        <w:pStyle w:val="6"/>
        <w:keepNext w:val="0"/>
        <w:keepLines w:val="0"/>
        <w:bidi w:val="0"/>
        <w:rPr>
          <w:rFonts w:hint="eastAsia" w:ascii="宋体" w:hAnsi="宋体" w:eastAsia="宋体" w:cs="宋体"/>
          <w:color w:val="auto"/>
          <w:highlight w:val="none"/>
        </w:rPr>
      </w:pPr>
    </w:p>
    <w:p w14:paraId="324D9D00">
      <w:pPr>
        <w:keepNext w:val="0"/>
        <w:keepLines w:val="0"/>
        <w:bidi w:val="0"/>
        <w:rPr>
          <w:rFonts w:hint="eastAsia" w:ascii="宋体" w:hAnsi="宋体" w:eastAsia="宋体" w:cs="宋体"/>
          <w:color w:val="auto"/>
          <w:highlight w:val="none"/>
        </w:rPr>
      </w:pPr>
    </w:p>
    <w:p w14:paraId="42A0319B">
      <w:pPr>
        <w:pStyle w:val="6"/>
        <w:keepNext w:val="0"/>
        <w:keepLines w:val="0"/>
        <w:bidi w:val="0"/>
        <w:rPr>
          <w:rFonts w:hint="eastAsia" w:ascii="宋体" w:hAnsi="宋体" w:eastAsia="宋体" w:cs="宋体"/>
          <w:color w:val="auto"/>
          <w:highlight w:val="none"/>
        </w:rPr>
      </w:pPr>
    </w:p>
    <w:p w14:paraId="040E824A">
      <w:pPr>
        <w:keepNext w:val="0"/>
        <w:keepLines w:val="0"/>
        <w:bidi w:val="0"/>
        <w:rPr>
          <w:rFonts w:hint="eastAsia" w:ascii="宋体" w:hAnsi="宋体" w:eastAsia="宋体" w:cs="宋体"/>
          <w:color w:val="auto"/>
          <w:highlight w:val="none"/>
        </w:rPr>
      </w:pPr>
    </w:p>
    <w:p w14:paraId="2078018E">
      <w:pPr>
        <w:pStyle w:val="6"/>
        <w:keepNext w:val="0"/>
        <w:keepLines w:val="0"/>
        <w:bidi w:val="0"/>
        <w:rPr>
          <w:rFonts w:hint="eastAsia" w:ascii="宋体" w:hAnsi="宋体" w:eastAsia="宋体" w:cs="宋体"/>
          <w:color w:val="auto"/>
          <w:highlight w:val="none"/>
        </w:rPr>
      </w:pPr>
    </w:p>
    <w:p w14:paraId="019E255F">
      <w:pPr>
        <w:keepNext w:val="0"/>
        <w:keepLines w:val="0"/>
        <w:bidi w:val="0"/>
        <w:rPr>
          <w:rFonts w:hint="eastAsia" w:ascii="宋体" w:hAnsi="宋体" w:eastAsia="宋体" w:cs="宋体"/>
          <w:color w:val="auto"/>
          <w:highlight w:val="none"/>
        </w:rPr>
      </w:pPr>
    </w:p>
    <w:p w14:paraId="76BDB311">
      <w:pPr>
        <w:pStyle w:val="6"/>
        <w:keepNext w:val="0"/>
        <w:keepLines w:val="0"/>
        <w:bidi w:val="0"/>
        <w:rPr>
          <w:rFonts w:hint="eastAsia" w:ascii="宋体" w:hAnsi="宋体" w:eastAsia="宋体" w:cs="宋体"/>
          <w:color w:val="auto"/>
          <w:highlight w:val="none"/>
        </w:rPr>
      </w:pPr>
    </w:p>
    <w:p w14:paraId="2CBC76C4">
      <w:pPr>
        <w:keepNext w:val="0"/>
        <w:keepLines w:val="0"/>
        <w:bidi w:val="0"/>
        <w:rPr>
          <w:rFonts w:hint="eastAsia" w:ascii="宋体" w:hAnsi="宋体" w:eastAsia="宋体" w:cs="宋体"/>
          <w:color w:val="auto"/>
          <w:highlight w:val="none"/>
        </w:rPr>
      </w:pPr>
    </w:p>
    <w:p w14:paraId="323D4707">
      <w:pPr>
        <w:pStyle w:val="6"/>
        <w:keepNext w:val="0"/>
        <w:keepLines w:val="0"/>
        <w:bidi w:val="0"/>
        <w:rPr>
          <w:rFonts w:hint="eastAsia" w:ascii="宋体" w:hAnsi="宋体" w:eastAsia="宋体" w:cs="宋体"/>
          <w:color w:val="auto"/>
          <w:highlight w:val="none"/>
        </w:rPr>
      </w:pPr>
    </w:p>
    <w:p w14:paraId="3F62CB2F">
      <w:pPr>
        <w:keepNext w:val="0"/>
        <w:keepLines w:val="0"/>
        <w:bidi w:val="0"/>
        <w:rPr>
          <w:rFonts w:hint="eastAsia" w:ascii="宋体" w:hAnsi="宋体" w:eastAsia="宋体" w:cs="宋体"/>
          <w:color w:val="auto"/>
          <w:highlight w:val="none"/>
        </w:rPr>
      </w:pPr>
    </w:p>
    <w:p w14:paraId="4EE093D0">
      <w:pPr>
        <w:pStyle w:val="6"/>
        <w:keepNext w:val="0"/>
        <w:keepLines w:val="0"/>
        <w:bidi w:val="0"/>
        <w:rPr>
          <w:rFonts w:hint="eastAsia" w:ascii="宋体" w:hAnsi="宋体" w:eastAsia="宋体" w:cs="宋体"/>
          <w:color w:val="auto"/>
          <w:highlight w:val="none"/>
        </w:rPr>
      </w:pPr>
    </w:p>
    <w:p w14:paraId="07907056">
      <w:pPr>
        <w:keepNext w:val="0"/>
        <w:keepLines w:val="0"/>
        <w:bidi w:val="0"/>
        <w:rPr>
          <w:rFonts w:hint="eastAsia" w:ascii="宋体" w:hAnsi="宋体" w:eastAsia="宋体" w:cs="宋体"/>
          <w:color w:val="auto"/>
          <w:highlight w:val="none"/>
        </w:rPr>
      </w:pPr>
    </w:p>
    <w:p w14:paraId="4CB89506">
      <w:pPr>
        <w:pStyle w:val="6"/>
        <w:keepNext w:val="0"/>
        <w:keepLines w:val="0"/>
        <w:bidi w:val="0"/>
        <w:rPr>
          <w:rFonts w:hint="eastAsia" w:ascii="宋体" w:hAnsi="宋体" w:eastAsia="宋体" w:cs="宋体"/>
          <w:color w:val="auto"/>
          <w:highlight w:val="none"/>
        </w:rPr>
      </w:pPr>
    </w:p>
    <w:p w14:paraId="4AEA5BE1">
      <w:pPr>
        <w:keepNext w:val="0"/>
        <w:keepLines w:val="0"/>
        <w:bidi w:val="0"/>
        <w:rPr>
          <w:rFonts w:hint="eastAsia" w:ascii="宋体" w:hAnsi="宋体" w:eastAsia="宋体" w:cs="宋体"/>
          <w:color w:val="auto"/>
          <w:highlight w:val="none"/>
        </w:rPr>
      </w:pPr>
    </w:p>
    <w:p w14:paraId="6A807F52">
      <w:pPr>
        <w:pStyle w:val="6"/>
        <w:keepNext w:val="0"/>
        <w:keepLines w:val="0"/>
        <w:bidi w:val="0"/>
        <w:rPr>
          <w:rFonts w:hint="eastAsia" w:ascii="宋体" w:hAnsi="宋体" w:eastAsia="宋体" w:cs="宋体"/>
          <w:color w:val="auto"/>
          <w:highlight w:val="none"/>
        </w:rPr>
      </w:pPr>
    </w:p>
    <w:p w14:paraId="5F14645B">
      <w:pPr>
        <w:keepNext w:val="0"/>
        <w:keepLines w:val="0"/>
        <w:bidi w:val="0"/>
        <w:rPr>
          <w:rFonts w:hint="eastAsia" w:ascii="宋体" w:hAnsi="宋体" w:eastAsia="宋体" w:cs="宋体"/>
          <w:color w:val="auto"/>
          <w:highlight w:val="none"/>
        </w:rPr>
      </w:pPr>
    </w:p>
    <w:p w14:paraId="443D4475">
      <w:pPr>
        <w:pStyle w:val="6"/>
        <w:keepNext w:val="0"/>
        <w:keepLines w:val="0"/>
        <w:bidi w:val="0"/>
        <w:rPr>
          <w:rFonts w:hint="eastAsia" w:ascii="宋体" w:hAnsi="宋体" w:eastAsia="宋体" w:cs="宋体"/>
          <w:color w:val="auto"/>
          <w:highlight w:val="none"/>
        </w:rPr>
      </w:pPr>
    </w:p>
    <w:p w14:paraId="65408DF5">
      <w:pPr>
        <w:keepNext w:val="0"/>
        <w:keepLines w:val="0"/>
        <w:bidi w:val="0"/>
        <w:rPr>
          <w:rFonts w:hint="eastAsia" w:ascii="宋体" w:hAnsi="宋体" w:eastAsia="宋体" w:cs="宋体"/>
          <w:color w:val="auto"/>
          <w:highlight w:val="none"/>
        </w:rPr>
      </w:pPr>
    </w:p>
    <w:p w14:paraId="60DD1A21">
      <w:pPr>
        <w:pStyle w:val="6"/>
        <w:keepNext w:val="0"/>
        <w:keepLines w:val="0"/>
        <w:bidi w:val="0"/>
        <w:rPr>
          <w:rFonts w:hint="eastAsia" w:ascii="宋体" w:hAnsi="宋体" w:eastAsia="宋体" w:cs="宋体"/>
          <w:color w:val="auto"/>
          <w:highlight w:val="none"/>
        </w:rPr>
      </w:pPr>
    </w:p>
    <w:p w14:paraId="54A76A95">
      <w:pPr>
        <w:keepNext w:val="0"/>
        <w:keepLines w:val="0"/>
        <w:bidi w:val="0"/>
        <w:rPr>
          <w:rFonts w:hint="eastAsia" w:ascii="宋体" w:hAnsi="宋体" w:eastAsia="宋体" w:cs="宋体"/>
          <w:color w:val="auto"/>
          <w:highlight w:val="none"/>
        </w:rPr>
      </w:pPr>
    </w:p>
    <w:p w14:paraId="5A9D2D6E">
      <w:pPr>
        <w:keepNext w:val="0"/>
        <w:keepLines w:val="0"/>
        <w:widowControl w:val="0"/>
        <w:kinsoku w:val="0"/>
        <w:overflowPunct w:val="0"/>
        <w:autoSpaceDE w:val="0"/>
        <w:autoSpaceDN w:val="0"/>
        <w:bidi w:val="0"/>
        <w:adjustRightInd w:val="0"/>
        <w:spacing w:before="5" w:line="280" w:lineRule="exact"/>
        <w:jc w:val="left"/>
        <w:rPr>
          <w:rFonts w:hint="eastAsia" w:ascii="宋体" w:hAnsi="宋体" w:eastAsia="宋体" w:cs="宋体"/>
          <w:color w:val="auto"/>
          <w:sz w:val="28"/>
          <w:highlight w:val="none"/>
        </w:rPr>
      </w:pPr>
    </w:p>
    <w:p w14:paraId="573D66E2">
      <w:pPr>
        <w:keepNext w:val="0"/>
        <w:keepLines w:val="0"/>
        <w:pageBreakBefore/>
        <w:bidi w:val="0"/>
        <w:spacing w:before="120" w:beforeLines="50" w:after="120" w:afterLines="50"/>
        <w:jc w:val="center"/>
        <w:outlineLvl w:val="9"/>
        <w:rPr>
          <w:rFonts w:hint="eastAsia" w:ascii="宋体" w:hAnsi="宋体" w:eastAsia="宋体" w:cs="宋体"/>
          <w:b/>
          <w:bCs/>
          <w:color w:val="auto"/>
          <w:kern w:val="21"/>
          <w:sz w:val="32"/>
          <w:szCs w:val="32"/>
          <w:highlight w:val="none"/>
        </w:rPr>
      </w:pPr>
      <w:bookmarkStart w:id="668" w:name="_Toc21437"/>
      <w:bookmarkStart w:id="669" w:name="_Toc503235857"/>
      <w:bookmarkStart w:id="670" w:name="_Toc18813"/>
      <w:bookmarkStart w:id="671" w:name="_Toc2957"/>
      <w:bookmarkStart w:id="672" w:name="_Toc17012"/>
      <w:bookmarkStart w:id="673" w:name="_Toc31092"/>
      <w:bookmarkStart w:id="674" w:name="_Toc530040880"/>
      <w:r>
        <w:rPr>
          <w:rFonts w:hint="eastAsia" w:ascii="宋体" w:hAnsi="宋体" w:eastAsia="宋体" w:cs="宋体"/>
          <w:b/>
          <w:bCs/>
          <w:color w:val="auto"/>
          <w:kern w:val="21"/>
          <w:sz w:val="32"/>
          <w:szCs w:val="32"/>
          <w:highlight w:val="none"/>
        </w:rPr>
        <w:t>一、投标函</w:t>
      </w:r>
      <w:bookmarkEnd w:id="668"/>
      <w:bookmarkEnd w:id="669"/>
      <w:bookmarkEnd w:id="670"/>
      <w:bookmarkEnd w:id="671"/>
      <w:bookmarkEnd w:id="672"/>
      <w:bookmarkEnd w:id="673"/>
      <w:bookmarkEnd w:id="674"/>
    </w:p>
    <w:p w14:paraId="153B93BB">
      <w:pPr>
        <w:keepNext w:val="0"/>
        <w:keepLines w:val="0"/>
        <w:widowControl w:val="0"/>
        <w:tabs>
          <w:tab w:val="left" w:pos="3867"/>
          <w:tab w:val="left" w:pos="4903"/>
          <w:tab w:val="left" w:pos="4954"/>
          <w:tab w:val="left" w:pos="7483"/>
        </w:tabs>
        <w:kinsoku w:val="0"/>
        <w:overflowPunct w:val="0"/>
        <w:autoSpaceDE w:val="0"/>
        <w:autoSpaceDN w:val="0"/>
        <w:bidi w:val="0"/>
        <w:adjustRightInd w:val="0"/>
        <w:spacing w:before="206" w:line="307" w:lineRule="auto"/>
        <w:ind w:left="115" w:right="116"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（招标人名称）：</w:t>
      </w:r>
    </w:p>
    <w:p w14:paraId="3E217F36">
      <w:pPr>
        <w:keepNext w:val="0"/>
        <w:keepLines w:val="0"/>
        <w:bidi w:val="0"/>
        <w:spacing w:before="232" w:line="303" w:lineRule="auto"/>
        <w:ind w:left="9" w:firstLine="496"/>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1．我方已仔细研究（项目名称）标段</w:t>
      </w:r>
      <w:r>
        <w:rPr>
          <w:rFonts w:hint="eastAsia" w:ascii="宋体" w:hAnsi="宋体" w:eastAsia="宋体" w:cs="宋体"/>
          <w:color w:val="auto"/>
          <w:spacing w:val="2"/>
          <w:sz w:val="24"/>
          <w:szCs w:val="24"/>
          <w:highlight w:val="none"/>
        </w:rPr>
        <w:t>施工监理招</w:t>
      </w:r>
      <w:r>
        <w:rPr>
          <w:rFonts w:hint="eastAsia" w:ascii="宋体" w:hAnsi="宋体" w:eastAsia="宋体" w:cs="宋体"/>
          <w:color w:val="auto"/>
          <w:sz w:val="24"/>
          <w:szCs w:val="24"/>
          <w:highlight w:val="none"/>
        </w:rPr>
        <w:t>标文件的全部内容（含补遗书第号至第号</w:t>
      </w:r>
      <w:r>
        <w:rPr>
          <w:rFonts w:hint="eastAsia" w:ascii="宋体" w:hAnsi="宋体" w:eastAsia="宋体" w:cs="宋体"/>
          <w:color w:val="auto"/>
          <w:spacing w:val="-49"/>
          <w:sz w:val="24"/>
          <w:szCs w:val="24"/>
          <w:highlight w:val="none"/>
        </w:rPr>
        <w:t>），</w:t>
      </w:r>
      <w:r>
        <w:rPr>
          <w:rFonts w:hint="eastAsia" w:ascii="宋体" w:hAnsi="宋体" w:eastAsia="宋体" w:cs="宋体"/>
          <w:color w:val="auto"/>
          <w:sz w:val="24"/>
          <w:szCs w:val="24"/>
          <w:highlight w:val="none"/>
        </w:rPr>
        <w:t>在考察工程现场后，愿意以人民币</w:t>
      </w:r>
      <w:r>
        <w:rPr>
          <w:rFonts w:hint="eastAsia" w:ascii="宋体" w:hAnsi="宋体" w:eastAsia="宋体" w:cs="宋体"/>
          <w:color w:val="auto"/>
          <w:spacing w:val="1"/>
          <w:sz w:val="24"/>
          <w:szCs w:val="24"/>
          <w:highlight w:val="none"/>
        </w:rPr>
        <w:t>（大写）元(¥)的投标总报价（或根据</w:t>
      </w:r>
      <w:r>
        <w:rPr>
          <w:rFonts w:hint="eastAsia" w:ascii="宋体" w:hAnsi="宋体" w:eastAsia="宋体" w:cs="宋体"/>
          <w:color w:val="auto"/>
          <w:sz w:val="24"/>
          <w:szCs w:val="24"/>
          <w:highlight w:val="none"/>
        </w:rPr>
        <w:t>招标文件规定修正核实</w:t>
      </w:r>
      <w:r>
        <w:rPr>
          <w:rFonts w:hint="eastAsia" w:ascii="宋体" w:hAnsi="宋体" w:eastAsia="宋体" w:cs="宋体"/>
          <w:color w:val="auto"/>
          <w:spacing w:val="9"/>
          <w:sz w:val="24"/>
          <w:szCs w:val="24"/>
          <w:highlight w:val="none"/>
        </w:rPr>
        <w:t>后确定的另一金额，其中，增值税税率为</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9"/>
          <w:sz w:val="24"/>
          <w:szCs w:val="24"/>
          <w:highlight w:val="none"/>
        </w:rPr>
        <w:t>按合同约定完成施工监理工</w:t>
      </w:r>
      <w:r>
        <w:rPr>
          <w:rFonts w:hint="eastAsia" w:ascii="宋体" w:hAnsi="宋体" w:eastAsia="宋体" w:cs="宋体"/>
          <w:color w:val="auto"/>
          <w:spacing w:val="-6"/>
          <w:sz w:val="24"/>
          <w:szCs w:val="24"/>
          <w:highlight w:val="none"/>
        </w:rPr>
        <w:t>作。</w:t>
      </w:r>
    </w:p>
    <w:p w14:paraId="5C616E5D">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其中：施工阶段（含施工准备期）监理服务费：元；</w:t>
      </w:r>
    </w:p>
    <w:p w14:paraId="566BA023">
      <w:pPr>
        <w:keepNext w:val="0"/>
        <w:keepLines w:val="0"/>
        <w:bidi w:val="0"/>
        <w:spacing w:line="360" w:lineRule="auto"/>
        <w:ind w:firstLine="1200" w:firstLineChars="500"/>
        <w:rPr>
          <w:rFonts w:hint="eastAsia" w:ascii="宋体" w:hAnsi="宋体" w:eastAsia="宋体" w:cs="宋体"/>
          <w:color w:val="auto"/>
          <w:sz w:val="24"/>
          <w:szCs w:val="24"/>
        </w:rPr>
      </w:pPr>
      <w:r>
        <w:rPr>
          <w:rFonts w:hint="eastAsia" w:ascii="宋体" w:hAnsi="宋体" w:eastAsia="宋体" w:cs="宋体"/>
          <w:color w:val="auto"/>
          <w:sz w:val="24"/>
          <w:szCs w:val="24"/>
        </w:rPr>
        <w:t>交工验收与缺陷责任期阶段监理服务费：元</w:t>
      </w:r>
    </w:p>
    <w:p w14:paraId="44765CFD">
      <w:pPr>
        <w:keepNext w:val="0"/>
        <w:keepLines w:val="0"/>
        <w:kinsoku w:val="0"/>
        <w:autoSpaceDE w:val="0"/>
        <w:autoSpaceDN w:val="0"/>
        <w:bidi w:val="0"/>
        <w:adjustRightInd w:val="0"/>
        <w:snapToGrid w:val="0"/>
        <w:spacing w:before="115" w:line="360" w:lineRule="auto"/>
        <w:ind w:left="8" w:right="2" w:firstLine="482"/>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2．在合同协议书正式签署生效之前，本投标函连</w:t>
      </w:r>
      <w:r>
        <w:rPr>
          <w:rFonts w:hint="eastAsia" w:ascii="宋体" w:hAnsi="宋体" w:eastAsia="宋体" w:cs="宋体"/>
          <w:snapToGrid w:val="0"/>
          <w:color w:val="auto"/>
          <w:spacing w:val="1"/>
          <w:kern w:val="0"/>
          <w:sz w:val="24"/>
          <w:szCs w:val="24"/>
          <w:highlight w:val="none"/>
        </w:rPr>
        <w:t>同你方的中标通知书将构成我们</w:t>
      </w:r>
      <w:r>
        <w:rPr>
          <w:rFonts w:hint="eastAsia" w:ascii="宋体" w:hAnsi="宋体" w:eastAsia="宋体" w:cs="宋体"/>
          <w:snapToGrid w:val="0"/>
          <w:color w:val="auto"/>
          <w:spacing w:val="-1"/>
          <w:kern w:val="0"/>
          <w:sz w:val="24"/>
          <w:szCs w:val="24"/>
          <w:highlight w:val="none"/>
        </w:rPr>
        <w:t>双方之间共同遵守的文件，对双方具有约束力。</w:t>
      </w:r>
    </w:p>
    <w:p w14:paraId="300F3A7B">
      <w:pPr>
        <w:keepNext w:val="0"/>
        <w:keepLines w:val="0"/>
        <w:bidi w:val="0"/>
        <w:spacing w:before="116"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4"/>
          <w:sz w:val="24"/>
          <w:szCs w:val="24"/>
          <w:highlight w:val="none"/>
        </w:rPr>
        <w:t>其他补充说明）。</w:t>
      </w:r>
    </w:p>
    <w:p w14:paraId="568930B5">
      <w:pPr>
        <w:keepNext w:val="0"/>
        <w:keepLines w:val="0"/>
        <w:bidi w:val="0"/>
        <w:spacing w:line="400" w:lineRule="atLeast"/>
        <w:ind w:firstLine="420" w:firstLineChars="200"/>
        <w:rPr>
          <w:rFonts w:hint="eastAsia" w:ascii="宋体" w:hAnsi="宋体" w:eastAsia="宋体" w:cs="宋体"/>
          <w:color w:val="auto"/>
          <w:kern w:val="21"/>
          <w:highlight w:val="none"/>
        </w:rPr>
      </w:pPr>
    </w:p>
    <w:p w14:paraId="12EE2F4A">
      <w:pPr>
        <w:keepNext w:val="0"/>
        <w:keepLines w:val="0"/>
        <w:tabs>
          <w:tab w:val="left" w:pos="8577"/>
        </w:tabs>
        <w:bidi w:val="0"/>
        <w:spacing w:before="79" w:line="316" w:lineRule="auto"/>
        <w:ind w:left="3426" w:right="275" w:firstLine="4"/>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投标人</w:t>
      </w:r>
      <w:r>
        <w:rPr>
          <w:rFonts w:hint="eastAsia" w:ascii="宋体" w:hAnsi="宋体" w:eastAsia="宋体" w:cs="宋体"/>
          <w:color w:val="auto"/>
          <w:spacing w:val="-29"/>
          <w:sz w:val="24"/>
          <w:szCs w:val="24"/>
          <w:highlight w:val="none"/>
        </w:rPr>
        <w:t>：（</w:t>
      </w:r>
      <w:r>
        <w:rPr>
          <w:rFonts w:hint="eastAsia" w:ascii="宋体" w:hAnsi="宋体" w:eastAsia="宋体" w:cs="宋体"/>
          <w:color w:val="auto"/>
          <w:spacing w:val="4"/>
          <w:sz w:val="24"/>
          <w:szCs w:val="24"/>
          <w:highlight w:val="none"/>
        </w:rPr>
        <w:t>盖单位章）</w:t>
      </w:r>
    </w:p>
    <w:p w14:paraId="591C656A">
      <w:pPr>
        <w:keepNext w:val="0"/>
        <w:keepLines w:val="0"/>
        <w:tabs>
          <w:tab w:val="left" w:pos="8577"/>
        </w:tabs>
        <w:bidi w:val="0"/>
        <w:spacing w:before="79" w:line="316" w:lineRule="auto"/>
        <w:ind w:left="3426" w:right="275" w:firstLine="4"/>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签字）</w:t>
      </w:r>
    </w:p>
    <w:p w14:paraId="288DCB49">
      <w:pPr>
        <w:keepNext w:val="0"/>
        <w:keepLines w:val="0"/>
        <w:tabs>
          <w:tab w:val="left" w:pos="8577"/>
        </w:tabs>
        <w:bidi w:val="0"/>
        <w:spacing w:before="79" w:line="316" w:lineRule="auto"/>
        <w:ind w:left="3426" w:right="275" w:firstLine="4"/>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地址：</w:t>
      </w:r>
      <w:r>
        <w:rPr>
          <w:rFonts w:hint="eastAsia" w:ascii="宋体" w:hAnsi="宋体" w:eastAsia="宋体" w:cs="宋体"/>
          <w:color w:val="auto"/>
          <w:sz w:val="24"/>
          <w:szCs w:val="24"/>
          <w:highlight w:val="none"/>
          <w:u w:val="single" w:color="auto"/>
        </w:rPr>
        <w:tab/>
      </w:r>
    </w:p>
    <w:p w14:paraId="79BD26E9">
      <w:pPr>
        <w:keepNext w:val="0"/>
        <w:keepLines w:val="0"/>
        <w:tabs>
          <w:tab w:val="left" w:pos="8577"/>
        </w:tabs>
        <w:bidi w:val="0"/>
        <w:spacing w:before="79" w:line="316" w:lineRule="auto"/>
        <w:ind w:left="3426" w:right="275" w:firstLine="4"/>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网址：</w:t>
      </w:r>
      <w:r>
        <w:rPr>
          <w:rFonts w:hint="eastAsia" w:ascii="宋体" w:hAnsi="宋体" w:eastAsia="宋体" w:cs="宋体"/>
          <w:color w:val="auto"/>
          <w:sz w:val="24"/>
          <w:szCs w:val="24"/>
          <w:highlight w:val="none"/>
          <w:u w:val="single" w:color="auto"/>
        </w:rPr>
        <w:tab/>
      </w:r>
    </w:p>
    <w:p w14:paraId="162DE07F">
      <w:pPr>
        <w:keepNext w:val="0"/>
        <w:keepLines w:val="0"/>
        <w:tabs>
          <w:tab w:val="left" w:pos="8577"/>
        </w:tabs>
        <w:bidi w:val="0"/>
        <w:spacing w:before="79" w:line="316" w:lineRule="auto"/>
        <w:ind w:left="3426" w:right="275" w:firstLine="4"/>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电话：</w:t>
      </w:r>
      <w:r>
        <w:rPr>
          <w:rFonts w:hint="eastAsia" w:ascii="宋体" w:hAnsi="宋体" w:eastAsia="宋体" w:cs="宋体"/>
          <w:color w:val="auto"/>
          <w:sz w:val="24"/>
          <w:szCs w:val="24"/>
          <w:highlight w:val="none"/>
          <w:u w:val="single" w:color="auto"/>
        </w:rPr>
        <w:tab/>
      </w:r>
    </w:p>
    <w:p w14:paraId="16378C06">
      <w:pPr>
        <w:keepNext w:val="0"/>
        <w:keepLines w:val="0"/>
        <w:tabs>
          <w:tab w:val="left" w:pos="8577"/>
        </w:tabs>
        <w:bidi w:val="0"/>
        <w:spacing w:before="79" w:line="316" w:lineRule="auto"/>
        <w:ind w:left="3426" w:right="275" w:firstLine="4"/>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传真：</w:t>
      </w:r>
      <w:r>
        <w:rPr>
          <w:rFonts w:hint="eastAsia" w:ascii="宋体" w:hAnsi="宋体" w:eastAsia="宋体" w:cs="宋体"/>
          <w:color w:val="auto"/>
          <w:sz w:val="24"/>
          <w:szCs w:val="24"/>
          <w:highlight w:val="none"/>
          <w:u w:val="single" w:color="auto"/>
        </w:rPr>
        <w:tab/>
      </w:r>
    </w:p>
    <w:p w14:paraId="3BC1C845">
      <w:pPr>
        <w:keepNext w:val="0"/>
        <w:keepLines w:val="0"/>
        <w:tabs>
          <w:tab w:val="left" w:pos="8577"/>
        </w:tabs>
        <w:bidi w:val="0"/>
        <w:spacing w:before="79" w:line="316" w:lineRule="auto"/>
        <w:ind w:left="3426" w:right="275" w:firstLine="4"/>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邮政编码：</w:t>
      </w:r>
    </w:p>
    <w:p w14:paraId="4200F451">
      <w:pPr>
        <w:keepNext w:val="0"/>
        <w:keepLines w:val="0"/>
        <w:bidi w:val="0"/>
        <w:spacing w:line="277" w:lineRule="auto"/>
        <w:rPr>
          <w:rFonts w:hint="eastAsia" w:ascii="宋体" w:hAnsi="宋体" w:eastAsia="宋体" w:cs="宋体"/>
          <w:color w:val="auto"/>
          <w:sz w:val="21"/>
          <w:highlight w:val="none"/>
        </w:rPr>
      </w:pPr>
    </w:p>
    <w:p w14:paraId="5E8FB700">
      <w:pPr>
        <w:keepNext w:val="0"/>
        <w:keepLines w:val="0"/>
        <w:tabs>
          <w:tab w:val="left" w:pos="6670"/>
        </w:tabs>
        <w:bidi w:val="0"/>
        <w:spacing w:before="78" w:line="219" w:lineRule="auto"/>
        <w:ind w:left="559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26"/>
          <w:sz w:val="24"/>
          <w:szCs w:val="24"/>
          <w:highlight w:val="none"/>
        </w:rPr>
        <w:t>年月日</w:t>
      </w:r>
    </w:p>
    <w:p w14:paraId="78FDADBC">
      <w:pPr>
        <w:keepNext w:val="0"/>
        <w:keepLines w:val="0"/>
        <w:bidi w:val="0"/>
        <w:jc w:val="right"/>
        <w:rPr>
          <w:rFonts w:hint="eastAsia" w:ascii="宋体" w:hAnsi="宋体" w:eastAsia="宋体" w:cs="宋体"/>
          <w:color w:val="auto"/>
          <w:kern w:val="21"/>
          <w:highlight w:val="none"/>
        </w:rPr>
      </w:pPr>
    </w:p>
    <w:p w14:paraId="38261137">
      <w:pPr>
        <w:keepNext w:val="0"/>
        <w:keepLines w:val="0"/>
        <w:bidi w:val="0"/>
        <w:spacing w:line="360" w:lineRule="auto"/>
        <w:rPr>
          <w:rFonts w:hint="eastAsia" w:ascii="宋体" w:hAnsi="宋体" w:eastAsia="宋体" w:cs="宋体"/>
          <w:b/>
          <w:bCs/>
          <w:color w:val="auto"/>
          <w:kern w:val="21"/>
          <w:highlight w:val="none"/>
        </w:rPr>
      </w:pPr>
    </w:p>
    <w:p w14:paraId="2F22FA11">
      <w:pPr>
        <w:keepNext w:val="0"/>
        <w:keepLines w:val="0"/>
        <w:bidi w:val="0"/>
        <w:spacing w:line="360" w:lineRule="auto"/>
        <w:rPr>
          <w:rFonts w:hint="eastAsia" w:ascii="宋体" w:hAnsi="宋体" w:eastAsia="宋体" w:cs="宋体"/>
          <w:b/>
          <w:bCs/>
          <w:color w:val="auto"/>
          <w:kern w:val="21"/>
          <w:highlight w:val="none"/>
        </w:rPr>
      </w:pPr>
    </w:p>
    <w:p w14:paraId="39062DC1">
      <w:pPr>
        <w:keepNext w:val="0"/>
        <w:keepLines w:val="0"/>
        <w:bidi w:val="0"/>
        <w:spacing w:line="360" w:lineRule="auto"/>
        <w:rPr>
          <w:rFonts w:hint="eastAsia" w:ascii="宋体" w:hAnsi="宋体" w:eastAsia="宋体" w:cs="宋体"/>
          <w:b/>
          <w:bCs/>
          <w:color w:val="auto"/>
          <w:kern w:val="21"/>
          <w:highlight w:val="none"/>
        </w:rPr>
      </w:pPr>
    </w:p>
    <w:p w14:paraId="4EAC8A62">
      <w:pPr>
        <w:keepNext w:val="0"/>
        <w:keepLines w:val="0"/>
        <w:bidi w:val="0"/>
        <w:spacing w:line="360" w:lineRule="auto"/>
        <w:rPr>
          <w:rFonts w:hint="eastAsia" w:ascii="宋体" w:hAnsi="宋体" w:eastAsia="宋体" w:cs="宋体"/>
          <w:b/>
          <w:bCs/>
          <w:color w:val="auto"/>
          <w:kern w:val="21"/>
          <w:highlight w:val="none"/>
        </w:rPr>
      </w:pPr>
    </w:p>
    <w:p w14:paraId="18DF2E32">
      <w:pPr>
        <w:keepNext w:val="0"/>
        <w:keepLines w:val="0"/>
        <w:bidi w:val="0"/>
        <w:spacing w:line="360" w:lineRule="auto"/>
        <w:rPr>
          <w:rFonts w:hint="eastAsia" w:ascii="宋体" w:hAnsi="宋体" w:eastAsia="宋体" w:cs="宋体"/>
          <w:b/>
          <w:bCs/>
          <w:color w:val="auto"/>
          <w:kern w:val="21"/>
          <w:highlight w:val="none"/>
        </w:rPr>
      </w:pPr>
    </w:p>
    <w:p w14:paraId="3CC6292B">
      <w:pPr>
        <w:keepNext w:val="0"/>
        <w:keepLines w:val="0"/>
        <w:bidi w:val="0"/>
        <w:spacing w:line="360" w:lineRule="auto"/>
        <w:rPr>
          <w:rFonts w:hint="eastAsia" w:ascii="宋体" w:hAnsi="宋体" w:eastAsia="宋体" w:cs="宋体"/>
          <w:b/>
          <w:bCs/>
          <w:color w:val="auto"/>
          <w:kern w:val="21"/>
          <w:highlight w:val="none"/>
        </w:rPr>
      </w:pPr>
    </w:p>
    <w:p w14:paraId="76467596">
      <w:pPr>
        <w:keepNext w:val="0"/>
        <w:keepLines w:val="0"/>
        <w:bidi w:val="0"/>
        <w:spacing w:line="360" w:lineRule="auto"/>
        <w:rPr>
          <w:rFonts w:hint="eastAsia" w:ascii="宋体" w:hAnsi="宋体" w:eastAsia="宋体" w:cs="宋体"/>
          <w:b/>
          <w:bCs/>
          <w:color w:val="auto"/>
          <w:kern w:val="21"/>
          <w:highlight w:val="none"/>
        </w:rPr>
      </w:pPr>
    </w:p>
    <w:p w14:paraId="48A003A5">
      <w:pPr>
        <w:keepNext w:val="0"/>
        <w:keepLines w:val="0"/>
        <w:bidi w:val="0"/>
        <w:spacing w:line="360" w:lineRule="auto"/>
        <w:rPr>
          <w:rFonts w:hint="eastAsia" w:ascii="宋体" w:hAnsi="宋体" w:eastAsia="宋体" w:cs="宋体"/>
          <w:b/>
          <w:bCs/>
          <w:color w:val="auto"/>
          <w:kern w:val="21"/>
          <w:highlight w:val="none"/>
        </w:rPr>
      </w:pPr>
    </w:p>
    <w:p w14:paraId="2ECFC343">
      <w:pPr>
        <w:keepNext w:val="0"/>
        <w:keepLines w:val="0"/>
        <w:bidi w:val="0"/>
        <w:spacing w:line="360" w:lineRule="auto"/>
        <w:rPr>
          <w:rFonts w:hint="eastAsia" w:ascii="宋体" w:hAnsi="宋体" w:eastAsia="宋体" w:cs="宋体"/>
          <w:b/>
          <w:bCs/>
          <w:color w:val="auto"/>
          <w:kern w:val="21"/>
          <w:highlight w:val="none"/>
        </w:rPr>
      </w:pPr>
    </w:p>
    <w:p w14:paraId="180A14FF">
      <w:pPr>
        <w:keepNext w:val="0"/>
        <w:keepLines w:val="0"/>
        <w:bidi w:val="0"/>
        <w:spacing w:line="360" w:lineRule="auto"/>
        <w:rPr>
          <w:rFonts w:hint="eastAsia" w:ascii="宋体" w:hAnsi="宋体" w:eastAsia="宋体" w:cs="宋体"/>
          <w:b/>
          <w:bCs/>
          <w:color w:val="auto"/>
          <w:kern w:val="21"/>
          <w:highlight w:val="none"/>
        </w:rPr>
      </w:pPr>
    </w:p>
    <w:p w14:paraId="0A35BA88">
      <w:pPr>
        <w:keepNext w:val="0"/>
        <w:keepLines w:val="0"/>
        <w:pageBreakBefore/>
        <w:bidi w:val="0"/>
        <w:spacing w:before="120" w:beforeLines="50" w:after="120" w:afterLines="50"/>
        <w:jc w:val="center"/>
        <w:outlineLvl w:val="9"/>
        <w:rPr>
          <w:rFonts w:hint="eastAsia" w:ascii="宋体" w:hAnsi="宋体" w:eastAsia="宋体" w:cs="宋体"/>
          <w:b/>
          <w:bCs/>
          <w:color w:val="auto"/>
          <w:kern w:val="21"/>
          <w:sz w:val="32"/>
          <w:szCs w:val="32"/>
          <w:highlight w:val="none"/>
        </w:rPr>
      </w:pPr>
      <w:bookmarkStart w:id="675" w:name="_Toc6367"/>
      <w:bookmarkStart w:id="676" w:name="_Toc503235858"/>
      <w:bookmarkStart w:id="677" w:name="_Toc31924"/>
      <w:bookmarkStart w:id="678" w:name="_Toc530040881"/>
      <w:bookmarkStart w:id="679" w:name="_Toc5507"/>
      <w:bookmarkStart w:id="680" w:name="_Toc32165"/>
      <w:bookmarkStart w:id="681" w:name="_Toc32201"/>
      <w:r>
        <w:rPr>
          <w:rFonts w:hint="eastAsia" w:ascii="宋体" w:hAnsi="宋体" w:eastAsia="宋体" w:cs="宋体"/>
          <w:b/>
          <w:bCs/>
          <w:color w:val="auto"/>
          <w:kern w:val="21"/>
          <w:sz w:val="32"/>
          <w:szCs w:val="32"/>
          <w:highlight w:val="none"/>
        </w:rPr>
        <w:t>二、监理服务费用清单</w:t>
      </w:r>
      <w:bookmarkEnd w:id="675"/>
      <w:bookmarkEnd w:id="676"/>
      <w:bookmarkEnd w:id="677"/>
      <w:bookmarkEnd w:id="678"/>
      <w:bookmarkEnd w:id="679"/>
      <w:bookmarkEnd w:id="680"/>
      <w:bookmarkEnd w:id="681"/>
    </w:p>
    <w:p w14:paraId="346A3294">
      <w:pPr>
        <w:keepNext w:val="0"/>
        <w:keepLines w:val="0"/>
        <w:bidi w:val="0"/>
        <w:spacing w:before="240" w:beforeLines="100" w:line="360" w:lineRule="auto"/>
        <w:jc w:val="center"/>
        <w:outlineLvl w:val="9"/>
        <w:rPr>
          <w:rFonts w:hint="eastAsia" w:ascii="宋体" w:hAnsi="宋体" w:eastAsia="宋体" w:cs="宋体"/>
          <w:b/>
          <w:color w:val="auto"/>
          <w:kern w:val="21"/>
          <w:sz w:val="28"/>
          <w:szCs w:val="28"/>
          <w:highlight w:val="none"/>
        </w:rPr>
      </w:pPr>
      <w:bookmarkStart w:id="682" w:name="_Toc503235859"/>
      <w:r>
        <w:rPr>
          <w:rFonts w:hint="eastAsia" w:ascii="宋体" w:hAnsi="宋体" w:eastAsia="宋体" w:cs="宋体"/>
          <w:b/>
          <w:color w:val="auto"/>
          <w:kern w:val="21"/>
          <w:sz w:val="28"/>
          <w:szCs w:val="28"/>
          <w:highlight w:val="none"/>
        </w:rPr>
        <w:t>（一）报价清单说明</w:t>
      </w:r>
      <w:bookmarkEnd w:id="682"/>
    </w:p>
    <w:p w14:paraId="187A60D1">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1.本报价表中各表项目和数量由投标人根据工程需要填写，除此之外，还应在每张报价表后附报价计算说明。如折旧费计算说明中应指出每种监理设施折旧寿命、折旧期、年折旧费等，使用、维修、管理费等计算说明中应指出每年各项费用情况、计算公式等。</w:t>
      </w:r>
    </w:p>
    <w:p w14:paraId="4ADCBA83">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2.监理人员配备数量应根据招标文件的要求、投标人编写的技术建议书并参考投标人以往监理工作经验填报。</w:t>
      </w:r>
    </w:p>
    <w:p w14:paraId="044EF31E">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3.投标人必须配备施工监理所需的监理办公设施(含通讯设施)、试验检测设施、交通设施、生活设施等。监理办公设施(含通讯设施)、试验检测设施、交通设施、生活设施等应根据招标文件的要求、投标人编写的技术建议书并参考投标人以往监理工作经验配置。</w:t>
      </w:r>
    </w:p>
    <w:p w14:paraId="29BD1E1B">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4.监理工程师的驻地设施及配备的设备，如交通、通讯工具及燃料消耗、维护等均由投标人按规定列入投标报价中。</w:t>
      </w:r>
    </w:p>
    <w:p w14:paraId="13DB3EED">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5.投标人在填报监理服务费用时应综合考虑下列因素：</w:t>
      </w:r>
    </w:p>
    <w:p w14:paraId="0E082057">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（1）监理人所提供的各级监理人员、试验检测仪器、车辆均应满足委托人在专用合同条款中提出的最低限度要求。</w:t>
      </w:r>
    </w:p>
    <w:p w14:paraId="764C7111">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（2）除合同条款第8条约定的变更情形和项目专用合同条款第9.1.1项约定的其他情形外，本监理合同的监理服务费用在合同实施期间一律不予调整。</w:t>
      </w:r>
    </w:p>
    <w:p w14:paraId="32FE0AFA">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6.投标人因完成本项目施工监理服务需缴纳的一切税费均由投标人承担，并包含在所报的单价或总额价内，委托人不单独支付。</w:t>
      </w:r>
    </w:p>
    <w:p w14:paraId="285F5AE9">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7.投标人应认真填写报价清单中所列的监理服务费用各细目的单价和总额价。投标人没有填入单价或总额价的工程细目委托人将不予支付，并认为该细目的价款已包括在报价清单其他细目的单价或总额价中。</w:t>
      </w:r>
    </w:p>
    <w:p w14:paraId="71B8A200">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8.在表2监理人员服务费报价表和表4监理工程师交通设施费报价表后应附相应项目的单价分析表。</w:t>
      </w:r>
    </w:p>
    <w:p w14:paraId="1978D921">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9.投标人在表2中填报的各类监理人员的人月单价应包括监理人员的工资、加班费、生活伙食费、奖金及各种补贴等一切费用在内。若监理人员因履行正常监理服务而加班，委托人将不考虑另行支付监理人员的加班费用。投标报价中应考虑加班费。</w:t>
      </w:r>
    </w:p>
    <w:p w14:paraId="7B494476">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10.对于同一设施或物品，投标人不能重复填报监理服务费用，一经发现，委托人将有权从投标价中扣除多报的费用，投标人对此应予确认，否则，委托人有权取消其中标资格。</w:t>
      </w:r>
    </w:p>
    <w:p w14:paraId="3ED8A426">
      <w:pPr>
        <w:keepNext w:val="0"/>
        <w:keepLines w:val="0"/>
        <w:bidi w:val="0"/>
        <w:spacing w:line="360" w:lineRule="auto"/>
        <w:rPr>
          <w:rFonts w:hint="eastAsia" w:ascii="宋体" w:hAnsi="宋体" w:eastAsia="宋体" w:cs="宋体"/>
          <w:b/>
          <w:bCs/>
          <w:color w:val="auto"/>
          <w:kern w:val="21"/>
          <w:highlight w:val="none"/>
        </w:rPr>
      </w:pPr>
    </w:p>
    <w:p w14:paraId="0DD4F0F8">
      <w:pPr>
        <w:keepNext w:val="0"/>
        <w:keepLines w:val="0"/>
        <w:pageBreakBefore/>
        <w:bidi w:val="0"/>
        <w:spacing w:before="240" w:beforeLines="100" w:line="360" w:lineRule="auto"/>
        <w:jc w:val="center"/>
        <w:outlineLvl w:val="9"/>
        <w:rPr>
          <w:rFonts w:hint="eastAsia" w:ascii="宋体" w:hAnsi="宋体" w:eastAsia="宋体" w:cs="宋体"/>
          <w:b/>
          <w:color w:val="auto"/>
          <w:kern w:val="21"/>
          <w:sz w:val="28"/>
          <w:szCs w:val="28"/>
          <w:highlight w:val="none"/>
        </w:rPr>
      </w:pPr>
      <w:bookmarkStart w:id="683" w:name="_Toc222740184"/>
      <w:bookmarkStart w:id="684" w:name="_Toc503518067"/>
      <w:r>
        <w:rPr>
          <w:rFonts w:hint="eastAsia" w:ascii="宋体" w:hAnsi="宋体" w:eastAsia="宋体" w:cs="宋体"/>
          <w:b/>
          <w:color w:val="auto"/>
          <w:kern w:val="21"/>
          <w:sz w:val="28"/>
          <w:szCs w:val="28"/>
          <w:highlight w:val="none"/>
        </w:rPr>
        <w:t>（二）监理服务费报价表</w:t>
      </w:r>
      <w:bookmarkEnd w:id="683"/>
      <w:bookmarkEnd w:id="684"/>
    </w:p>
    <w:p w14:paraId="122292E5">
      <w:pPr>
        <w:keepNext w:val="0"/>
        <w:keepLines w:val="0"/>
        <w:topLinePunct/>
        <w:bidi w:val="0"/>
        <w:spacing w:line="360" w:lineRule="auto"/>
        <w:ind w:firstLine="420" w:firstLineChars="200"/>
        <w:rPr>
          <w:rFonts w:hint="eastAsia" w:ascii="宋体" w:hAnsi="宋体" w:eastAsia="宋体" w:cs="宋体"/>
          <w:color w:val="auto"/>
          <w:kern w:val="21"/>
          <w:highlight w:val="none"/>
        </w:rPr>
      </w:pPr>
    </w:p>
    <w:p w14:paraId="2C249F42">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表1监理服务费用报价汇总表</w:t>
      </w:r>
    </w:p>
    <w:p w14:paraId="3C7129A4">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表2监理人员服务费报价表</w:t>
      </w:r>
    </w:p>
    <w:p w14:paraId="2B17A2E5">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表3监理工程师办公设施费报价表</w:t>
      </w:r>
    </w:p>
    <w:p w14:paraId="5566B170">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表4监理工程师交通设施费报价表</w:t>
      </w:r>
    </w:p>
    <w:p w14:paraId="601A4B66">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表5监理试验设施费报价表</w:t>
      </w:r>
    </w:p>
    <w:p w14:paraId="24DE305D">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表6监理工程师生活设施费报价表</w:t>
      </w:r>
    </w:p>
    <w:p w14:paraId="2BDD8A71">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表7其他费用报价表</w:t>
      </w:r>
    </w:p>
    <w:p w14:paraId="76377F14">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表8监理费用支付估算表</w:t>
      </w:r>
    </w:p>
    <w:p w14:paraId="502C9DEB">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附件1监理人员工作计划安排表</w:t>
      </w:r>
    </w:p>
    <w:p w14:paraId="07B91FFB">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附件2监理设施进出场时间表</w:t>
      </w:r>
    </w:p>
    <w:p w14:paraId="05FBCFE0">
      <w:pPr>
        <w:keepNext w:val="0"/>
        <w:keepLines w:val="0"/>
        <w:bidi w:val="0"/>
        <w:spacing w:line="360" w:lineRule="auto"/>
        <w:rPr>
          <w:rFonts w:hint="eastAsia" w:ascii="宋体" w:hAnsi="宋体" w:eastAsia="宋体" w:cs="宋体"/>
          <w:b/>
          <w:bCs/>
          <w:color w:val="auto"/>
          <w:kern w:val="21"/>
          <w:highlight w:val="none"/>
        </w:rPr>
      </w:pPr>
    </w:p>
    <w:p w14:paraId="79201C2C">
      <w:pPr>
        <w:keepNext w:val="0"/>
        <w:keepLines w:val="0"/>
        <w:bidi w:val="0"/>
        <w:spacing w:line="360" w:lineRule="auto"/>
        <w:rPr>
          <w:rFonts w:hint="eastAsia" w:ascii="宋体" w:hAnsi="宋体" w:eastAsia="宋体" w:cs="宋体"/>
          <w:b/>
          <w:bCs/>
          <w:color w:val="auto"/>
          <w:kern w:val="21"/>
          <w:highlight w:val="none"/>
        </w:rPr>
      </w:pPr>
    </w:p>
    <w:p w14:paraId="7239EB13">
      <w:pPr>
        <w:keepNext w:val="0"/>
        <w:keepLines w:val="0"/>
        <w:bidi w:val="0"/>
        <w:spacing w:line="360" w:lineRule="auto"/>
        <w:rPr>
          <w:rFonts w:hint="eastAsia" w:ascii="宋体" w:hAnsi="宋体" w:eastAsia="宋体" w:cs="宋体"/>
          <w:b/>
          <w:bCs/>
          <w:color w:val="auto"/>
          <w:kern w:val="21"/>
          <w:highlight w:val="none"/>
        </w:rPr>
      </w:pPr>
    </w:p>
    <w:p w14:paraId="26732872">
      <w:pPr>
        <w:pStyle w:val="6"/>
        <w:keepNext w:val="0"/>
        <w:keepLines w:val="0"/>
        <w:bidi w:val="0"/>
        <w:rPr>
          <w:rFonts w:hint="eastAsia" w:ascii="宋体" w:hAnsi="宋体" w:eastAsia="宋体" w:cs="宋体"/>
          <w:bCs/>
          <w:color w:val="auto"/>
          <w:kern w:val="21"/>
          <w:highlight w:val="none"/>
        </w:rPr>
      </w:pPr>
    </w:p>
    <w:p w14:paraId="51E8E2C8">
      <w:pPr>
        <w:keepNext w:val="0"/>
        <w:keepLines w:val="0"/>
        <w:bidi w:val="0"/>
        <w:rPr>
          <w:rFonts w:hint="eastAsia" w:ascii="宋体" w:hAnsi="宋体" w:eastAsia="宋体" w:cs="宋体"/>
          <w:b/>
          <w:bCs/>
          <w:color w:val="auto"/>
          <w:kern w:val="21"/>
          <w:highlight w:val="none"/>
        </w:rPr>
      </w:pPr>
    </w:p>
    <w:p w14:paraId="23FB2A3A">
      <w:pPr>
        <w:pStyle w:val="6"/>
        <w:keepNext w:val="0"/>
        <w:keepLines w:val="0"/>
        <w:bidi w:val="0"/>
        <w:rPr>
          <w:rFonts w:hint="eastAsia" w:ascii="宋体" w:hAnsi="宋体" w:eastAsia="宋体" w:cs="宋体"/>
          <w:bCs/>
          <w:color w:val="auto"/>
          <w:kern w:val="21"/>
          <w:highlight w:val="none"/>
        </w:rPr>
      </w:pPr>
    </w:p>
    <w:p w14:paraId="1CD42D1E">
      <w:pPr>
        <w:keepNext w:val="0"/>
        <w:keepLines w:val="0"/>
        <w:bidi w:val="0"/>
        <w:rPr>
          <w:rFonts w:hint="eastAsia" w:ascii="宋体" w:hAnsi="宋体" w:eastAsia="宋体" w:cs="宋体"/>
          <w:b/>
          <w:bCs/>
          <w:color w:val="auto"/>
          <w:kern w:val="21"/>
          <w:highlight w:val="none"/>
        </w:rPr>
      </w:pPr>
    </w:p>
    <w:p w14:paraId="722EAF41">
      <w:pPr>
        <w:pStyle w:val="6"/>
        <w:keepNext w:val="0"/>
        <w:keepLines w:val="0"/>
        <w:bidi w:val="0"/>
        <w:rPr>
          <w:rFonts w:hint="eastAsia" w:ascii="宋体" w:hAnsi="宋体" w:eastAsia="宋体" w:cs="宋体"/>
          <w:bCs/>
          <w:color w:val="auto"/>
          <w:kern w:val="21"/>
          <w:highlight w:val="none"/>
        </w:rPr>
      </w:pPr>
    </w:p>
    <w:p w14:paraId="3586C862">
      <w:pPr>
        <w:keepNext w:val="0"/>
        <w:keepLines w:val="0"/>
        <w:bidi w:val="0"/>
        <w:rPr>
          <w:rFonts w:hint="eastAsia" w:ascii="宋体" w:hAnsi="宋体" w:eastAsia="宋体" w:cs="宋体"/>
          <w:b/>
          <w:bCs/>
          <w:color w:val="auto"/>
          <w:kern w:val="21"/>
          <w:highlight w:val="none"/>
        </w:rPr>
      </w:pPr>
    </w:p>
    <w:p w14:paraId="04613515">
      <w:pPr>
        <w:pStyle w:val="6"/>
        <w:keepNext w:val="0"/>
        <w:keepLines w:val="0"/>
        <w:bidi w:val="0"/>
        <w:rPr>
          <w:rFonts w:hint="eastAsia" w:ascii="宋体" w:hAnsi="宋体" w:eastAsia="宋体" w:cs="宋体"/>
          <w:bCs/>
          <w:color w:val="auto"/>
          <w:kern w:val="21"/>
          <w:highlight w:val="none"/>
        </w:rPr>
      </w:pPr>
    </w:p>
    <w:p w14:paraId="092073EF">
      <w:pPr>
        <w:keepNext w:val="0"/>
        <w:keepLines w:val="0"/>
        <w:bidi w:val="0"/>
        <w:rPr>
          <w:rFonts w:hint="eastAsia" w:ascii="宋体" w:hAnsi="宋体" w:eastAsia="宋体" w:cs="宋体"/>
          <w:b/>
          <w:bCs/>
          <w:color w:val="auto"/>
          <w:kern w:val="21"/>
          <w:highlight w:val="none"/>
        </w:rPr>
      </w:pPr>
    </w:p>
    <w:p w14:paraId="63A98C1B">
      <w:pPr>
        <w:pStyle w:val="6"/>
        <w:keepNext w:val="0"/>
        <w:keepLines w:val="0"/>
        <w:bidi w:val="0"/>
        <w:rPr>
          <w:rFonts w:hint="eastAsia" w:ascii="宋体" w:hAnsi="宋体" w:eastAsia="宋体" w:cs="宋体"/>
          <w:bCs/>
          <w:color w:val="auto"/>
          <w:kern w:val="21"/>
          <w:highlight w:val="none"/>
        </w:rPr>
      </w:pPr>
    </w:p>
    <w:p w14:paraId="12E7A84E">
      <w:pPr>
        <w:keepNext w:val="0"/>
        <w:keepLines w:val="0"/>
        <w:bidi w:val="0"/>
        <w:rPr>
          <w:rFonts w:hint="eastAsia" w:ascii="宋体" w:hAnsi="宋体" w:eastAsia="宋体" w:cs="宋体"/>
          <w:b/>
          <w:bCs/>
          <w:color w:val="auto"/>
          <w:kern w:val="21"/>
          <w:highlight w:val="none"/>
        </w:rPr>
      </w:pPr>
    </w:p>
    <w:p w14:paraId="7CC6D93E">
      <w:pPr>
        <w:pStyle w:val="6"/>
        <w:keepNext w:val="0"/>
        <w:keepLines w:val="0"/>
        <w:bidi w:val="0"/>
        <w:rPr>
          <w:rFonts w:hint="eastAsia" w:ascii="宋体" w:hAnsi="宋体" w:eastAsia="宋体" w:cs="宋体"/>
          <w:bCs/>
          <w:color w:val="auto"/>
          <w:kern w:val="21"/>
          <w:highlight w:val="none"/>
        </w:rPr>
      </w:pPr>
    </w:p>
    <w:p w14:paraId="64BA36ED">
      <w:pPr>
        <w:keepNext w:val="0"/>
        <w:keepLines w:val="0"/>
        <w:bidi w:val="0"/>
        <w:rPr>
          <w:rFonts w:hint="eastAsia" w:ascii="宋体" w:hAnsi="宋体" w:eastAsia="宋体" w:cs="宋体"/>
          <w:b/>
          <w:bCs/>
          <w:color w:val="auto"/>
          <w:kern w:val="21"/>
          <w:highlight w:val="none"/>
        </w:rPr>
      </w:pPr>
    </w:p>
    <w:p w14:paraId="73048112">
      <w:pPr>
        <w:pStyle w:val="6"/>
        <w:keepNext w:val="0"/>
        <w:keepLines w:val="0"/>
        <w:bidi w:val="0"/>
        <w:rPr>
          <w:rFonts w:hint="eastAsia" w:ascii="宋体" w:hAnsi="宋体" w:eastAsia="宋体" w:cs="宋体"/>
          <w:bCs/>
          <w:color w:val="auto"/>
          <w:kern w:val="21"/>
          <w:highlight w:val="none"/>
        </w:rPr>
      </w:pPr>
    </w:p>
    <w:p w14:paraId="30C2EF41">
      <w:pPr>
        <w:keepNext w:val="0"/>
        <w:keepLines w:val="0"/>
        <w:bidi w:val="0"/>
        <w:rPr>
          <w:rFonts w:hint="eastAsia" w:ascii="宋体" w:hAnsi="宋体" w:eastAsia="宋体" w:cs="宋体"/>
          <w:b/>
          <w:bCs/>
          <w:color w:val="auto"/>
          <w:kern w:val="21"/>
          <w:highlight w:val="none"/>
        </w:rPr>
      </w:pPr>
    </w:p>
    <w:p w14:paraId="6EA221AF">
      <w:pPr>
        <w:pStyle w:val="6"/>
        <w:keepNext w:val="0"/>
        <w:keepLines w:val="0"/>
        <w:bidi w:val="0"/>
        <w:rPr>
          <w:rFonts w:hint="eastAsia" w:ascii="宋体" w:hAnsi="宋体" w:eastAsia="宋体" w:cs="宋体"/>
          <w:bCs/>
          <w:color w:val="auto"/>
          <w:kern w:val="21"/>
          <w:highlight w:val="none"/>
        </w:rPr>
      </w:pPr>
    </w:p>
    <w:p w14:paraId="00725216">
      <w:pPr>
        <w:keepNext w:val="0"/>
        <w:keepLines w:val="0"/>
        <w:bidi w:val="0"/>
        <w:rPr>
          <w:rFonts w:hint="eastAsia" w:ascii="宋体" w:hAnsi="宋体" w:eastAsia="宋体" w:cs="宋体"/>
          <w:b/>
          <w:bCs/>
          <w:color w:val="auto"/>
          <w:kern w:val="21"/>
          <w:highlight w:val="none"/>
        </w:rPr>
      </w:pPr>
    </w:p>
    <w:p w14:paraId="40D0A739">
      <w:pPr>
        <w:pStyle w:val="6"/>
        <w:keepNext w:val="0"/>
        <w:keepLines w:val="0"/>
        <w:bidi w:val="0"/>
        <w:rPr>
          <w:rFonts w:hint="eastAsia" w:ascii="宋体" w:hAnsi="宋体" w:eastAsia="宋体" w:cs="宋体"/>
          <w:bCs/>
          <w:color w:val="auto"/>
          <w:kern w:val="21"/>
          <w:highlight w:val="none"/>
        </w:rPr>
      </w:pPr>
    </w:p>
    <w:p w14:paraId="638F6A1D">
      <w:pPr>
        <w:keepNext w:val="0"/>
        <w:keepLines w:val="0"/>
        <w:bidi w:val="0"/>
        <w:rPr>
          <w:rFonts w:hint="eastAsia" w:ascii="宋体" w:hAnsi="宋体" w:eastAsia="宋体" w:cs="宋体"/>
          <w:b/>
          <w:bCs/>
          <w:color w:val="auto"/>
          <w:kern w:val="21"/>
          <w:highlight w:val="none"/>
        </w:rPr>
      </w:pPr>
    </w:p>
    <w:p w14:paraId="238F741A">
      <w:pPr>
        <w:pStyle w:val="6"/>
        <w:keepNext w:val="0"/>
        <w:keepLines w:val="0"/>
        <w:bidi w:val="0"/>
        <w:rPr>
          <w:rFonts w:hint="eastAsia" w:ascii="宋体" w:hAnsi="宋体" w:eastAsia="宋体" w:cs="宋体"/>
          <w:bCs/>
          <w:color w:val="auto"/>
          <w:kern w:val="21"/>
          <w:highlight w:val="none"/>
        </w:rPr>
      </w:pPr>
    </w:p>
    <w:p w14:paraId="27B3E335">
      <w:pPr>
        <w:keepNext w:val="0"/>
        <w:keepLines w:val="0"/>
        <w:bidi w:val="0"/>
        <w:rPr>
          <w:rFonts w:hint="eastAsia" w:ascii="宋体" w:hAnsi="宋体" w:eastAsia="宋体" w:cs="宋体"/>
          <w:b/>
          <w:bCs/>
          <w:color w:val="auto"/>
          <w:kern w:val="21"/>
          <w:highlight w:val="none"/>
        </w:rPr>
      </w:pPr>
    </w:p>
    <w:p w14:paraId="0DEB2889">
      <w:pPr>
        <w:pStyle w:val="6"/>
        <w:keepNext w:val="0"/>
        <w:keepLines w:val="0"/>
        <w:bidi w:val="0"/>
        <w:rPr>
          <w:rFonts w:hint="eastAsia" w:ascii="宋体" w:hAnsi="宋体" w:eastAsia="宋体" w:cs="宋体"/>
          <w:bCs/>
          <w:color w:val="auto"/>
          <w:kern w:val="21"/>
          <w:highlight w:val="none"/>
        </w:rPr>
      </w:pPr>
    </w:p>
    <w:p w14:paraId="4A52C202">
      <w:pPr>
        <w:keepNext w:val="0"/>
        <w:keepLines w:val="0"/>
        <w:bidi w:val="0"/>
        <w:rPr>
          <w:rFonts w:hint="eastAsia" w:ascii="宋体" w:hAnsi="宋体" w:eastAsia="宋体" w:cs="宋体"/>
          <w:b/>
          <w:bCs/>
          <w:color w:val="auto"/>
          <w:kern w:val="21"/>
          <w:highlight w:val="none"/>
        </w:rPr>
        <w:sectPr>
          <w:footerReference r:id="rId21" w:type="default"/>
          <w:footnotePr>
            <w:numFmt w:val="decimalEnclosedCircleChinese"/>
          </w:footnotePr>
          <w:pgSz w:w="11906" w:h="16838"/>
          <w:pgMar w:top="1134" w:right="1134" w:bottom="1134" w:left="1134" w:header="851" w:footer="850" w:gutter="0"/>
          <w:cols w:space="720" w:num="1"/>
          <w:docGrid w:linePitch="312" w:charSpace="0"/>
        </w:sectPr>
      </w:pPr>
    </w:p>
    <w:p w14:paraId="729A9BCB">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表1监理服务费用报价汇总表</w:t>
      </w:r>
    </w:p>
    <w:p w14:paraId="4525D5E5">
      <w:pPr>
        <w:keepNext w:val="0"/>
        <w:keepLines w:val="0"/>
        <w:bidi w:val="0"/>
        <w:spacing w:line="400" w:lineRule="atLeast"/>
        <w:jc w:val="right"/>
        <w:rPr>
          <w:rFonts w:hint="eastAsia" w:ascii="宋体" w:hAnsi="宋体" w:eastAsia="宋体" w:cs="宋体"/>
          <w:color w:val="auto"/>
          <w:kern w:val="21"/>
          <w:highlight w:val="none"/>
        </w:rPr>
      </w:pPr>
      <w:r>
        <w:rPr>
          <w:rFonts w:hint="eastAsia" w:ascii="宋体" w:hAnsi="宋体" w:eastAsia="宋体" w:cs="宋体"/>
          <w:color w:val="auto"/>
          <w:kern w:val="21"/>
          <w:highlight w:val="none"/>
        </w:rPr>
        <w:t>单位：人民币元</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4317"/>
        <w:gridCol w:w="2754"/>
        <w:gridCol w:w="2350"/>
        <w:gridCol w:w="2965"/>
      </w:tblGrid>
      <w:tr w14:paraId="533A1E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132" w:type="dxa"/>
            <w:tcBorders>
              <w:top w:val="single" w:color="auto" w:sz="8" w:space="0"/>
              <w:left w:val="single" w:color="auto" w:sz="8" w:space="0"/>
              <w:bottom w:val="single" w:color="auto" w:sz="4" w:space="0"/>
              <w:right w:val="single" w:color="auto" w:sz="4" w:space="0"/>
            </w:tcBorders>
            <w:noWrap w:val="0"/>
            <w:vAlign w:val="center"/>
          </w:tcPr>
          <w:p w14:paraId="076EFC6C">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4317" w:type="dxa"/>
            <w:tcBorders>
              <w:top w:val="single" w:color="auto" w:sz="8" w:space="0"/>
              <w:left w:val="single" w:color="auto" w:sz="4" w:space="0"/>
              <w:bottom w:val="single" w:color="auto" w:sz="4" w:space="0"/>
              <w:right w:val="single" w:color="auto" w:sz="4" w:space="0"/>
            </w:tcBorders>
            <w:noWrap w:val="0"/>
            <w:vAlign w:val="center"/>
          </w:tcPr>
          <w:p w14:paraId="6BEA78BA">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w:t>
            </w:r>
          </w:p>
        </w:tc>
        <w:tc>
          <w:tcPr>
            <w:tcW w:w="2754" w:type="dxa"/>
            <w:tcBorders>
              <w:top w:val="single" w:color="auto" w:sz="8" w:space="0"/>
              <w:left w:val="single" w:color="auto" w:sz="4" w:space="0"/>
              <w:bottom w:val="single" w:color="auto" w:sz="4" w:space="0"/>
              <w:right w:val="single" w:color="auto" w:sz="4" w:space="0"/>
            </w:tcBorders>
            <w:noWrap w:val="0"/>
            <w:vAlign w:val="center"/>
          </w:tcPr>
          <w:p w14:paraId="699E3669">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2350" w:type="dxa"/>
            <w:tcBorders>
              <w:top w:val="single" w:color="auto" w:sz="8" w:space="0"/>
              <w:left w:val="single" w:color="auto" w:sz="4" w:space="0"/>
              <w:bottom w:val="single" w:color="auto" w:sz="4" w:space="0"/>
              <w:right w:val="single" w:color="auto" w:sz="4" w:space="0"/>
            </w:tcBorders>
            <w:noWrap w:val="0"/>
            <w:vAlign w:val="center"/>
          </w:tcPr>
          <w:p w14:paraId="426D97C0">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c>
          <w:tcPr>
            <w:tcW w:w="2965" w:type="dxa"/>
            <w:tcBorders>
              <w:top w:val="single" w:color="auto" w:sz="8" w:space="0"/>
              <w:left w:val="single" w:color="auto" w:sz="4" w:space="0"/>
              <w:bottom w:val="single" w:color="auto" w:sz="4" w:space="0"/>
              <w:right w:val="single" w:color="auto" w:sz="8" w:space="0"/>
            </w:tcBorders>
            <w:noWrap w:val="0"/>
            <w:vAlign w:val="center"/>
          </w:tcPr>
          <w:p w14:paraId="2F999C74">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小计金额</w:t>
            </w:r>
          </w:p>
        </w:tc>
      </w:tr>
      <w:tr w14:paraId="52CCCB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6160CD17">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4317" w:type="dxa"/>
            <w:tcBorders>
              <w:top w:val="single" w:color="auto" w:sz="4" w:space="0"/>
              <w:left w:val="single" w:color="auto" w:sz="4" w:space="0"/>
              <w:bottom w:val="single" w:color="auto" w:sz="4" w:space="0"/>
              <w:right w:val="single" w:color="auto" w:sz="4" w:space="0"/>
            </w:tcBorders>
            <w:noWrap w:val="0"/>
            <w:vAlign w:val="center"/>
          </w:tcPr>
          <w:p w14:paraId="41A2A2DF">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监理人员服务费</w:t>
            </w:r>
          </w:p>
        </w:tc>
        <w:tc>
          <w:tcPr>
            <w:tcW w:w="2754" w:type="dxa"/>
            <w:tcBorders>
              <w:top w:val="single" w:color="auto" w:sz="4" w:space="0"/>
              <w:left w:val="single" w:color="auto" w:sz="4" w:space="0"/>
              <w:bottom w:val="single" w:color="auto" w:sz="4" w:space="0"/>
              <w:right w:val="single" w:color="auto" w:sz="4" w:space="0"/>
            </w:tcBorders>
            <w:noWrap w:val="0"/>
            <w:vAlign w:val="center"/>
          </w:tcPr>
          <w:p w14:paraId="0C079502">
            <w:pPr>
              <w:keepNext w:val="0"/>
              <w:keepLines w:val="0"/>
              <w:bidi w:val="0"/>
              <w:spacing w:line="320" w:lineRule="atLeast"/>
              <w:jc w:val="center"/>
              <w:rPr>
                <w:rFonts w:hint="eastAsia" w:ascii="宋体" w:hAnsi="宋体" w:eastAsia="宋体" w:cs="宋体"/>
                <w:color w:val="auto"/>
                <w:kern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75879FE">
            <w:pPr>
              <w:keepNext w:val="0"/>
              <w:keepLines w:val="0"/>
              <w:bidi w:val="0"/>
              <w:spacing w:line="320" w:lineRule="atLeast"/>
              <w:jc w:val="center"/>
              <w:rPr>
                <w:rFonts w:hint="eastAsia" w:ascii="宋体" w:hAnsi="宋体" w:eastAsia="宋体" w:cs="宋体"/>
                <w:color w:val="auto"/>
                <w:kern w:val="21"/>
                <w:szCs w:val="21"/>
                <w:highlight w:val="none"/>
              </w:rPr>
            </w:pPr>
          </w:p>
        </w:tc>
        <w:tc>
          <w:tcPr>
            <w:tcW w:w="2965" w:type="dxa"/>
            <w:tcBorders>
              <w:top w:val="single" w:color="auto" w:sz="4" w:space="0"/>
              <w:left w:val="single" w:color="auto" w:sz="4" w:space="0"/>
              <w:bottom w:val="single" w:color="auto" w:sz="4" w:space="0"/>
              <w:right w:val="single" w:color="auto" w:sz="8" w:space="0"/>
            </w:tcBorders>
            <w:noWrap w:val="0"/>
            <w:vAlign w:val="center"/>
          </w:tcPr>
          <w:p w14:paraId="65274983">
            <w:pPr>
              <w:keepNext w:val="0"/>
              <w:keepLines w:val="0"/>
              <w:bidi w:val="0"/>
              <w:spacing w:line="320" w:lineRule="atLeast"/>
              <w:jc w:val="center"/>
              <w:rPr>
                <w:rFonts w:hint="eastAsia" w:ascii="宋体" w:hAnsi="宋体" w:eastAsia="宋体" w:cs="宋体"/>
                <w:color w:val="auto"/>
                <w:kern w:val="21"/>
                <w:szCs w:val="21"/>
                <w:highlight w:val="none"/>
              </w:rPr>
            </w:pPr>
          </w:p>
        </w:tc>
      </w:tr>
      <w:tr w14:paraId="4B7CF0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3437EDF7">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4317" w:type="dxa"/>
            <w:tcBorders>
              <w:top w:val="single" w:color="auto" w:sz="4" w:space="0"/>
              <w:left w:val="single" w:color="auto" w:sz="4" w:space="0"/>
              <w:bottom w:val="single" w:color="auto" w:sz="4" w:space="0"/>
              <w:right w:val="single" w:color="auto" w:sz="4" w:space="0"/>
            </w:tcBorders>
            <w:noWrap w:val="0"/>
            <w:vAlign w:val="center"/>
          </w:tcPr>
          <w:p w14:paraId="29269DFC">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监理办公设施费</w:t>
            </w:r>
          </w:p>
        </w:tc>
        <w:tc>
          <w:tcPr>
            <w:tcW w:w="2754" w:type="dxa"/>
            <w:tcBorders>
              <w:top w:val="single" w:color="auto" w:sz="4" w:space="0"/>
              <w:left w:val="single" w:color="auto" w:sz="4" w:space="0"/>
              <w:bottom w:val="single" w:color="auto" w:sz="4" w:space="0"/>
              <w:right w:val="single" w:color="auto" w:sz="4" w:space="0"/>
            </w:tcBorders>
            <w:noWrap w:val="0"/>
            <w:vAlign w:val="center"/>
          </w:tcPr>
          <w:p w14:paraId="4D8A2775">
            <w:pPr>
              <w:keepNext w:val="0"/>
              <w:keepLines w:val="0"/>
              <w:bidi w:val="0"/>
              <w:spacing w:line="320" w:lineRule="atLeast"/>
              <w:jc w:val="center"/>
              <w:rPr>
                <w:rFonts w:hint="eastAsia" w:ascii="宋体" w:hAnsi="宋体" w:eastAsia="宋体" w:cs="宋体"/>
                <w:color w:val="auto"/>
                <w:kern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3E8DF6A2">
            <w:pPr>
              <w:keepNext w:val="0"/>
              <w:keepLines w:val="0"/>
              <w:bidi w:val="0"/>
              <w:spacing w:line="320" w:lineRule="atLeast"/>
              <w:jc w:val="center"/>
              <w:rPr>
                <w:rFonts w:hint="eastAsia" w:ascii="宋体" w:hAnsi="宋体" w:eastAsia="宋体" w:cs="宋体"/>
                <w:color w:val="auto"/>
                <w:kern w:val="21"/>
                <w:szCs w:val="21"/>
                <w:highlight w:val="none"/>
              </w:rPr>
            </w:pPr>
          </w:p>
        </w:tc>
        <w:tc>
          <w:tcPr>
            <w:tcW w:w="2965" w:type="dxa"/>
            <w:tcBorders>
              <w:top w:val="single" w:color="auto" w:sz="4" w:space="0"/>
              <w:left w:val="single" w:color="auto" w:sz="4" w:space="0"/>
              <w:bottom w:val="single" w:color="auto" w:sz="4" w:space="0"/>
              <w:right w:val="single" w:color="auto" w:sz="8" w:space="0"/>
            </w:tcBorders>
            <w:noWrap w:val="0"/>
            <w:vAlign w:val="center"/>
          </w:tcPr>
          <w:p w14:paraId="74409896">
            <w:pPr>
              <w:keepNext w:val="0"/>
              <w:keepLines w:val="0"/>
              <w:bidi w:val="0"/>
              <w:spacing w:line="320" w:lineRule="atLeast"/>
              <w:jc w:val="center"/>
              <w:rPr>
                <w:rFonts w:hint="eastAsia" w:ascii="宋体" w:hAnsi="宋体" w:eastAsia="宋体" w:cs="宋体"/>
                <w:color w:val="auto"/>
                <w:kern w:val="21"/>
                <w:szCs w:val="21"/>
                <w:highlight w:val="none"/>
              </w:rPr>
            </w:pPr>
          </w:p>
        </w:tc>
      </w:tr>
      <w:tr w14:paraId="47711E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7E1A0E57">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4317" w:type="dxa"/>
            <w:tcBorders>
              <w:top w:val="single" w:color="auto" w:sz="4" w:space="0"/>
              <w:left w:val="single" w:color="auto" w:sz="4" w:space="0"/>
              <w:bottom w:val="single" w:color="auto" w:sz="4" w:space="0"/>
              <w:right w:val="single" w:color="auto" w:sz="4" w:space="0"/>
            </w:tcBorders>
            <w:noWrap w:val="0"/>
            <w:vAlign w:val="center"/>
          </w:tcPr>
          <w:p w14:paraId="65402285">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监理交通设施费</w:t>
            </w:r>
          </w:p>
        </w:tc>
        <w:tc>
          <w:tcPr>
            <w:tcW w:w="2754" w:type="dxa"/>
            <w:tcBorders>
              <w:top w:val="single" w:color="auto" w:sz="4" w:space="0"/>
              <w:left w:val="single" w:color="auto" w:sz="4" w:space="0"/>
              <w:bottom w:val="single" w:color="auto" w:sz="4" w:space="0"/>
              <w:right w:val="single" w:color="auto" w:sz="4" w:space="0"/>
            </w:tcBorders>
            <w:noWrap w:val="0"/>
            <w:vAlign w:val="center"/>
          </w:tcPr>
          <w:p w14:paraId="03BEE570">
            <w:pPr>
              <w:keepNext w:val="0"/>
              <w:keepLines w:val="0"/>
              <w:bidi w:val="0"/>
              <w:spacing w:line="320" w:lineRule="atLeast"/>
              <w:jc w:val="center"/>
              <w:rPr>
                <w:rFonts w:hint="eastAsia" w:ascii="宋体" w:hAnsi="宋体" w:eastAsia="宋体" w:cs="宋体"/>
                <w:color w:val="auto"/>
                <w:kern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10D8B2DF">
            <w:pPr>
              <w:keepNext w:val="0"/>
              <w:keepLines w:val="0"/>
              <w:bidi w:val="0"/>
              <w:spacing w:line="320" w:lineRule="atLeast"/>
              <w:jc w:val="center"/>
              <w:rPr>
                <w:rFonts w:hint="eastAsia" w:ascii="宋体" w:hAnsi="宋体" w:eastAsia="宋体" w:cs="宋体"/>
                <w:color w:val="auto"/>
                <w:kern w:val="21"/>
                <w:szCs w:val="21"/>
                <w:highlight w:val="none"/>
              </w:rPr>
            </w:pPr>
          </w:p>
        </w:tc>
        <w:tc>
          <w:tcPr>
            <w:tcW w:w="2965" w:type="dxa"/>
            <w:tcBorders>
              <w:top w:val="single" w:color="auto" w:sz="4" w:space="0"/>
              <w:left w:val="single" w:color="auto" w:sz="4" w:space="0"/>
              <w:bottom w:val="single" w:color="auto" w:sz="4" w:space="0"/>
              <w:right w:val="single" w:color="auto" w:sz="8" w:space="0"/>
            </w:tcBorders>
            <w:noWrap w:val="0"/>
            <w:vAlign w:val="center"/>
          </w:tcPr>
          <w:p w14:paraId="434D2619">
            <w:pPr>
              <w:keepNext w:val="0"/>
              <w:keepLines w:val="0"/>
              <w:bidi w:val="0"/>
              <w:spacing w:line="320" w:lineRule="atLeast"/>
              <w:jc w:val="center"/>
              <w:rPr>
                <w:rFonts w:hint="eastAsia" w:ascii="宋体" w:hAnsi="宋体" w:eastAsia="宋体" w:cs="宋体"/>
                <w:color w:val="auto"/>
                <w:kern w:val="21"/>
                <w:szCs w:val="21"/>
                <w:highlight w:val="none"/>
              </w:rPr>
            </w:pPr>
          </w:p>
        </w:tc>
      </w:tr>
      <w:tr w14:paraId="51AAF9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2043C185">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4317" w:type="dxa"/>
            <w:tcBorders>
              <w:top w:val="single" w:color="auto" w:sz="4" w:space="0"/>
              <w:left w:val="single" w:color="auto" w:sz="4" w:space="0"/>
              <w:bottom w:val="single" w:color="auto" w:sz="4" w:space="0"/>
              <w:right w:val="single" w:color="auto" w:sz="4" w:space="0"/>
            </w:tcBorders>
            <w:noWrap w:val="0"/>
            <w:vAlign w:val="center"/>
          </w:tcPr>
          <w:p w14:paraId="0FE2C399">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监理试验设施费（常规检测）</w:t>
            </w:r>
          </w:p>
        </w:tc>
        <w:tc>
          <w:tcPr>
            <w:tcW w:w="2754" w:type="dxa"/>
            <w:tcBorders>
              <w:top w:val="single" w:color="auto" w:sz="4" w:space="0"/>
              <w:left w:val="single" w:color="auto" w:sz="4" w:space="0"/>
              <w:bottom w:val="single" w:color="auto" w:sz="4" w:space="0"/>
              <w:right w:val="single" w:color="auto" w:sz="4" w:space="0"/>
            </w:tcBorders>
            <w:noWrap w:val="0"/>
            <w:vAlign w:val="center"/>
          </w:tcPr>
          <w:p w14:paraId="2C33CD96">
            <w:pPr>
              <w:keepNext w:val="0"/>
              <w:keepLines w:val="0"/>
              <w:bidi w:val="0"/>
              <w:spacing w:line="320" w:lineRule="atLeast"/>
              <w:jc w:val="center"/>
              <w:rPr>
                <w:rFonts w:hint="eastAsia" w:ascii="宋体" w:hAnsi="宋体" w:eastAsia="宋体" w:cs="宋体"/>
                <w:color w:val="auto"/>
                <w:kern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1DC7EE59">
            <w:pPr>
              <w:keepNext w:val="0"/>
              <w:keepLines w:val="0"/>
              <w:bidi w:val="0"/>
              <w:spacing w:line="320" w:lineRule="atLeast"/>
              <w:jc w:val="center"/>
              <w:rPr>
                <w:rFonts w:hint="eastAsia" w:ascii="宋体" w:hAnsi="宋体" w:eastAsia="宋体" w:cs="宋体"/>
                <w:color w:val="auto"/>
                <w:kern w:val="21"/>
                <w:szCs w:val="21"/>
                <w:highlight w:val="none"/>
              </w:rPr>
            </w:pPr>
          </w:p>
        </w:tc>
        <w:tc>
          <w:tcPr>
            <w:tcW w:w="2965" w:type="dxa"/>
            <w:tcBorders>
              <w:top w:val="single" w:color="auto" w:sz="4" w:space="0"/>
              <w:left w:val="single" w:color="auto" w:sz="4" w:space="0"/>
              <w:bottom w:val="single" w:color="auto" w:sz="4" w:space="0"/>
              <w:right w:val="single" w:color="auto" w:sz="8" w:space="0"/>
            </w:tcBorders>
            <w:noWrap w:val="0"/>
            <w:vAlign w:val="center"/>
          </w:tcPr>
          <w:p w14:paraId="1998B067">
            <w:pPr>
              <w:keepNext w:val="0"/>
              <w:keepLines w:val="0"/>
              <w:bidi w:val="0"/>
              <w:spacing w:line="320" w:lineRule="atLeast"/>
              <w:jc w:val="center"/>
              <w:rPr>
                <w:rFonts w:hint="eastAsia" w:ascii="宋体" w:hAnsi="宋体" w:eastAsia="宋体" w:cs="宋体"/>
                <w:color w:val="auto"/>
                <w:kern w:val="21"/>
                <w:szCs w:val="21"/>
                <w:highlight w:val="none"/>
              </w:rPr>
            </w:pPr>
          </w:p>
        </w:tc>
      </w:tr>
      <w:tr w14:paraId="6EE125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33AA503B">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4317" w:type="dxa"/>
            <w:tcBorders>
              <w:top w:val="single" w:color="auto" w:sz="4" w:space="0"/>
              <w:left w:val="single" w:color="auto" w:sz="4" w:space="0"/>
              <w:bottom w:val="single" w:color="auto" w:sz="4" w:space="0"/>
              <w:right w:val="single" w:color="auto" w:sz="4" w:space="0"/>
            </w:tcBorders>
            <w:noWrap w:val="0"/>
            <w:vAlign w:val="center"/>
          </w:tcPr>
          <w:p w14:paraId="6C092905">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监理生活设施费</w:t>
            </w:r>
          </w:p>
        </w:tc>
        <w:tc>
          <w:tcPr>
            <w:tcW w:w="2754" w:type="dxa"/>
            <w:tcBorders>
              <w:top w:val="single" w:color="auto" w:sz="4" w:space="0"/>
              <w:left w:val="single" w:color="auto" w:sz="4" w:space="0"/>
              <w:bottom w:val="single" w:color="auto" w:sz="4" w:space="0"/>
              <w:right w:val="single" w:color="auto" w:sz="4" w:space="0"/>
            </w:tcBorders>
            <w:noWrap w:val="0"/>
            <w:vAlign w:val="center"/>
          </w:tcPr>
          <w:p w14:paraId="4051A695">
            <w:pPr>
              <w:keepNext w:val="0"/>
              <w:keepLines w:val="0"/>
              <w:bidi w:val="0"/>
              <w:spacing w:line="320" w:lineRule="atLeast"/>
              <w:jc w:val="center"/>
              <w:rPr>
                <w:rFonts w:hint="eastAsia" w:ascii="宋体" w:hAnsi="宋体" w:eastAsia="宋体" w:cs="宋体"/>
                <w:color w:val="auto"/>
                <w:kern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CDAD73D">
            <w:pPr>
              <w:keepNext w:val="0"/>
              <w:keepLines w:val="0"/>
              <w:bidi w:val="0"/>
              <w:spacing w:line="320" w:lineRule="atLeast"/>
              <w:jc w:val="center"/>
              <w:rPr>
                <w:rFonts w:hint="eastAsia" w:ascii="宋体" w:hAnsi="宋体" w:eastAsia="宋体" w:cs="宋体"/>
                <w:color w:val="auto"/>
                <w:kern w:val="21"/>
                <w:szCs w:val="21"/>
                <w:highlight w:val="none"/>
              </w:rPr>
            </w:pPr>
          </w:p>
        </w:tc>
        <w:tc>
          <w:tcPr>
            <w:tcW w:w="2965" w:type="dxa"/>
            <w:tcBorders>
              <w:top w:val="single" w:color="auto" w:sz="4" w:space="0"/>
              <w:left w:val="single" w:color="auto" w:sz="4" w:space="0"/>
              <w:bottom w:val="single" w:color="auto" w:sz="4" w:space="0"/>
              <w:right w:val="single" w:color="auto" w:sz="8" w:space="0"/>
            </w:tcBorders>
            <w:noWrap w:val="0"/>
            <w:vAlign w:val="center"/>
          </w:tcPr>
          <w:p w14:paraId="4F7960BD">
            <w:pPr>
              <w:keepNext w:val="0"/>
              <w:keepLines w:val="0"/>
              <w:bidi w:val="0"/>
              <w:spacing w:line="320" w:lineRule="atLeast"/>
              <w:jc w:val="center"/>
              <w:rPr>
                <w:rFonts w:hint="eastAsia" w:ascii="宋体" w:hAnsi="宋体" w:eastAsia="宋体" w:cs="宋体"/>
                <w:color w:val="auto"/>
                <w:kern w:val="21"/>
                <w:szCs w:val="21"/>
                <w:highlight w:val="none"/>
              </w:rPr>
            </w:pPr>
          </w:p>
        </w:tc>
      </w:tr>
      <w:tr w14:paraId="0A2AC0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7D3C3327">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4317" w:type="dxa"/>
            <w:tcBorders>
              <w:top w:val="single" w:color="auto" w:sz="4" w:space="0"/>
              <w:left w:val="single" w:color="auto" w:sz="4" w:space="0"/>
              <w:bottom w:val="single" w:color="auto" w:sz="4" w:space="0"/>
              <w:right w:val="single" w:color="auto" w:sz="4" w:space="0"/>
            </w:tcBorders>
            <w:noWrap w:val="0"/>
            <w:vAlign w:val="center"/>
          </w:tcPr>
          <w:p w14:paraId="4CF24194">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其它费用</w:t>
            </w:r>
          </w:p>
        </w:tc>
        <w:tc>
          <w:tcPr>
            <w:tcW w:w="2754" w:type="dxa"/>
            <w:tcBorders>
              <w:top w:val="single" w:color="auto" w:sz="4" w:space="0"/>
              <w:left w:val="single" w:color="auto" w:sz="4" w:space="0"/>
              <w:bottom w:val="single" w:color="auto" w:sz="4" w:space="0"/>
              <w:right w:val="single" w:color="auto" w:sz="4" w:space="0"/>
            </w:tcBorders>
            <w:noWrap w:val="0"/>
            <w:vAlign w:val="center"/>
          </w:tcPr>
          <w:p w14:paraId="143CB627">
            <w:pPr>
              <w:keepNext w:val="0"/>
              <w:keepLines w:val="0"/>
              <w:bidi w:val="0"/>
              <w:spacing w:line="320" w:lineRule="atLeast"/>
              <w:jc w:val="center"/>
              <w:rPr>
                <w:rFonts w:hint="eastAsia" w:ascii="宋体" w:hAnsi="宋体" w:eastAsia="宋体" w:cs="宋体"/>
                <w:color w:val="auto"/>
                <w:kern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54A4DB05">
            <w:pPr>
              <w:keepNext w:val="0"/>
              <w:keepLines w:val="0"/>
              <w:bidi w:val="0"/>
              <w:spacing w:line="320" w:lineRule="atLeast"/>
              <w:jc w:val="center"/>
              <w:rPr>
                <w:rFonts w:hint="eastAsia" w:ascii="宋体" w:hAnsi="宋体" w:eastAsia="宋体" w:cs="宋体"/>
                <w:color w:val="auto"/>
                <w:kern w:val="21"/>
                <w:szCs w:val="21"/>
                <w:highlight w:val="none"/>
              </w:rPr>
            </w:pPr>
          </w:p>
        </w:tc>
        <w:tc>
          <w:tcPr>
            <w:tcW w:w="2965" w:type="dxa"/>
            <w:tcBorders>
              <w:top w:val="single" w:color="auto" w:sz="4" w:space="0"/>
              <w:left w:val="single" w:color="auto" w:sz="4" w:space="0"/>
              <w:bottom w:val="single" w:color="auto" w:sz="4" w:space="0"/>
              <w:right w:val="single" w:color="auto" w:sz="8" w:space="0"/>
            </w:tcBorders>
            <w:noWrap w:val="0"/>
            <w:vAlign w:val="center"/>
          </w:tcPr>
          <w:p w14:paraId="74A91497">
            <w:pPr>
              <w:keepNext w:val="0"/>
              <w:keepLines w:val="0"/>
              <w:bidi w:val="0"/>
              <w:spacing w:line="320" w:lineRule="atLeast"/>
              <w:jc w:val="center"/>
              <w:rPr>
                <w:rFonts w:hint="eastAsia" w:ascii="宋体" w:hAnsi="宋体" w:eastAsia="宋体" w:cs="宋体"/>
                <w:color w:val="auto"/>
                <w:kern w:val="21"/>
                <w:szCs w:val="21"/>
                <w:highlight w:val="none"/>
              </w:rPr>
            </w:pPr>
          </w:p>
        </w:tc>
      </w:tr>
      <w:tr w14:paraId="5B38E0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275EBDB5">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9421" w:type="dxa"/>
            <w:gridSpan w:val="3"/>
            <w:tcBorders>
              <w:top w:val="single" w:color="auto" w:sz="4" w:space="0"/>
              <w:left w:val="single" w:color="auto" w:sz="4" w:space="0"/>
              <w:bottom w:val="single" w:color="auto" w:sz="4" w:space="0"/>
              <w:right w:val="single" w:color="auto" w:sz="4" w:space="0"/>
            </w:tcBorders>
            <w:noWrap w:val="0"/>
            <w:vAlign w:val="center"/>
          </w:tcPr>
          <w:p w14:paraId="27033816">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合计（1+2+3+4+5+6）</w:t>
            </w:r>
          </w:p>
        </w:tc>
        <w:tc>
          <w:tcPr>
            <w:tcW w:w="2965" w:type="dxa"/>
            <w:tcBorders>
              <w:top w:val="single" w:color="auto" w:sz="4" w:space="0"/>
              <w:left w:val="single" w:color="auto" w:sz="4" w:space="0"/>
              <w:bottom w:val="single" w:color="auto" w:sz="4" w:space="0"/>
              <w:right w:val="single" w:color="auto" w:sz="8" w:space="0"/>
            </w:tcBorders>
            <w:noWrap w:val="0"/>
            <w:vAlign w:val="center"/>
          </w:tcPr>
          <w:p w14:paraId="7BCE4C3D">
            <w:pPr>
              <w:keepNext w:val="0"/>
              <w:keepLines w:val="0"/>
              <w:bidi w:val="0"/>
              <w:spacing w:line="320" w:lineRule="atLeast"/>
              <w:jc w:val="center"/>
              <w:rPr>
                <w:rFonts w:hint="eastAsia" w:ascii="宋体" w:hAnsi="宋体" w:eastAsia="宋体" w:cs="宋体"/>
                <w:color w:val="auto"/>
                <w:kern w:val="21"/>
                <w:szCs w:val="21"/>
                <w:highlight w:val="none"/>
              </w:rPr>
            </w:pPr>
          </w:p>
        </w:tc>
      </w:tr>
      <w:tr w14:paraId="6A80D0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0608F970">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9421" w:type="dxa"/>
            <w:gridSpan w:val="3"/>
            <w:tcBorders>
              <w:top w:val="single" w:color="auto" w:sz="4" w:space="0"/>
              <w:left w:val="single" w:color="auto" w:sz="4" w:space="0"/>
              <w:bottom w:val="single" w:color="auto" w:sz="4" w:space="0"/>
              <w:right w:val="single" w:color="auto" w:sz="4" w:space="0"/>
            </w:tcBorders>
            <w:noWrap w:val="0"/>
            <w:vAlign w:val="center"/>
          </w:tcPr>
          <w:p w14:paraId="5A08C14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暂列金额（7</w:t>
            </w:r>
            <w:r>
              <w:rPr>
                <w:rFonts w:hint="eastAsia" w:ascii="宋体" w:hAnsi="宋体" w:eastAsia="宋体" w:cs="宋体"/>
                <w:bCs/>
                <w:color w:val="auto"/>
                <w:kern w:val="21"/>
                <w:szCs w:val="21"/>
                <w:highlight w:val="none"/>
              </w:rPr>
              <w:t>×%</w:t>
            </w:r>
            <w:r>
              <w:rPr>
                <w:rFonts w:hint="eastAsia" w:ascii="宋体" w:hAnsi="宋体" w:eastAsia="宋体" w:cs="宋体"/>
                <w:color w:val="auto"/>
                <w:kern w:val="21"/>
                <w:szCs w:val="21"/>
                <w:highlight w:val="none"/>
              </w:rPr>
              <w:t>）</w:t>
            </w:r>
          </w:p>
        </w:tc>
        <w:tc>
          <w:tcPr>
            <w:tcW w:w="2965" w:type="dxa"/>
            <w:tcBorders>
              <w:top w:val="single" w:color="auto" w:sz="4" w:space="0"/>
              <w:left w:val="single" w:color="auto" w:sz="4" w:space="0"/>
              <w:bottom w:val="single" w:color="auto" w:sz="4" w:space="0"/>
              <w:right w:val="single" w:color="auto" w:sz="8" w:space="0"/>
            </w:tcBorders>
            <w:noWrap w:val="0"/>
            <w:vAlign w:val="center"/>
          </w:tcPr>
          <w:p w14:paraId="3600E559">
            <w:pPr>
              <w:keepNext w:val="0"/>
              <w:keepLines w:val="0"/>
              <w:bidi w:val="0"/>
              <w:spacing w:line="320" w:lineRule="atLeast"/>
              <w:jc w:val="center"/>
              <w:rPr>
                <w:rFonts w:hint="eastAsia" w:ascii="宋体" w:hAnsi="宋体" w:eastAsia="宋体" w:cs="宋体"/>
                <w:color w:val="auto"/>
                <w:kern w:val="21"/>
                <w:szCs w:val="21"/>
                <w:highlight w:val="none"/>
              </w:rPr>
            </w:pPr>
          </w:p>
        </w:tc>
      </w:tr>
      <w:tr w14:paraId="61C0C9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530F2F76">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9421" w:type="dxa"/>
            <w:gridSpan w:val="3"/>
            <w:tcBorders>
              <w:top w:val="single" w:color="auto" w:sz="4" w:space="0"/>
              <w:left w:val="single" w:color="auto" w:sz="4" w:space="0"/>
              <w:bottom w:val="single" w:color="auto" w:sz="4" w:space="0"/>
              <w:right w:val="single" w:color="auto" w:sz="4" w:space="0"/>
            </w:tcBorders>
            <w:noWrap w:val="0"/>
            <w:vAlign w:val="center"/>
          </w:tcPr>
          <w:p w14:paraId="2773F2B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监理奖金（7</w:t>
            </w:r>
            <w:r>
              <w:rPr>
                <w:rFonts w:hint="eastAsia" w:ascii="宋体" w:hAnsi="宋体" w:eastAsia="宋体" w:cs="宋体"/>
                <w:bCs/>
                <w:color w:val="auto"/>
                <w:kern w:val="21"/>
                <w:szCs w:val="21"/>
                <w:highlight w:val="none"/>
              </w:rPr>
              <w:t>×%</w:t>
            </w:r>
            <w:r>
              <w:rPr>
                <w:rFonts w:hint="eastAsia" w:ascii="宋体" w:hAnsi="宋体" w:eastAsia="宋体" w:cs="宋体"/>
                <w:color w:val="auto"/>
                <w:kern w:val="21"/>
                <w:szCs w:val="21"/>
                <w:highlight w:val="none"/>
              </w:rPr>
              <w:t>）</w:t>
            </w:r>
          </w:p>
        </w:tc>
        <w:tc>
          <w:tcPr>
            <w:tcW w:w="2965" w:type="dxa"/>
            <w:tcBorders>
              <w:top w:val="single" w:color="auto" w:sz="4" w:space="0"/>
              <w:left w:val="single" w:color="auto" w:sz="4" w:space="0"/>
              <w:bottom w:val="single" w:color="auto" w:sz="4" w:space="0"/>
              <w:right w:val="single" w:color="auto" w:sz="8" w:space="0"/>
            </w:tcBorders>
            <w:noWrap w:val="0"/>
            <w:vAlign w:val="center"/>
          </w:tcPr>
          <w:p w14:paraId="073601A6">
            <w:pPr>
              <w:keepNext w:val="0"/>
              <w:keepLines w:val="0"/>
              <w:bidi w:val="0"/>
              <w:spacing w:line="320" w:lineRule="atLeast"/>
              <w:jc w:val="center"/>
              <w:rPr>
                <w:rFonts w:hint="eastAsia" w:ascii="宋体" w:hAnsi="宋体" w:eastAsia="宋体" w:cs="宋体"/>
                <w:color w:val="auto"/>
                <w:kern w:val="21"/>
                <w:szCs w:val="21"/>
                <w:highlight w:val="none"/>
              </w:rPr>
            </w:pPr>
          </w:p>
        </w:tc>
      </w:tr>
      <w:tr w14:paraId="1843BC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132" w:type="dxa"/>
            <w:tcBorders>
              <w:top w:val="single" w:color="auto" w:sz="4" w:space="0"/>
              <w:left w:val="single" w:color="auto" w:sz="8" w:space="0"/>
              <w:bottom w:val="single" w:color="auto" w:sz="8" w:space="0"/>
              <w:right w:val="single" w:color="auto" w:sz="4" w:space="0"/>
            </w:tcBorders>
            <w:noWrap w:val="0"/>
            <w:vAlign w:val="center"/>
          </w:tcPr>
          <w:p w14:paraId="607FA79A">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10</w:t>
            </w:r>
          </w:p>
        </w:tc>
        <w:tc>
          <w:tcPr>
            <w:tcW w:w="9421" w:type="dxa"/>
            <w:gridSpan w:val="3"/>
            <w:tcBorders>
              <w:top w:val="single" w:color="auto" w:sz="4" w:space="0"/>
              <w:left w:val="single" w:color="auto" w:sz="4" w:space="0"/>
              <w:bottom w:val="single" w:color="auto" w:sz="8" w:space="0"/>
              <w:right w:val="single" w:color="auto" w:sz="4" w:space="0"/>
            </w:tcBorders>
            <w:noWrap w:val="0"/>
            <w:vAlign w:val="center"/>
          </w:tcPr>
          <w:p w14:paraId="2F78FF08">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投标报价总计（7+8+9）</w:t>
            </w:r>
          </w:p>
        </w:tc>
        <w:tc>
          <w:tcPr>
            <w:tcW w:w="2965" w:type="dxa"/>
            <w:tcBorders>
              <w:top w:val="single" w:color="auto" w:sz="4" w:space="0"/>
              <w:left w:val="single" w:color="auto" w:sz="4" w:space="0"/>
              <w:bottom w:val="single" w:color="auto" w:sz="8" w:space="0"/>
              <w:right w:val="single" w:color="auto" w:sz="8" w:space="0"/>
            </w:tcBorders>
            <w:noWrap w:val="0"/>
            <w:vAlign w:val="center"/>
          </w:tcPr>
          <w:p w14:paraId="50136667">
            <w:pPr>
              <w:keepNext w:val="0"/>
              <w:keepLines w:val="0"/>
              <w:bidi w:val="0"/>
              <w:spacing w:line="320" w:lineRule="atLeast"/>
              <w:jc w:val="center"/>
              <w:rPr>
                <w:rFonts w:hint="eastAsia" w:ascii="宋体" w:hAnsi="宋体" w:eastAsia="宋体" w:cs="宋体"/>
                <w:color w:val="auto"/>
                <w:kern w:val="21"/>
                <w:szCs w:val="21"/>
                <w:highlight w:val="none"/>
              </w:rPr>
            </w:pPr>
          </w:p>
        </w:tc>
      </w:tr>
    </w:tbl>
    <w:p w14:paraId="5EE83451">
      <w:pPr>
        <w:keepNext w:val="0"/>
        <w:keepLines w:val="0"/>
        <w:bidi w:val="0"/>
        <w:spacing w:line="360" w:lineRule="auto"/>
        <w:rPr>
          <w:rFonts w:hint="eastAsia" w:ascii="宋体" w:hAnsi="宋体" w:eastAsia="宋体" w:cs="宋体"/>
          <w:b/>
          <w:bCs/>
          <w:color w:val="auto"/>
          <w:kern w:val="21"/>
          <w:highlight w:val="none"/>
        </w:rPr>
      </w:pPr>
    </w:p>
    <w:p w14:paraId="6C960943">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表2监理人员服务费报价表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3046"/>
        <w:gridCol w:w="1733"/>
        <w:gridCol w:w="1734"/>
        <w:gridCol w:w="1736"/>
        <w:gridCol w:w="1733"/>
        <w:gridCol w:w="1733"/>
        <w:gridCol w:w="1739"/>
      </w:tblGrid>
      <w:tr w14:paraId="5A29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vMerge w:val="restart"/>
            <w:tcBorders>
              <w:top w:val="single" w:color="auto" w:sz="4" w:space="0"/>
              <w:left w:val="single" w:color="auto" w:sz="4" w:space="0"/>
              <w:bottom w:val="single" w:color="auto" w:sz="4" w:space="0"/>
              <w:right w:val="single" w:color="auto" w:sz="4" w:space="0"/>
            </w:tcBorders>
            <w:noWrap w:val="0"/>
            <w:vAlign w:val="center"/>
          </w:tcPr>
          <w:p w14:paraId="795A372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3046" w:type="dxa"/>
            <w:vMerge w:val="restart"/>
            <w:tcBorders>
              <w:top w:val="single" w:color="auto" w:sz="4" w:space="0"/>
              <w:left w:val="single" w:color="auto" w:sz="4" w:space="0"/>
              <w:bottom w:val="single" w:color="auto" w:sz="4" w:space="0"/>
              <w:right w:val="single" w:color="auto" w:sz="4" w:space="0"/>
            </w:tcBorders>
            <w:noWrap w:val="0"/>
            <w:vAlign w:val="center"/>
          </w:tcPr>
          <w:p w14:paraId="5FCCC5C2">
            <w:pPr>
              <w:keepNext w:val="0"/>
              <w:keepLines w:val="0"/>
              <w:bidi w:val="0"/>
              <w:spacing w:after="24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人员</w:t>
            </w:r>
          </w:p>
        </w:tc>
        <w:tc>
          <w:tcPr>
            <w:tcW w:w="5203" w:type="dxa"/>
            <w:gridSpan w:val="3"/>
            <w:tcBorders>
              <w:top w:val="single" w:color="auto" w:sz="4" w:space="0"/>
              <w:left w:val="single" w:color="auto" w:sz="4" w:space="0"/>
              <w:bottom w:val="single" w:color="auto" w:sz="4" w:space="0"/>
              <w:right w:val="single" w:color="auto" w:sz="4" w:space="0"/>
            </w:tcBorders>
            <w:noWrap w:val="0"/>
            <w:vAlign w:val="center"/>
          </w:tcPr>
          <w:p w14:paraId="0EC60AEB">
            <w:pPr>
              <w:keepNext w:val="0"/>
              <w:keepLines w:val="0"/>
              <w:bidi w:val="0"/>
              <w:ind w:left="-52" w:right="-52"/>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5205" w:type="dxa"/>
            <w:gridSpan w:val="3"/>
            <w:tcBorders>
              <w:top w:val="single" w:color="auto" w:sz="4" w:space="0"/>
              <w:left w:val="single" w:color="auto" w:sz="4" w:space="0"/>
              <w:bottom w:val="single" w:color="auto" w:sz="4" w:space="0"/>
              <w:right w:val="single" w:color="auto" w:sz="4" w:space="0"/>
            </w:tcBorders>
            <w:noWrap w:val="0"/>
            <w:vAlign w:val="center"/>
          </w:tcPr>
          <w:p w14:paraId="00326496">
            <w:pPr>
              <w:keepNext w:val="0"/>
              <w:keepLines w:val="0"/>
              <w:bidi w:val="0"/>
              <w:ind w:left="-66" w:right="-105"/>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32F5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644" w:type="dxa"/>
            <w:vMerge w:val="continue"/>
            <w:tcBorders>
              <w:top w:val="single" w:color="auto" w:sz="4" w:space="0"/>
              <w:left w:val="single" w:color="auto" w:sz="4" w:space="0"/>
              <w:bottom w:val="single" w:color="auto" w:sz="4" w:space="0"/>
              <w:right w:val="single" w:color="auto" w:sz="4" w:space="0"/>
            </w:tcBorders>
            <w:noWrap w:val="0"/>
            <w:vAlign w:val="center"/>
          </w:tcPr>
          <w:p w14:paraId="4C0F06A1">
            <w:pPr>
              <w:keepNext w:val="0"/>
              <w:keepLines w:val="0"/>
              <w:bidi w:val="0"/>
              <w:rPr>
                <w:rFonts w:hint="eastAsia" w:ascii="宋体" w:hAnsi="宋体" w:eastAsia="宋体" w:cs="宋体"/>
                <w:color w:val="auto"/>
                <w:kern w:val="21"/>
                <w:szCs w:val="21"/>
                <w:highlight w:val="none"/>
              </w:rPr>
            </w:pPr>
          </w:p>
        </w:tc>
        <w:tc>
          <w:tcPr>
            <w:tcW w:w="3046" w:type="dxa"/>
            <w:vMerge w:val="continue"/>
            <w:tcBorders>
              <w:top w:val="single" w:color="auto" w:sz="4" w:space="0"/>
              <w:left w:val="single" w:color="auto" w:sz="4" w:space="0"/>
              <w:bottom w:val="single" w:color="auto" w:sz="4" w:space="0"/>
              <w:right w:val="single" w:color="auto" w:sz="4" w:space="0"/>
            </w:tcBorders>
            <w:noWrap w:val="0"/>
            <w:vAlign w:val="center"/>
          </w:tcPr>
          <w:p w14:paraId="593531E0">
            <w:pPr>
              <w:keepNext w:val="0"/>
              <w:keepLines w:val="0"/>
              <w:bidi w:val="0"/>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D45630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4651C30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单价（元/人·月）</w:t>
            </w:r>
          </w:p>
        </w:tc>
        <w:tc>
          <w:tcPr>
            <w:tcW w:w="1736" w:type="dxa"/>
            <w:tcBorders>
              <w:top w:val="single" w:color="auto" w:sz="4" w:space="0"/>
              <w:left w:val="single" w:color="auto" w:sz="4" w:space="0"/>
              <w:bottom w:val="single" w:color="auto" w:sz="4" w:space="0"/>
              <w:right w:val="single" w:color="auto" w:sz="4" w:space="0"/>
            </w:tcBorders>
            <w:noWrap w:val="0"/>
            <w:vAlign w:val="center"/>
          </w:tcPr>
          <w:p w14:paraId="18E477E6">
            <w:pPr>
              <w:keepNext w:val="0"/>
              <w:keepLines w:val="0"/>
              <w:bidi w:val="0"/>
              <w:ind w:left="-52" w:right="-52"/>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金额（元）</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889FC3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68FC2E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单价（元/人·月）</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75870862">
            <w:pPr>
              <w:keepNext w:val="0"/>
              <w:keepLines w:val="0"/>
              <w:bidi w:val="0"/>
              <w:ind w:left="-66" w:right="-105"/>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金额（元）</w:t>
            </w:r>
          </w:p>
        </w:tc>
      </w:tr>
      <w:tr w14:paraId="76A0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562F2C2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24944F34">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总监理工程师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95F3398">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09CA245">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4CB92988">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47A4E27">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ABECBAB">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24F3431D">
            <w:pPr>
              <w:keepNext w:val="0"/>
              <w:keepLines w:val="0"/>
              <w:bidi w:val="0"/>
              <w:jc w:val="center"/>
              <w:rPr>
                <w:rFonts w:hint="eastAsia" w:ascii="宋体" w:hAnsi="宋体" w:eastAsia="宋体" w:cs="宋体"/>
                <w:color w:val="auto"/>
                <w:kern w:val="21"/>
                <w:szCs w:val="21"/>
                <w:highlight w:val="none"/>
              </w:rPr>
            </w:pPr>
          </w:p>
        </w:tc>
      </w:tr>
      <w:tr w14:paraId="28E5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296032E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7778046D">
            <w:pPr>
              <w:keepNext w:val="0"/>
              <w:keepLines w:val="0"/>
              <w:bidi w:val="0"/>
              <w:adjustRightInd w:val="0"/>
              <w:snapToGrid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49E8366">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AF81CC3">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592976C6">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652DAC8C">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05FBFA1">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0AB5BA76">
            <w:pPr>
              <w:keepNext w:val="0"/>
              <w:keepLines w:val="0"/>
              <w:bidi w:val="0"/>
              <w:jc w:val="center"/>
              <w:rPr>
                <w:rFonts w:hint="eastAsia" w:ascii="宋体" w:hAnsi="宋体" w:eastAsia="宋体" w:cs="宋体"/>
                <w:color w:val="auto"/>
                <w:kern w:val="21"/>
                <w:szCs w:val="21"/>
                <w:highlight w:val="none"/>
              </w:rPr>
            </w:pPr>
          </w:p>
        </w:tc>
      </w:tr>
      <w:tr w14:paraId="0CAF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356E0EA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03B71CEF">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313C0335">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1AB7D19">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41191294">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227F53B">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1DEEC79">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67841902">
            <w:pPr>
              <w:keepNext w:val="0"/>
              <w:keepLines w:val="0"/>
              <w:bidi w:val="0"/>
              <w:jc w:val="center"/>
              <w:rPr>
                <w:rFonts w:hint="eastAsia" w:ascii="宋体" w:hAnsi="宋体" w:eastAsia="宋体" w:cs="宋体"/>
                <w:color w:val="auto"/>
                <w:kern w:val="21"/>
                <w:szCs w:val="21"/>
                <w:highlight w:val="none"/>
              </w:rPr>
            </w:pPr>
          </w:p>
        </w:tc>
      </w:tr>
      <w:tr w14:paraId="5B79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6B89A80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22C45749">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B2C1DF8">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7667549F">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690F8EDF">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B76131E">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350CCB79">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6FBF6081">
            <w:pPr>
              <w:keepNext w:val="0"/>
              <w:keepLines w:val="0"/>
              <w:bidi w:val="0"/>
              <w:jc w:val="center"/>
              <w:rPr>
                <w:rFonts w:hint="eastAsia" w:ascii="宋体" w:hAnsi="宋体" w:eastAsia="宋体" w:cs="宋体"/>
                <w:color w:val="auto"/>
                <w:kern w:val="21"/>
                <w:szCs w:val="21"/>
                <w:highlight w:val="none"/>
              </w:rPr>
            </w:pPr>
          </w:p>
        </w:tc>
      </w:tr>
      <w:tr w14:paraId="50FC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668829E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73FBC8CC">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FF6D880">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3C914564">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5D29A493">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6AD07A36">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3680A593">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0365BE62">
            <w:pPr>
              <w:keepNext w:val="0"/>
              <w:keepLines w:val="0"/>
              <w:bidi w:val="0"/>
              <w:jc w:val="center"/>
              <w:rPr>
                <w:rFonts w:hint="eastAsia" w:ascii="宋体" w:hAnsi="宋体" w:eastAsia="宋体" w:cs="宋体"/>
                <w:color w:val="auto"/>
                <w:kern w:val="21"/>
                <w:szCs w:val="21"/>
                <w:highlight w:val="none"/>
              </w:rPr>
            </w:pPr>
          </w:p>
        </w:tc>
      </w:tr>
      <w:tr w14:paraId="51A2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7E5BEC55">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0BEE65D6">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6CFBA598">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2BD741F8">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27996299">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1C0F898F">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4E10498">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3C61161B">
            <w:pPr>
              <w:keepNext w:val="0"/>
              <w:keepLines w:val="0"/>
              <w:bidi w:val="0"/>
              <w:jc w:val="center"/>
              <w:rPr>
                <w:rFonts w:hint="eastAsia" w:ascii="宋体" w:hAnsi="宋体" w:eastAsia="宋体" w:cs="宋体"/>
                <w:color w:val="auto"/>
                <w:kern w:val="21"/>
                <w:szCs w:val="21"/>
                <w:highlight w:val="none"/>
              </w:rPr>
            </w:pPr>
          </w:p>
        </w:tc>
      </w:tr>
      <w:tr w14:paraId="63EF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18AA567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0AF59939">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7B3D289B">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31F6D62">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085C57BA">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8EF38B7">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6EEA9CCF">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389AC9A1">
            <w:pPr>
              <w:keepNext w:val="0"/>
              <w:keepLines w:val="0"/>
              <w:bidi w:val="0"/>
              <w:jc w:val="center"/>
              <w:rPr>
                <w:rFonts w:hint="eastAsia" w:ascii="宋体" w:hAnsi="宋体" w:eastAsia="宋体" w:cs="宋体"/>
                <w:color w:val="auto"/>
                <w:kern w:val="21"/>
                <w:szCs w:val="21"/>
                <w:highlight w:val="none"/>
              </w:rPr>
            </w:pPr>
          </w:p>
        </w:tc>
      </w:tr>
      <w:tr w14:paraId="279F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16209E8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25C7D21E">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442C764">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599782E">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54763079">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769621F4">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3165A30B">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6A3C54FD">
            <w:pPr>
              <w:keepNext w:val="0"/>
              <w:keepLines w:val="0"/>
              <w:bidi w:val="0"/>
              <w:jc w:val="center"/>
              <w:rPr>
                <w:rFonts w:hint="eastAsia" w:ascii="宋体" w:hAnsi="宋体" w:eastAsia="宋体" w:cs="宋体"/>
                <w:color w:val="auto"/>
                <w:kern w:val="21"/>
                <w:szCs w:val="21"/>
                <w:highlight w:val="none"/>
              </w:rPr>
            </w:pPr>
          </w:p>
        </w:tc>
      </w:tr>
      <w:tr w14:paraId="2DBB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2FBB5E7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5B1C3E3D">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4DD1E7E">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4A284938">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2E68E3FE">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96B69AF">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8AE014D">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68A3C468">
            <w:pPr>
              <w:keepNext w:val="0"/>
              <w:keepLines w:val="0"/>
              <w:bidi w:val="0"/>
              <w:jc w:val="center"/>
              <w:rPr>
                <w:rFonts w:hint="eastAsia" w:ascii="宋体" w:hAnsi="宋体" w:eastAsia="宋体" w:cs="宋体"/>
                <w:color w:val="auto"/>
                <w:kern w:val="21"/>
                <w:szCs w:val="21"/>
                <w:highlight w:val="none"/>
              </w:rPr>
            </w:pPr>
          </w:p>
        </w:tc>
      </w:tr>
      <w:tr w14:paraId="41D3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12A2703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10</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25521E35">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BABDE92">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6A5965E2">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70C7C500">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3257570F">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BDB87AC">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710A36C3">
            <w:pPr>
              <w:keepNext w:val="0"/>
              <w:keepLines w:val="0"/>
              <w:bidi w:val="0"/>
              <w:jc w:val="center"/>
              <w:rPr>
                <w:rFonts w:hint="eastAsia" w:ascii="宋体" w:hAnsi="宋体" w:eastAsia="宋体" w:cs="宋体"/>
                <w:color w:val="auto"/>
                <w:kern w:val="21"/>
                <w:szCs w:val="21"/>
                <w:highlight w:val="none"/>
              </w:rPr>
            </w:pPr>
          </w:p>
        </w:tc>
      </w:tr>
      <w:tr w14:paraId="51D6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183B610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11</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70677CF6">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4A1B158">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334C6BD7">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09A4F4A5">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1952D7C">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3F05A2C3">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79286BA5">
            <w:pPr>
              <w:keepNext w:val="0"/>
              <w:keepLines w:val="0"/>
              <w:bidi w:val="0"/>
              <w:jc w:val="center"/>
              <w:rPr>
                <w:rFonts w:hint="eastAsia" w:ascii="宋体" w:hAnsi="宋体" w:eastAsia="宋体" w:cs="宋体"/>
                <w:color w:val="auto"/>
                <w:kern w:val="21"/>
                <w:szCs w:val="21"/>
                <w:highlight w:val="none"/>
              </w:rPr>
            </w:pPr>
          </w:p>
        </w:tc>
      </w:tr>
      <w:tr w14:paraId="692D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1CC4760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12</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73026B7C">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66A7A4D">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76704B1B">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40CA3234">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DE07E99">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C586F09">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7FE4EDAF">
            <w:pPr>
              <w:keepNext w:val="0"/>
              <w:keepLines w:val="0"/>
              <w:bidi w:val="0"/>
              <w:jc w:val="center"/>
              <w:rPr>
                <w:rFonts w:hint="eastAsia" w:ascii="宋体" w:hAnsi="宋体" w:eastAsia="宋体" w:cs="宋体"/>
                <w:color w:val="auto"/>
                <w:kern w:val="21"/>
                <w:szCs w:val="21"/>
                <w:highlight w:val="none"/>
              </w:rPr>
            </w:pPr>
          </w:p>
        </w:tc>
      </w:tr>
      <w:tr w14:paraId="6C0A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3690" w:type="dxa"/>
            <w:gridSpan w:val="2"/>
            <w:tcBorders>
              <w:top w:val="single" w:color="auto" w:sz="4" w:space="0"/>
              <w:left w:val="single" w:color="auto" w:sz="4" w:space="0"/>
              <w:bottom w:val="single" w:color="auto" w:sz="4" w:space="0"/>
              <w:right w:val="single" w:color="auto" w:sz="4" w:space="0"/>
            </w:tcBorders>
            <w:noWrap w:val="0"/>
            <w:vAlign w:val="center"/>
          </w:tcPr>
          <w:p w14:paraId="29D88BA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8D93E5F">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20C4EABC">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57F75D40">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656AD09B">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E4F7AB7">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2E08AA08">
            <w:pPr>
              <w:keepNext w:val="0"/>
              <w:keepLines w:val="0"/>
              <w:bidi w:val="0"/>
              <w:jc w:val="center"/>
              <w:rPr>
                <w:rFonts w:hint="eastAsia" w:ascii="宋体" w:hAnsi="宋体" w:eastAsia="宋体" w:cs="宋体"/>
                <w:color w:val="auto"/>
                <w:kern w:val="21"/>
                <w:szCs w:val="21"/>
                <w:highlight w:val="none"/>
              </w:rPr>
            </w:pPr>
          </w:p>
        </w:tc>
      </w:tr>
    </w:tbl>
    <w:p w14:paraId="371A4AE0">
      <w:pPr>
        <w:keepNext w:val="0"/>
        <w:keepLines w:val="0"/>
        <w:bidi w:val="0"/>
        <w:spacing w:line="360" w:lineRule="auto"/>
        <w:rPr>
          <w:rFonts w:hint="eastAsia" w:ascii="宋体" w:hAnsi="宋体" w:eastAsia="宋体" w:cs="宋体"/>
          <w:b/>
          <w:bCs/>
          <w:color w:val="auto"/>
          <w:kern w:val="21"/>
          <w:highlight w:val="none"/>
        </w:rPr>
      </w:pPr>
    </w:p>
    <w:p w14:paraId="27FFC109">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表3监理工程师办公设施费报价表</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026"/>
        <w:gridCol w:w="727"/>
        <w:gridCol w:w="1103"/>
        <w:gridCol w:w="928"/>
        <w:gridCol w:w="976"/>
        <w:gridCol w:w="1522"/>
        <w:gridCol w:w="1215"/>
        <w:gridCol w:w="1115"/>
        <w:gridCol w:w="1063"/>
        <w:gridCol w:w="1003"/>
        <w:gridCol w:w="879"/>
        <w:gridCol w:w="1563"/>
      </w:tblGrid>
      <w:tr w14:paraId="5B714A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599" w:type="dxa"/>
            <w:vMerge w:val="restart"/>
            <w:tcBorders>
              <w:top w:val="single" w:color="auto" w:sz="8" w:space="0"/>
              <w:left w:val="single" w:color="auto" w:sz="8" w:space="0"/>
              <w:bottom w:val="single" w:color="auto" w:sz="4" w:space="0"/>
              <w:right w:val="single" w:color="auto" w:sz="4" w:space="0"/>
            </w:tcBorders>
            <w:noWrap w:val="0"/>
            <w:vAlign w:val="center"/>
          </w:tcPr>
          <w:p w14:paraId="594CCC8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6282" w:type="dxa"/>
            <w:gridSpan w:val="6"/>
            <w:tcBorders>
              <w:top w:val="single" w:color="auto" w:sz="8" w:space="0"/>
              <w:left w:val="single" w:color="auto" w:sz="4" w:space="0"/>
              <w:bottom w:val="single" w:color="auto" w:sz="4" w:space="0"/>
              <w:right w:val="single" w:color="auto" w:sz="4" w:space="0"/>
            </w:tcBorders>
            <w:noWrap w:val="0"/>
            <w:vAlign w:val="center"/>
          </w:tcPr>
          <w:p w14:paraId="7A4BBE8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6838" w:type="dxa"/>
            <w:gridSpan w:val="6"/>
            <w:tcBorders>
              <w:top w:val="single" w:color="auto" w:sz="8" w:space="0"/>
              <w:left w:val="single" w:color="auto" w:sz="4" w:space="0"/>
              <w:bottom w:val="single" w:color="auto" w:sz="4" w:space="0"/>
              <w:right w:val="single" w:color="auto" w:sz="8" w:space="0"/>
            </w:tcBorders>
            <w:noWrap w:val="0"/>
            <w:vAlign w:val="center"/>
          </w:tcPr>
          <w:p w14:paraId="6221789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2C4BC0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85" w:hRule="atLeast"/>
          <w:jc w:val="center"/>
        </w:trPr>
        <w:tc>
          <w:tcPr>
            <w:tcW w:w="599" w:type="dxa"/>
            <w:vMerge w:val="continue"/>
            <w:tcBorders>
              <w:top w:val="single" w:color="auto" w:sz="8" w:space="0"/>
              <w:left w:val="single" w:color="auto" w:sz="8" w:space="0"/>
              <w:bottom w:val="single" w:color="auto" w:sz="4" w:space="0"/>
              <w:right w:val="single" w:color="auto" w:sz="4" w:space="0"/>
            </w:tcBorders>
            <w:noWrap w:val="0"/>
            <w:vAlign w:val="center"/>
          </w:tcPr>
          <w:p w14:paraId="0082DA83">
            <w:pPr>
              <w:keepNext w:val="0"/>
              <w:keepLines w:val="0"/>
              <w:bidi w:val="0"/>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5DFDC3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727" w:type="dxa"/>
            <w:tcBorders>
              <w:top w:val="single" w:color="auto" w:sz="4" w:space="0"/>
              <w:left w:val="single" w:color="auto" w:sz="4" w:space="0"/>
              <w:bottom w:val="single" w:color="auto" w:sz="4" w:space="0"/>
              <w:right w:val="single" w:color="auto" w:sz="4" w:space="0"/>
            </w:tcBorders>
            <w:noWrap w:val="0"/>
            <w:vAlign w:val="center"/>
          </w:tcPr>
          <w:p w14:paraId="6C5152E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24C5170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2FEC84D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4515724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522" w:type="dxa"/>
            <w:tcBorders>
              <w:top w:val="single" w:color="auto" w:sz="4" w:space="0"/>
              <w:left w:val="single" w:color="auto" w:sz="4" w:space="0"/>
              <w:bottom w:val="single" w:color="auto" w:sz="4" w:space="0"/>
              <w:right w:val="single" w:color="auto" w:sz="4" w:space="0"/>
            </w:tcBorders>
            <w:noWrap w:val="0"/>
            <w:vAlign w:val="center"/>
          </w:tcPr>
          <w:p w14:paraId="3E57400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43CE434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414BD070">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1115" w:type="dxa"/>
            <w:tcBorders>
              <w:top w:val="single" w:color="auto" w:sz="4" w:space="0"/>
              <w:left w:val="single" w:color="auto" w:sz="4" w:space="0"/>
              <w:bottom w:val="single" w:color="auto" w:sz="4" w:space="0"/>
              <w:right w:val="single" w:color="auto" w:sz="4" w:space="0"/>
            </w:tcBorders>
            <w:noWrap w:val="0"/>
            <w:vAlign w:val="center"/>
          </w:tcPr>
          <w:p w14:paraId="20B8878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3BD3A31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04E022A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76AA0CA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563" w:type="dxa"/>
            <w:tcBorders>
              <w:top w:val="single" w:color="auto" w:sz="4" w:space="0"/>
              <w:left w:val="single" w:color="auto" w:sz="4" w:space="0"/>
              <w:bottom w:val="single" w:color="auto" w:sz="4" w:space="0"/>
              <w:right w:val="single" w:color="auto" w:sz="8" w:space="0"/>
            </w:tcBorders>
            <w:noWrap w:val="0"/>
            <w:vAlign w:val="center"/>
          </w:tcPr>
          <w:p w14:paraId="23364C1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448C6A2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r>
      <w:tr w14:paraId="76F657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1744140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7F74E9E">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7F6114ED">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0B04742D">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5AB53119">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5EB0F5A4">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21B09BF3">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46B7C2A">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449D6C9B">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41A1FDF4">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2AC06719">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3BBC28EA">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4DD5AEDE">
            <w:pPr>
              <w:keepNext w:val="0"/>
              <w:keepLines w:val="0"/>
              <w:bidi w:val="0"/>
              <w:jc w:val="center"/>
              <w:rPr>
                <w:rFonts w:hint="eastAsia" w:ascii="宋体" w:hAnsi="宋体" w:eastAsia="宋体" w:cs="宋体"/>
                <w:color w:val="auto"/>
                <w:kern w:val="21"/>
                <w:szCs w:val="21"/>
                <w:highlight w:val="none"/>
              </w:rPr>
            </w:pPr>
          </w:p>
        </w:tc>
      </w:tr>
      <w:tr w14:paraId="3CA72A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06E6605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45564D9">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21D81841">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4C5D186B">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30286481">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4B999F7B">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0F79C880">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4B3C55F">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2B57AE53">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70A72512">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12BD7F67">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50D36F69">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57E08FBF">
            <w:pPr>
              <w:keepNext w:val="0"/>
              <w:keepLines w:val="0"/>
              <w:bidi w:val="0"/>
              <w:jc w:val="center"/>
              <w:rPr>
                <w:rFonts w:hint="eastAsia" w:ascii="宋体" w:hAnsi="宋体" w:eastAsia="宋体" w:cs="宋体"/>
                <w:color w:val="auto"/>
                <w:kern w:val="21"/>
                <w:szCs w:val="21"/>
                <w:highlight w:val="none"/>
              </w:rPr>
            </w:pPr>
          </w:p>
        </w:tc>
      </w:tr>
      <w:tr w14:paraId="70D008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209FA01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5259DCA">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65896645">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53B63C82">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72F3C905">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4C07E41F">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31DB0B46">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E1B83A2">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28DA960B">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2686B87B">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23868141">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3F78C12F">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66F25044">
            <w:pPr>
              <w:keepNext w:val="0"/>
              <w:keepLines w:val="0"/>
              <w:bidi w:val="0"/>
              <w:jc w:val="center"/>
              <w:rPr>
                <w:rFonts w:hint="eastAsia" w:ascii="宋体" w:hAnsi="宋体" w:eastAsia="宋体" w:cs="宋体"/>
                <w:color w:val="auto"/>
                <w:kern w:val="21"/>
                <w:szCs w:val="21"/>
                <w:highlight w:val="none"/>
              </w:rPr>
            </w:pPr>
          </w:p>
        </w:tc>
      </w:tr>
      <w:tr w14:paraId="3C5EC7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18A3F1E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E4D4525">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4450AB59">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603DBC83">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705967F6">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04D5FD87">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3368220D">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220A448">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1F50CAD8">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78D147A1">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437EA71F">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260FCB48">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301B734A">
            <w:pPr>
              <w:keepNext w:val="0"/>
              <w:keepLines w:val="0"/>
              <w:bidi w:val="0"/>
              <w:jc w:val="center"/>
              <w:rPr>
                <w:rFonts w:hint="eastAsia" w:ascii="宋体" w:hAnsi="宋体" w:eastAsia="宋体" w:cs="宋体"/>
                <w:color w:val="auto"/>
                <w:kern w:val="21"/>
                <w:szCs w:val="21"/>
                <w:highlight w:val="none"/>
              </w:rPr>
            </w:pPr>
          </w:p>
        </w:tc>
      </w:tr>
      <w:tr w14:paraId="53B9C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2A477C1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E3278EA">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47334582">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5BD5291D">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4E2E4CC5">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5D88A569">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73D43297">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B05AB82">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167F3DF9">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1CBBB6B">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135CCB18">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04BCB66F">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79CC9F8B">
            <w:pPr>
              <w:keepNext w:val="0"/>
              <w:keepLines w:val="0"/>
              <w:bidi w:val="0"/>
              <w:jc w:val="center"/>
              <w:rPr>
                <w:rFonts w:hint="eastAsia" w:ascii="宋体" w:hAnsi="宋体" w:eastAsia="宋体" w:cs="宋体"/>
                <w:color w:val="auto"/>
                <w:kern w:val="21"/>
                <w:szCs w:val="21"/>
                <w:highlight w:val="none"/>
              </w:rPr>
            </w:pPr>
          </w:p>
        </w:tc>
      </w:tr>
      <w:tr w14:paraId="043CE9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7733235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FD52E7E">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3BF0298E">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5DD83154">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2571355C">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5D1707BD">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4966C625">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21E8D13">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35F6FFD8">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3F99FE12">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540AA285">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126FA908">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1628FC17">
            <w:pPr>
              <w:keepNext w:val="0"/>
              <w:keepLines w:val="0"/>
              <w:bidi w:val="0"/>
              <w:jc w:val="center"/>
              <w:rPr>
                <w:rFonts w:hint="eastAsia" w:ascii="宋体" w:hAnsi="宋体" w:eastAsia="宋体" w:cs="宋体"/>
                <w:color w:val="auto"/>
                <w:kern w:val="21"/>
                <w:szCs w:val="21"/>
                <w:highlight w:val="none"/>
              </w:rPr>
            </w:pPr>
          </w:p>
        </w:tc>
      </w:tr>
      <w:tr w14:paraId="54296C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5AD02F6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F7256C8">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511B9061">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45956335">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32C0450F">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28BB33B7">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0975091B">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725D896">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7B75DB45">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67295832">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00189502">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2860023C">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3B15C6FE">
            <w:pPr>
              <w:keepNext w:val="0"/>
              <w:keepLines w:val="0"/>
              <w:bidi w:val="0"/>
              <w:jc w:val="center"/>
              <w:rPr>
                <w:rFonts w:hint="eastAsia" w:ascii="宋体" w:hAnsi="宋体" w:eastAsia="宋体" w:cs="宋体"/>
                <w:color w:val="auto"/>
                <w:kern w:val="21"/>
                <w:szCs w:val="21"/>
                <w:highlight w:val="none"/>
              </w:rPr>
            </w:pPr>
          </w:p>
        </w:tc>
      </w:tr>
      <w:tr w14:paraId="4159F2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3A238F9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56A32E1">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70E25696">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28DBEA55">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11938167">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6362F351">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73C18965">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409779E1">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09E80AF5">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2F5FFC30">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34963573">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2DA4735B">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439170FB">
            <w:pPr>
              <w:keepNext w:val="0"/>
              <w:keepLines w:val="0"/>
              <w:bidi w:val="0"/>
              <w:jc w:val="center"/>
              <w:rPr>
                <w:rFonts w:hint="eastAsia" w:ascii="宋体" w:hAnsi="宋体" w:eastAsia="宋体" w:cs="宋体"/>
                <w:color w:val="auto"/>
                <w:kern w:val="21"/>
                <w:szCs w:val="21"/>
                <w:highlight w:val="none"/>
              </w:rPr>
            </w:pPr>
          </w:p>
        </w:tc>
      </w:tr>
      <w:tr w14:paraId="2565B9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2D1497F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DFFF145">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5E6F7D81">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61A906CB">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4FB06255">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22D05DFE">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71D641BB">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642A13EF">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1BB8B4C5">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226A6F9">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757EA8A9">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5B5320FD">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26414F01">
            <w:pPr>
              <w:keepNext w:val="0"/>
              <w:keepLines w:val="0"/>
              <w:bidi w:val="0"/>
              <w:jc w:val="center"/>
              <w:rPr>
                <w:rFonts w:hint="eastAsia" w:ascii="宋体" w:hAnsi="宋体" w:eastAsia="宋体" w:cs="宋体"/>
                <w:color w:val="auto"/>
                <w:kern w:val="21"/>
                <w:szCs w:val="21"/>
                <w:highlight w:val="none"/>
              </w:rPr>
            </w:pPr>
          </w:p>
        </w:tc>
      </w:tr>
      <w:tr w14:paraId="4351F0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5168CAF8">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51354E8">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3448D8CE">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7E373C94">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039A6EB4">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3EAED6BD">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0976E80A">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C2AC14B">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6D0E61C4">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6530AED2">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58099D1D">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69D4C7C6">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228CEEAD">
            <w:pPr>
              <w:keepNext w:val="0"/>
              <w:keepLines w:val="0"/>
              <w:bidi w:val="0"/>
              <w:jc w:val="center"/>
              <w:rPr>
                <w:rFonts w:hint="eastAsia" w:ascii="宋体" w:hAnsi="宋体" w:eastAsia="宋体" w:cs="宋体"/>
                <w:color w:val="auto"/>
                <w:kern w:val="21"/>
                <w:szCs w:val="21"/>
                <w:highlight w:val="none"/>
              </w:rPr>
            </w:pPr>
          </w:p>
        </w:tc>
      </w:tr>
      <w:tr w14:paraId="527036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3455" w:type="dxa"/>
            <w:gridSpan w:val="4"/>
            <w:tcBorders>
              <w:top w:val="single" w:color="auto" w:sz="4" w:space="0"/>
              <w:left w:val="single" w:color="auto" w:sz="8" w:space="0"/>
              <w:bottom w:val="single" w:color="auto" w:sz="8" w:space="0"/>
              <w:right w:val="single" w:color="auto" w:sz="4" w:space="0"/>
            </w:tcBorders>
            <w:noWrap w:val="0"/>
            <w:vAlign w:val="center"/>
          </w:tcPr>
          <w:p w14:paraId="0EBE7DC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928" w:type="dxa"/>
            <w:tcBorders>
              <w:top w:val="single" w:color="auto" w:sz="4" w:space="0"/>
              <w:left w:val="single" w:color="auto" w:sz="4" w:space="0"/>
              <w:bottom w:val="single" w:color="auto" w:sz="8" w:space="0"/>
              <w:right w:val="single" w:color="auto" w:sz="4" w:space="0"/>
            </w:tcBorders>
            <w:noWrap w:val="0"/>
            <w:vAlign w:val="center"/>
          </w:tcPr>
          <w:p w14:paraId="1C75B0F7">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8" w:space="0"/>
              <w:right w:val="single" w:color="auto" w:sz="4" w:space="0"/>
            </w:tcBorders>
            <w:noWrap w:val="0"/>
            <w:vAlign w:val="center"/>
          </w:tcPr>
          <w:p w14:paraId="64CDBF9C">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8" w:space="0"/>
              <w:right w:val="single" w:color="auto" w:sz="4" w:space="0"/>
            </w:tcBorders>
            <w:noWrap w:val="0"/>
            <w:vAlign w:val="center"/>
          </w:tcPr>
          <w:p w14:paraId="1E6774B1">
            <w:pPr>
              <w:keepNext w:val="0"/>
              <w:keepLines w:val="0"/>
              <w:bidi w:val="0"/>
              <w:jc w:val="center"/>
              <w:rPr>
                <w:rFonts w:hint="eastAsia" w:ascii="宋体" w:hAnsi="宋体" w:eastAsia="宋体" w:cs="宋体"/>
                <w:color w:val="auto"/>
                <w:kern w:val="21"/>
                <w:szCs w:val="21"/>
                <w:highlight w:val="none"/>
              </w:rPr>
            </w:pPr>
          </w:p>
        </w:tc>
        <w:tc>
          <w:tcPr>
            <w:tcW w:w="3393" w:type="dxa"/>
            <w:gridSpan w:val="3"/>
            <w:tcBorders>
              <w:top w:val="single" w:color="auto" w:sz="4" w:space="0"/>
              <w:left w:val="single" w:color="auto" w:sz="4" w:space="0"/>
              <w:bottom w:val="single" w:color="auto" w:sz="8" w:space="0"/>
              <w:right w:val="single" w:color="auto" w:sz="4" w:space="0"/>
            </w:tcBorders>
            <w:noWrap w:val="0"/>
            <w:vAlign w:val="center"/>
          </w:tcPr>
          <w:p w14:paraId="2D8D2EE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1003" w:type="dxa"/>
            <w:tcBorders>
              <w:top w:val="single" w:color="auto" w:sz="4" w:space="0"/>
              <w:left w:val="single" w:color="auto" w:sz="4" w:space="0"/>
              <w:bottom w:val="single" w:color="auto" w:sz="8" w:space="0"/>
              <w:right w:val="single" w:color="auto" w:sz="4" w:space="0"/>
            </w:tcBorders>
            <w:noWrap w:val="0"/>
            <w:vAlign w:val="center"/>
          </w:tcPr>
          <w:p w14:paraId="485FCFBC">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8" w:space="0"/>
              <w:right w:val="single" w:color="auto" w:sz="4" w:space="0"/>
            </w:tcBorders>
            <w:noWrap w:val="0"/>
            <w:vAlign w:val="center"/>
          </w:tcPr>
          <w:p w14:paraId="47290A4C">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8" w:space="0"/>
              <w:right w:val="single" w:color="auto" w:sz="8" w:space="0"/>
            </w:tcBorders>
            <w:noWrap w:val="0"/>
            <w:vAlign w:val="center"/>
          </w:tcPr>
          <w:p w14:paraId="03516529">
            <w:pPr>
              <w:keepNext w:val="0"/>
              <w:keepLines w:val="0"/>
              <w:bidi w:val="0"/>
              <w:jc w:val="center"/>
              <w:rPr>
                <w:rFonts w:hint="eastAsia" w:ascii="宋体" w:hAnsi="宋体" w:eastAsia="宋体" w:cs="宋体"/>
                <w:color w:val="auto"/>
                <w:kern w:val="21"/>
                <w:szCs w:val="21"/>
                <w:highlight w:val="none"/>
              </w:rPr>
            </w:pPr>
          </w:p>
        </w:tc>
      </w:tr>
    </w:tbl>
    <w:p w14:paraId="79579D6A">
      <w:pPr>
        <w:keepNext w:val="0"/>
        <w:keepLines w:val="0"/>
        <w:bidi w:val="0"/>
        <w:spacing w:line="360" w:lineRule="auto"/>
        <w:rPr>
          <w:rFonts w:hint="eastAsia" w:ascii="宋体" w:hAnsi="宋体" w:eastAsia="宋体" w:cs="宋体"/>
          <w:b/>
          <w:bCs/>
          <w:color w:val="auto"/>
          <w:kern w:val="21"/>
          <w:highlight w:val="none"/>
        </w:rPr>
      </w:pPr>
    </w:p>
    <w:p w14:paraId="3783781D">
      <w:pPr>
        <w:keepNext w:val="0"/>
        <w:keepLines w:val="0"/>
        <w:bidi w:val="0"/>
        <w:spacing w:after="240" w:line="400" w:lineRule="atLeast"/>
        <w:jc w:val="center"/>
        <w:rPr>
          <w:rFonts w:hint="eastAsia" w:ascii="宋体" w:hAnsi="宋体" w:eastAsia="宋体" w:cs="宋体"/>
          <w:color w:val="auto"/>
          <w:kern w:val="21"/>
          <w:sz w:val="28"/>
          <w:highlight w:val="none"/>
        </w:rPr>
      </w:pPr>
    </w:p>
    <w:p w14:paraId="1C650E81">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表4监理工程师交通设施费报价表</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7"/>
        <w:gridCol w:w="850"/>
        <w:gridCol w:w="852"/>
        <w:gridCol w:w="850"/>
        <w:gridCol w:w="851"/>
        <w:gridCol w:w="851"/>
        <w:gridCol w:w="851"/>
        <w:gridCol w:w="1550"/>
        <w:gridCol w:w="880"/>
        <w:gridCol w:w="845"/>
        <w:gridCol w:w="791"/>
        <w:gridCol w:w="843"/>
        <w:gridCol w:w="1013"/>
        <w:gridCol w:w="922"/>
        <w:gridCol w:w="1172"/>
      </w:tblGrid>
      <w:tr w14:paraId="6A4A7A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537" w:type="dxa"/>
            <w:vMerge w:val="restart"/>
            <w:tcBorders>
              <w:top w:val="single" w:color="auto" w:sz="8" w:space="0"/>
              <w:left w:val="single" w:color="auto" w:sz="8" w:space="0"/>
              <w:bottom w:val="single" w:color="auto" w:sz="4" w:space="0"/>
              <w:right w:val="single" w:color="auto" w:sz="4" w:space="0"/>
            </w:tcBorders>
            <w:noWrap w:val="0"/>
            <w:vAlign w:val="center"/>
          </w:tcPr>
          <w:p w14:paraId="74EA1A41">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6655" w:type="dxa"/>
            <w:gridSpan w:val="7"/>
            <w:tcBorders>
              <w:top w:val="single" w:color="auto" w:sz="8" w:space="0"/>
              <w:left w:val="single" w:color="auto" w:sz="4" w:space="0"/>
              <w:bottom w:val="single" w:color="auto" w:sz="4" w:space="0"/>
              <w:right w:val="single" w:color="auto" w:sz="4" w:space="0"/>
            </w:tcBorders>
            <w:noWrap w:val="0"/>
            <w:vAlign w:val="center"/>
          </w:tcPr>
          <w:p w14:paraId="0F9A29D8">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6466" w:type="dxa"/>
            <w:gridSpan w:val="7"/>
            <w:tcBorders>
              <w:top w:val="single" w:color="auto" w:sz="8" w:space="0"/>
              <w:left w:val="single" w:color="auto" w:sz="4" w:space="0"/>
              <w:bottom w:val="single" w:color="auto" w:sz="4" w:space="0"/>
              <w:right w:val="single" w:color="auto" w:sz="8" w:space="0"/>
            </w:tcBorders>
            <w:noWrap w:val="0"/>
            <w:vAlign w:val="center"/>
          </w:tcPr>
          <w:p w14:paraId="4E60C1F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6F9AAF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33" w:hRule="atLeast"/>
          <w:jc w:val="center"/>
        </w:trPr>
        <w:tc>
          <w:tcPr>
            <w:tcW w:w="537" w:type="dxa"/>
            <w:vMerge w:val="continue"/>
            <w:tcBorders>
              <w:top w:val="single" w:color="auto" w:sz="8" w:space="0"/>
              <w:left w:val="single" w:color="auto" w:sz="8" w:space="0"/>
              <w:bottom w:val="single" w:color="auto" w:sz="4" w:space="0"/>
              <w:right w:val="single" w:color="auto" w:sz="4" w:space="0"/>
            </w:tcBorders>
            <w:noWrap w:val="0"/>
            <w:vAlign w:val="center"/>
          </w:tcPr>
          <w:p w14:paraId="0E31A01A">
            <w:pPr>
              <w:keepNext w:val="0"/>
              <w:keepLines w:val="0"/>
              <w:bidi w:val="0"/>
              <w:rPr>
                <w:rFonts w:hint="eastAsia" w:ascii="宋体" w:hAnsi="宋体" w:eastAsia="宋体" w:cs="宋体"/>
                <w:color w:val="auto"/>
                <w:kern w:val="21"/>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C1BFF62">
            <w:pPr>
              <w:keepNext w:val="0"/>
              <w:keepLines w:val="0"/>
              <w:bidi w:val="0"/>
              <w:ind w:left="-66"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67DE79F6">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57AAF34">
            <w:pPr>
              <w:keepNext w:val="0"/>
              <w:keepLines w:val="0"/>
              <w:bidi w:val="0"/>
              <w:ind w:left="-66" w:right="-7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单价（元）</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E0A7A24">
            <w:pPr>
              <w:keepNext w:val="0"/>
              <w:keepLines w:val="0"/>
              <w:bidi w:val="0"/>
              <w:ind w:left="-66" w:right="-94"/>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合价（元）</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427770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94EB36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550" w:type="dxa"/>
            <w:tcBorders>
              <w:top w:val="single" w:color="auto" w:sz="4" w:space="0"/>
              <w:left w:val="single" w:color="auto" w:sz="4" w:space="0"/>
              <w:bottom w:val="single" w:color="auto" w:sz="4" w:space="0"/>
              <w:right w:val="single" w:color="auto" w:sz="4" w:space="0"/>
            </w:tcBorders>
            <w:noWrap w:val="0"/>
            <w:vAlign w:val="center"/>
          </w:tcPr>
          <w:p w14:paraId="39611F8F">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7ACF6DA6">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c>
          <w:tcPr>
            <w:tcW w:w="880" w:type="dxa"/>
            <w:tcBorders>
              <w:top w:val="single" w:color="auto" w:sz="4" w:space="0"/>
              <w:left w:val="single" w:color="auto" w:sz="4" w:space="0"/>
              <w:bottom w:val="single" w:color="auto" w:sz="4" w:space="0"/>
              <w:right w:val="single" w:color="auto" w:sz="4" w:space="0"/>
            </w:tcBorders>
            <w:noWrap w:val="0"/>
            <w:vAlign w:val="center"/>
          </w:tcPr>
          <w:p w14:paraId="6596EE85">
            <w:pPr>
              <w:keepNext w:val="0"/>
              <w:keepLines w:val="0"/>
              <w:bidi w:val="0"/>
              <w:ind w:left="-66"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845" w:type="dxa"/>
            <w:tcBorders>
              <w:top w:val="single" w:color="auto" w:sz="4" w:space="0"/>
              <w:left w:val="single" w:color="auto" w:sz="4" w:space="0"/>
              <w:bottom w:val="single" w:color="auto" w:sz="4" w:space="0"/>
              <w:right w:val="single" w:color="auto" w:sz="4" w:space="0"/>
            </w:tcBorders>
            <w:noWrap w:val="0"/>
            <w:vAlign w:val="center"/>
          </w:tcPr>
          <w:p w14:paraId="65409E2C">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数量（辆）</w:t>
            </w:r>
          </w:p>
        </w:tc>
        <w:tc>
          <w:tcPr>
            <w:tcW w:w="791" w:type="dxa"/>
            <w:tcBorders>
              <w:top w:val="single" w:color="auto" w:sz="4" w:space="0"/>
              <w:left w:val="single" w:color="auto" w:sz="4" w:space="0"/>
              <w:bottom w:val="single" w:color="auto" w:sz="4" w:space="0"/>
              <w:right w:val="single" w:color="auto" w:sz="4" w:space="0"/>
            </w:tcBorders>
            <w:noWrap w:val="0"/>
            <w:vAlign w:val="center"/>
          </w:tcPr>
          <w:p w14:paraId="7C120A97">
            <w:pPr>
              <w:keepNext w:val="0"/>
              <w:keepLines w:val="0"/>
              <w:bidi w:val="0"/>
              <w:ind w:left="-66" w:right="-7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单价（元）</w:t>
            </w:r>
          </w:p>
        </w:tc>
        <w:tc>
          <w:tcPr>
            <w:tcW w:w="843" w:type="dxa"/>
            <w:tcBorders>
              <w:top w:val="single" w:color="auto" w:sz="4" w:space="0"/>
              <w:left w:val="single" w:color="auto" w:sz="4" w:space="0"/>
              <w:bottom w:val="single" w:color="auto" w:sz="4" w:space="0"/>
              <w:right w:val="single" w:color="auto" w:sz="4" w:space="0"/>
            </w:tcBorders>
            <w:noWrap w:val="0"/>
            <w:vAlign w:val="center"/>
          </w:tcPr>
          <w:p w14:paraId="4A8691C8">
            <w:pPr>
              <w:keepNext w:val="0"/>
              <w:keepLines w:val="0"/>
              <w:bidi w:val="0"/>
              <w:ind w:left="-66" w:right="-94"/>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合价（元）</w:t>
            </w:r>
          </w:p>
        </w:tc>
        <w:tc>
          <w:tcPr>
            <w:tcW w:w="1013" w:type="dxa"/>
            <w:tcBorders>
              <w:top w:val="single" w:color="auto" w:sz="4" w:space="0"/>
              <w:left w:val="single" w:color="auto" w:sz="4" w:space="0"/>
              <w:bottom w:val="single" w:color="auto" w:sz="4" w:space="0"/>
              <w:right w:val="single" w:color="auto" w:sz="4" w:space="0"/>
            </w:tcBorders>
            <w:noWrap w:val="0"/>
            <w:vAlign w:val="center"/>
          </w:tcPr>
          <w:p w14:paraId="54C4D834">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922" w:type="dxa"/>
            <w:tcBorders>
              <w:top w:val="single" w:color="auto" w:sz="4" w:space="0"/>
              <w:left w:val="single" w:color="auto" w:sz="4" w:space="0"/>
              <w:bottom w:val="single" w:color="auto" w:sz="4" w:space="0"/>
              <w:right w:val="single" w:color="auto" w:sz="4" w:space="0"/>
            </w:tcBorders>
            <w:noWrap w:val="0"/>
            <w:vAlign w:val="center"/>
          </w:tcPr>
          <w:p w14:paraId="35606145">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172" w:type="dxa"/>
            <w:tcBorders>
              <w:top w:val="single" w:color="auto" w:sz="4" w:space="0"/>
              <w:left w:val="single" w:color="auto" w:sz="4" w:space="0"/>
              <w:bottom w:val="single" w:color="auto" w:sz="4" w:space="0"/>
              <w:right w:val="single" w:color="auto" w:sz="8" w:space="0"/>
            </w:tcBorders>
            <w:noWrap w:val="0"/>
            <w:vAlign w:val="center"/>
          </w:tcPr>
          <w:p w14:paraId="065712B1">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02F26EB0">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r>
      <w:tr w14:paraId="6487EE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37" w:type="dxa"/>
            <w:tcBorders>
              <w:top w:val="single" w:color="auto" w:sz="4" w:space="0"/>
              <w:left w:val="single" w:color="auto" w:sz="8" w:space="0"/>
              <w:bottom w:val="single" w:color="auto" w:sz="4" w:space="0"/>
              <w:right w:val="single" w:color="auto" w:sz="4" w:space="0"/>
            </w:tcBorders>
            <w:noWrap w:val="0"/>
            <w:vAlign w:val="center"/>
          </w:tcPr>
          <w:p w14:paraId="6046DD0A">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421E36E">
            <w:pPr>
              <w:keepNext w:val="0"/>
              <w:keepLines w:val="0"/>
              <w:bidi w:val="0"/>
              <w:ind w:left="-66" w:right="-66"/>
              <w:jc w:val="center"/>
              <w:rPr>
                <w:rFonts w:hint="eastAsia" w:ascii="宋体" w:hAnsi="宋体" w:eastAsia="宋体" w:cs="宋体"/>
                <w:color w:val="auto"/>
                <w:kern w:val="21"/>
                <w:szCs w:val="21"/>
                <w:highlight w:val="none"/>
              </w:rPr>
            </w:pPr>
          </w:p>
        </w:tc>
        <w:tc>
          <w:tcPr>
            <w:tcW w:w="852" w:type="dxa"/>
            <w:tcBorders>
              <w:top w:val="single" w:color="auto" w:sz="4" w:space="0"/>
              <w:left w:val="single" w:color="auto" w:sz="4" w:space="0"/>
              <w:bottom w:val="single" w:color="auto" w:sz="4" w:space="0"/>
              <w:right w:val="single" w:color="auto" w:sz="4" w:space="0"/>
            </w:tcBorders>
            <w:noWrap w:val="0"/>
            <w:vAlign w:val="center"/>
          </w:tcPr>
          <w:p w14:paraId="4235D902">
            <w:pPr>
              <w:keepNext w:val="0"/>
              <w:keepLines w:val="0"/>
              <w:bidi w:val="0"/>
              <w:ind w:left="-80" w:right="-24"/>
              <w:jc w:val="center"/>
              <w:rPr>
                <w:rFonts w:hint="eastAsia" w:ascii="宋体" w:hAnsi="宋体" w:eastAsia="宋体" w:cs="宋体"/>
                <w:color w:val="auto"/>
                <w:kern w:val="21"/>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860C87B">
            <w:pPr>
              <w:keepNext w:val="0"/>
              <w:keepLines w:val="0"/>
              <w:bidi w:val="0"/>
              <w:ind w:left="-66" w:right="-7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0FCA56A">
            <w:pPr>
              <w:keepNext w:val="0"/>
              <w:keepLines w:val="0"/>
              <w:bidi w:val="0"/>
              <w:ind w:left="-66" w:right="-94"/>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2C189C0F">
            <w:pPr>
              <w:keepNext w:val="0"/>
              <w:keepLines w:val="0"/>
              <w:bidi w:val="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675AE0C">
            <w:pPr>
              <w:keepNext w:val="0"/>
              <w:keepLines w:val="0"/>
              <w:bidi w:val="0"/>
              <w:jc w:val="center"/>
              <w:rPr>
                <w:rFonts w:hint="eastAsia" w:ascii="宋体" w:hAnsi="宋体" w:eastAsia="宋体" w:cs="宋体"/>
                <w:color w:val="auto"/>
                <w:kern w:val="21"/>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59F66FB9">
            <w:pPr>
              <w:keepNext w:val="0"/>
              <w:keepLines w:val="0"/>
              <w:bidi w:val="0"/>
              <w:ind w:left="-94" w:right="-77"/>
              <w:jc w:val="center"/>
              <w:rPr>
                <w:rFonts w:hint="eastAsia" w:ascii="宋体" w:hAnsi="宋体" w:eastAsia="宋体" w:cs="宋体"/>
                <w:color w:val="auto"/>
                <w:kern w:val="21"/>
                <w:szCs w:val="21"/>
                <w:highlight w:val="none"/>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19D8D9E7">
            <w:pPr>
              <w:keepNext w:val="0"/>
              <w:keepLines w:val="0"/>
              <w:bidi w:val="0"/>
              <w:ind w:left="-66" w:right="-66"/>
              <w:jc w:val="center"/>
              <w:rPr>
                <w:rFonts w:hint="eastAsia" w:ascii="宋体" w:hAnsi="宋体" w:eastAsia="宋体" w:cs="宋体"/>
                <w:color w:val="auto"/>
                <w:kern w:val="21"/>
                <w:szCs w:val="21"/>
                <w:highlight w:val="none"/>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536CE141">
            <w:pPr>
              <w:keepNext w:val="0"/>
              <w:keepLines w:val="0"/>
              <w:bidi w:val="0"/>
              <w:ind w:left="-80" w:right="-24"/>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14C39447">
            <w:pPr>
              <w:keepNext w:val="0"/>
              <w:keepLines w:val="0"/>
              <w:bidi w:val="0"/>
              <w:ind w:left="-66" w:right="-70"/>
              <w:jc w:val="center"/>
              <w:rPr>
                <w:rFonts w:hint="eastAsia" w:ascii="宋体" w:hAnsi="宋体" w:eastAsia="宋体" w:cs="宋体"/>
                <w:color w:val="auto"/>
                <w:kern w:val="21"/>
                <w:szCs w:val="21"/>
                <w:highlight w:val="none"/>
              </w:rPr>
            </w:pPr>
          </w:p>
        </w:tc>
        <w:tc>
          <w:tcPr>
            <w:tcW w:w="843" w:type="dxa"/>
            <w:tcBorders>
              <w:top w:val="single" w:color="auto" w:sz="4" w:space="0"/>
              <w:left w:val="single" w:color="auto" w:sz="4" w:space="0"/>
              <w:bottom w:val="single" w:color="auto" w:sz="4" w:space="0"/>
              <w:right w:val="single" w:color="auto" w:sz="4" w:space="0"/>
            </w:tcBorders>
            <w:noWrap w:val="0"/>
            <w:vAlign w:val="center"/>
          </w:tcPr>
          <w:p w14:paraId="46765321">
            <w:pPr>
              <w:keepNext w:val="0"/>
              <w:keepLines w:val="0"/>
              <w:bidi w:val="0"/>
              <w:ind w:left="-66" w:right="-94"/>
              <w:jc w:val="center"/>
              <w:rPr>
                <w:rFonts w:hint="eastAsia" w:ascii="宋体" w:hAnsi="宋体" w:eastAsia="宋体" w:cs="宋体"/>
                <w:color w:val="auto"/>
                <w:kern w:val="21"/>
                <w:szCs w:val="21"/>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62697D0F">
            <w:pPr>
              <w:keepNext w:val="0"/>
              <w:keepLines w:val="0"/>
              <w:bidi w:val="0"/>
              <w:jc w:val="center"/>
              <w:rPr>
                <w:rFonts w:hint="eastAsia" w:ascii="宋体" w:hAnsi="宋体" w:eastAsia="宋体" w:cs="宋体"/>
                <w:color w:val="auto"/>
                <w:kern w:val="21"/>
                <w:szCs w:val="21"/>
                <w:highlight w:val="none"/>
              </w:rPr>
            </w:pPr>
          </w:p>
        </w:tc>
        <w:tc>
          <w:tcPr>
            <w:tcW w:w="922" w:type="dxa"/>
            <w:tcBorders>
              <w:top w:val="single" w:color="auto" w:sz="4" w:space="0"/>
              <w:left w:val="single" w:color="auto" w:sz="4" w:space="0"/>
              <w:bottom w:val="single" w:color="auto" w:sz="4" w:space="0"/>
              <w:right w:val="single" w:color="auto" w:sz="4" w:space="0"/>
            </w:tcBorders>
            <w:noWrap w:val="0"/>
            <w:vAlign w:val="center"/>
          </w:tcPr>
          <w:p w14:paraId="6A82217E">
            <w:pPr>
              <w:keepNext w:val="0"/>
              <w:keepLines w:val="0"/>
              <w:bidi w:val="0"/>
              <w:jc w:val="center"/>
              <w:rPr>
                <w:rFonts w:hint="eastAsia" w:ascii="宋体" w:hAnsi="宋体" w:eastAsia="宋体" w:cs="宋体"/>
                <w:color w:val="auto"/>
                <w:kern w:val="21"/>
                <w:szCs w:val="21"/>
                <w:highlight w:val="none"/>
              </w:rPr>
            </w:pPr>
          </w:p>
        </w:tc>
        <w:tc>
          <w:tcPr>
            <w:tcW w:w="1172" w:type="dxa"/>
            <w:tcBorders>
              <w:top w:val="single" w:color="auto" w:sz="4" w:space="0"/>
              <w:left w:val="single" w:color="auto" w:sz="4" w:space="0"/>
              <w:bottom w:val="single" w:color="auto" w:sz="4" w:space="0"/>
              <w:right w:val="single" w:color="auto" w:sz="8" w:space="0"/>
            </w:tcBorders>
            <w:noWrap w:val="0"/>
            <w:vAlign w:val="center"/>
          </w:tcPr>
          <w:p w14:paraId="20718C2E">
            <w:pPr>
              <w:keepNext w:val="0"/>
              <w:keepLines w:val="0"/>
              <w:bidi w:val="0"/>
              <w:ind w:left="-94" w:right="-77"/>
              <w:jc w:val="center"/>
              <w:rPr>
                <w:rFonts w:hint="eastAsia" w:ascii="宋体" w:hAnsi="宋体" w:eastAsia="宋体" w:cs="宋体"/>
                <w:color w:val="auto"/>
                <w:kern w:val="21"/>
                <w:szCs w:val="21"/>
                <w:highlight w:val="none"/>
              </w:rPr>
            </w:pPr>
          </w:p>
        </w:tc>
      </w:tr>
      <w:tr w14:paraId="016D86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37" w:type="dxa"/>
            <w:tcBorders>
              <w:top w:val="single" w:color="auto" w:sz="4" w:space="0"/>
              <w:left w:val="single" w:color="auto" w:sz="8" w:space="0"/>
              <w:bottom w:val="single" w:color="auto" w:sz="4" w:space="0"/>
              <w:right w:val="single" w:color="auto" w:sz="4" w:space="0"/>
            </w:tcBorders>
            <w:noWrap w:val="0"/>
            <w:vAlign w:val="center"/>
          </w:tcPr>
          <w:p w14:paraId="7B317CCB">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872EDEA">
            <w:pPr>
              <w:keepNext w:val="0"/>
              <w:keepLines w:val="0"/>
              <w:bidi w:val="0"/>
              <w:ind w:left="-66" w:right="-66"/>
              <w:jc w:val="center"/>
              <w:rPr>
                <w:rFonts w:hint="eastAsia" w:ascii="宋体" w:hAnsi="宋体" w:eastAsia="宋体" w:cs="宋体"/>
                <w:color w:val="auto"/>
                <w:kern w:val="21"/>
                <w:szCs w:val="21"/>
                <w:highlight w:val="none"/>
              </w:rPr>
            </w:pPr>
          </w:p>
        </w:tc>
        <w:tc>
          <w:tcPr>
            <w:tcW w:w="852" w:type="dxa"/>
            <w:tcBorders>
              <w:top w:val="single" w:color="auto" w:sz="4" w:space="0"/>
              <w:left w:val="single" w:color="auto" w:sz="4" w:space="0"/>
              <w:bottom w:val="single" w:color="auto" w:sz="4" w:space="0"/>
              <w:right w:val="single" w:color="auto" w:sz="4" w:space="0"/>
            </w:tcBorders>
            <w:noWrap w:val="0"/>
            <w:vAlign w:val="center"/>
          </w:tcPr>
          <w:p w14:paraId="11E7EFED">
            <w:pPr>
              <w:keepNext w:val="0"/>
              <w:keepLines w:val="0"/>
              <w:bidi w:val="0"/>
              <w:ind w:left="-80" w:right="-24"/>
              <w:jc w:val="center"/>
              <w:rPr>
                <w:rFonts w:hint="eastAsia" w:ascii="宋体" w:hAnsi="宋体" w:eastAsia="宋体" w:cs="宋体"/>
                <w:color w:val="auto"/>
                <w:kern w:val="21"/>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B1C8271">
            <w:pPr>
              <w:keepNext w:val="0"/>
              <w:keepLines w:val="0"/>
              <w:bidi w:val="0"/>
              <w:ind w:left="-66" w:right="-7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05EAAD3">
            <w:pPr>
              <w:keepNext w:val="0"/>
              <w:keepLines w:val="0"/>
              <w:bidi w:val="0"/>
              <w:ind w:left="-66" w:right="-94"/>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F0B174D">
            <w:pPr>
              <w:keepNext w:val="0"/>
              <w:keepLines w:val="0"/>
              <w:bidi w:val="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565A82C">
            <w:pPr>
              <w:keepNext w:val="0"/>
              <w:keepLines w:val="0"/>
              <w:bidi w:val="0"/>
              <w:jc w:val="center"/>
              <w:rPr>
                <w:rFonts w:hint="eastAsia" w:ascii="宋体" w:hAnsi="宋体" w:eastAsia="宋体" w:cs="宋体"/>
                <w:color w:val="auto"/>
                <w:kern w:val="21"/>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3F042882">
            <w:pPr>
              <w:keepNext w:val="0"/>
              <w:keepLines w:val="0"/>
              <w:bidi w:val="0"/>
              <w:ind w:left="-94" w:right="-77"/>
              <w:jc w:val="center"/>
              <w:rPr>
                <w:rFonts w:hint="eastAsia" w:ascii="宋体" w:hAnsi="宋体" w:eastAsia="宋体" w:cs="宋体"/>
                <w:color w:val="auto"/>
                <w:kern w:val="21"/>
                <w:szCs w:val="21"/>
                <w:highlight w:val="none"/>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3A1700B1">
            <w:pPr>
              <w:keepNext w:val="0"/>
              <w:keepLines w:val="0"/>
              <w:bidi w:val="0"/>
              <w:ind w:left="-66" w:right="-66"/>
              <w:jc w:val="center"/>
              <w:rPr>
                <w:rFonts w:hint="eastAsia" w:ascii="宋体" w:hAnsi="宋体" w:eastAsia="宋体" w:cs="宋体"/>
                <w:color w:val="auto"/>
                <w:kern w:val="21"/>
                <w:szCs w:val="21"/>
                <w:highlight w:val="none"/>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46914CA5">
            <w:pPr>
              <w:keepNext w:val="0"/>
              <w:keepLines w:val="0"/>
              <w:bidi w:val="0"/>
              <w:ind w:left="-80" w:right="-24"/>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4B6A6904">
            <w:pPr>
              <w:keepNext w:val="0"/>
              <w:keepLines w:val="0"/>
              <w:bidi w:val="0"/>
              <w:ind w:left="-66" w:right="-70"/>
              <w:jc w:val="center"/>
              <w:rPr>
                <w:rFonts w:hint="eastAsia" w:ascii="宋体" w:hAnsi="宋体" w:eastAsia="宋体" w:cs="宋体"/>
                <w:color w:val="auto"/>
                <w:kern w:val="21"/>
                <w:szCs w:val="21"/>
                <w:highlight w:val="none"/>
              </w:rPr>
            </w:pPr>
          </w:p>
        </w:tc>
        <w:tc>
          <w:tcPr>
            <w:tcW w:w="843" w:type="dxa"/>
            <w:tcBorders>
              <w:top w:val="single" w:color="auto" w:sz="4" w:space="0"/>
              <w:left w:val="single" w:color="auto" w:sz="4" w:space="0"/>
              <w:bottom w:val="single" w:color="auto" w:sz="4" w:space="0"/>
              <w:right w:val="single" w:color="auto" w:sz="4" w:space="0"/>
            </w:tcBorders>
            <w:noWrap w:val="0"/>
            <w:vAlign w:val="center"/>
          </w:tcPr>
          <w:p w14:paraId="7C898041">
            <w:pPr>
              <w:keepNext w:val="0"/>
              <w:keepLines w:val="0"/>
              <w:bidi w:val="0"/>
              <w:ind w:left="-66" w:right="-94"/>
              <w:jc w:val="center"/>
              <w:rPr>
                <w:rFonts w:hint="eastAsia" w:ascii="宋体" w:hAnsi="宋体" w:eastAsia="宋体" w:cs="宋体"/>
                <w:color w:val="auto"/>
                <w:kern w:val="21"/>
                <w:szCs w:val="21"/>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3F3E465D">
            <w:pPr>
              <w:keepNext w:val="0"/>
              <w:keepLines w:val="0"/>
              <w:bidi w:val="0"/>
              <w:jc w:val="center"/>
              <w:rPr>
                <w:rFonts w:hint="eastAsia" w:ascii="宋体" w:hAnsi="宋体" w:eastAsia="宋体" w:cs="宋体"/>
                <w:color w:val="auto"/>
                <w:kern w:val="21"/>
                <w:szCs w:val="21"/>
                <w:highlight w:val="none"/>
              </w:rPr>
            </w:pPr>
          </w:p>
        </w:tc>
        <w:tc>
          <w:tcPr>
            <w:tcW w:w="922" w:type="dxa"/>
            <w:tcBorders>
              <w:top w:val="single" w:color="auto" w:sz="4" w:space="0"/>
              <w:left w:val="single" w:color="auto" w:sz="4" w:space="0"/>
              <w:bottom w:val="single" w:color="auto" w:sz="4" w:space="0"/>
              <w:right w:val="single" w:color="auto" w:sz="4" w:space="0"/>
            </w:tcBorders>
            <w:noWrap w:val="0"/>
            <w:vAlign w:val="center"/>
          </w:tcPr>
          <w:p w14:paraId="3B32CD94">
            <w:pPr>
              <w:keepNext w:val="0"/>
              <w:keepLines w:val="0"/>
              <w:bidi w:val="0"/>
              <w:jc w:val="center"/>
              <w:rPr>
                <w:rFonts w:hint="eastAsia" w:ascii="宋体" w:hAnsi="宋体" w:eastAsia="宋体" w:cs="宋体"/>
                <w:color w:val="auto"/>
                <w:kern w:val="21"/>
                <w:szCs w:val="21"/>
                <w:highlight w:val="none"/>
              </w:rPr>
            </w:pPr>
          </w:p>
        </w:tc>
        <w:tc>
          <w:tcPr>
            <w:tcW w:w="1172" w:type="dxa"/>
            <w:tcBorders>
              <w:top w:val="single" w:color="auto" w:sz="4" w:space="0"/>
              <w:left w:val="single" w:color="auto" w:sz="4" w:space="0"/>
              <w:bottom w:val="single" w:color="auto" w:sz="4" w:space="0"/>
              <w:right w:val="single" w:color="auto" w:sz="8" w:space="0"/>
            </w:tcBorders>
            <w:noWrap w:val="0"/>
            <w:vAlign w:val="center"/>
          </w:tcPr>
          <w:p w14:paraId="07330D52">
            <w:pPr>
              <w:keepNext w:val="0"/>
              <w:keepLines w:val="0"/>
              <w:bidi w:val="0"/>
              <w:ind w:left="-94" w:right="-77"/>
              <w:jc w:val="center"/>
              <w:rPr>
                <w:rFonts w:hint="eastAsia" w:ascii="宋体" w:hAnsi="宋体" w:eastAsia="宋体" w:cs="宋体"/>
                <w:color w:val="auto"/>
                <w:kern w:val="21"/>
                <w:szCs w:val="21"/>
                <w:highlight w:val="none"/>
              </w:rPr>
            </w:pPr>
          </w:p>
        </w:tc>
      </w:tr>
      <w:tr w14:paraId="7BC0DB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37" w:type="dxa"/>
            <w:tcBorders>
              <w:top w:val="single" w:color="auto" w:sz="4" w:space="0"/>
              <w:left w:val="single" w:color="auto" w:sz="8" w:space="0"/>
              <w:bottom w:val="single" w:color="auto" w:sz="4" w:space="0"/>
              <w:right w:val="single" w:color="auto" w:sz="4" w:space="0"/>
            </w:tcBorders>
            <w:noWrap w:val="0"/>
            <w:vAlign w:val="center"/>
          </w:tcPr>
          <w:p w14:paraId="35939CDA">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8863A79">
            <w:pPr>
              <w:keepNext w:val="0"/>
              <w:keepLines w:val="0"/>
              <w:bidi w:val="0"/>
              <w:ind w:left="-66" w:right="-66"/>
              <w:jc w:val="center"/>
              <w:rPr>
                <w:rFonts w:hint="eastAsia" w:ascii="宋体" w:hAnsi="宋体" w:eastAsia="宋体" w:cs="宋体"/>
                <w:color w:val="auto"/>
                <w:kern w:val="21"/>
                <w:szCs w:val="21"/>
                <w:highlight w:val="none"/>
              </w:rPr>
            </w:pPr>
          </w:p>
        </w:tc>
        <w:tc>
          <w:tcPr>
            <w:tcW w:w="852" w:type="dxa"/>
            <w:tcBorders>
              <w:top w:val="single" w:color="auto" w:sz="4" w:space="0"/>
              <w:left w:val="single" w:color="auto" w:sz="4" w:space="0"/>
              <w:bottom w:val="single" w:color="auto" w:sz="4" w:space="0"/>
              <w:right w:val="single" w:color="auto" w:sz="4" w:space="0"/>
            </w:tcBorders>
            <w:noWrap w:val="0"/>
            <w:vAlign w:val="center"/>
          </w:tcPr>
          <w:p w14:paraId="47490210">
            <w:pPr>
              <w:keepNext w:val="0"/>
              <w:keepLines w:val="0"/>
              <w:bidi w:val="0"/>
              <w:ind w:left="-80" w:right="-24"/>
              <w:jc w:val="center"/>
              <w:rPr>
                <w:rFonts w:hint="eastAsia" w:ascii="宋体" w:hAnsi="宋体" w:eastAsia="宋体" w:cs="宋体"/>
                <w:color w:val="auto"/>
                <w:kern w:val="21"/>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931B6E3">
            <w:pPr>
              <w:keepNext w:val="0"/>
              <w:keepLines w:val="0"/>
              <w:bidi w:val="0"/>
              <w:ind w:left="-66" w:right="-7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1FBA6AF">
            <w:pPr>
              <w:keepNext w:val="0"/>
              <w:keepLines w:val="0"/>
              <w:bidi w:val="0"/>
              <w:ind w:left="-66" w:right="-94"/>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5EE3026">
            <w:pPr>
              <w:keepNext w:val="0"/>
              <w:keepLines w:val="0"/>
              <w:bidi w:val="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53F7628">
            <w:pPr>
              <w:keepNext w:val="0"/>
              <w:keepLines w:val="0"/>
              <w:bidi w:val="0"/>
              <w:jc w:val="center"/>
              <w:rPr>
                <w:rFonts w:hint="eastAsia" w:ascii="宋体" w:hAnsi="宋体" w:eastAsia="宋体" w:cs="宋体"/>
                <w:color w:val="auto"/>
                <w:kern w:val="21"/>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05F58D14">
            <w:pPr>
              <w:keepNext w:val="0"/>
              <w:keepLines w:val="0"/>
              <w:bidi w:val="0"/>
              <w:ind w:left="-94" w:right="-77"/>
              <w:jc w:val="center"/>
              <w:rPr>
                <w:rFonts w:hint="eastAsia" w:ascii="宋体" w:hAnsi="宋体" w:eastAsia="宋体" w:cs="宋体"/>
                <w:color w:val="auto"/>
                <w:kern w:val="21"/>
                <w:szCs w:val="21"/>
                <w:highlight w:val="none"/>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2A596998">
            <w:pPr>
              <w:keepNext w:val="0"/>
              <w:keepLines w:val="0"/>
              <w:bidi w:val="0"/>
              <w:ind w:left="-66" w:right="-66"/>
              <w:jc w:val="center"/>
              <w:rPr>
                <w:rFonts w:hint="eastAsia" w:ascii="宋体" w:hAnsi="宋体" w:eastAsia="宋体" w:cs="宋体"/>
                <w:color w:val="auto"/>
                <w:kern w:val="21"/>
                <w:szCs w:val="21"/>
                <w:highlight w:val="none"/>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35072EF5">
            <w:pPr>
              <w:keepNext w:val="0"/>
              <w:keepLines w:val="0"/>
              <w:bidi w:val="0"/>
              <w:ind w:left="-80" w:right="-24"/>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19C8BD1C">
            <w:pPr>
              <w:keepNext w:val="0"/>
              <w:keepLines w:val="0"/>
              <w:bidi w:val="0"/>
              <w:ind w:left="-66" w:right="-70"/>
              <w:jc w:val="center"/>
              <w:rPr>
                <w:rFonts w:hint="eastAsia" w:ascii="宋体" w:hAnsi="宋体" w:eastAsia="宋体" w:cs="宋体"/>
                <w:color w:val="auto"/>
                <w:kern w:val="21"/>
                <w:szCs w:val="21"/>
                <w:highlight w:val="none"/>
              </w:rPr>
            </w:pPr>
          </w:p>
        </w:tc>
        <w:tc>
          <w:tcPr>
            <w:tcW w:w="843" w:type="dxa"/>
            <w:tcBorders>
              <w:top w:val="single" w:color="auto" w:sz="4" w:space="0"/>
              <w:left w:val="single" w:color="auto" w:sz="4" w:space="0"/>
              <w:bottom w:val="single" w:color="auto" w:sz="4" w:space="0"/>
              <w:right w:val="single" w:color="auto" w:sz="4" w:space="0"/>
            </w:tcBorders>
            <w:noWrap w:val="0"/>
            <w:vAlign w:val="center"/>
          </w:tcPr>
          <w:p w14:paraId="71B324F9">
            <w:pPr>
              <w:keepNext w:val="0"/>
              <w:keepLines w:val="0"/>
              <w:bidi w:val="0"/>
              <w:ind w:left="-66" w:right="-94"/>
              <w:jc w:val="center"/>
              <w:rPr>
                <w:rFonts w:hint="eastAsia" w:ascii="宋体" w:hAnsi="宋体" w:eastAsia="宋体" w:cs="宋体"/>
                <w:color w:val="auto"/>
                <w:kern w:val="21"/>
                <w:szCs w:val="21"/>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00BDB967">
            <w:pPr>
              <w:keepNext w:val="0"/>
              <w:keepLines w:val="0"/>
              <w:bidi w:val="0"/>
              <w:jc w:val="center"/>
              <w:rPr>
                <w:rFonts w:hint="eastAsia" w:ascii="宋体" w:hAnsi="宋体" w:eastAsia="宋体" w:cs="宋体"/>
                <w:color w:val="auto"/>
                <w:kern w:val="21"/>
                <w:szCs w:val="21"/>
                <w:highlight w:val="none"/>
              </w:rPr>
            </w:pPr>
          </w:p>
        </w:tc>
        <w:tc>
          <w:tcPr>
            <w:tcW w:w="922" w:type="dxa"/>
            <w:tcBorders>
              <w:top w:val="single" w:color="auto" w:sz="4" w:space="0"/>
              <w:left w:val="single" w:color="auto" w:sz="4" w:space="0"/>
              <w:bottom w:val="single" w:color="auto" w:sz="4" w:space="0"/>
              <w:right w:val="single" w:color="auto" w:sz="4" w:space="0"/>
            </w:tcBorders>
            <w:noWrap w:val="0"/>
            <w:vAlign w:val="center"/>
          </w:tcPr>
          <w:p w14:paraId="344433A9">
            <w:pPr>
              <w:keepNext w:val="0"/>
              <w:keepLines w:val="0"/>
              <w:bidi w:val="0"/>
              <w:jc w:val="center"/>
              <w:rPr>
                <w:rFonts w:hint="eastAsia" w:ascii="宋体" w:hAnsi="宋体" w:eastAsia="宋体" w:cs="宋体"/>
                <w:color w:val="auto"/>
                <w:kern w:val="21"/>
                <w:szCs w:val="21"/>
                <w:highlight w:val="none"/>
              </w:rPr>
            </w:pPr>
          </w:p>
        </w:tc>
        <w:tc>
          <w:tcPr>
            <w:tcW w:w="1172" w:type="dxa"/>
            <w:tcBorders>
              <w:top w:val="single" w:color="auto" w:sz="4" w:space="0"/>
              <w:left w:val="single" w:color="auto" w:sz="4" w:space="0"/>
              <w:bottom w:val="single" w:color="auto" w:sz="4" w:space="0"/>
              <w:right w:val="single" w:color="auto" w:sz="8" w:space="0"/>
            </w:tcBorders>
            <w:noWrap w:val="0"/>
            <w:vAlign w:val="center"/>
          </w:tcPr>
          <w:p w14:paraId="1196E326">
            <w:pPr>
              <w:keepNext w:val="0"/>
              <w:keepLines w:val="0"/>
              <w:bidi w:val="0"/>
              <w:ind w:left="-94" w:right="-77"/>
              <w:jc w:val="center"/>
              <w:rPr>
                <w:rFonts w:hint="eastAsia" w:ascii="宋体" w:hAnsi="宋体" w:eastAsia="宋体" w:cs="宋体"/>
                <w:color w:val="auto"/>
                <w:kern w:val="21"/>
                <w:szCs w:val="21"/>
                <w:highlight w:val="none"/>
              </w:rPr>
            </w:pPr>
          </w:p>
        </w:tc>
      </w:tr>
      <w:tr w14:paraId="35D820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37" w:type="dxa"/>
            <w:tcBorders>
              <w:top w:val="single" w:color="auto" w:sz="4" w:space="0"/>
              <w:left w:val="single" w:color="auto" w:sz="8" w:space="0"/>
              <w:bottom w:val="single" w:color="auto" w:sz="4" w:space="0"/>
              <w:right w:val="single" w:color="auto" w:sz="4" w:space="0"/>
            </w:tcBorders>
            <w:noWrap w:val="0"/>
            <w:vAlign w:val="center"/>
          </w:tcPr>
          <w:p w14:paraId="5D7E7158">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4FC187D">
            <w:pPr>
              <w:keepNext w:val="0"/>
              <w:keepLines w:val="0"/>
              <w:bidi w:val="0"/>
              <w:ind w:left="-66" w:right="-66"/>
              <w:jc w:val="center"/>
              <w:rPr>
                <w:rFonts w:hint="eastAsia" w:ascii="宋体" w:hAnsi="宋体" w:eastAsia="宋体" w:cs="宋体"/>
                <w:color w:val="auto"/>
                <w:kern w:val="21"/>
                <w:szCs w:val="21"/>
                <w:highlight w:val="none"/>
              </w:rPr>
            </w:pPr>
          </w:p>
        </w:tc>
        <w:tc>
          <w:tcPr>
            <w:tcW w:w="852" w:type="dxa"/>
            <w:tcBorders>
              <w:top w:val="single" w:color="auto" w:sz="4" w:space="0"/>
              <w:left w:val="single" w:color="auto" w:sz="4" w:space="0"/>
              <w:bottom w:val="single" w:color="auto" w:sz="4" w:space="0"/>
              <w:right w:val="single" w:color="auto" w:sz="4" w:space="0"/>
            </w:tcBorders>
            <w:noWrap w:val="0"/>
            <w:vAlign w:val="center"/>
          </w:tcPr>
          <w:p w14:paraId="7C8D1C0E">
            <w:pPr>
              <w:keepNext w:val="0"/>
              <w:keepLines w:val="0"/>
              <w:bidi w:val="0"/>
              <w:ind w:left="-80" w:right="-24"/>
              <w:jc w:val="center"/>
              <w:rPr>
                <w:rFonts w:hint="eastAsia" w:ascii="宋体" w:hAnsi="宋体" w:eastAsia="宋体" w:cs="宋体"/>
                <w:color w:val="auto"/>
                <w:kern w:val="21"/>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F180477">
            <w:pPr>
              <w:keepNext w:val="0"/>
              <w:keepLines w:val="0"/>
              <w:bidi w:val="0"/>
              <w:ind w:left="-66" w:right="-7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457717E">
            <w:pPr>
              <w:keepNext w:val="0"/>
              <w:keepLines w:val="0"/>
              <w:bidi w:val="0"/>
              <w:ind w:left="-66" w:right="-94"/>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08832FFA">
            <w:pPr>
              <w:keepNext w:val="0"/>
              <w:keepLines w:val="0"/>
              <w:bidi w:val="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6EF3BCC4">
            <w:pPr>
              <w:keepNext w:val="0"/>
              <w:keepLines w:val="0"/>
              <w:bidi w:val="0"/>
              <w:jc w:val="center"/>
              <w:rPr>
                <w:rFonts w:hint="eastAsia" w:ascii="宋体" w:hAnsi="宋体" w:eastAsia="宋体" w:cs="宋体"/>
                <w:color w:val="auto"/>
                <w:kern w:val="21"/>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47192749">
            <w:pPr>
              <w:keepNext w:val="0"/>
              <w:keepLines w:val="0"/>
              <w:bidi w:val="0"/>
              <w:ind w:left="-94" w:right="-77"/>
              <w:jc w:val="center"/>
              <w:rPr>
                <w:rFonts w:hint="eastAsia" w:ascii="宋体" w:hAnsi="宋体" w:eastAsia="宋体" w:cs="宋体"/>
                <w:color w:val="auto"/>
                <w:kern w:val="21"/>
                <w:szCs w:val="21"/>
                <w:highlight w:val="none"/>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492E154F">
            <w:pPr>
              <w:keepNext w:val="0"/>
              <w:keepLines w:val="0"/>
              <w:bidi w:val="0"/>
              <w:ind w:left="-66" w:right="-66"/>
              <w:jc w:val="center"/>
              <w:rPr>
                <w:rFonts w:hint="eastAsia" w:ascii="宋体" w:hAnsi="宋体" w:eastAsia="宋体" w:cs="宋体"/>
                <w:color w:val="auto"/>
                <w:kern w:val="21"/>
                <w:szCs w:val="21"/>
                <w:highlight w:val="none"/>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2E2C821C">
            <w:pPr>
              <w:keepNext w:val="0"/>
              <w:keepLines w:val="0"/>
              <w:bidi w:val="0"/>
              <w:ind w:left="-80" w:right="-24"/>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046B5F73">
            <w:pPr>
              <w:keepNext w:val="0"/>
              <w:keepLines w:val="0"/>
              <w:bidi w:val="0"/>
              <w:ind w:left="-66" w:right="-70"/>
              <w:jc w:val="center"/>
              <w:rPr>
                <w:rFonts w:hint="eastAsia" w:ascii="宋体" w:hAnsi="宋体" w:eastAsia="宋体" w:cs="宋体"/>
                <w:color w:val="auto"/>
                <w:kern w:val="21"/>
                <w:szCs w:val="21"/>
                <w:highlight w:val="none"/>
              </w:rPr>
            </w:pPr>
          </w:p>
        </w:tc>
        <w:tc>
          <w:tcPr>
            <w:tcW w:w="843" w:type="dxa"/>
            <w:tcBorders>
              <w:top w:val="single" w:color="auto" w:sz="4" w:space="0"/>
              <w:left w:val="single" w:color="auto" w:sz="4" w:space="0"/>
              <w:bottom w:val="single" w:color="auto" w:sz="4" w:space="0"/>
              <w:right w:val="single" w:color="auto" w:sz="4" w:space="0"/>
            </w:tcBorders>
            <w:noWrap w:val="0"/>
            <w:vAlign w:val="center"/>
          </w:tcPr>
          <w:p w14:paraId="0038BE25">
            <w:pPr>
              <w:keepNext w:val="0"/>
              <w:keepLines w:val="0"/>
              <w:bidi w:val="0"/>
              <w:ind w:left="-66" w:right="-94"/>
              <w:jc w:val="center"/>
              <w:rPr>
                <w:rFonts w:hint="eastAsia" w:ascii="宋体" w:hAnsi="宋体" w:eastAsia="宋体" w:cs="宋体"/>
                <w:color w:val="auto"/>
                <w:kern w:val="21"/>
                <w:szCs w:val="21"/>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3D1F8A00">
            <w:pPr>
              <w:keepNext w:val="0"/>
              <w:keepLines w:val="0"/>
              <w:bidi w:val="0"/>
              <w:jc w:val="center"/>
              <w:rPr>
                <w:rFonts w:hint="eastAsia" w:ascii="宋体" w:hAnsi="宋体" w:eastAsia="宋体" w:cs="宋体"/>
                <w:color w:val="auto"/>
                <w:kern w:val="21"/>
                <w:szCs w:val="21"/>
                <w:highlight w:val="none"/>
              </w:rPr>
            </w:pPr>
          </w:p>
        </w:tc>
        <w:tc>
          <w:tcPr>
            <w:tcW w:w="922" w:type="dxa"/>
            <w:tcBorders>
              <w:top w:val="single" w:color="auto" w:sz="4" w:space="0"/>
              <w:left w:val="single" w:color="auto" w:sz="4" w:space="0"/>
              <w:bottom w:val="single" w:color="auto" w:sz="4" w:space="0"/>
              <w:right w:val="single" w:color="auto" w:sz="4" w:space="0"/>
            </w:tcBorders>
            <w:noWrap w:val="0"/>
            <w:vAlign w:val="center"/>
          </w:tcPr>
          <w:p w14:paraId="3D3B99DF">
            <w:pPr>
              <w:keepNext w:val="0"/>
              <w:keepLines w:val="0"/>
              <w:bidi w:val="0"/>
              <w:jc w:val="center"/>
              <w:rPr>
                <w:rFonts w:hint="eastAsia" w:ascii="宋体" w:hAnsi="宋体" w:eastAsia="宋体" w:cs="宋体"/>
                <w:color w:val="auto"/>
                <w:kern w:val="21"/>
                <w:szCs w:val="21"/>
                <w:highlight w:val="none"/>
              </w:rPr>
            </w:pPr>
          </w:p>
        </w:tc>
        <w:tc>
          <w:tcPr>
            <w:tcW w:w="1172" w:type="dxa"/>
            <w:tcBorders>
              <w:top w:val="single" w:color="auto" w:sz="4" w:space="0"/>
              <w:left w:val="single" w:color="auto" w:sz="4" w:space="0"/>
              <w:bottom w:val="single" w:color="auto" w:sz="4" w:space="0"/>
              <w:right w:val="single" w:color="auto" w:sz="8" w:space="0"/>
            </w:tcBorders>
            <w:noWrap w:val="0"/>
            <w:vAlign w:val="center"/>
          </w:tcPr>
          <w:p w14:paraId="7D8B832E">
            <w:pPr>
              <w:keepNext w:val="0"/>
              <w:keepLines w:val="0"/>
              <w:bidi w:val="0"/>
              <w:ind w:left="-94" w:right="-77"/>
              <w:jc w:val="center"/>
              <w:rPr>
                <w:rFonts w:hint="eastAsia" w:ascii="宋体" w:hAnsi="宋体" w:eastAsia="宋体" w:cs="宋体"/>
                <w:color w:val="auto"/>
                <w:kern w:val="21"/>
                <w:szCs w:val="21"/>
                <w:highlight w:val="none"/>
              </w:rPr>
            </w:pPr>
          </w:p>
        </w:tc>
      </w:tr>
      <w:tr w14:paraId="66ACB1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3940" w:type="dxa"/>
            <w:gridSpan w:val="5"/>
            <w:tcBorders>
              <w:top w:val="single" w:color="auto" w:sz="4" w:space="0"/>
              <w:left w:val="single" w:color="auto" w:sz="8" w:space="0"/>
              <w:bottom w:val="single" w:color="auto" w:sz="8" w:space="0"/>
              <w:right w:val="single" w:color="auto" w:sz="4" w:space="0"/>
            </w:tcBorders>
            <w:noWrap w:val="0"/>
            <w:vAlign w:val="center"/>
          </w:tcPr>
          <w:p w14:paraId="0D9DC9A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851" w:type="dxa"/>
            <w:tcBorders>
              <w:top w:val="single" w:color="auto" w:sz="4" w:space="0"/>
              <w:left w:val="single" w:color="auto" w:sz="4" w:space="0"/>
              <w:bottom w:val="single" w:color="auto" w:sz="8" w:space="0"/>
              <w:right w:val="single" w:color="auto" w:sz="4" w:space="0"/>
            </w:tcBorders>
            <w:noWrap w:val="0"/>
            <w:vAlign w:val="center"/>
          </w:tcPr>
          <w:p w14:paraId="77EEB128">
            <w:pPr>
              <w:keepNext w:val="0"/>
              <w:keepLines w:val="0"/>
              <w:bidi w:val="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8" w:space="0"/>
              <w:right w:val="single" w:color="auto" w:sz="4" w:space="0"/>
            </w:tcBorders>
            <w:noWrap w:val="0"/>
            <w:vAlign w:val="center"/>
          </w:tcPr>
          <w:p w14:paraId="50B02B13">
            <w:pPr>
              <w:keepNext w:val="0"/>
              <w:keepLines w:val="0"/>
              <w:bidi w:val="0"/>
              <w:jc w:val="center"/>
              <w:rPr>
                <w:rFonts w:hint="eastAsia" w:ascii="宋体" w:hAnsi="宋体" w:eastAsia="宋体" w:cs="宋体"/>
                <w:color w:val="auto"/>
                <w:kern w:val="21"/>
                <w:szCs w:val="21"/>
                <w:highlight w:val="none"/>
              </w:rPr>
            </w:pPr>
          </w:p>
        </w:tc>
        <w:tc>
          <w:tcPr>
            <w:tcW w:w="1550" w:type="dxa"/>
            <w:tcBorders>
              <w:top w:val="single" w:color="auto" w:sz="4" w:space="0"/>
              <w:left w:val="single" w:color="auto" w:sz="4" w:space="0"/>
              <w:bottom w:val="single" w:color="auto" w:sz="8" w:space="0"/>
              <w:right w:val="single" w:color="auto" w:sz="4" w:space="0"/>
            </w:tcBorders>
            <w:noWrap w:val="0"/>
            <w:vAlign w:val="center"/>
          </w:tcPr>
          <w:p w14:paraId="7F282576">
            <w:pPr>
              <w:keepNext w:val="0"/>
              <w:keepLines w:val="0"/>
              <w:bidi w:val="0"/>
              <w:ind w:left="-94" w:right="-77"/>
              <w:jc w:val="center"/>
              <w:rPr>
                <w:rFonts w:hint="eastAsia" w:ascii="宋体" w:hAnsi="宋体" w:eastAsia="宋体" w:cs="宋体"/>
                <w:color w:val="auto"/>
                <w:kern w:val="21"/>
                <w:szCs w:val="21"/>
                <w:highlight w:val="none"/>
              </w:rPr>
            </w:pPr>
          </w:p>
        </w:tc>
        <w:tc>
          <w:tcPr>
            <w:tcW w:w="3359" w:type="dxa"/>
            <w:gridSpan w:val="4"/>
            <w:tcBorders>
              <w:top w:val="single" w:color="auto" w:sz="4" w:space="0"/>
              <w:left w:val="single" w:color="auto" w:sz="4" w:space="0"/>
              <w:bottom w:val="single" w:color="auto" w:sz="8" w:space="0"/>
              <w:right w:val="single" w:color="auto" w:sz="4" w:space="0"/>
            </w:tcBorders>
            <w:noWrap w:val="0"/>
            <w:vAlign w:val="center"/>
          </w:tcPr>
          <w:p w14:paraId="0657224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1013" w:type="dxa"/>
            <w:tcBorders>
              <w:top w:val="single" w:color="auto" w:sz="4" w:space="0"/>
              <w:left w:val="single" w:color="auto" w:sz="4" w:space="0"/>
              <w:bottom w:val="single" w:color="auto" w:sz="8" w:space="0"/>
              <w:right w:val="single" w:color="auto" w:sz="4" w:space="0"/>
            </w:tcBorders>
            <w:noWrap w:val="0"/>
            <w:vAlign w:val="top"/>
          </w:tcPr>
          <w:p w14:paraId="17660E36">
            <w:pPr>
              <w:keepNext w:val="0"/>
              <w:keepLines w:val="0"/>
              <w:bidi w:val="0"/>
              <w:rPr>
                <w:rFonts w:hint="eastAsia" w:ascii="宋体" w:hAnsi="宋体" w:eastAsia="宋体" w:cs="宋体"/>
                <w:color w:val="auto"/>
                <w:kern w:val="21"/>
                <w:szCs w:val="21"/>
                <w:highlight w:val="none"/>
              </w:rPr>
            </w:pPr>
          </w:p>
        </w:tc>
        <w:tc>
          <w:tcPr>
            <w:tcW w:w="922" w:type="dxa"/>
            <w:tcBorders>
              <w:top w:val="single" w:color="auto" w:sz="4" w:space="0"/>
              <w:left w:val="single" w:color="auto" w:sz="4" w:space="0"/>
              <w:bottom w:val="single" w:color="auto" w:sz="8" w:space="0"/>
              <w:right w:val="single" w:color="auto" w:sz="4" w:space="0"/>
            </w:tcBorders>
            <w:noWrap w:val="0"/>
            <w:vAlign w:val="center"/>
          </w:tcPr>
          <w:p w14:paraId="10CD26D4">
            <w:pPr>
              <w:keepNext w:val="0"/>
              <w:keepLines w:val="0"/>
              <w:bidi w:val="0"/>
              <w:jc w:val="center"/>
              <w:rPr>
                <w:rFonts w:hint="eastAsia" w:ascii="宋体" w:hAnsi="宋体" w:eastAsia="宋体" w:cs="宋体"/>
                <w:color w:val="auto"/>
                <w:kern w:val="21"/>
                <w:szCs w:val="21"/>
                <w:highlight w:val="none"/>
              </w:rPr>
            </w:pPr>
          </w:p>
        </w:tc>
        <w:tc>
          <w:tcPr>
            <w:tcW w:w="1172" w:type="dxa"/>
            <w:tcBorders>
              <w:top w:val="single" w:color="auto" w:sz="4" w:space="0"/>
              <w:left w:val="single" w:color="auto" w:sz="4" w:space="0"/>
              <w:bottom w:val="single" w:color="auto" w:sz="8" w:space="0"/>
              <w:right w:val="single" w:color="auto" w:sz="8" w:space="0"/>
            </w:tcBorders>
            <w:noWrap w:val="0"/>
            <w:vAlign w:val="center"/>
          </w:tcPr>
          <w:p w14:paraId="46064446">
            <w:pPr>
              <w:keepNext w:val="0"/>
              <w:keepLines w:val="0"/>
              <w:bidi w:val="0"/>
              <w:ind w:left="-94" w:right="-77"/>
              <w:jc w:val="center"/>
              <w:rPr>
                <w:rFonts w:hint="eastAsia" w:ascii="宋体" w:hAnsi="宋体" w:eastAsia="宋体" w:cs="宋体"/>
                <w:color w:val="auto"/>
                <w:kern w:val="21"/>
                <w:szCs w:val="21"/>
                <w:highlight w:val="none"/>
              </w:rPr>
            </w:pPr>
          </w:p>
        </w:tc>
      </w:tr>
    </w:tbl>
    <w:p w14:paraId="415BC1A9">
      <w:pPr>
        <w:keepNext w:val="0"/>
        <w:keepLines w:val="0"/>
        <w:bidi w:val="0"/>
        <w:spacing w:line="360" w:lineRule="auto"/>
        <w:rPr>
          <w:rFonts w:hint="eastAsia" w:ascii="宋体" w:hAnsi="宋体" w:eastAsia="宋体" w:cs="宋体"/>
          <w:b/>
          <w:bCs/>
          <w:color w:val="auto"/>
          <w:kern w:val="21"/>
          <w:highlight w:val="none"/>
        </w:rPr>
      </w:pPr>
    </w:p>
    <w:p w14:paraId="1F94AC0D">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表5监理试验设施费报价表（常规检测）</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028"/>
        <w:gridCol w:w="791"/>
        <w:gridCol w:w="696"/>
        <w:gridCol w:w="1067"/>
        <w:gridCol w:w="16"/>
        <w:gridCol w:w="917"/>
        <w:gridCol w:w="937"/>
        <w:gridCol w:w="1228"/>
        <w:gridCol w:w="1217"/>
        <w:gridCol w:w="828"/>
        <w:gridCol w:w="682"/>
        <w:gridCol w:w="1026"/>
        <w:gridCol w:w="1026"/>
        <w:gridCol w:w="1026"/>
        <w:gridCol w:w="1226"/>
      </w:tblGrid>
      <w:tr w14:paraId="0DA797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67" w:type="dxa"/>
            <w:vMerge w:val="restart"/>
            <w:tcBorders>
              <w:top w:val="single" w:color="auto" w:sz="8" w:space="0"/>
              <w:left w:val="single" w:color="auto" w:sz="8" w:space="0"/>
              <w:bottom w:val="single" w:color="auto" w:sz="4" w:space="0"/>
              <w:right w:val="single" w:color="auto" w:sz="4" w:space="0"/>
            </w:tcBorders>
            <w:noWrap w:val="0"/>
            <w:vAlign w:val="center"/>
          </w:tcPr>
          <w:p w14:paraId="2B7D5FDD">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6680" w:type="dxa"/>
            <w:gridSpan w:val="8"/>
            <w:tcBorders>
              <w:top w:val="single" w:color="auto" w:sz="8" w:space="0"/>
              <w:left w:val="single" w:color="auto" w:sz="4" w:space="0"/>
              <w:bottom w:val="single" w:color="auto" w:sz="4" w:space="0"/>
              <w:right w:val="single" w:color="auto" w:sz="4" w:space="0"/>
            </w:tcBorders>
            <w:noWrap w:val="0"/>
            <w:vAlign w:val="center"/>
          </w:tcPr>
          <w:p w14:paraId="3A58DE1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7031" w:type="dxa"/>
            <w:gridSpan w:val="7"/>
            <w:tcBorders>
              <w:top w:val="single" w:color="auto" w:sz="8" w:space="0"/>
              <w:left w:val="single" w:color="auto" w:sz="4" w:space="0"/>
              <w:bottom w:val="single" w:color="auto" w:sz="4" w:space="0"/>
              <w:right w:val="single" w:color="auto" w:sz="8" w:space="0"/>
            </w:tcBorders>
            <w:noWrap w:val="0"/>
            <w:vAlign w:val="center"/>
          </w:tcPr>
          <w:p w14:paraId="0F08D548">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0454A9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467" w:type="dxa"/>
            <w:vMerge w:val="continue"/>
            <w:tcBorders>
              <w:top w:val="single" w:color="auto" w:sz="8" w:space="0"/>
              <w:left w:val="single" w:color="auto" w:sz="8" w:space="0"/>
              <w:bottom w:val="single" w:color="auto" w:sz="4" w:space="0"/>
              <w:right w:val="single" w:color="auto" w:sz="4" w:space="0"/>
            </w:tcBorders>
            <w:noWrap w:val="0"/>
            <w:vAlign w:val="center"/>
          </w:tcPr>
          <w:p w14:paraId="7D688224">
            <w:pPr>
              <w:keepNext w:val="0"/>
              <w:keepLines w:val="0"/>
              <w:bidi w:val="0"/>
              <w:rPr>
                <w:rFonts w:hint="eastAsia" w:ascii="宋体" w:hAnsi="宋体" w:eastAsia="宋体" w:cs="宋体"/>
                <w:color w:val="auto"/>
                <w:kern w:val="21"/>
                <w:szCs w:val="21"/>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3308F3F3">
            <w:pPr>
              <w:keepNext w:val="0"/>
              <w:keepLines w:val="0"/>
              <w:bidi w:val="0"/>
              <w:ind w:left="-66"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设备名称</w:t>
            </w:r>
          </w:p>
        </w:tc>
        <w:tc>
          <w:tcPr>
            <w:tcW w:w="791" w:type="dxa"/>
            <w:tcBorders>
              <w:top w:val="single" w:color="auto" w:sz="4" w:space="0"/>
              <w:left w:val="single" w:color="auto" w:sz="4" w:space="0"/>
              <w:bottom w:val="single" w:color="auto" w:sz="4" w:space="0"/>
              <w:right w:val="single" w:color="auto" w:sz="4" w:space="0"/>
            </w:tcBorders>
            <w:noWrap w:val="0"/>
            <w:vAlign w:val="center"/>
          </w:tcPr>
          <w:p w14:paraId="7436D6EF">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型号</w:t>
            </w:r>
          </w:p>
        </w:tc>
        <w:tc>
          <w:tcPr>
            <w:tcW w:w="696" w:type="dxa"/>
            <w:tcBorders>
              <w:top w:val="single" w:color="auto" w:sz="4" w:space="0"/>
              <w:left w:val="single" w:color="auto" w:sz="4" w:space="0"/>
              <w:bottom w:val="single" w:color="auto" w:sz="4" w:space="0"/>
              <w:right w:val="single" w:color="auto" w:sz="4" w:space="0"/>
            </w:tcBorders>
            <w:noWrap w:val="0"/>
            <w:vAlign w:val="center"/>
          </w:tcPr>
          <w:p w14:paraId="5DDD4106">
            <w:pPr>
              <w:keepNext w:val="0"/>
              <w:keepLines w:val="0"/>
              <w:bidi w:val="0"/>
              <w:ind w:left="-66" w:right="-7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5D8E4B0E">
            <w:pPr>
              <w:keepNext w:val="0"/>
              <w:keepLines w:val="0"/>
              <w:bidi w:val="0"/>
              <w:ind w:left="-66" w:right="-94"/>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7A33F395">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937" w:type="dxa"/>
            <w:tcBorders>
              <w:top w:val="single" w:color="auto" w:sz="4" w:space="0"/>
              <w:left w:val="single" w:color="auto" w:sz="4" w:space="0"/>
              <w:bottom w:val="single" w:color="auto" w:sz="4" w:space="0"/>
              <w:right w:val="single" w:color="auto" w:sz="4" w:space="0"/>
            </w:tcBorders>
            <w:noWrap w:val="0"/>
            <w:vAlign w:val="center"/>
          </w:tcPr>
          <w:p w14:paraId="00AAB738">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228" w:type="dxa"/>
            <w:tcBorders>
              <w:top w:val="single" w:color="auto" w:sz="4" w:space="0"/>
              <w:left w:val="single" w:color="auto" w:sz="4" w:space="0"/>
              <w:bottom w:val="single" w:color="auto" w:sz="4" w:space="0"/>
              <w:right w:val="single" w:color="auto" w:sz="4" w:space="0"/>
            </w:tcBorders>
            <w:noWrap w:val="0"/>
            <w:vAlign w:val="center"/>
          </w:tcPr>
          <w:p w14:paraId="4028345F">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5AD1470D">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3AA0EAA2">
            <w:pPr>
              <w:keepNext w:val="0"/>
              <w:keepLines w:val="0"/>
              <w:bidi w:val="0"/>
              <w:ind w:left="-66"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设备名称</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8CF2EB0">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型号</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3950545D">
            <w:pPr>
              <w:keepNext w:val="0"/>
              <w:keepLines w:val="0"/>
              <w:bidi w:val="0"/>
              <w:ind w:left="-66" w:right="-7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FA4A21E">
            <w:pPr>
              <w:keepNext w:val="0"/>
              <w:keepLines w:val="0"/>
              <w:bidi w:val="0"/>
              <w:ind w:left="-66" w:right="-94"/>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B046B6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57480B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226" w:type="dxa"/>
            <w:tcBorders>
              <w:top w:val="single" w:color="auto" w:sz="4" w:space="0"/>
              <w:left w:val="single" w:color="auto" w:sz="4" w:space="0"/>
              <w:bottom w:val="single" w:color="auto" w:sz="4" w:space="0"/>
              <w:right w:val="single" w:color="auto" w:sz="8" w:space="0"/>
            </w:tcBorders>
            <w:noWrap w:val="0"/>
            <w:vAlign w:val="center"/>
          </w:tcPr>
          <w:p w14:paraId="1C89A61E">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20B4A355">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r>
      <w:tr w14:paraId="5AD0F2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67" w:type="dxa"/>
            <w:tcBorders>
              <w:top w:val="single" w:color="auto" w:sz="4" w:space="0"/>
              <w:left w:val="single" w:color="auto" w:sz="8" w:space="0"/>
              <w:bottom w:val="single" w:color="auto" w:sz="4" w:space="0"/>
              <w:right w:val="single" w:color="auto" w:sz="4" w:space="0"/>
            </w:tcBorders>
            <w:noWrap w:val="0"/>
            <w:vAlign w:val="center"/>
          </w:tcPr>
          <w:p w14:paraId="012D084C">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0A7D96D">
            <w:pPr>
              <w:keepNext w:val="0"/>
              <w:keepLines w:val="0"/>
              <w:bidi w:val="0"/>
              <w:ind w:left="-66" w:right="-66"/>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4EF1E7A6">
            <w:pPr>
              <w:keepNext w:val="0"/>
              <w:keepLines w:val="0"/>
              <w:bidi w:val="0"/>
              <w:ind w:left="-80" w:right="-24"/>
              <w:jc w:val="center"/>
              <w:rPr>
                <w:rFonts w:hint="eastAsia" w:ascii="宋体" w:hAnsi="宋体" w:eastAsia="宋体" w:cs="宋体"/>
                <w:color w:val="auto"/>
                <w:kern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1A1CD54E">
            <w:pPr>
              <w:keepNext w:val="0"/>
              <w:keepLines w:val="0"/>
              <w:bidi w:val="0"/>
              <w:ind w:left="-66" w:right="-70"/>
              <w:jc w:val="center"/>
              <w:rPr>
                <w:rFonts w:hint="eastAsia" w:ascii="宋体" w:hAnsi="宋体" w:eastAsia="宋体" w:cs="宋体"/>
                <w:color w:val="auto"/>
                <w:kern w:val="21"/>
                <w:szCs w:val="21"/>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7D1BA694">
            <w:pPr>
              <w:keepNext w:val="0"/>
              <w:keepLines w:val="0"/>
              <w:bidi w:val="0"/>
              <w:ind w:left="-66" w:right="-94"/>
              <w:jc w:val="center"/>
              <w:rPr>
                <w:rFonts w:hint="eastAsia" w:ascii="宋体" w:hAnsi="宋体" w:eastAsia="宋体" w:cs="宋体"/>
                <w:color w:val="auto"/>
                <w:kern w:val="21"/>
                <w:szCs w:val="21"/>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29F18DB7">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center"/>
          </w:tcPr>
          <w:p w14:paraId="72D33AF6">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26329E8C">
            <w:pPr>
              <w:keepNext w:val="0"/>
              <w:keepLines w:val="0"/>
              <w:bidi w:val="0"/>
              <w:ind w:left="-94" w:right="-77"/>
              <w:jc w:val="center"/>
              <w:rPr>
                <w:rFonts w:hint="eastAsia" w:ascii="宋体" w:hAnsi="宋体" w:eastAsia="宋体" w:cs="宋体"/>
                <w:color w:val="auto"/>
                <w:kern w:val="21"/>
                <w:szCs w:val="21"/>
                <w:highlight w:val="none"/>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7F8E2E0F">
            <w:pPr>
              <w:keepNext w:val="0"/>
              <w:keepLines w:val="0"/>
              <w:bidi w:val="0"/>
              <w:ind w:left="-66" w:right="-66"/>
              <w:jc w:val="center"/>
              <w:rPr>
                <w:rFonts w:hint="eastAsia" w:ascii="宋体" w:hAnsi="宋体" w:eastAsia="宋体" w:cs="宋体"/>
                <w:color w:val="auto"/>
                <w:kern w:val="21"/>
                <w:szCs w:val="21"/>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7B81BB6A">
            <w:pPr>
              <w:keepNext w:val="0"/>
              <w:keepLines w:val="0"/>
              <w:bidi w:val="0"/>
              <w:ind w:left="-80" w:right="-24"/>
              <w:jc w:val="center"/>
              <w:rPr>
                <w:rFonts w:hint="eastAsia" w:ascii="宋体" w:hAnsi="宋体" w:eastAsia="宋体" w:cs="宋体"/>
                <w:color w:val="auto"/>
                <w:kern w:val="21"/>
                <w:szCs w:val="21"/>
                <w:highlight w:val="none"/>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0435B9C5">
            <w:pPr>
              <w:keepNext w:val="0"/>
              <w:keepLines w:val="0"/>
              <w:bidi w:val="0"/>
              <w:ind w:left="-66" w:right="-7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335EA04">
            <w:pPr>
              <w:keepNext w:val="0"/>
              <w:keepLines w:val="0"/>
              <w:bidi w:val="0"/>
              <w:ind w:left="-66" w:right="-94"/>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C8CA5AA">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C5F771E">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4" w:space="0"/>
              <w:right w:val="single" w:color="auto" w:sz="8" w:space="0"/>
            </w:tcBorders>
            <w:noWrap w:val="0"/>
            <w:vAlign w:val="center"/>
          </w:tcPr>
          <w:p w14:paraId="0A15CD7B">
            <w:pPr>
              <w:keepNext w:val="0"/>
              <w:keepLines w:val="0"/>
              <w:bidi w:val="0"/>
              <w:ind w:left="-94" w:right="-77"/>
              <w:jc w:val="center"/>
              <w:rPr>
                <w:rFonts w:hint="eastAsia" w:ascii="宋体" w:hAnsi="宋体" w:eastAsia="宋体" w:cs="宋体"/>
                <w:color w:val="auto"/>
                <w:kern w:val="21"/>
                <w:szCs w:val="21"/>
                <w:highlight w:val="none"/>
              </w:rPr>
            </w:pPr>
          </w:p>
        </w:tc>
      </w:tr>
      <w:tr w14:paraId="7D249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67" w:type="dxa"/>
            <w:tcBorders>
              <w:top w:val="single" w:color="auto" w:sz="4" w:space="0"/>
              <w:left w:val="single" w:color="auto" w:sz="8" w:space="0"/>
              <w:bottom w:val="single" w:color="auto" w:sz="4" w:space="0"/>
              <w:right w:val="single" w:color="auto" w:sz="4" w:space="0"/>
            </w:tcBorders>
            <w:noWrap w:val="0"/>
            <w:vAlign w:val="center"/>
          </w:tcPr>
          <w:p w14:paraId="7F7D98AD">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CE73F7A">
            <w:pPr>
              <w:keepNext w:val="0"/>
              <w:keepLines w:val="0"/>
              <w:bidi w:val="0"/>
              <w:ind w:left="-66" w:right="-66"/>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27C13F52">
            <w:pPr>
              <w:keepNext w:val="0"/>
              <w:keepLines w:val="0"/>
              <w:bidi w:val="0"/>
              <w:ind w:left="-80" w:right="-24"/>
              <w:jc w:val="center"/>
              <w:rPr>
                <w:rFonts w:hint="eastAsia" w:ascii="宋体" w:hAnsi="宋体" w:eastAsia="宋体" w:cs="宋体"/>
                <w:color w:val="auto"/>
                <w:kern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153534B2">
            <w:pPr>
              <w:keepNext w:val="0"/>
              <w:keepLines w:val="0"/>
              <w:bidi w:val="0"/>
              <w:ind w:left="-66" w:right="-70"/>
              <w:jc w:val="center"/>
              <w:rPr>
                <w:rFonts w:hint="eastAsia" w:ascii="宋体" w:hAnsi="宋体" w:eastAsia="宋体" w:cs="宋体"/>
                <w:color w:val="auto"/>
                <w:kern w:val="21"/>
                <w:szCs w:val="21"/>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0247D2BE">
            <w:pPr>
              <w:keepNext w:val="0"/>
              <w:keepLines w:val="0"/>
              <w:bidi w:val="0"/>
              <w:ind w:left="-66" w:right="-94"/>
              <w:jc w:val="center"/>
              <w:rPr>
                <w:rFonts w:hint="eastAsia" w:ascii="宋体" w:hAnsi="宋体" w:eastAsia="宋体" w:cs="宋体"/>
                <w:color w:val="auto"/>
                <w:kern w:val="21"/>
                <w:szCs w:val="21"/>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46C5A770">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center"/>
          </w:tcPr>
          <w:p w14:paraId="6621F5C2">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7644E2C5">
            <w:pPr>
              <w:keepNext w:val="0"/>
              <w:keepLines w:val="0"/>
              <w:bidi w:val="0"/>
              <w:ind w:left="-94" w:right="-77"/>
              <w:jc w:val="center"/>
              <w:rPr>
                <w:rFonts w:hint="eastAsia" w:ascii="宋体" w:hAnsi="宋体" w:eastAsia="宋体" w:cs="宋体"/>
                <w:color w:val="auto"/>
                <w:kern w:val="21"/>
                <w:szCs w:val="21"/>
                <w:highlight w:val="none"/>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6193626B">
            <w:pPr>
              <w:keepNext w:val="0"/>
              <w:keepLines w:val="0"/>
              <w:bidi w:val="0"/>
              <w:ind w:left="-66" w:right="-66"/>
              <w:jc w:val="center"/>
              <w:rPr>
                <w:rFonts w:hint="eastAsia" w:ascii="宋体" w:hAnsi="宋体" w:eastAsia="宋体" w:cs="宋体"/>
                <w:color w:val="auto"/>
                <w:kern w:val="21"/>
                <w:szCs w:val="21"/>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6803CE4F">
            <w:pPr>
              <w:keepNext w:val="0"/>
              <w:keepLines w:val="0"/>
              <w:bidi w:val="0"/>
              <w:ind w:left="-80" w:right="-24"/>
              <w:jc w:val="center"/>
              <w:rPr>
                <w:rFonts w:hint="eastAsia" w:ascii="宋体" w:hAnsi="宋体" w:eastAsia="宋体" w:cs="宋体"/>
                <w:color w:val="auto"/>
                <w:kern w:val="21"/>
                <w:szCs w:val="21"/>
                <w:highlight w:val="none"/>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24EAFCF7">
            <w:pPr>
              <w:keepNext w:val="0"/>
              <w:keepLines w:val="0"/>
              <w:bidi w:val="0"/>
              <w:ind w:left="-66" w:right="-7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C588E41">
            <w:pPr>
              <w:keepNext w:val="0"/>
              <w:keepLines w:val="0"/>
              <w:bidi w:val="0"/>
              <w:ind w:left="-66" w:right="-94"/>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91D48B9">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F67B774">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4" w:space="0"/>
              <w:right w:val="single" w:color="auto" w:sz="8" w:space="0"/>
            </w:tcBorders>
            <w:noWrap w:val="0"/>
            <w:vAlign w:val="center"/>
          </w:tcPr>
          <w:p w14:paraId="631CF14C">
            <w:pPr>
              <w:keepNext w:val="0"/>
              <w:keepLines w:val="0"/>
              <w:bidi w:val="0"/>
              <w:ind w:left="-94" w:right="-77"/>
              <w:jc w:val="center"/>
              <w:rPr>
                <w:rFonts w:hint="eastAsia" w:ascii="宋体" w:hAnsi="宋体" w:eastAsia="宋体" w:cs="宋体"/>
                <w:color w:val="auto"/>
                <w:kern w:val="21"/>
                <w:szCs w:val="21"/>
                <w:highlight w:val="none"/>
              </w:rPr>
            </w:pPr>
          </w:p>
        </w:tc>
      </w:tr>
      <w:tr w14:paraId="2B2E8D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67" w:type="dxa"/>
            <w:tcBorders>
              <w:top w:val="single" w:color="auto" w:sz="4" w:space="0"/>
              <w:left w:val="single" w:color="auto" w:sz="8" w:space="0"/>
              <w:bottom w:val="single" w:color="auto" w:sz="4" w:space="0"/>
              <w:right w:val="single" w:color="auto" w:sz="4" w:space="0"/>
            </w:tcBorders>
            <w:noWrap w:val="0"/>
            <w:vAlign w:val="center"/>
          </w:tcPr>
          <w:p w14:paraId="4C4B251B">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14BD626C">
            <w:pPr>
              <w:keepNext w:val="0"/>
              <w:keepLines w:val="0"/>
              <w:bidi w:val="0"/>
              <w:ind w:left="-66" w:right="-66"/>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4CFB0391">
            <w:pPr>
              <w:keepNext w:val="0"/>
              <w:keepLines w:val="0"/>
              <w:bidi w:val="0"/>
              <w:ind w:left="-80" w:right="-24"/>
              <w:jc w:val="center"/>
              <w:rPr>
                <w:rFonts w:hint="eastAsia" w:ascii="宋体" w:hAnsi="宋体" w:eastAsia="宋体" w:cs="宋体"/>
                <w:color w:val="auto"/>
                <w:kern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4367642D">
            <w:pPr>
              <w:keepNext w:val="0"/>
              <w:keepLines w:val="0"/>
              <w:bidi w:val="0"/>
              <w:ind w:left="-66" w:right="-70"/>
              <w:jc w:val="center"/>
              <w:rPr>
                <w:rFonts w:hint="eastAsia" w:ascii="宋体" w:hAnsi="宋体" w:eastAsia="宋体" w:cs="宋体"/>
                <w:color w:val="auto"/>
                <w:kern w:val="21"/>
                <w:szCs w:val="21"/>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0D9D2E61">
            <w:pPr>
              <w:keepNext w:val="0"/>
              <w:keepLines w:val="0"/>
              <w:bidi w:val="0"/>
              <w:ind w:left="-66" w:right="-94"/>
              <w:jc w:val="center"/>
              <w:rPr>
                <w:rFonts w:hint="eastAsia" w:ascii="宋体" w:hAnsi="宋体" w:eastAsia="宋体" w:cs="宋体"/>
                <w:color w:val="auto"/>
                <w:kern w:val="21"/>
                <w:szCs w:val="21"/>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3AD92192">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center"/>
          </w:tcPr>
          <w:p w14:paraId="705E9B5B">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53E34058">
            <w:pPr>
              <w:keepNext w:val="0"/>
              <w:keepLines w:val="0"/>
              <w:bidi w:val="0"/>
              <w:ind w:left="-94" w:right="-77"/>
              <w:jc w:val="center"/>
              <w:rPr>
                <w:rFonts w:hint="eastAsia" w:ascii="宋体" w:hAnsi="宋体" w:eastAsia="宋体" w:cs="宋体"/>
                <w:color w:val="auto"/>
                <w:kern w:val="21"/>
                <w:szCs w:val="21"/>
                <w:highlight w:val="none"/>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1CC759CD">
            <w:pPr>
              <w:keepNext w:val="0"/>
              <w:keepLines w:val="0"/>
              <w:bidi w:val="0"/>
              <w:ind w:left="-66" w:right="-66"/>
              <w:jc w:val="center"/>
              <w:rPr>
                <w:rFonts w:hint="eastAsia" w:ascii="宋体" w:hAnsi="宋体" w:eastAsia="宋体" w:cs="宋体"/>
                <w:color w:val="auto"/>
                <w:kern w:val="21"/>
                <w:szCs w:val="21"/>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04EFACBB">
            <w:pPr>
              <w:keepNext w:val="0"/>
              <w:keepLines w:val="0"/>
              <w:bidi w:val="0"/>
              <w:ind w:left="-80" w:right="-24"/>
              <w:jc w:val="center"/>
              <w:rPr>
                <w:rFonts w:hint="eastAsia" w:ascii="宋体" w:hAnsi="宋体" w:eastAsia="宋体" w:cs="宋体"/>
                <w:color w:val="auto"/>
                <w:kern w:val="21"/>
                <w:szCs w:val="21"/>
                <w:highlight w:val="none"/>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3A1EF97A">
            <w:pPr>
              <w:keepNext w:val="0"/>
              <w:keepLines w:val="0"/>
              <w:bidi w:val="0"/>
              <w:ind w:left="-66" w:right="-7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6454B57E">
            <w:pPr>
              <w:keepNext w:val="0"/>
              <w:keepLines w:val="0"/>
              <w:bidi w:val="0"/>
              <w:ind w:left="-66" w:right="-94"/>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13F0E11">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BE581AF">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4" w:space="0"/>
              <w:right w:val="single" w:color="auto" w:sz="8" w:space="0"/>
            </w:tcBorders>
            <w:noWrap w:val="0"/>
            <w:vAlign w:val="center"/>
          </w:tcPr>
          <w:p w14:paraId="5B159253">
            <w:pPr>
              <w:keepNext w:val="0"/>
              <w:keepLines w:val="0"/>
              <w:bidi w:val="0"/>
              <w:ind w:left="-94" w:right="-77"/>
              <w:jc w:val="center"/>
              <w:rPr>
                <w:rFonts w:hint="eastAsia" w:ascii="宋体" w:hAnsi="宋体" w:eastAsia="宋体" w:cs="宋体"/>
                <w:color w:val="auto"/>
                <w:kern w:val="21"/>
                <w:szCs w:val="21"/>
                <w:highlight w:val="none"/>
              </w:rPr>
            </w:pPr>
          </w:p>
        </w:tc>
      </w:tr>
      <w:tr w14:paraId="7E98B5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67" w:type="dxa"/>
            <w:tcBorders>
              <w:top w:val="single" w:color="auto" w:sz="4" w:space="0"/>
              <w:left w:val="single" w:color="auto" w:sz="8" w:space="0"/>
              <w:bottom w:val="single" w:color="auto" w:sz="4" w:space="0"/>
              <w:right w:val="single" w:color="auto" w:sz="4" w:space="0"/>
            </w:tcBorders>
            <w:noWrap w:val="0"/>
            <w:vAlign w:val="center"/>
          </w:tcPr>
          <w:p w14:paraId="419B4B83">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6E1DF098">
            <w:pPr>
              <w:keepNext w:val="0"/>
              <w:keepLines w:val="0"/>
              <w:bidi w:val="0"/>
              <w:ind w:left="-66" w:right="-66"/>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6C1547ED">
            <w:pPr>
              <w:keepNext w:val="0"/>
              <w:keepLines w:val="0"/>
              <w:bidi w:val="0"/>
              <w:ind w:left="-80" w:right="-24"/>
              <w:jc w:val="center"/>
              <w:rPr>
                <w:rFonts w:hint="eastAsia" w:ascii="宋体" w:hAnsi="宋体" w:eastAsia="宋体" w:cs="宋体"/>
                <w:color w:val="auto"/>
                <w:kern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0A0899BA">
            <w:pPr>
              <w:keepNext w:val="0"/>
              <w:keepLines w:val="0"/>
              <w:bidi w:val="0"/>
              <w:ind w:left="-66" w:right="-70"/>
              <w:jc w:val="center"/>
              <w:rPr>
                <w:rFonts w:hint="eastAsia" w:ascii="宋体" w:hAnsi="宋体" w:eastAsia="宋体" w:cs="宋体"/>
                <w:color w:val="auto"/>
                <w:kern w:val="21"/>
                <w:szCs w:val="21"/>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2F988C3E">
            <w:pPr>
              <w:keepNext w:val="0"/>
              <w:keepLines w:val="0"/>
              <w:bidi w:val="0"/>
              <w:ind w:left="-66" w:right="-94"/>
              <w:jc w:val="center"/>
              <w:rPr>
                <w:rFonts w:hint="eastAsia" w:ascii="宋体" w:hAnsi="宋体" w:eastAsia="宋体" w:cs="宋体"/>
                <w:color w:val="auto"/>
                <w:kern w:val="21"/>
                <w:szCs w:val="21"/>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76E0EBD7">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center"/>
          </w:tcPr>
          <w:p w14:paraId="2D97452E">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26BBD4F5">
            <w:pPr>
              <w:keepNext w:val="0"/>
              <w:keepLines w:val="0"/>
              <w:bidi w:val="0"/>
              <w:ind w:left="-94" w:right="-77"/>
              <w:jc w:val="center"/>
              <w:rPr>
                <w:rFonts w:hint="eastAsia" w:ascii="宋体" w:hAnsi="宋体" w:eastAsia="宋体" w:cs="宋体"/>
                <w:color w:val="auto"/>
                <w:kern w:val="21"/>
                <w:szCs w:val="21"/>
                <w:highlight w:val="none"/>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2B0CCD6C">
            <w:pPr>
              <w:keepNext w:val="0"/>
              <w:keepLines w:val="0"/>
              <w:bidi w:val="0"/>
              <w:ind w:left="-66" w:right="-66"/>
              <w:jc w:val="center"/>
              <w:rPr>
                <w:rFonts w:hint="eastAsia" w:ascii="宋体" w:hAnsi="宋体" w:eastAsia="宋体" w:cs="宋体"/>
                <w:color w:val="auto"/>
                <w:kern w:val="21"/>
                <w:szCs w:val="21"/>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43D709BB">
            <w:pPr>
              <w:keepNext w:val="0"/>
              <w:keepLines w:val="0"/>
              <w:bidi w:val="0"/>
              <w:ind w:left="-80" w:right="-24"/>
              <w:jc w:val="center"/>
              <w:rPr>
                <w:rFonts w:hint="eastAsia" w:ascii="宋体" w:hAnsi="宋体" w:eastAsia="宋体" w:cs="宋体"/>
                <w:color w:val="auto"/>
                <w:kern w:val="21"/>
                <w:szCs w:val="21"/>
                <w:highlight w:val="none"/>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78E253CF">
            <w:pPr>
              <w:keepNext w:val="0"/>
              <w:keepLines w:val="0"/>
              <w:bidi w:val="0"/>
              <w:ind w:left="-66" w:right="-7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953D764">
            <w:pPr>
              <w:keepNext w:val="0"/>
              <w:keepLines w:val="0"/>
              <w:bidi w:val="0"/>
              <w:ind w:left="-66" w:right="-94"/>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C5A50F9">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87452AD">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4" w:space="0"/>
              <w:right w:val="single" w:color="auto" w:sz="8" w:space="0"/>
            </w:tcBorders>
            <w:noWrap w:val="0"/>
            <w:vAlign w:val="center"/>
          </w:tcPr>
          <w:p w14:paraId="41D1476F">
            <w:pPr>
              <w:keepNext w:val="0"/>
              <w:keepLines w:val="0"/>
              <w:bidi w:val="0"/>
              <w:ind w:left="-94" w:right="-77"/>
              <w:jc w:val="center"/>
              <w:rPr>
                <w:rFonts w:hint="eastAsia" w:ascii="宋体" w:hAnsi="宋体" w:eastAsia="宋体" w:cs="宋体"/>
                <w:color w:val="auto"/>
                <w:kern w:val="21"/>
                <w:szCs w:val="21"/>
                <w:highlight w:val="none"/>
              </w:rPr>
            </w:pPr>
          </w:p>
        </w:tc>
      </w:tr>
      <w:tr w14:paraId="0ED79A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67" w:type="dxa"/>
            <w:tcBorders>
              <w:top w:val="single" w:color="auto" w:sz="4" w:space="0"/>
              <w:left w:val="single" w:color="auto" w:sz="8" w:space="0"/>
              <w:bottom w:val="single" w:color="auto" w:sz="4" w:space="0"/>
              <w:right w:val="single" w:color="auto" w:sz="4" w:space="0"/>
            </w:tcBorders>
            <w:noWrap w:val="0"/>
            <w:vAlign w:val="center"/>
          </w:tcPr>
          <w:p w14:paraId="4424B808">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6E79A796">
            <w:pPr>
              <w:keepNext w:val="0"/>
              <w:keepLines w:val="0"/>
              <w:bidi w:val="0"/>
              <w:ind w:left="-66" w:right="-66"/>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7361494B">
            <w:pPr>
              <w:keepNext w:val="0"/>
              <w:keepLines w:val="0"/>
              <w:bidi w:val="0"/>
              <w:ind w:left="-80" w:right="-24"/>
              <w:jc w:val="center"/>
              <w:rPr>
                <w:rFonts w:hint="eastAsia" w:ascii="宋体" w:hAnsi="宋体" w:eastAsia="宋体" w:cs="宋体"/>
                <w:color w:val="auto"/>
                <w:kern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1BE122EE">
            <w:pPr>
              <w:keepNext w:val="0"/>
              <w:keepLines w:val="0"/>
              <w:bidi w:val="0"/>
              <w:ind w:left="-66" w:right="-70"/>
              <w:jc w:val="center"/>
              <w:rPr>
                <w:rFonts w:hint="eastAsia" w:ascii="宋体" w:hAnsi="宋体" w:eastAsia="宋体" w:cs="宋体"/>
                <w:color w:val="auto"/>
                <w:kern w:val="21"/>
                <w:szCs w:val="21"/>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2B2AE8A0">
            <w:pPr>
              <w:keepNext w:val="0"/>
              <w:keepLines w:val="0"/>
              <w:bidi w:val="0"/>
              <w:ind w:left="-66" w:right="-94"/>
              <w:jc w:val="center"/>
              <w:rPr>
                <w:rFonts w:hint="eastAsia" w:ascii="宋体" w:hAnsi="宋体" w:eastAsia="宋体" w:cs="宋体"/>
                <w:color w:val="auto"/>
                <w:kern w:val="21"/>
                <w:szCs w:val="21"/>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4BCF3A58">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center"/>
          </w:tcPr>
          <w:p w14:paraId="7701AEA8">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522A3496">
            <w:pPr>
              <w:keepNext w:val="0"/>
              <w:keepLines w:val="0"/>
              <w:bidi w:val="0"/>
              <w:ind w:left="-94" w:right="-77"/>
              <w:jc w:val="center"/>
              <w:rPr>
                <w:rFonts w:hint="eastAsia" w:ascii="宋体" w:hAnsi="宋体" w:eastAsia="宋体" w:cs="宋体"/>
                <w:color w:val="auto"/>
                <w:kern w:val="21"/>
                <w:szCs w:val="21"/>
                <w:highlight w:val="none"/>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2E8A09A3">
            <w:pPr>
              <w:keepNext w:val="0"/>
              <w:keepLines w:val="0"/>
              <w:bidi w:val="0"/>
              <w:ind w:left="-66" w:right="-66"/>
              <w:jc w:val="center"/>
              <w:rPr>
                <w:rFonts w:hint="eastAsia" w:ascii="宋体" w:hAnsi="宋体" w:eastAsia="宋体" w:cs="宋体"/>
                <w:color w:val="auto"/>
                <w:kern w:val="21"/>
                <w:szCs w:val="21"/>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79286C87">
            <w:pPr>
              <w:keepNext w:val="0"/>
              <w:keepLines w:val="0"/>
              <w:bidi w:val="0"/>
              <w:ind w:left="-80" w:right="-24"/>
              <w:jc w:val="center"/>
              <w:rPr>
                <w:rFonts w:hint="eastAsia" w:ascii="宋体" w:hAnsi="宋体" w:eastAsia="宋体" w:cs="宋体"/>
                <w:color w:val="auto"/>
                <w:kern w:val="21"/>
                <w:szCs w:val="21"/>
                <w:highlight w:val="none"/>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16A13C79">
            <w:pPr>
              <w:keepNext w:val="0"/>
              <w:keepLines w:val="0"/>
              <w:bidi w:val="0"/>
              <w:ind w:left="-66" w:right="-7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FAA37C3">
            <w:pPr>
              <w:keepNext w:val="0"/>
              <w:keepLines w:val="0"/>
              <w:bidi w:val="0"/>
              <w:ind w:left="-66" w:right="-94"/>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4AF9A2D">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B33C7AD">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4" w:space="0"/>
              <w:right w:val="single" w:color="auto" w:sz="8" w:space="0"/>
            </w:tcBorders>
            <w:noWrap w:val="0"/>
            <w:vAlign w:val="center"/>
          </w:tcPr>
          <w:p w14:paraId="692E803A">
            <w:pPr>
              <w:keepNext w:val="0"/>
              <w:keepLines w:val="0"/>
              <w:bidi w:val="0"/>
              <w:ind w:left="-94" w:right="-77"/>
              <w:jc w:val="center"/>
              <w:rPr>
                <w:rFonts w:hint="eastAsia" w:ascii="宋体" w:hAnsi="宋体" w:eastAsia="宋体" w:cs="宋体"/>
                <w:color w:val="auto"/>
                <w:kern w:val="21"/>
                <w:szCs w:val="21"/>
                <w:highlight w:val="none"/>
              </w:rPr>
            </w:pPr>
          </w:p>
        </w:tc>
      </w:tr>
      <w:tr w14:paraId="510328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67" w:type="dxa"/>
            <w:tcBorders>
              <w:top w:val="single" w:color="auto" w:sz="4" w:space="0"/>
              <w:left w:val="single" w:color="auto" w:sz="8" w:space="0"/>
              <w:bottom w:val="single" w:color="auto" w:sz="4" w:space="0"/>
              <w:right w:val="single" w:color="auto" w:sz="4" w:space="0"/>
            </w:tcBorders>
            <w:noWrap w:val="0"/>
            <w:vAlign w:val="center"/>
          </w:tcPr>
          <w:p w14:paraId="2EE2BB80">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304D8162">
            <w:pPr>
              <w:keepNext w:val="0"/>
              <w:keepLines w:val="0"/>
              <w:bidi w:val="0"/>
              <w:ind w:left="-66" w:right="-66"/>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0C336D66">
            <w:pPr>
              <w:keepNext w:val="0"/>
              <w:keepLines w:val="0"/>
              <w:bidi w:val="0"/>
              <w:ind w:left="-80" w:right="-24"/>
              <w:jc w:val="center"/>
              <w:rPr>
                <w:rFonts w:hint="eastAsia" w:ascii="宋体" w:hAnsi="宋体" w:eastAsia="宋体" w:cs="宋体"/>
                <w:color w:val="auto"/>
                <w:kern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3CD865B9">
            <w:pPr>
              <w:keepNext w:val="0"/>
              <w:keepLines w:val="0"/>
              <w:bidi w:val="0"/>
              <w:ind w:left="-66" w:right="-70"/>
              <w:jc w:val="center"/>
              <w:rPr>
                <w:rFonts w:hint="eastAsia" w:ascii="宋体" w:hAnsi="宋体" w:eastAsia="宋体" w:cs="宋体"/>
                <w:color w:val="auto"/>
                <w:kern w:val="21"/>
                <w:szCs w:val="21"/>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43F956BE">
            <w:pPr>
              <w:keepNext w:val="0"/>
              <w:keepLines w:val="0"/>
              <w:bidi w:val="0"/>
              <w:ind w:left="-66" w:right="-94"/>
              <w:jc w:val="center"/>
              <w:rPr>
                <w:rFonts w:hint="eastAsia" w:ascii="宋体" w:hAnsi="宋体" w:eastAsia="宋体" w:cs="宋体"/>
                <w:color w:val="auto"/>
                <w:kern w:val="21"/>
                <w:szCs w:val="21"/>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76824083">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center"/>
          </w:tcPr>
          <w:p w14:paraId="75B0FD7A">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0D50EA66">
            <w:pPr>
              <w:keepNext w:val="0"/>
              <w:keepLines w:val="0"/>
              <w:bidi w:val="0"/>
              <w:ind w:left="-94" w:right="-77"/>
              <w:jc w:val="center"/>
              <w:rPr>
                <w:rFonts w:hint="eastAsia" w:ascii="宋体" w:hAnsi="宋体" w:eastAsia="宋体" w:cs="宋体"/>
                <w:color w:val="auto"/>
                <w:kern w:val="21"/>
                <w:szCs w:val="21"/>
                <w:highlight w:val="none"/>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0B4FAF92">
            <w:pPr>
              <w:keepNext w:val="0"/>
              <w:keepLines w:val="0"/>
              <w:bidi w:val="0"/>
              <w:ind w:left="-66" w:right="-66"/>
              <w:jc w:val="center"/>
              <w:rPr>
                <w:rFonts w:hint="eastAsia" w:ascii="宋体" w:hAnsi="宋体" w:eastAsia="宋体" w:cs="宋体"/>
                <w:color w:val="auto"/>
                <w:kern w:val="21"/>
                <w:szCs w:val="21"/>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4D0DD67E">
            <w:pPr>
              <w:keepNext w:val="0"/>
              <w:keepLines w:val="0"/>
              <w:bidi w:val="0"/>
              <w:ind w:left="-80" w:right="-24"/>
              <w:jc w:val="center"/>
              <w:rPr>
                <w:rFonts w:hint="eastAsia" w:ascii="宋体" w:hAnsi="宋体" w:eastAsia="宋体" w:cs="宋体"/>
                <w:color w:val="auto"/>
                <w:kern w:val="21"/>
                <w:szCs w:val="21"/>
                <w:highlight w:val="none"/>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47053AD2">
            <w:pPr>
              <w:keepNext w:val="0"/>
              <w:keepLines w:val="0"/>
              <w:bidi w:val="0"/>
              <w:ind w:left="-66" w:right="-7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B81B2AB">
            <w:pPr>
              <w:keepNext w:val="0"/>
              <w:keepLines w:val="0"/>
              <w:bidi w:val="0"/>
              <w:ind w:left="-66" w:right="-94"/>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B5E71E1">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A6E3015">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4" w:space="0"/>
              <w:right w:val="single" w:color="auto" w:sz="8" w:space="0"/>
            </w:tcBorders>
            <w:noWrap w:val="0"/>
            <w:vAlign w:val="center"/>
          </w:tcPr>
          <w:p w14:paraId="695D8DAF">
            <w:pPr>
              <w:keepNext w:val="0"/>
              <w:keepLines w:val="0"/>
              <w:bidi w:val="0"/>
              <w:ind w:left="-94" w:right="-77"/>
              <w:jc w:val="center"/>
              <w:rPr>
                <w:rFonts w:hint="eastAsia" w:ascii="宋体" w:hAnsi="宋体" w:eastAsia="宋体" w:cs="宋体"/>
                <w:color w:val="auto"/>
                <w:kern w:val="21"/>
                <w:szCs w:val="21"/>
                <w:highlight w:val="none"/>
              </w:rPr>
            </w:pPr>
          </w:p>
        </w:tc>
      </w:tr>
      <w:tr w14:paraId="103DF8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67" w:type="dxa"/>
            <w:tcBorders>
              <w:top w:val="single" w:color="auto" w:sz="4" w:space="0"/>
              <w:left w:val="single" w:color="auto" w:sz="8" w:space="0"/>
              <w:bottom w:val="single" w:color="auto" w:sz="4" w:space="0"/>
              <w:right w:val="single" w:color="auto" w:sz="4" w:space="0"/>
            </w:tcBorders>
            <w:noWrap w:val="0"/>
            <w:vAlign w:val="center"/>
          </w:tcPr>
          <w:p w14:paraId="174FFA23">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F0AF03D">
            <w:pPr>
              <w:keepNext w:val="0"/>
              <w:keepLines w:val="0"/>
              <w:bidi w:val="0"/>
              <w:ind w:left="-66" w:right="-66"/>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557069E4">
            <w:pPr>
              <w:keepNext w:val="0"/>
              <w:keepLines w:val="0"/>
              <w:bidi w:val="0"/>
              <w:ind w:left="-80" w:right="-24"/>
              <w:jc w:val="center"/>
              <w:rPr>
                <w:rFonts w:hint="eastAsia" w:ascii="宋体" w:hAnsi="宋体" w:eastAsia="宋体" w:cs="宋体"/>
                <w:color w:val="auto"/>
                <w:kern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6EF38FA0">
            <w:pPr>
              <w:keepNext w:val="0"/>
              <w:keepLines w:val="0"/>
              <w:bidi w:val="0"/>
              <w:ind w:left="-66" w:right="-70"/>
              <w:jc w:val="center"/>
              <w:rPr>
                <w:rFonts w:hint="eastAsia" w:ascii="宋体" w:hAnsi="宋体" w:eastAsia="宋体" w:cs="宋体"/>
                <w:color w:val="auto"/>
                <w:kern w:val="21"/>
                <w:szCs w:val="21"/>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31A2D179">
            <w:pPr>
              <w:keepNext w:val="0"/>
              <w:keepLines w:val="0"/>
              <w:bidi w:val="0"/>
              <w:ind w:left="-66" w:right="-94"/>
              <w:jc w:val="center"/>
              <w:rPr>
                <w:rFonts w:hint="eastAsia" w:ascii="宋体" w:hAnsi="宋体" w:eastAsia="宋体" w:cs="宋体"/>
                <w:color w:val="auto"/>
                <w:kern w:val="21"/>
                <w:szCs w:val="21"/>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5BB4BE4D">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center"/>
          </w:tcPr>
          <w:p w14:paraId="241ABFC0">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0CC2B998">
            <w:pPr>
              <w:keepNext w:val="0"/>
              <w:keepLines w:val="0"/>
              <w:bidi w:val="0"/>
              <w:ind w:left="-94" w:right="-77"/>
              <w:jc w:val="center"/>
              <w:rPr>
                <w:rFonts w:hint="eastAsia" w:ascii="宋体" w:hAnsi="宋体" w:eastAsia="宋体" w:cs="宋体"/>
                <w:color w:val="auto"/>
                <w:kern w:val="21"/>
                <w:szCs w:val="21"/>
                <w:highlight w:val="none"/>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060CB794">
            <w:pPr>
              <w:keepNext w:val="0"/>
              <w:keepLines w:val="0"/>
              <w:bidi w:val="0"/>
              <w:ind w:left="-66" w:right="-66"/>
              <w:jc w:val="center"/>
              <w:rPr>
                <w:rFonts w:hint="eastAsia" w:ascii="宋体" w:hAnsi="宋体" w:eastAsia="宋体" w:cs="宋体"/>
                <w:color w:val="auto"/>
                <w:kern w:val="21"/>
                <w:szCs w:val="21"/>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355573D7">
            <w:pPr>
              <w:keepNext w:val="0"/>
              <w:keepLines w:val="0"/>
              <w:bidi w:val="0"/>
              <w:ind w:left="-80" w:right="-24"/>
              <w:jc w:val="center"/>
              <w:rPr>
                <w:rFonts w:hint="eastAsia" w:ascii="宋体" w:hAnsi="宋体" w:eastAsia="宋体" w:cs="宋体"/>
                <w:color w:val="auto"/>
                <w:kern w:val="21"/>
                <w:szCs w:val="21"/>
                <w:highlight w:val="none"/>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14FE15AF">
            <w:pPr>
              <w:keepNext w:val="0"/>
              <w:keepLines w:val="0"/>
              <w:bidi w:val="0"/>
              <w:ind w:left="-66" w:right="-7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C62EF88">
            <w:pPr>
              <w:keepNext w:val="0"/>
              <w:keepLines w:val="0"/>
              <w:bidi w:val="0"/>
              <w:ind w:left="-66" w:right="-94"/>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9E84DB7">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2C5E28C">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4" w:space="0"/>
              <w:right w:val="single" w:color="auto" w:sz="8" w:space="0"/>
            </w:tcBorders>
            <w:noWrap w:val="0"/>
            <w:vAlign w:val="center"/>
          </w:tcPr>
          <w:p w14:paraId="2425F33C">
            <w:pPr>
              <w:keepNext w:val="0"/>
              <w:keepLines w:val="0"/>
              <w:bidi w:val="0"/>
              <w:ind w:left="-94" w:right="-77"/>
              <w:jc w:val="center"/>
              <w:rPr>
                <w:rFonts w:hint="eastAsia" w:ascii="宋体" w:hAnsi="宋体" w:eastAsia="宋体" w:cs="宋体"/>
                <w:color w:val="auto"/>
                <w:kern w:val="21"/>
                <w:szCs w:val="21"/>
                <w:highlight w:val="none"/>
              </w:rPr>
            </w:pPr>
          </w:p>
        </w:tc>
      </w:tr>
      <w:tr w14:paraId="10DDDB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4065" w:type="dxa"/>
            <w:gridSpan w:val="6"/>
            <w:tcBorders>
              <w:top w:val="single" w:color="auto" w:sz="4" w:space="0"/>
              <w:left w:val="single" w:color="auto" w:sz="8" w:space="0"/>
              <w:bottom w:val="single" w:color="auto" w:sz="8" w:space="0"/>
              <w:right w:val="single" w:color="auto" w:sz="4" w:space="0"/>
            </w:tcBorders>
            <w:noWrap w:val="0"/>
            <w:vAlign w:val="center"/>
          </w:tcPr>
          <w:p w14:paraId="0F8BC03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917" w:type="dxa"/>
            <w:tcBorders>
              <w:top w:val="single" w:color="auto" w:sz="4" w:space="0"/>
              <w:left w:val="single" w:color="auto" w:sz="4" w:space="0"/>
              <w:bottom w:val="single" w:color="auto" w:sz="8" w:space="0"/>
              <w:right w:val="single" w:color="auto" w:sz="4" w:space="0"/>
            </w:tcBorders>
            <w:noWrap w:val="0"/>
            <w:vAlign w:val="center"/>
          </w:tcPr>
          <w:p w14:paraId="5AA6E336">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8" w:space="0"/>
              <w:right w:val="single" w:color="auto" w:sz="4" w:space="0"/>
            </w:tcBorders>
            <w:noWrap w:val="0"/>
            <w:vAlign w:val="center"/>
          </w:tcPr>
          <w:p w14:paraId="22F8BF5A">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8" w:space="0"/>
              <w:right w:val="single" w:color="auto" w:sz="4" w:space="0"/>
            </w:tcBorders>
            <w:noWrap w:val="0"/>
            <w:vAlign w:val="center"/>
          </w:tcPr>
          <w:p w14:paraId="21842B0D">
            <w:pPr>
              <w:keepNext w:val="0"/>
              <w:keepLines w:val="0"/>
              <w:bidi w:val="0"/>
              <w:ind w:left="-94" w:right="-77"/>
              <w:jc w:val="center"/>
              <w:rPr>
                <w:rFonts w:hint="eastAsia" w:ascii="宋体" w:hAnsi="宋体" w:eastAsia="宋体" w:cs="宋体"/>
                <w:color w:val="auto"/>
                <w:kern w:val="21"/>
                <w:szCs w:val="21"/>
                <w:highlight w:val="none"/>
              </w:rPr>
            </w:pPr>
          </w:p>
        </w:tc>
        <w:tc>
          <w:tcPr>
            <w:tcW w:w="3753" w:type="dxa"/>
            <w:gridSpan w:val="4"/>
            <w:tcBorders>
              <w:top w:val="single" w:color="auto" w:sz="4" w:space="0"/>
              <w:left w:val="single" w:color="auto" w:sz="4" w:space="0"/>
              <w:bottom w:val="single" w:color="auto" w:sz="8" w:space="0"/>
              <w:right w:val="single" w:color="auto" w:sz="4" w:space="0"/>
            </w:tcBorders>
            <w:noWrap w:val="0"/>
            <w:vAlign w:val="center"/>
          </w:tcPr>
          <w:p w14:paraId="6253C93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1026" w:type="dxa"/>
            <w:tcBorders>
              <w:top w:val="single" w:color="auto" w:sz="4" w:space="0"/>
              <w:left w:val="single" w:color="auto" w:sz="4" w:space="0"/>
              <w:bottom w:val="single" w:color="auto" w:sz="8" w:space="0"/>
              <w:right w:val="single" w:color="auto" w:sz="4" w:space="0"/>
            </w:tcBorders>
            <w:noWrap w:val="0"/>
            <w:vAlign w:val="top"/>
          </w:tcPr>
          <w:p w14:paraId="2EF4A58E">
            <w:pPr>
              <w:keepNext w:val="0"/>
              <w:keepLines w:val="0"/>
              <w:bidi w:val="0"/>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8" w:space="0"/>
              <w:right w:val="single" w:color="auto" w:sz="4" w:space="0"/>
            </w:tcBorders>
            <w:noWrap w:val="0"/>
            <w:vAlign w:val="center"/>
          </w:tcPr>
          <w:p w14:paraId="6ECF1883">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8" w:space="0"/>
              <w:right w:val="single" w:color="auto" w:sz="8" w:space="0"/>
            </w:tcBorders>
            <w:noWrap w:val="0"/>
            <w:vAlign w:val="center"/>
          </w:tcPr>
          <w:p w14:paraId="56CC8301">
            <w:pPr>
              <w:keepNext w:val="0"/>
              <w:keepLines w:val="0"/>
              <w:bidi w:val="0"/>
              <w:ind w:left="-94" w:right="-77"/>
              <w:jc w:val="center"/>
              <w:rPr>
                <w:rFonts w:hint="eastAsia" w:ascii="宋体" w:hAnsi="宋体" w:eastAsia="宋体" w:cs="宋体"/>
                <w:color w:val="auto"/>
                <w:kern w:val="21"/>
                <w:szCs w:val="21"/>
                <w:highlight w:val="none"/>
              </w:rPr>
            </w:pPr>
          </w:p>
        </w:tc>
      </w:tr>
    </w:tbl>
    <w:p w14:paraId="53C339A6">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表6监理工程师生活设施费报价表</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376"/>
        <w:gridCol w:w="744"/>
        <w:gridCol w:w="970"/>
        <w:gridCol w:w="951"/>
        <w:gridCol w:w="996"/>
        <w:gridCol w:w="1478"/>
        <w:gridCol w:w="1471"/>
        <w:gridCol w:w="817"/>
        <w:gridCol w:w="1052"/>
        <w:gridCol w:w="1026"/>
        <w:gridCol w:w="1026"/>
        <w:gridCol w:w="1477"/>
      </w:tblGrid>
      <w:tr w14:paraId="432AE2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615" w:type="dxa"/>
            <w:vMerge w:val="restart"/>
            <w:tcBorders>
              <w:top w:val="single" w:color="auto" w:sz="8" w:space="0"/>
              <w:left w:val="single" w:color="auto" w:sz="8" w:space="0"/>
              <w:bottom w:val="single" w:color="auto" w:sz="4" w:space="0"/>
              <w:right w:val="single" w:color="auto" w:sz="4" w:space="0"/>
            </w:tcBorders>
            <w:noWrap w:val="0"/>
            <w:vAlign w:val="center"/>
          </w:tcPr>
          <w:p w14:paraId="255B376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6515" w:type="dxa"/>
            <w:gridSpan w:val="6"/>
            <w:tcBorders>
              <w:top w:val="single" w:color="auto" w:sz="8" w:space="0"/>
              <w:left w:val="single" w:color="auto" w:sz="4" w:space="0"/>
              <w:bottom w:val="single" w:color="auto" w:sz="4" w:space="0"/>
              <w:right w:val="single" w:color="auto" w:sz="4" w:space="0"/>
            </w:tcBorders>
            <w:noWrap w:val="0"/>
            <w:vAlign w:val="center"/>
          </w:tcPr>
          <w:p w14:paraId="56DA8D65">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6869" w:type="dxa"/>
            <w:gridSpan w:val="6"/>
            <w:tcBorders>
              <w:top w:val="single" w:color="auto" w:sz="8" w:space="0"/>
              <w:left w:val="single" w:color="auto" w:sz="4" w:space="0"/>
              <w:bottom w:val="single" w:color="auto" w:sz="4" w:space="0"/>
              <w:right w:val="single" w:color="auto" w:sz="8" w:space="0"/>
            </w:tcBorders>
            <w:noWrap w:val="0"/>
            <w:vAlign w:val="center"/>
          </w:tcPr>
          <w:p w14:paraId="75B769C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73D8DC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73" w:hRule="atLeast"/>
          <w:jc w:val="center"/>
        </w:trPr>
        <w:tc>
          <w:tcPr>
            <w:tcW w:w="615" w:type="dxa"/>
            <w:vMerge w:val="continue"/>
            <w:tcBorders>
              <w:top w:val="single" w:color="auto" w:sz="8" w:space="0"/>
              <w:left w:val="single" w:color="auto" w:sz="8" w:space="0"/>
              <w:bottom w:val="single" w:color="auto" w:sz="4" w:space="0"/>
              <w:right w:val="single" w:color="auto" w:sz="4" w:space="0"/>
            </w:tcBorders>
            <w:noWrap w:val="0"/>
            <w:vAlign w:val="center"/>
          </w:tcPr>
          <w:p w14:paraId="4D386436">
            <w:pPr>
              <w:keepNext w:val="0"/>
              <w:keepLines w:val="0"/>
              <w:bidi w:val="0"/>
              <w:rPr>
                <w:rFonts w:hint="eastAsia" w:ascii="宋体" w:hAnsi="宋体" w:eastAsia="宋体" w:cs="宋体"/>
                <w:color w:val="auto"/>
                <w:kern w:val="21"/>
                <w:szCs w:val="21"/>
                <w:highlight w:val="none"/>
              </w:rPr>
            </w:pPr>
          </w:p>
        </w:tc>
        <w:tc>
          <w:tcPr>
            <w:tcW w:w="1376" w:type="dxa"/>
            <w:tcBorders>
              <w:top w:val="single" w:color="auto" w:sz="4" w:space="0"/>
              <w:left w:val="single" w:color="auto" w:sz="4" w:space="0"/>
              <w:bottom w:val="single" w:color="auto" w:sz="4" w:space="0"/>
              <w:right w:val="single" w:color="auto" w:sz="4" w:space="0"/>
            </w:tcBorders>
            <w:noWrap w:val="0"/>
            <w:vAlign w:val="center"/>
          </w:tcPr>
          <w:p w14:paraId="3BE717F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4A79CE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CFD0CE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951" w:type="dxa"/>
            <w:tcBorders>
              <w:top w:val="single" w:color="auto" w:sz="4" w:space="0"/>
              <w:left w:val="single" w:color="auto" w:sz="4" w:space="0"/>
              <w:bottom w:val="single" w:color="auto" w:sz="4" w:space="0"/>
              <w:right w:val="single" w:color="auto" w:sz="4" w:space="0"/>
            </w:tcBorders>
            <w:noWrap w:val="0"/>
            <w:vAlign w:val="center"/>
          </w:tcPr>
          <w:p w14:paraId="4A371ED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C7962B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EDD98F4">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46076E3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c>
          <w:tcPr>
            <w:tcW w:w="1471" w:type="dxa"/>
            <w:tcBorders>
              <w:top w:val="single" w:color="auto" w:sz="4" w:space="0"/>
              <w:left w:val="single" w:color="auto" w:sz="4" w:space="0"/>
              <w:bottom w:val="single" w:color="auto" w:sz="4" w:space="0"/>
              <w:right w:val="single" w:color="auto" w:sz="4" w:space="0"/>
            </w:tcBorders>
            <w:noWrap w:val="0"/>
            <w:vAlign w:val="center"/>
          </w:tcPr>
          <w:p w14:paraId="59E11E5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6820F23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4DB07B4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6CF463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9C3DB0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477" w:type="dxa"/>
            <w:tcBorders>
              <w:top w:val="single" w:color="auto" w:sz="4" w:space="0"/>
              <w:left w:val="single" w:color="auto" w:sz="4" w:space="0"/>
              <w:bottom w:val="single" w:color="auto" w:sz="4" w:space="0"/>
              <w:right w:val="single" w:color="auto" w:sz="8" w:space="0"/>
            </w:tcBorders>
            <w:noWrap w:val="0"/>
            <w:vAlign w:val="center"/>
          </w:tcPr>
          <w:p w14:paraId="31163B35">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2CFADF6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r>
      <w:tr w14:paraId="10063F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6932CA0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38D7B43F">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1311948A">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687228FD">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46FCEE71">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7C0C92A9">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04FF6EE1">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41F80763">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152A7D62">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386A1921">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204CFA2">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7BCE2B9">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6B634CB8">
            <w:pPr>
              <w:keepNext w:val="0"/>
              <w:keepLines w:val="0"/>
              <w:bidi w:val="0"/>
              <w:jc w:val="center"/>
              <w:rPr>
                <w:rFonts w:hint="eastAsia" w:ascii="宋体" w:hAnsi="宋体" w:eastAsia="宋体" w:cs="宋体"/>
                <w:color w:val="auto"/>
                <w:kern w:val="21"/>
                <w:szCs w:val="21"/>
                <w:highlight w:val="none"/>
              </w:rPr>
            </w:pPr>
          </w:p>
        </w:tc>
      </w:tr>
      <w:tr w14:paraId="01B46A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122DF86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7870915D">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0B78A73">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4C9261DC">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4A585381">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469B15D8">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7C7B791">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2C7BDA0B">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0F8893B8">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29CF8A34">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622492E8">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F7D74AA">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648F7604">
            <w:pPr>
              <w:keepNext w:val="0"/>
              <w:keepLines w:val="0"/>
              <w:bidi w:val="0"/>
              <w:jc w:val="center"/>
              <w:rPr>
                <w:rFonts w:hint="eastAsia" w:ascii="宋体" w:hAnsi="宋体" w:eastAsia="宋体" w:cs="宋体"/>
                <w:color w:val="auto"/>
                <w:kern w:val="21"/>
                <w:szCs w:val="21"/>
                <w:highlight w:val="none"/>
              </w:rPr>
            </w:pPr>
          </w:p>
        </w:tc>
      </w:tr>
      <w:tr w14:paraId="1FCE3C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34553D6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2944285F">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094D5172">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75827278">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2DEE6485">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40C86222">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4F50F62">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52A79648">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69541314">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011C528F">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FBC7DD7">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632BD048">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3D69268E">
            <w:pPr>
              <w:keepNext w:val="0"/>
              <w:keepLines w:val="0"/>
              <w:bidi w:val="0"/>
              <w:jc w:val="center"/>
              <w:rPr>
                <w:rFonts w:hint="eastAsia" w:ascii="宋体" w:hAnsi="宋体" w:eastAsia="宋体" w:cs="宋体"/>
                <w:color w:val="auto"/>
                <w:kern w:val="21"/>
                <w:szCs w:val="21"/>
                <w:highlight w:val="none"/>
              </w:rPr>
            </w:pPr>
          </w:p>
        </w:tc>
      </w:tr>
      <w:tr w14:paraId="391226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5C292B0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4064C4FB">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1226E6AD">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04A66EE0">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1C6370B3">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3BCD013A">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53EA4D0">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265D0CA3">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1D73D005">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07A0E823">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6F9BD9C7">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8B6B653">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7BC2AF24">
            <w:pPr>
              <w:keepNext w:val="0"/>
              <w:keepLines w:val="0"/>
              <w:bidi w:val="0"/>
              <w:jc w:val="center"/>
              <w:rPr>
                <w:rFonts w:hint="eastAsia" w:ascii="宋体" w:hAnsi="宋体" w:eastAsia="宋体" w:cs="宋体"/>
                <w:color w:val="auto"/>
                <w:kern w:val="21"/>
                <w:szCs w:val="21"/>
                <w:highlight w:val="none"/>
              </w:rPr>
            </w:pPr>
          </w:p>
        </w:tc>
      </w:tr>
      <w:tr w14:paraId="420DF9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3516EAD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1FF98BE2">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035238CB">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39FD1605">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3E8275D9">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2AAAA8C7">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6A8DA13E">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548D055B">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01461C3B">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795C6494">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8C7348E">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CF9734C">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507C2C0E">
            <w:pPr>
              <w:keepNext w:val="0"/>
              <w:keepLines w:val="0"/>
              <w:bidi w:val="0"/>
              <w:jc w:val="center"/>
              <w:rPr>
                <w:rFonts w:hint="eastAsia" w:ascii="宋体" w:hAnsi="宋体" w:eastAsia="宋体" w:cs="宋体"/>
                <w:color w:val="auto"/>
                <w:kern w:val="21"/>
                <w:szCs w:val="21"/>
                <w:highlight w:val="none"/>
              </w:rPr>
            </w:pPr>
          </w:p>
        </w:tc>
      </w:tr>
      <w:tr w14:paraId="0CE207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641C10E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6D5E90C2">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7AC9F9D0">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78F4337B">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7E1D7BDD">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73B36F4F">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3CA5399A">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77F332E0">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21DE24BB">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302FDF35">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B94CEC7">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A6D1B99">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7510EACD">
            <w:pPr>
              <w:keepNext w:val="0"/>
              <w:keepLines w:val="0"/>
              <w:bidi w:val="0"/>
              <w:jc w:val="center"/>
              <w:rPr>
                <w:rFonts w:hint="eastAsia" w:ascii="宋体" w:hAnsi="宋体" w:eastAsia="宋体" w:cs="宋体"/>
                <w:color w:val="auto"/>
                <w:kern w:val="21"/>
                <w:szCs w:val="21"/>
                <w:highlight w:val="none"/>
              </w:rPr>
            </w:pPr>
          </w:p>
        </w:tc>
      </w:tr>
      <w:tr w14:paraId="6A20C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36AC962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5ADDBB40">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1859FE77">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5DF21336">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52364BCA">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0E58FCDB">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3285E4F1">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0D526EB0">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721386F7">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716C6678">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F99B48D">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8EACBCB">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099A66E2">
            <w:pPr>
              <w:keepNext w:val="0"/>
              <w:keepLines w:val="0"/>
              <w:bidi w:val="0"/>
              <w:jc w:val="center"/>
              <w:rPr>
                <w:rFonts w:hint="eastAsia" w:ascii="宋体" w:hAnsi="宋体" w:eastAsia="宋体" w:cs="宋体"/>
                <w:color w:val="auto"/>
                <w:kern w:val="21"/>
                <w:szCs w:val="21"/>
                <w:highlight w:val="none"/>
              </w:rPr>
            </w:pPr>
          </w:p>
        </w:tc>
      </w:tr>
      <w:tr w14:paraId="69C67A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22D753C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5CB47821">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8475E5A">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2DE70234">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69D3C151">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5A02CB39">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4D46E631">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2DEBD106">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0FDE34F6">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7647D423">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0ED9B36">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070D491">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0D60D28A">
            <w:pPr>
              <w:keepNext w:val="0"/>
              <w:keepLines w:val="0"/>
              <w:bidi w:val="0"/>
              <w:jc w:val="center"/>
              <w:rPr>
                <w:rFonts w:hint="eastAsia" w:ascii="宋体" w:hAnsi="宋体" w:eastAsia="宋体" w:cs="宋体"/>
                <w:color w:val="auto"/>
                <w:kern w:val="21"/>
                <w:szCs w:val="21"/>
                <w:highlight w:val="none"/>
              </w:rPr>
            </w:pPr>
          </w:p>
        </w:tc>
      </w:tr>
      <w:tr w14:paraId="1D9BDA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106C4A85">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2194A0D3">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CBBD9E8">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484906C4">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18A4828E">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09D8051C">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8E333E3">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10E55CC1">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0B80A747">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1E6FB361">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D2EA8C7">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D6B260D">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345780D9">
            <w:pPr>
              <w:keepNext w:val="0"/>
              <w:keepLines w:val="0"/>
              <w:bidi w:val="0"/>
              <w:jc w:val="center"/>
              <w:rPr>
                <w:rFonts w:hint="eastAsia" w:ascii="宋体" w:hAnsi="宋体" w:eastAsia="宋体" w:cs="宋体"/>
                <w:color w:val="auto"/>
                <w:kern w:val="21"/>
                <w:szCs w:val="21"/>
                <w:highlight w:val="none"/>
              </w:rPr>
            </w:pPr>
          </w:p>
        </w:tc>
      </w:tr>
      <w:tr w14:paraId="0E70A8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3705" w:type="dxa"/>
            <w:gridSpan w:val="4"/>
            <w:tcBorders>
              <w:top w:val="single" w:color="auto" w:sz="4" w:space="0"/>
              <w:left w:val="single" w:color="auto" w:sz="8" w:space="0"/>
              <w:bottom w:val="single" w:color="auto" w:sz="8" w:space="0"/>
              <w:right w:val="single" w:color="auto" w:sz="4" w:space="0"/>
            </w:tcBorders>
            <w:noWrap w:val="0"/>
            <w:vAlign w:val="center"/>
          </w:tcPr>
          <w:p w14:paraId="00EF27A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951" w:type="dxa"/>
            <w:tcBorders>
              <w:top w:val="single" w:color="auto" w:sz="4" w:space="0"/>
              <w:left w:val="single" w:color="auto" w:sz="4" w:space="0"/>
              <w:bottom w:val="single" w:color="auto" w:sz="8" w:space="0"/>
              <w:right w:val="single" w:color="auto" w:sz="4" w:space="0"/>
            </w:tcBorders>
            <w:noWrap w:val="0"/>
            <w:vAlign w:val="center"/>
          </w:tcPr>
          <w:p w14:paraId="38717F2E">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8" w:space="0"/>
              <w:right w:val="single" w:color="auto" w:sz="4" w:space="0"/>
            </w:tcBorders>
            <w:noWrap w:val="0"/>
            <w:vAlign w:val="center"/>
          </w:tcPr>
          <w:p w14:paraId="20836C01">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8" w:space="0"/>
              <w:right w:val="single" w:color="auto" w:sz="4" w:space="0"/>
            </w:tcBorders>
            <w:noWrap w:val="0"/>
            <w:vAlign w:val="center"/>
          </w:tcPr>
          <w:p w14:paraId="67D16023">
            <w:pPr>
              <w:keepNext w:val="0"/>
              <w:keepLines w:val="0"/>
              <w:bidi w:val="0"/>
              <w:jc w:val="center"/>
              <w:rPr>
                <w:rFonts w:hint="eastAsia" w:ascii="宋体" w:hAnsi="宋体" w:eastAsia="宋体" w:cs="宋体"/>
                <w:color w:val="auto"/>
                <w:kern w:val="21"/>
                <w:szCs w:val="21"/>
                <w:highlight w:val="none"/>
              </w:rPr>
            </w:pPr>
          </w:p>
        </w:tc>
        <w:tc>
          <w:tcPr>
            <w:tcW w:w="3340" w:type="dxa"/>
            <w:gridSpan w:val="3"/>
            <w:tcBorders>
              <w:top w:val="single" w:color="auto" w:sz="4" w:space="0"/>
              <w:left w:val="single" w:color="auto" w:sz="4" w:space="0"/>
              <w:bottom w:val="single" w:color="auto" w:sz="8" w:space="0"/>
              <w:right w:val="single" w:color="auto" w:sz="4" w:space="0"/>
            </w:tcBorders>
            <w:noWrap w:val="0"/>
            <w:vAlign w:val="center"/>
          </w:tcPr>
          <w:p w14:paraId="5098309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1026" w:type="dxa"/>
            <w:tcBorders>
              <w:top w:val="single" w:color="auto" w:sz="4" w:space="0"/>
              <w:left w:val="single" w:color="auto" w:sz="4" w:space="0"/>
              <w:bottom w:val="single" w:color="auto" w:sz="8" w:space="0"/>
              <w:right w:val="single" w:color="auto" w:sz="4" w:space="0"/>
            </w:tcBorders>
            <w:noWrap w:val="0"/>
            <w:vAlign w:val="center"/>
          </w:tcPr>
          <w:p w14:paraId="19D5D7A1">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8" w:space="0"/>
              <w:right w:val="single" w:color="auto" w:sz="4" w:space="0"/>
            </w:tcBorders>
            <w:noWrap w:val="0"/>
            <w:vAlign w:val="center"/>
          </w:tcPr>
          <w:p w14:paraId="1212AEE8">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8" w:space="0"/>
              <w:right w:val="single" w:color="auto" w:sz="8" w:space="0"/>
            </w:tcBorders>
            <w:noWrap w:val="0"/>
            <w:vAlign w:val="center"/>
          </w:tcPr>
          <w:p w14:paraId="7BE8B303">
            <w:pPr>
              <w:keepNext w:val="0"/>
              <w:keepLines w:val="0"/>
              <w:bidi w:val="0"/>
              <w:jc w:val="center"/>
              <w:rPr>
                <w:rFonts w:hint="eastAsia" w:ascii="宋体" w:hAnsi="宋体" w:eastAsia="宋体" w:cs="宋体"/>
                <w:color w:val="auto"/>
                <w:kern w:val="21"/>
                <w:szCs w:val="21"/>
                <w:highlight w:val="none"/>
              </w:rPr>
            </w:pPr>
          </w:p>
        </w:tc>
      </w:tr>
    </w:tbl>
    <w:p w14:paraId="2CB26AF9">
      <w:pPr>
        <w:keepNext w:val="0"/>
        <w:keepLines w:val="0"/>
        <w:bidi w:val="0"/>
        <w:spacing w:line="360" w:lineRule="auto"/>
        <w:rPr>
          <w:rFonts w:hint="eastAsia" w:ascii="宋体" w:hAnsi="宋体" w:eastAsia="宋体" w:cs="宋体"/>
          <w:b/>
          <w:bCs/>
          <w:color w:val="auto"/>
          <w:kern w:val="21"/>
          <w:highlight w:val="none"/>
        </w:rPr>
      </w:pPr>
    </w:p>
    <w:p w14:paraId="524C1A60">
      <w:pPr>
        <w:keepNext w:val="0"/>
        <w:keepLines w:val="0"/>
        <w:bidi w:val="0"/>
        <w:jc w:val="right"/>
        <w:rPr>
          <w:rFonts w:hint="eastAsia" w:ascii="宋体" w:hAnsi="宋体" w:eastAsia="宋体" w:cs="宋体"/>
          <w:color w:val="auto"/>
          <w:kern w:val="21"/>
          <w:highlight w:val="none"/>
        </w:rPr>
      </w:pPr>
    </w:p>
    <w:p w14:paraId="6DB1558C">
      <w:pPr>
        <w:pStyle w:val="3"/>
        <w:keepNext w:val="0"/>
        <w:keepLines w:val="0"/>
        <w:bidi w:val="0"/>
        <w:spacing w:before="9"/>
        <w:rPr>
          <w:rFonts w:hint="eastAsia" w:ascii="宋体" w:hAnsi="宋体" w:eastAsia="宋体" w:cs="宋体"/>
          <w:b/>
          <w:color w:val="auto"/>
          <w:sz w:val="27"/>
          <w:highlight w:val="none"/>
        </w:rPr>
      </w:pPr>
    </w:p>
    <w:p w14:paraId="55D5A0C7">
      <w:pPr>
        <w:pStyle w:val="3"/>
        <w:keepNext w:val="0"/>
        <w:keepLines w:val="0"/>
        <w:bidi w:val="0"/>
        <w:spacing w:before="9"/>
        <w:rPr>
          <w:rFonts w:hint="eastAsia" w:ascii="宋体" w:hAnsi="宋体" w:eastAsia="宋体" w:cs="宋体"/>
          <w:b/>
          <w:color w:val="auto"/>
          <w:sz w:val="27"/>
          <w:highlight w:val="none"/>
        </w:rPr>
      </w:pPr>
    </w:p>
    <w:p w14:paraId="5965ED2D">
      <w:pPr>
        <w:pStyle w:val="3"/>
        <w:keepNext w:val="0"/>
        <w:keepLines w:val="0"/>
        <w:bidi w:val="0"/>
        <w:spacing w:before="9"/>
        <w:rPr>
          <w:rFonts w:hint="eastAsia" w:ascii="宋体" w:hAnsi="宋体" w:eastAsia="宋体" w:cs="宋体"/>
          <w:b/>
          <w:color w:val="auto"/>
          <w:sz w:val="27"/>
          <w:highlight w:val="none"/>
        </w:rPr>
      </w:pPr>
    </w:p>
    <w:p w14:paraId="5104F2B9">
      <w:pPr>
        <w:pStyle w:val="3"/>
        <w:keepNext w:val="0"/>
        <w:keepLines w:val="0"/>
        <w:bidi w:val="0"/>
        <w:spacing w:before="9"/>
        <w:rPr>
          <w:rFonts w:hint="eastAsia" w:ascii="宋体" w:hAnsi="宋体" w:eastAsia="宋体" w:cs="宋体"/>
          <w:b/>
          <w:color w:val="auto"/>
          <w:sz w:val="27"/>
          <w:highlight w:val="none"/>
        </w:rPr>
      </w:pPr>
    </w:p>
    <w:p w14:paraId="7B34203B">
      <w:pPr>
        <w:keepNext w:val="0"/>
        <w:keepLines w:val="0"/>
        <w:bidi w:val="0"/>
        <w:spacing w:before="62" w:after="5"/>
        <w:ind w:left="5534" w:right="5515"/>
        <w:jc w:val="center"/>
        <w:rPr>
          <w:rFonts w:hint="eastAsia" w:ascii="宋体" w:hAnsi="宋体" w:eastAsia="宋体" w:cs="宋体"/>
          <w:b/>
          <w:color w:val="auto"/>
          <w:sz w:val="28"/>
          <w:highlight w:val="none"/>
        </w:rPr>
      </w:pPr>
      <w:r>
        <w:rPr>
          <w:rFonts w:hint="eastAsia" w:ascii="宋体" w:hAnsi="宋体" w:eastAsia="宋体" w:cs="宋体"/>
          <w:b/>
          <w:color w:val="auto"/>
          <w:spacing w:val="-36"/>
          <w:sz w:val="28"/>
          <w:highlight w:val="none"/>
        </w:rPr>
        <w:t>表</w:t>
      </w:r>
      <w:r>
        <w:rPr>
          <w:rFonts w:hint="eastAsia" w:ascii="宋体" w:hAnsi="宋体" w:eastAsia="宋体" w:cs="宋体"/>
          <w:b/>
          <w:color w:val="auto"/>
          <w:sz w:val="28"/>
          <w:highlight w:val="none"/>
        </w:rPr>
        <w:t>7</w:t>
      </w:r>
      <w:r>
        <w:rPr>
          <w:rFonts w:hint="eastAsia" w:ascii="宋体" w:hAnsi="宋体" w:eastAsia="宋体" w:cs="宋体"/>
          <w:b/>
          <w:color w:val="auto"/>
          <w:spacing w:val="-10"/>
          <w:sz w:val="28"/>
          <w:highlight w:val="none"/>
        </w:rPr>
        <w:t>其</w:t>
      </w:r>
      <w:r>
        <w:rPr>
          <w:rFonts w:hint="eastAsia" w:ascii="宋体" w:hAnsi="宋体" w:eastAsia="宋体" w:cs="宋体"/>
          <w:b/>
          <w:color w:val="auto"/>
          <w:sz w:val="28"/>
          <w:highlight w:val="none"/>
        </w:rPr>
        <w:t>他费用报价</w:t>
      </w:r>
      <w:r>
        <w:rPr>
          <w:rFonts w:hint="eastAsia" w:ascii="宋体" w:hAnsi="宋体" w:eastAsia="宋体" w:cs="宋体"/>
          <w:b/>
          <w:color w:val="auto"/>
          <w:spacing w:val="-10"/>
          <w:sz w:val="28"/>
          <w:highlight w:val="none"/>
        </w:rPr>
        <w:t>表</w:t>
      </w:r>
    </w:p>
    <w:tbl>
      <w:tblPr>
        <w:tblStyle w:val="21"/>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7"/>
        <w:gridCol w:w="3259"/>
        <w:gridCol w:w="1277"/>
        <w:gridCol w:w="1133"/>
        <w:gridCol w:w="1560"/>
        <w:gridCol w:w="1558"/>
        <w:gridCol w:w="3557"/>
      </w:tblGrid>
      <w:tr w14:paraId="1B0EB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87" w:type="dxa"/>
            <w:noWrap w:val="0"/>
            <w:vAlign w:val="top"/>
          </w:tcPr>
          <w:p w14:paraId="757FD811">
            <w:pPr>
              <w:pStyle w:val="30"/>
              <w:keepNext w:val="0"/>
              <w:keepLines w:val="0"/>
              <w:bidi w:val="0"/>
              <w:spacing w:before="39"/>
              <w:ind w:left="331"/>
              <w:rPr>
                <w:rFonts w:hint="eastAsia" w:ascii="宋体" w:hAnsi="宋体" w:eastAsia="宋体" w:cs="宋体"/>
                <w:color w:val="auto"/>
                <w:sz w:val="21"/>
                <w:highlight w:val="none"/>
              </w:rPr>
            </w:pPr>
            <w:r>
              <w:rPr>
                <w:rFonts w:hint="eastAsia" w:ascii="宋体" w:hAnsi="宋体" w:eastAsia="宋体" w:cs="宋体"/>
                <w:color w:val="auto"/>
                <w:spacing w:val="-5"/>
                <w:sz w:val="21"/>
                <w:highlight w:val="none"/>
              </w:rPr>
              <w:t>序号</w:t>
            </w:r>
          </w:p>
        </w:tc>
        <w:tc>
          <w:tcPr>
            <w:tcW w:w="3259" w:type="dxa"/>
            <w:noWrap w:val="0"/>
            <w:vAlign w:val="top"/>
          </w:tcPr>
          <w:p w14:paraId="505C2D20">
            <w:pPr>
              <w:pStyle w:val="30"/>
              <w:keepNext w:val="0"/>
              <w:keepLines w:val="0"/>
              <w:bidi w:val="0"/>
              <w:spacing w:before="39"/>
              <w:ind w:left="786" w:right="774"/>
              <w:jc w:val="center"/>
              <w:rPr>
                <w:rFonts w:hint="eastAsia" w:ascii="宋体" w:hAnsi="宋体" w:eastAsia="宋体" w:cs="宋体"/>
                <w:color w:val="auto"/>
                <w:sz w:val="21"/>
                <w:highlight w:val="none"/>
              </w:rPr>
            </w:pPr>
            <w:r>
              <w:rPr>
                <w:rFonts w:hint="eastAsia" w:ascii="宋体" w:hAnsi="宋体" w:eastAsia="宋体" w:cs="宋体"/>
                <w:color w:val="auto"/>
                <w:spacing w:val="-4"/>
                <w:sz w:val="21"/>
                <w:highlight w:val="none"/>
              </w:rPr>
              <w:t>子目名称</w:t>
            </w:r>
          </w:p>
        </w:tc>
        <w:tc>
          <w:tcPr>
            <w:tcW w:w="1277" w:type="dxa"/>
            <w:noWrap w:val="0"/>
            <w:vAlign w:val="top"/>
          </w:tcPr>
          <w:p w14:paraId="2463D616">
            <w:pPr>
              <w:pStyle w:val="30"/>
              <w:keepNext w:val="0"/>
              <w:keepLines w:val="0"/>
              <w:bidi w:val="0"/>
              <w:spacing w:before="39"/>
              <w:ind w:right="415"/>
              <w:jc w:val="right"/>
              <w:rPr>
                <w:rFonts w:hint="eastAsia" w:ascii="宋体" w:hAnsi="宋体" w:eastAsia="宋体" w:cs="宋体"/>
                <w:color w:val="auto"/>
                <w:sz w:val="21"/>
                <w:highlight w:val="none"/>
              </w:rPr>
            </w:pPr>
            <w:r>
              <w:rPr>
                <w:rFonts w:hint="eastAsia" w:ascii="宋体" w:hAnsi="宋体" w:eastAsia="宋体" w:cs="宋体"/>
                <w:color w:val="auto"/>
                <w:spacing w:val="-5"/>
                <w:sz w:val="21"/>
                <w:highlight w:val="none"/>
              </w:rPr>
              <w:t>单位</w:t>
            </w:r>
          </w:p>
        </w:tc>
        <w:tc>
          <w:tcPr>
            <w:tcW w:w="1133" w:type="dxa"/>
            <w:noWrap w:val="0"/>
            <w:vAlign w:val="top"/>
          </w:tcPr>
          <w:p w14:paraId="750DF96F">
            <w:pPr>
              <w:pStyle w:val="30"/>
              <w:keepNext w:val="0"/>
              <w:keepLines w:val="0"/>
              <w:bidi w:val="0"/>
              <w:spacing w:before="39"/>
              <w:ind w:left="341" w:right="332"/>
              <w:jc w:val="center"/>
              <w:rPr>
                <w:rFonts w:hint="eastAsia" w:ascii="宋体" w:hAnsi="宋体" w:eastAsia="宋体" w:cs="宋体"/>
                <w:color w:val="auto"/>
                <w:sz w:val="21"/>
                <w:highlight w:val="none"/>
              </w:rPr>
            </w:pPr>
            <w:r>
              <w:rPr>
                <w:rFonts w:hint="eastAsia" w:ascii="宋体" w:hAnsi="宋体" w:eastAsia="宋体" w:cs="宋体"/>
                <w:color w:val="auto"/>
                <w:spacing w:val="-5"/>
                <w:sz w:val="21"/>
                <w:highlight w:val="none"/>
              </w:rPr>
              <w:t>数量</w:t>
            </w:r>
          </w:p>
        </w:tc>
        <w:tc>
          <w:tcPr>
            <w:tcW w:w="1560" w:type="dxa"/>
            <w:noWrap w:val="0"/>
            <w:vAlign w:val="top"/>
          </w:tcPr>
          <w:p w14:paraId="3A6EF590">
            <w:pPr>
              <w:pStyle w:val="30"/>
              <w:keepNext w:val="0"/>
              <w:keepLines w:val="0"/>
              <w:bidi w:val="0"/>
              <w:spacing w:before="39"/>
              <w:ind w:left="254"/>
              <w:rPr>
                <w:rFonts w:hint="eastAsia" w:ascii="宋体" w:hAnsi="宋体" w:eastAsia="宋体" w:cs="宋体"/>
                <w:color w:val="auto"/>
                <w:sz w:val="21"/>
                <w:highlight w:val="none"/>
              </w:rPr>
            </w:pPr>
            <w:r>
              <w:rPr>
                <w:rFonts w:hint="eastAsia" w:ascii="宋体" w:hAnsi="宋体" w:eastAsia="宋体" w:cs="宋体"/>
                <w:color w:val="auto"/>
                <w:spacing w:val="-2"/>
                <w:sz w:val="21"/>
                <w:highlight w:val="none"/>
              </w:rPr>
              <w:t>单价（元</w:t>
            </w:r>
            <w:r>
              <w:rPr>
                <w:rFonts w:hint="eastAsia" w:ascii="宋体" w:hAnsi="宋体" w:eastAsia="宋体" w:cs="宋体"/>
                <w:color w:val="auto"/>
                <w:spacing w:val="-10"/>
                <w:sz w:val="21"/>
                <w:highlight w:val="none"/>
              </w:rPr>
              <w:t>）</w:t>
            </w:r>
          </w:p>
        </w:tc>
        <w:tc>
          <w:tcPr>
            <w:tcW w:w="1558" w:type="dxa"/>
            <w:noWrap w:val="0"/>
            <w:vAlign w:val="top"/>
          </w:tcPr>
          <w:p w14:paraId="16D24FC0">
            <w:pPr>
              <w:pStyle w:val="30"/>
              <w:keepNext w:val="0"/>
              <w:keepLines w:val="0"/>
              <w:bidi w:val="0"/>
              <w:spacing w:before="39"/>
              <w:ind w:left="254"/>
              <w:rPr>
                <w:rFonts w:hint="eastAsia" w:ascii="宋体" w:hAnsi="宋体" w:eastAsia="宋体" w:cs="宋体"/>
                <w:color w:val="auto"/>
                <w:sz w:val="21"/>
                <w:highlight w:val="none"/>
              </w:rPr>
            </w:pPr>
            <w:r>
              <w:rPr>
                <w:rFonts w:hint="eastAsia" w:ascii="宋体" w:hAnsi="宋体" w:eastAsia="宋体" w:cs="宋体"/>
                <w:color w:val="auto"/>
                <w:spacing w:val="-2"/>
                <w:sz w:val="21"/>
                <w:highlight w:val="none"/>
              </w:rPr>
              <w:t>合价（元</w:t>
            </w:r>
            <w:r>
              <w:rPr>
                <w:rFonts w:hint="eastAsia" w:ascii="宋体" w:hAnsi="宋体" w:eastAsia="宋体" w:cs="宋体"/>
                <w:color w:val="auto"/>
                <w:spacing w:val="-10"/>
                <w:sz w:val="21"/>
                <w:highlight w:val="none"/>
              </w:rPr>
              <w:t>）</w:t>
            </w:r>
          </w:p>
        </w:tc>
        <w:tc>
          <w:tcPr>
            <w:tcW w:w="3557" w:type="dxa"/>
            <w:noWrap w:val="0"/>
            <w:vAlign w:val="top"/>
          </w:tcPr>
          <w:p w14:paraId="43C51363">
            <w:pPr>
              <w:pStyle w:val="30"/>
              <w:keepNext w:val="0"/>
              <w:keepLines w:val="0"/>
              <w:bidi w:val="0"/>
              <w:spacing w:before="39"/>
              <w:ind w:left="307" w:right="299"/>
              <w:jc w:val="center"/>
              <w:rPr>
                <w:rFonts w:hint="eastAsia" w:ascii="宋体" w:hAnsi="宋体" w:eastAsia="宋体" w:cs="宋体"/>
                <w:color w:val="auto"/>
                <w:sz w:val="21"/>
                <w:highlight w:val="none"/>
              </w:rPr>
            </w:pPr>
            <w:r>
              <w:rPr>
                <w:rFonts w:hint="eastAsia" w:ascii="宋体" w:hAnsi="宋体" w:eastAsia="宋体" w:cs="宋体"/>
                <w:color w:val="auto"/>
                <w:spacing w:val="-5"/>
                <w:sz w:val="21"/>
                <w:highlight w:val="none"/>
              </w:rPr>
              <w:t>备注</w:t>
            </w:r>
          </w:p>
        </w:tc>
      </w:tr>
      <w:tr w14:paraId="5D48C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87" w:type="dxa"/>
            <w:noWrap w:val="0"/>
            <w:vAlign w:val="top"/>
          </w:tcPr>
          <w:p w14:paraId="3D9AF353">
            <w:pPr>
              <w:pStyle w:val="30"/>
              <w:keepNext w:val="0"/>
              <w:keepLines w:val="0"/>
              <w:bidi w:val="0"/>
              <w:spacing w:before="39"/>
              <w:ind w:left="7"/>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p>
        </w:tc>
        <w:tc>
          <w:tcPr>
            <w:tcW w:w="3259" w:type="dxa"/>
            <w:noWrap w:val="0"/>
            <w:vAlign w:val="top"/>
          </w:tcPr>
          <w:p w14:paraId="72F3A132">
            <w:pPr>
              <w:pStyle w:val="30"/>
              <w:keepNext w:val="0"/>
              <w:keepLines w:val="0"/>
              <w:bidi w:val="0"/>
              <w:spacing w:before="39"/>
              <w:ind w:left="786" w:right="774"/>
              <w:jc w:val="center"/>
              <w:rPr>
                <w:rFonts w:hint="eastAsia" w:ascii="宋体" w:hAnsi="宋体" w:eastAsia="宋体" w:cs="宋体"/>
                <w:color w:val="auto"/>
                <w:sz w:val="21"/>
                <w:highlight w:val="none"/>
              </w:rPr>
            </w:pPr>
            <w:r>
              <w:rPr>
                <w:rFonts w:hint="eastAsia" w:ascii="宋体" w:hAnsi="宋体" w:eastAsia="宋体" w:cs="宋体"/>
                <w:color w:val="auto"/>
                <w:spacing w:val="-4"/>
                <w:sz w:val="21"/>
                <w:highlight w:val="none"/>
              </w:rPr>
              <w:t>项目管理系统软件</w:t>
            </w:r>
          </w:p>
        </w:tc>
        <w:tc>
          <w:tcPr>
            <w:tcW w:w="1277" w:type="dxa"/>
            <w:noWrap w:val="0"/>
            <w:vAlign w:val="top"/>
          </w:tcPr>
          <w:p w14:paraId="125DFA15">
            <w:pPr>
              <w:pStyle w:val="30"/>
              <w:keepNext w:val="0"/>
              <w:keepLines w:val="0"/>
              <w:bidi w:val="0"/>
              <w:spacing w:before="39"/>
              <w:ind w:right="415"/>
              <w:jc w:val="right"/>
              <w:rPr>
                <w:rFonts w:hint="eastAsia" w:ascii="宋体" w:hAnsi="宋体" w:eastAsia="宋体" w:cs="宋体"/>
                <w:color w:val="auto"/>
                <w:sz w:val="21"/>
                <w:highlight w:val="none"/>
              </w:rPr>
            </w:pPr>
            <w:r>
              <w:rPr>
                <w:rFonts w:hint="eastAsia" w:ascii="宋体" w:hAnsi="宋体" w:eastAsia="宋体" w:cs="宋体"/>
                <w:color w:val="auto"/>
                <w:spacing w:val="-5"/>
                <w:sz w:val="21"/>
                <w:highlight w:val="none"/>
              </w:rPr>
              <w:t>总额</w:t>
            </w:r>
          </w:p>
        </w:tc>
        <w:tc>
          <w:tcPr>
            <w:tcW w:w="1133" w:type="dxa"/>
            <w:noWrap w:val="0"/>
            <w:vAlign w:val="top"/>
          </w:tcPr>
          <w:p w14:paraId="1B6A2F77">
            <w:pPr>
              <w:pStyle w:val="30"/>
              <w:keepNext w:val="0"/>
              <w:keepLines w:val="0"/>
              <w:bidi w:val="0"/>
              <w:spacing w:before="39"/>
              <w:ind w:left="9"/>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p>
        </w:tc>
        <w:tc>
          <w:tcPr>
            <w:tcW w:w="1560" w:type="dxa"/>
            <w:noWrap w:val="0"/>
            <w:vAlign w:val="top"/>
          </w:tcPr>
          <w:p w14:paraId="3019BEC2">
            <w:pPr>
              <w:pStyle w:val="30"/>
              <w:keepNext w:val="0"/>
              <w:keepLines w:val="0"/>
              <w:bidi w:val="0"/>
              <w:rPr>
                <w:rFonts w:hint="eastAsia" w:ascii="宋体" w:hAnsi="宋体" w:eastAsia="宋体" w:cs="宋体"/>
                <w:color w:val="auto"/>
                <w:sz w:val="20"/>
                <w:highlight w:val="none"/>
              </w:rPr>
            </w:pPr>
          </w:p>
        </w:tc>
        <w:tc>
          <w:tcPr>
            <w:tcW w:w="1558" w:type="dxa"/>
            <w:noWrap w:val="0"/>
            <w:vAlign w:val="top"/>
          </w:tcPr>
          <w:p w14:paraId="5D432126">
            <w:pPr>
              <w:pStyle w:val="30"/>
              <w:keepNext w:val="0"/>
              <w:keepLines w:val="0"/>
              <w:bidi w:val="0"/>
              <w:rPr>
                <w:rFonts w:hint="eastAsia" w:ascii="宋体" w:hAnsi="宋体" w:eastAsia="宋体" w:cs="宋体"/>
                <w:color w:val="auto"/>
                <w:sz w:val="20"/>
                <w:highlight w:val="none"/>
              </w:rPr>
            </w:pPr>
          </w:p>
        </w:tc>
        <w:tc>
          <w:tcPr>
            <w:tcW w:w="3557" w:type="dxa"/>
            <w:noWrap w:val="0"/>
            <w:vAlign w:val="top"/>
          </w:tcPr>
          <w:p w14:paraId="19A019A3">
            <w:pPr>
              <w:pStyle w:val="30"/>
              <w:keepNext w:val="0"/>
              <w:keepLines w:val="0"/>
              <w:bidi w:val="0"/>
              <w:spacing w:before="39"/>
              <w:ind w:left="307" w:right="301"/>
              <w:jc w:val="center"/>
              <w:rPr>
                <w:rFonts w:hint="eastAsia" w:ascii="宋体" w:hAnsi="宋体" w:eastAsia="宋体" w:cs="宋体"/>
                <w:color w:val="auto"/>
                <w:sz w:val="21"/>
                <w:highlight w:val="none"/>
              </w:rPr>
            </w:pPr>
            <w:r>
              <w:rPr>
                <w:rFonts w:hint="eastAsia" w:ascii="宋体" w:hAnsi="宋体" w:eastAsia="宋体" w:cs="宋体"/>
                <w:color w:val="auto"/>
                <w:spacing w:val="-3"/>
                <w:sz w:val="21"/>
                <w:highlight w:val="none"/>
              </w:rPr>
              <w:t>按招标文件规定的固定金额填报</w:t>
            </w:r>
          </w:p>
        </w:tc>
      </w:tr>
      <w:tr w14:paraId="4D290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87" w:type="dxa"/>
            <w:noWrap w:val="0"/>
            <w:vAlign w:val="top"/>
          </w:tcPr>
          <w:p w14:paraId="094813A0">
            <w:pPr>
              <w:pStyle w:val="30"/>
              <w:keepNext w:val="0"/>
              <w:keepLines w:val="0"/>
              <w:bidi w:val="0"/>
              <w:spacing w:before="39"/>
              <w:ind w:left="7"/>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p>
        </w:tc>
        <w:tc>
          <w:tcPr>
            <w:tcW w:w="3259" w:type="dxa"/>
            <w:noWrap w:val="0"/>
            <w:vAlign w:val="top"/>
          </w:tcPr>
          <w:p w14:paraId="208D6D0B">
            <w:pPr>
              <w:pStyle w:val="30"/>
              <w:keepNext w:val="0"/>
              <w:keepLines w:val="0"/>
              <w:bidi w:val="0"/>
              <w:spacing w:before="39"/>
              <w:ind w:left="786" w:right="774"/>
              <w:jc w:val="center"/>
              <w:rPr>
                <w:rFonts w:hint="eastAsia" w:ascii="宋体" w:hAnsi="宋体" w:eastAsia="宋体" w:cs="宋体"/>
                <w:color w:val="auto"/>
                <w:sz w:val="21"/>
                <w:highlight w:val="none"/>
              </w:rPr>
            </w:pPr>
            <w:r>
              <w:rPr>
                <w:rFonts w:hint="eastAsia" w:ascii="宋体" w:hAnsi="宋体" w:eastAsia="宋体" w:cs="宋体"/>
                <w:color w:val="auto"/>
                <w:spacing w:val="-2"/>
                <w:sz w:val="21"/>
                <w:highlight w:val="none"/>
              </w:rPr>
              <w:t>.......</w:t>
            </w:r>
          </w:p>
        </w:tc>
        <w:tc>
          <w:tcPr>
            <w:tcW w:w="1277" w:type="dxa"/>
            <w:noWrap w:val="0"/>
            <w:vAlign w:val="top"/>
          </w:tcPr>
          <w:p w14:paraId="4EC30E79">
            <w:pPr>
              <w:pStyle w:val="30"/>
              <w:keepNext w:val="0"/>
              <w:keepLines w:val="0"/>
              <w:bidi w:val="0"/>
              <w:rPr>
                <w:rFonts w:hint="eastAsia" w:ascii="宋体" w:hAnsi="宋体" w:eastAsia="宋体" w:cs="宋体"/>
                <w:color w:val="auto"/>
                <w:sz w:val="20"/>
                <w:highlight w:val="none"/>
              </w:rPr>
            </w:pPr>
          </w:p>
        </w:tc>
        <w:tc>
          <w:tcPr>
            <w:tcW w:w="1133" w:type="dxa"/>
            <w:noWrap w:val="0"/>
            <w:vAlign w:val="top"/>
          </w:tcPr>
          <w:p w14:paraId="101DC780">
            <w:pPr>
              <w:pStyle w:val="30"/>
              <w:keepNext w:val="0"/>
              <w:keepLines w:val="0"/>
              <w:bidi w:val="0"/>
              <w:rPr>
                <w:rFonts w:hint="eastAsia" w:ascii="宋体" w:hAnsi="宋体" w:eastAsia="宋体" w:cs="宋体"/>
                <w:color w:val="auto"/>
                <w:sz w:val="20"/>
                <w:highlight w:val="none"/>
              </w:rPr>
            </w:pPr>
          </w:p>
        </w:tc>
        <w:tc>
          <w:tcPr>
            <w:tcW w:w="1560" w:type="dxa"/>
            <w:noWrap w:val="0"/>
            <w:vAlign w:val="top"/>
          </w:tcPr>
          <w:p w14:paraId="24B7A7DC">
            <w:pPr>
              <w:pStyle w:val="30"/>
              <w:keepNext w:val="0"/>
              <w:keepLines w:val="0"/>
              <w:bidi w:val="0"/>
              <w:rPr>
                <w:rFonts w:hint="eastAsia" w:ascii="宋体" w:hAnsi="宋体" w:eastAsia="宋体" w:cs="宋体"/>
                <w:color w:val="auto"/>
                <w:sz w:val="20"/>
                <w:highlight w:val="none"/>
              </w:rPr>
            </w:pPr>
          </w:p>
        </w:tc>
        <w:tc>
          <w:tcPr>
            <w:tcW w:w="1558" w:type="dxa"/>
            <w:noWrap w:val="0"/>
            <w:vAlign w:val="top"/>
          </w:tcPr>
          <w:p w14:paraId="265376CE">
            <w:pPr>
              <w:pStyle w:val="30"/>
              <w:keepNext w:val="0"/>
              <w:keepLines w:val="0"/>
              <w:bidi w:val="0"/>
              <w:rPr>
                <w:rFonts w:hint="eastAsia" w:ascii="宋体" w:hAnsi="宋体" w:eastAsia="宋体" w:cs="宋体"/>
                <w:color w:val="auto"/>
                <w:sz w:val="20"/>
                <w:highlight w:val="none"/>
              </w:rPr>
            </w:pPr>
          </w:p>
        </w:tc>
        <w:tc>
          <w:tcPr>
            <w:tcW w:w="3557" w:type="dxa"/>
            <w:noWrap w:val="0"/>
            <w:vAlign w:val="top"/>
          </w:tcPr>
          <w:p w14:paraId="42A288CA">
            <w:pPr>
              <w:pStyle w:val="30"/>
              <w:keepNext w:val="0"/>
              <w:keepLines w:val="0"/>
              <w:bidi w:val="0"/>
              <w:rPr>
                <w:rFonts w:hint="eastAsia" w:ascii="宋体" w:hAnsi="宋体" w:eastAsia="宋体" w:cs="宋体"/>
                <w:color w:val="auto"/>
                <w:sz w:val="20"/>
                <w:highlight w:val="none"/>
              </w:rPr>
            </w:pPr>
          </w:p>
        </w:tc>
      </w:tr>
      <w:tr w14:paraId="39403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087" w:type="dxa"/>
            <w:noWrap w:val="0"/>
            <w:vAlign w:val="top"/>
          </w:tcPr>
          <w:p w14:paraId="3DE61E30">
            <w:pPr>
              <w:pStyle w:val="30"/>
              <w:keepNext w:val="0"/>
              <w:keepLines w:val="0"/>
              <w:bidi w:val="0"/>
              <w:spacing w:before="39"/>
              <w:ind w:left="107" w:right="-15"/>
              <w:rPr>
                <w:rFonts w:hint="eastAsia" w:ascii="宋体" w:hAnsi="宋体" w:eastAsia="宋体" w:cs="宋体"/>
                <w:color w:val="auto"/>
                <w:sz w:val="21"/>
                <w:highlight w:val="none"/>
              </w:rPr>
            </w:pPr>
            <w:r>
              <w:rPr>
                <w:rFonts w:hint="eastAsia" w:ascii="宋体" w:hAnsi="宋体" w:eastAsia="宋体" w:cs="宋体"/>
                <w:color w:val="auto"/>
                <w:spacing w:val="-40"/>
                <w:sz w:val="21"/>
                <w:highlight w:val="none"/>
              </w:rPr>
              <w:t>合计</w:t>
            </w:r>
            <w:r>
              <w:rPr>
                <w:rFonts w:hint="eastAsia" w:ascii="宋体" w:hAnsi="宋体" w:eastAsia="宋体" w:cs="宋体"/>
                <w:color w:val="auto"/>
                <w:spacing w:val="-2"/>
                <w:sz w:val="21"/>
                <w:highlight w:val="none"/>
              </w:rPr>
              <w:t>（元</w:t>
            </w:r>
            <w:r>
              <w:rPr>
                <w:rFonts w:hint="eastAsia" w:ascii="宋体" w:hAnsi="宋体" w:eastAsia="宋体" w:cs="宋体"/>
                <w:color w:val="auto"/>
                <w:spacing w:val="-10"/>
                <w:sz w:val="21"/>
                <w:highlight w:val="none"/>
              </w:rPr>
              <w:t>）</w:t>
            </w:r>
          </w:p>
        </w:tc>
        <w:tc>
          <w:tcPr>
            <w:tcW w:w="3259" w:type="dxa"/>
            <w:noWrap w:val="0"/>
            <w:vAlign w:val="top"/>
          </w:tcPr>
          <w:p w14:paraId="2E933886">
            <w:pPr>
              <w:pStyle w:val="30"/>
              <w:keepNext w:val="0"/>
              <w:keepLines w:val="0"/>
              <w:bidi w:val="0"/>
              <w:rPr>
                <w:rFonts w:hint="eastAsia" w:ascii="宋体" w:hAnsi="宋体" w:eastAsia="宋体" w:cs="宋体"/>
                <w:color w:val="auto"/>
                <w:sz w:val="20"/>
                <w:highlight w:val="none"/>
              </w:rPr>
            </w:pPr>
          </w:p>
        </w:tc>
        <w:tc>
          <w:tcPr>
            <w:tcW w:w="1277" w:type="dxa"/>
            <w:noWrap w:val="0"/>
            <w:vAlign w:val="top"/>
          </w:tcPr>
          <w:p w14:paraId="21BD76DC">
            <w:pPr>
              <w:pStyle w:val="30"/>
              <w:keepNext w:val="0"/>
              <w:keepLines w:val="0"/>
              <w:bidi w:val="0"/>
              <w:rPr>
                <w:rFonts w:hint="eastAsia" w:ascii="宋体" w:hAnsi="宋体" w:eastAsia="宋体" w:cs="宋体"/>
                <w:color w:val="auto"/>
                <w:sz w:val="20"/>
                <w:highlight w:val="none"/>
              </w:rPr>
            </w:pPr>
          </w:p>
        </w:tc>
        <w:tc>
          <w:tcPr>
            <w:tcW w:w="1133" w:type="dxa"/>
            <w:noWrap w:val="0"/>
            <w:vAlign w:val="top"/>
          </w:tcPr>
          <w:p w14:paraId="3CE8D886">
            <w:pPr>
              <w:pStyle w:val="30"/>
              <w:keepNext w:val="0"/>
              <w:keepLines w:val="0"/>
              <w:bidi w:val="0"/>
              <w:rPr>
                <w:rFonts w:hint="eastAsia" w:ascii="宋体" w:hAnsi="宋体" w:eastAsia="宋体" w:cs="宋体"/>
                <w:color w:val="auto"/>
                <w:sz w:val="20"/>
                <w:highlight w:val="none"/>
              </w:rPr>
            </w:pPr>
          </w:p>
        </w:tc>
        <w:tc>
          <w:tcPr>
            <w:tcW w:w="1560" w:type="dxa"/>
            <w:noWrap w:val="0"/>
            <w:vAlign w:val="top"/>
          </w:tcPr>
          <w:p w14:paraId="02D7CEB0">
            <w:pPr>
              <w:pStyle w:val="30"/>
              <w:keepNext w:val="0"/>
              <w:keepLines w:val="0"/>
              <w:bidi w:val="0"/>
              <w:rPr>
                <w:rFonts w:hint="eastAsia" w:ascii="宋体" w:hAnsi="宋体" w:eastAsia="宋体" w:cs="宋体"/>
                <w:color w:val="auto"/>
                <w:sz w:val="20"/>
                <w:highlight w:val="none"/>
              </w:rPr>
            </w:pPr>
          </w:p>
        </w:tc>
        <w:tc>
          <w:tcPr>
            <w:tcW w:w="1558" w:type="dxa"/>
            <w:noWrap w:val="0"/>
            <w:vAlign w:val="top"/>
          </w:tcPr>
          <w:p w14:paraId="4EE058FD">
            <w:pPr>
              <w:pStyle w:val="30"/>
              <w:keepNext w:val="0"/>
              <w:keepLines w:val="0"/>
              <w:bidi w:val="0"/>
              <w:rPr>
                <w:rFonts w:hint="eastAsia" w:ascii="宋体" w:hAnsi="宋体" w:eastAsia="宋体" w:cs="宋体"/>
                <w:color w:val="auto"/>
                <w:sz w:val="20"/>
                <w:highlight w:val="none"/>
              </w:rPr>
            </w:pPr>
          </w:p>
        </w:tc>
        <w:tc>
          <w:tcPr>
            <w:tcW w:w="3557" w:type="dxa"/>
            <w:noWrap w:val="0"/>
            <w:vAlign w:val="top"/>
          </w:tcPr>
          <w:p w14:paraId="54C04F2A">
            <w:pPr>
              <w:pStyle w:val="30"/>
              <w:keepNext w:val="0"/>
              <w:keepLines w:val="0"/>
              <w:bidi w:val="0"/>
              <w:rPr>
                <w:rFonts w:hint="eastAsia" w:ascii="宋体" w:hAnsi="宋体" w:eastAsia="宋体" w:cs="宋体"/>
                <w:color w:val="auto"/>
                <w:sz w:val="20"/>
                <w:highlight w:val="none"/>
              </w:rPr>
            </w:pPr>
          </w:p>
        </w:tc>
      </w:tr>
    </w:tbl>
    <w:p w14:paraId="4AD7820E">
      <w:pPr>
        <w:pStyle w:val="3"/>
        <w:keepNext w:val="0"/>
        <w:keepLines w:val="0"/>
        <w:bidi w:val="0"/>
        <w:rPr>
          <w:rFonts w:hint="eastAsia" w:ascii="宋体" w:hAnsi="宋体" w:eastAsia="宋体" w:cs="宋体"/>
          <w:b/>
          <w:color w:val="auto"/>
          <w:sz w:val="28"/>
          <w:highlight w:val="none"/>
        </w:rPr>
      </w:pPr>
    </w:p>
    <w:p w14:paraId="7524E9E9">
      <w:pPr>
        <w:pStyle w:val="3"/>
        <w:keepNext w:val="0"/>
        <w:keepLines w:val="0"/>
        <w:bidi w:val="0"/>
        <w:rPr>
          <w:rFonts w:hint="eastAsia" w:ascii="宋体" w:hAnsi="宋体" w:eastAsia="宋体" w:cs="宋体"/>
          <w:b/>
          <w:color w:val="auto"/>
          <w:sz w:val="28"/>
          <w:highlight w:val="none"/>
        </w:rPr>
      </w:pPr>
    </w:p>
    <w:p w14:paraId="7328254D">
      <w:pPr>
        <w:pStyle w:val="3"/>
        <w:keepNext w:val="0"/>
        <w:keepLines w:val="0"/>
        <w:bidi w:val="0"/>
        <w:rPr>
          <w:rFonts w:hint="eastAsia" w:ascii="宋体" w:hAnsi="宋体" w:eastAsia="宋体" w:cs="宋体"/>
          <w:b/>
          <w:color w:val="auto"/>
          <w:sz w:val="28"/>
          <w:highlight w:val="none"/>
        </w:rPr>
      </w:pPr>
    </w:p>
    <w:p w14:paraId="5E291E70">
      <w:pPr>
        <w:pStyle w:val="3"/>
        <w:keepNext w:val="0"/>
        <w:keepLines w:val="0"/>
        <w:bidi w:val="0"/>
        <w:rPr>
          <w:rFonts w:hint="eastAsia" w:ascii="宋体" w:hAnsi="宋体" w:eastAsia="宋体" w:cs="宋体"/>
          <w:b/>
          <w:color w:val="auto"/>
          <w:sz w:val="28"/>
          <w:highlight w:val="none"/>
        </w:rPr>
      </w:pPr>
    </w:p>
    <w:p w14:paraId="0D0119CB">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表8监理费用支付估算表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9"/>
        <w:gridCol w:w="1005"/>
        <w:gridCol w:w="1004"/>
        <w:gridCol w:w="1005"/>
        <w:gridCol w:w="1007"/>
        <w:gridCol w:w="1005"/>
        <w:gridCol w:w="1005"/>
        <w:gridCol w:w="1005"/>
        <w:gridCol w:w="1009"/>
        <w:gridCol w:w="2229"/>
        <w:gridCol w:w="1394"/>
      </w:tblGrid>
      <w:tr w14:paraId="7D92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429" w:type="dxa"/>
            <w:vMerge w:val="restart"/>
            <w:tcBorders>
              <w:top w:val="single" w:color="auto" w:sz="4" w:space="0"/>
              <w:left w:val="single" w:color="auto" w:sz="4" w:space="0"/>
              <w:bottom w:val="single" w:color="auto" w:sz="4" w:space="0"/>
              <w:right w:val="single" w:color="auto" w:sz="4" w:space="0"/>
              <w:tl2br w:val="single" w:color="auto" w:sz="8" w:space="0"/>
            </w:tcBorders>
            <w:noWrap w:val="0"/>
            <w:vAlign w:val="center"/>
          </w:tcPr>
          <w:p w14:paraId="2D9CF298">
            <w:pPr>
              <w:keepNext w:val="0"/>
              <w:keepLines w:val="0"/>
              <w:wordWrap w:val="0"/>
              <w:bidi w:val="0"/>
              <w:spacing w:line="400" w:lineRule="atLeast"/>
              <w:ind w:left="-70" w:right="-53"/>
              <w:jc w:val="right"/>
              <w:rPr>
                <w:rFonts w:hint="eastAsia" w:ascii="宋体" w:hAnsi="宋体" w:eastAsia="宋体" w:cs="宋体"/>
                <w:color w:val="auto"/>
                <w:kern w:val="21"/>
                <w:szCs w:val="21"/>
                <w:highlight w:val="none"/>
                <w:lang w:eastAsia="zh-CN"/>
              </w:rPr>
            </w:pPr>
            <w:r>
              <w:rPr>
                <w:rFonts w:hint="eastAsia" w:ascii="宋体" w:hAnsi="宋体" w:eastAsia="宋体" w:cs="宋体"/>
                <w:color w:val="auto"/>
                <w:kern w:val="21"/>
                <w:szCs w:val="21"/>
                <w:highlight w:val="none"/>
              </w:rPr>
              <w:t>时间</w:t>
            </w:r>
          </w:p>
          <w:p w14:paraId="75FC6CC5">
            <w:pPr>
              <w:keepNext w:val="0"/>
              <w:keepLines w:val="0"/>
              <w:bidi w:val="0"/>
              <w:spacing w:line="320" w:lineRule="atLeast"/>
              <w:ind w:right="-5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w:t>
            </w:r>
          </w:p>
        </w:tc>
        <w:tc>
          <w:tcPr>
            <w:tcW w:w="4021" w:type="dxa"/>
            <w:gridSpan w:val="4"/>
            <w:tcBorders>
              <w:top w:val="single" w:color="auto" w:sz="4" w:space="0"/>
              <w:left w:val="single" w:color="auto" w:sz="4" w:space="0"/>
              <w:bottom w:val="single" w:color="auto" w:sz="4" w:space="0"/>
              <w:right w:val="single" w:color="auto" w:sz="4" w:space="0"/>
            </w:tcBorders>
            <w:noWrap w:val="0"/>
            <w:vAlign w:val="top"/>
          </w:tcPr>
          <w:p w14:paraId="6CBA3544">
            <w:pPr>
              <w:keepNext w:val="0"/>
              <w:keepLines w:val="0"/>
              <w:bidi w:val="0"/>
              <w:spacing w:line="400" w:lineRule="atLeast"/>
              <w:ind w:left="-74" w:right="-109"/>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年季度</w:t>
            </w:r>
          </w:p>
        </w:tc>
        <w:tc>
          <w:tcPr>
            <w:tcW w:w="4024" w:type="dxa"/>
            <w:gridSpan w:val="4"/>
            <w:tcBorders>
              <w:top w:val="single" w:color="auto" w:sz="4" w:space="0"/>
              <w:left w:val="single" w:color="auto" w:sz="4" w:space="0"/>
              <w:bottom w:val="single" w:color="auto" w:sz="4" w:space="0"/>
              <w:right w:val="single" w:color="auto" w:sz="4" w:space="0"/>
            </w:tcBorders>
            <w:noWrap w:val="0"/>
            <w:vAlign w:val="top"/>
          </w:tcPr>
          <w:p w14:paraId="2BF6875B">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年季度</w:t>
            </w:r>
          </w:p>
        </w:tc>
        <w:tc>
          <w:tcPr>
            <w:tcW w:w="2229" w:type="dxa"/>
            <w:vMerge w:val="restart"/>
            <w:tcBorders>
              <w:top w:val="single" w:color="auto" w:sz="4" w:space="0"/>
              <w:left w:val="single" w:color="auto" w:sz="4" w:space="0"/>
              <w:bottom w:val="single" w:color="auto" w:sz="4" w:space="0"/>
              <w:right w:val="single" w:color="auto" w:sz="4" w:space="0"/>
            </w:tcBorders>
            <w:noWrap w:val="0"/>
            <w:vAlign w:val="center"/>
          </w:tcPr>
          <w:p w14:paraId="32447E59">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c>
          <w:tcPr>
            <w:tcW w:w="1394" w:type="dxa"/>
            <w:vMerge w:val="restart"/>
            <w:tcBorders>
              <w:top w:val="single" w:color="auto" w:sz="4" w:space="0"/>
              <w:left w:val="single" w:color="auto" w:sz="4" w:space="0"/>
              <w:bottom w:val="single" w:color="auto" w:sz="4" w:space="0"/>
              <w:right w:val="single" w:color="auto" w:sz="4" w:space="0"/>
            </w:tcBorders>
            <w:noWrap w:val="0"/>
            <w:vAlign w:val="center"/>
          </w:tcPr>
          <w:p w14:paraId="319E6AC2">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w:t>
            </w:r>
          </w:p>
        </w:tc>
      </w:tr>
      <w:tr w14:paraId="62C6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429" w:type="dxa"/>
            <w:vMerge w:val="continue"/>
            <w:tcBorders>
              <w:top w:val="single" w:color="auto" w:sz="4" w:space="0"/>
              <w:left w:val="single" w:color="auto" w:sz="4" w:space="0"/>
              <w:bottom w:val="single" w:color="auto" w:sz="4" w:space="0"/>
              <w:right w:val="single" w:color="auto" w:sz="4" w:space="0"/>
            </w:tcBorders>
            <w:noWrap w:val="0"/>
            <w:vAlign w:val="center"/>
          </w:tcPr>
          <w:p w14:paraId="2D241261">
            <w:pPr>
              <w:keepNext w:val="0"/>
              <w:keepLines w:val="0"/>
              <w:bidi w:val="0"/>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283A094E">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004" w:type="dxa"/>
            <w:tcBorders>
              <w:top w:val="single" w:color="auto" w:sz="4" w:space="0"/>
              <w:left w:val="single" w:color="auto" w:sz="4" w:space="0"/>
              <w:bottom w:val="single" w:color="auto" w:sz="4" w:space="0"/>
              <w:right w:val="single" w:color="auto" w:sz="4" w:space="0"/>
            </w:tcBorders>
            <w:noWrap w:val="0"/>
            <w:vAlign w:val="top"/>
          </w:tcPr>
          <w:p w14:paraId="4B5C5D70">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1256AD47">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AAA0E9B">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AADB84A">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ABFBDE0">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52D2AC13">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13F2F992">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2229" w:type="dxa"/>
            <w:vMerge w:val="continue"/>
            <w:tcBorders>
              <w:top w:val="single" w:color="auto" w:sz="4" w:space="0"/>
              <w:left w:val="single" w:color="auto" w:sz="4" w:space="0"/>
              <w:bottom w:val="single" w:color="auto" w:sz="4" w:space="0"/>
              <w:right w:val="single" w:color="auto" w:sz="4" w:space="0"/>
            </w:tcBorders>
            <w:noWrap w:val="0"/>
            <w:vAlign w:val="center"/>
          </w:tcPr>
          <w:p w14:paraId="626BB5C4">
            <w:pPr>
              <w:keepNext w:val="0"/>
              <w:keepLines w:val="0"/>
              <w:bidi w:val="0"/>
              <w:rPr>
                <w:rFonts w:hint="eastAsia" w:ascii="宋体" w:hAnsi="宋体" w:eastAsia="宋体" w:cs="宋体"/>
                <w:color w:val="auto"/>
                <w:kern w:val="21"/>
                <w:szCs w:val="21"/>
                <w:highlight w:val="none"/>
              </w:rPr>
            </w:pPr>
          </w:p>
        </w:tc>
        <w:tc>
          <w:tcPr>
            <w:tcW w:w="1394" w:type="dxa"/>
            <w:vMerge w:val="continue"/>
            <w:tcBorders>
              <w:top w:val="single" w:color="auto" w:sz="4" w:space="0"/>
              <w:left w:val="single" w:color="auto" w:sz="4" w:space="0"/>
              <w:bottom w:val="single" w:color="auto" w:sz="4" w:space="0"/>
              <w:right w:val="single" w:color="auto" w:sz="4" w:space="0"/>
            </w:tcBorders>
            <w:noWrap w:val="0"/>
            <w:vAlign w:val="center"/>
          </w:tcPr>
          <w:p w14:paraId="693B5CE2">
            <w:pPr>
              <w:keepNext w:val="0"/>
              <w:keepLines w:val="0"/>
              <w:bidi w:val="0"/>
              <w:rPr>
                <w:rFonts w:hint="eastAsia" w:ascii="宋体" w:hAnsi="宋体" w:eastAsia="宋体" w:cs="宋体"/>
                <w:color w:val="auto"/>
                <w:kern w:val="21"/>
                <w:szCs w:val="21"/>
                <w:highlight w:val="none"/>
              </w:rPr>
            </w:pPr>
          </w:p>
        </w:tc>
      </w:tr>
      <w:tr w14:paraId="1174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2429" w:type="dxa"/>
            <w:tcBorders>
              <w:top w:val="single" w:color="auto" w:sz="4" w:space="0"/>
              <w:left w:val="single" w:color="auto" w:sz="4" w:space="0"/>
              <w:bottom w:val="single" w:color="auto" w:sz="4" w:space="0"/>
              <w:right w:val="single" w:color="auto" w:sz="4" w:space="0"/>
            </w:tcBorders>
            <w:noWrap w:val="0"/>
            <w:vAlign w:val="center"/>
          </w:tcPr>
          <w:p w14:paraId="24A1F038">
            <w:pPr>
              <w:keepNext w:val="0"/>
              <w:keepLines w:val="0"/>
              <w:bidi w:val="0"/>
              <w:ind w:left="-70" w:right="-53"/>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监理人员服务费</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70CD82FD">
            <w:pPr>
              <w:keepNext w:val="0"/>
              <w:keepLines w:val="0"/>
              <w:bidi w:val="0"/>
              <w:spacing w:line="500" w:lineRule="atLeast"/>
              <w:jc w:val="center"/>
              <w:rPr>
                <w:rFonts w:hint="eastAsia" w:ascii="宋体" w:hAnsi="宋体" w:eastAsia="宋体" w:cs="宋体"/>
                <w:color w:val="auto"/>
                <w:kern w:val="21"/>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top"/>
          </w:tcPr>
          <w:p w14:paraId="4522ADC2">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28463B2D">
            <w:pPr>
              <w:keepNext w:val="0"/>
              <w:keepLines w:val="0"/>
              <w:bidi w:val="0"/>
              <w:spacing w:line="500" w:lineRule="atLeast"/>
              <w:jc w:val="center"/>
              <w:rPr>
                <w:rFonts w:hint="eastAsia" w:ascii="宋体" w:hAnsi="宋体" w:eastAsia="宋体" w:cs="宋体"/>
                <w:color w:val="auto"/>
                <w:kern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CC82D42">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4B69A171">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1C8BBB5C">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25FA1128">
            <w:pPr>
              <w:keepNext w:val="0"/>
              <w:keepLines w:val="0"/>
              <w:bidi w:val="0"/>
              <w:spacing w:line="500" w:lineRule="atLeast"/>
              <w:jc w:val="center"/>
              <w:rPr>
                <w:rFonts w:hint="eastAsia" w:ascii="宋体" w:hAnsi="宋体" w:eastAsia="宋体" w:cs="宋体"/>
                <w:color w:val="auto"/>
                <w:kern w:val="21"/>
                <w:szCs w:val="21"/>
                <w:highlight w:val="none"/>
              </w:rPr>
            </w:pPr>
          </w:p>
        </w:tc>
        <w:tc>
          <w:tcPr>
            <w:tcW w:w="1009" w:type="dxa"/>
            <w:tcBorders>
              <w:top w:val="single" w:color="auto" w:sz="4" w:space="0"/>
              <w:left w:val="single" w:color="auto" w:sz="4" w:space="0"/>
              <w:bottom w:val="single" w:color="auto" w:sz="4" w:space="0"/>
              <w:right w:val="single" w:color="auto" w:sz="4" w:space="0"/>
            </w:tcBorders>
            <w:noWrap w:val="0"/>
            <w:vAlign w:val="top"/>
          </w:tcPr>
          <w:p w14:paraId="29CAEDBF">
            <w:pPr>
              <w:keepNext w:val="0"/>
              <w:keepLines w:val="0"/>
              <w:bidi w:val="0"/>
              <w:spacing w:line="500" w:lineRule="atLeast"/>
              <w:jc w:val="center"/>
              <w:rPr>
                <w:rFonts w:hint="eastAsia" w:ascii="宋体" w:hAnsi="宋体" w:eastAsia="宋体" w:cs="宋体"/>
                <w:color w:val="auto"/>
                <w:kern w:val="21"/>
                <w:szCs w:val="21"/>
                <w:highlight w:val="none"/>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47A9EF9B">
            <w:pPr>
              <w:keepNext w:val="0"/>
              <w:keepLines w:val="0"/>
              <w:bidi w:val="0"/>
              <w:spacing w:line="500" w:lineRule="atLeast"/>
              <w:jc w:val="center"/>
              <w:rPr>
                <w:rFonts w:hint="eastAsia" w:ascii="宋体" w:hAnsi="宋体" w:eastAsia="宋体" w:cs="宋体"/>
                <w:color w:val="auto"/>
                <w:kern w:val="21"/>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7144D127">
            <w:pPr>
              <w:keepNext w:val="0"/>
              <w:keepLines w:val="0"/>
              <w:bidi w:val="0"/>
              <w:spacing w:line="500" w:lineRule="atLeast"/>
              <w:jc w:val="center"/>
              <w:rPr>
                <w:rFonts w:hint="eastAsia" w:ascii="宋体" w:hAnsi="宋体" w:eastAsia="宋体" w:cs="宋体"/>
                <w:color w:val="auto"/>
                <w:kern w:val="21"/>
                <w:szCs w:val="21"/>
                <w:highlight w:val="none"/>
              </w:rPr>
            </w:pPr>
          </w:p>
        </w:tc>
      </w:tr>
      <w:tr w14:paraId="63FE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2429" w:type="dxa"/>
            <w:tcBorders>
              <w:top w:val="single" w:color="auto" w:sz="4" w:space="0"/>
              <w:left w:val="single" w:color="auto" w:sz="4" w:space="0"/>
              <w:bottom w:val="single" w:color="auto" w:sz="4" w:space="0"/>
              <w:right w:val="single" w:color="auto" w:sz="4" w:space="0"/>
            </w:tcBorders>
            <w:noWrap w:val="0"/>
            <w:vAlign w:val="center"/>
          </w:tcPr>
          <w:p w14:paraId="096257FE">
            <w:pPr>
              <w:keepNext w:val="0"/>
              <w:keepLines w:val="0"/>
              <w:bidi w:val="0"/>
              <w:ind w:left="-70" w:right="-53"/>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监理办公设施费</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224590E3">
            <w:pPr>
              <w:keepNext w:val="0"/>
              <w:keepLines w:val="0"/>
              <w:bidi w:val="0"/>
              <w:spacing w:line="500" w:lineRule="atLeast"/>
              <w:jc w:val="center"/>
              <w:rPr>
                <w:rFonts w:hint="eastAsia" w:ascii="宋体" w:hAnsi="宋体" w:eastAsia="宋体" w:cs="宋体"/>
                <w:color w:val="auto"/>
                <w:kern w:val="21"/>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top"/>
          </w:tcPr>
          <w:p w14:paraId="06EB725D">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69EC55DE">
            <w:pPr>
              <w:keepNext w:val="0"/>
              <w:keepLines w:val="0"/>
              <w:bidi w:val="0"/>
              <w:spacing w:line="500" w:lineRule="atLeast"/>
              <w:jc w:val="center"/>
              <w:rPr>
                <w:rFonts w:hint="eastAsia" w:ascii="宋体" w:hAnsi="宋体" w:eastAsia="宋体" w:cs="宋体"/>
                <w:color w:val="auto"/>
                <w:kern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5422523">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B38BE22">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627E956F">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5FB888E6">
            <w:pPr>
              <w:keepNext w:val="0"/>
              <w:keepLines w:val="0"/>
              <w:bidi w:val="0"/>
              <w:spacing w:line="500" w:lineRule="atLeast"/>
              <w:jc w:val="center"/>
              <w:rPr>
                <w:rFonts w:hint="eastAsia" w:ascii="宋体" w:hAnsi="宋体" w:eastAsia="宋体" w:cs="宋体"/>
                <w:color w:val="auto"/>
                <w:kern w:val="21"/>
                <w:szCs w:val="21"/>
                <w:highlight w:val="none"/>
              </w:rPr>
            </w:pPr>
          </w:p>
        </w:tc>
        <w:tc>
          <w:tcPr>
            <w:tcW w:w="1009" w:type="dxa"/>
            <w:tcBorders>
              <w:top w:val="single" w:color="auto" w:sz="4" w:space="0"/>
              <w:left w:val="single" w:color="auto" w:sz="4" w:space="0"/>
              <w:bottom w:val="single" w:color="auto" w:sz="4" w:space="0"/>
              <w:right w:val="single" w:color="auto" w:sz="4" w:space="0"/>
            </w:tcBorders>
            <w:noWrap w:val="0"/>
            <w:vAlign w:val="top"/>
          </w:tcPr>
          <w:p w14:paraId="5353A912">
            <w:pPr>
              <w:keepNext w:val="0"/>
              <w:keepLines w:val="0"/>
              <w:bidi w:val="0"/>
              <w:spacing w:line="500" w:lineRule="atLeast"/>
              <w:jc w:val="center"/>
              <w:rPr>
                <w:rFonts w:hint="eastAsia" w:ascii="宋体" w:hAnsi="宋体" w:eastAsia="宋体" w:cs="宋体"/>
                <w:color w:val="auto"/>
                <w:kern w:val="21"/>
                <w:szCs w:val="21"/>
                <w:highlight w:val="none"/>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76477397">
            <w:pPr>
              <w:keepNext w:val="0"/>
              <w:keepLines w:val="0"/>
              <w:bidi w:val="0"/>
              <w:spacing w:line="500" w:lineRule="atLeast"/>
              <w:jc w:val="center"/>
              <w:rPr>
                <w:rFonts w:hint="eastAsia" w:ascii="宋体" w:hAnsi="宋体" w:eastAsia="宋体" w:cs="宋体"/>
                <w:color w:val="auto"/>
                <w:kern w:val="21"/>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3FF6411A">
            <w:pPr>
              <w:keepNext w:val="0"/>
              <w:keepLines w:val="0"/>
              <w:bidi w:val="0"/>
              <w:spacing w:line="500" w:lineRule="atLeast"/>
              <w:jc w:val="center"/>
              <w:rPr>
                <w:rFonts w:hint="eastAsia" w:ascii="宋体" w:hAnsi="宋体" w:eastAsia="宋体" w:cs="宋体"/>
                <w:color w:val="auto"/>
                <w:kern w:val="21"/>
                <w:szCs w:val="21"/>
                <w:highlight w:val="none"/>
              </w:rPr>
            </w:pPr>
          </w:p>
        </w:tc>
      </w:tr>
      <w:tr w14:paraId="2095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2429" w:type="dxa"/>
            <w:tcBorders>
              <w:top w:val="single" w:color="auto" w:sz="4" w:space="0"/>
              <w:left w:val="single" w:color="auto" w:sz="4" w:space="0"/>
              <w:bottom w:val="single" w:color="auto" w:sz="4" w:space="0"/>
              <w:right w:val="single" w:color="auto" w:sz="4" w:space="0"/>
            </w:tcBorders>
            <w:noWrap w:val="0"/>
            <w:vAlign w:val="center"/>
          </w:tcPr>
          <w:p w14:paraId="5FC720F8">
            <w:pPr>
              <w:keepNext w:val="0"/>
              <w:keepLines w:val="0"/>
              <w:bidi w:val="0"/>
              <w:ind w:left="-70" w:right="-53"/>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监理交通设施费</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5700BB36">
            <w:pPr>
              <w:keepNext w:val="0"/>
              <w:keepLines w:val="0"/>
              <w:bidi w:val="0"/>
              <w:spacing w:line="500" w:lineRule="atLeast"/>
              <w:jc w:val="center"/>
              <w:rPr>
                <w:rFonts w:hint="eastAsia" w:ascii="宋体" w:hAnsi="宋体" w:eastAsia="宋体" w:cs="宋体"/>
                <w:color w:val="auto"/>
                <w:kern w:val="21"/>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top"/>
          </w:tcPr>
          <w:p w14:paraId="3B4C35FB">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1BFA242F">
            <w:pPr>
              <w:keepNext w:val="0"/>
              <w:keepLines w:val="0"/>
              <w:bidi w:val="0"/>
              <w:spacing w:line="500" w:lineRule="atLeast"/>
              <w:jc w:val="center"/>
              <w:rPr>
                <w:rFonts w:hint="eastAsia" w:ascii="宋体" w:hAnsi="宋体" w:eastAsia="宋体" w:cs="宋体"/>
                <w:color w:val="auto"/>
                <w:kern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5443BFA">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CE16C38">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2213206A">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081FBE40">
            <w:pPr>
              <w:keepNext w:val="0"/>
              <w:keepLines w:val="0"/>
              <w:bidi w:val="0"/>
              <w:spacing w:line="500" w:lineRule="atLeast"/>
              <w:jc w:val="center"/>
              <w:rPr>
                <w:rFonts w:hint="eastAsia" w:ascii="宋体" w:hAnsi="宋体" w:eastAsia="宋体" w:cs="宋体"/>
                <w:color w:val="auto"/>
                <w:kern w:val="21"/>
                <w:szCs w:val="21"/>
                <w:highlight w:val="none"/>
              </w:rPr>
            </w:pPr>
          </w:p>
        </w:tc>
        <w:tc>
          <w:tcPr>
            <w:tcW w:w="1009" w:type="dxa"/>
            <w:tcBorders>
              <w:top w:val="single" w:color="auto" w:sz="4" w:space="0"/>
              <w:left w:val="single" w:color="auto" w:sz="4" w:space="0"/>
              <w:bottom w:val="single" w:color="auto" w:sz="4" w:space="0"/>
              <w:right w:val="single" w:color="auto" w:sz="4" w:space="0"/>
            </w:tcBorders>
            <w:noWrap w:val="0"/>
            <w:vAlign w:val="top"/>
          </w:tcPr>
          <w:p w14:paraId="4F543220">
            <w:pPr>
              <w:keepNext w:val="0"/>
              <w:keepLines w:val="0"/>
              <w:bidi w:val="0"/>
              <w:spacing w:line="500" w:lineRule="atLeast"/>
              <w:jc w:val="center"/>
              <w:rPr>
                <w:rFonts w:hint="eastAsia" w:ascii="宋体" w:hAnsi="宋体" w:eastAsia="宋体" w:cs="宋体"/>
                <w:color w:val="auto"/>
                <w:kern w:val="21"/>
                <w:szCs w:val="21"/>
                <w:highlight w:val="none"/>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468B59AA">
            <w:pPr>
              <w:keepNext w:val="0"/>
              <w:keepLines w:val="0"/>
              <w:bidi w:val="0"/>
              <w:spacing w:line="500" w:lineRule="atLeast"/>
              <w:jc w:val="center"/>
              <w:rPr>
                <w:rFonts w:hint="eastAsia" w:ascii="宋体" w:hAnsi="宋体" w:eastAsia="宋体" w:cs="宋体"/>
                <w:color w:val="auto"/>
                <w:kern w:val="21"/>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1CAD8424">
            <w:pPr>
              <w:keepNext w:val="0"/>
              <w:keepLines w:val="0"/>
              <w:bidi w:val="0"/>
              <w:spacing w:line="500" w:lineRule="atLeast"/>
              <w:jc w:val="center"/>
              <w:rPr>
                <w:rFonts w:hint="eastAsia" w:ascii="宋体" w:hAnsi="宋体" w:eastAsia="宋体" w:cs="宋体"/>
                <w:color w:val="auto"/>
                <w:kern w:val="21"/>
                <w:szCs w:val="21"/>
                <w:highlight w:val="none"/>
              </w:rPr>
            </w:pPr>
          </w:p>
        </w:tc>
      </w:tr>
      <w:tr w14:paraId="1963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2429" w:type="dxa"/>
            <w:tcBorders>
              <w:top w:val="single" w:color="auto" w:sz="4" w:space="0"/>
              <w:left w:val="single" w:color="auto" w:sz="4" w:space="0"/>
              <w:bottom w:val="single" w:color="auto" w:sz="4" w:space="0"/>
              <w:right w:val="single" w:color="auto" w:sz="4" w:space="0"/>
            </w:tcBorders>
            <w:noWrap w:val="0"/>
            <w:vAlign w:val="center"/>
          </w:tcPr>
          <w:p w14:paraId="0D83B6EB">
            <w:pPr>
              <w:keepNext w:val="0"/>
              <w:keepLines w:val="0"/>
              <w:bidi w:val="0"/>
              <w:ind w:left="-70" w:right="-53"/>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监理试验设施费</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57510833">
            <w:pPr>
              <w:keepNext w:val="0"/>
              <w:keepLines w:val="0"/>
              <w:bidi w:val="0"/>
              <w:spacing w:line="500" w:lineRule="atLeast"/>
              <w:jc w:val="center"/>
              <w:rPr>
                <w:rFonts w:hint="eastAsia" w:ascii="宋体" w:hAnsi="宋体" w:eastAsia="宋体" w:cs="宋体"/>
                <w:color w:val="auto"/>
                <w:kern w:val="21"/>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top"/>
          </w:tcPr>
          <w:p w14:paraId="1E53D183">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112FEBE7">
            <w:pPr>
              <w:keepNext w:val="0"/>
              <w:keepLines w:val="0"/>
              <w:bidi w:val="0"/>
              <w:spacing w:line="500" w:lineRule="atLeast"/>
              <w:jc w:val="center"/>
              <w:rPr>
                <w:rFonts w:hint="eastAsia" w:ascii="宋体" w:hAnsi="宋体" w:eastAsia="宋体" w:cs="宋体"/>
                <w:color w:val="auto"/>
                <w:kern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6F1E46A">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23A3228">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4E8841E9">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34D43B5F">
            <w:pPr>
              <w:keepNext w:val="0"/>
              <w:keepLines w:val="0"/>
              <w:bidi w:val="0"/>
              <w:spacing w:line="500" w:lineRule="atLeast"/>
              <w:jc w:val="center"/>
              <w:rPr>
                <w:rFonts w:hint="eastAsia" w:ascii="宋体" w:hAnsi="宋体" w:eastAsia="宋体" w:cs="宋体"/>
                <w:color w:val="auto"/>
                <w:kern w:val="21"/>
                <w:szCs w:val="21"/>
                <w:highlight w:val="none"/>
              </w:rPr>
            </w:pPr>
          </w:p>
        </w:tc>
        <w:tc>
          <w:tcPr>
            <w:tcW w:w="1009" w:type="dxa"/>
            <w:tcBorders>
              <w:top w:val="single" w:color="auto" w:sz="4" w:space="0"/>
              <w:left w:val="single" w:color="auto" w:sz="4" w:space="0"/>
              <w:bottom w:val="single" w:color="auto" w:sz="4" w:space="0"/>
              <w:right w:val="single" w:color="auto" w:sz="4" w:space="0"/>
            </w:tcBorders>
            <w:noWrap w:val="0"/>
            <w:vAlign w:val="top"/>
          </w:tcPr>
          <w:p w14:paraId="5070DB18">
            <w:pPr>
              <w:keepNext w:val="0"/>
              <w:keepLines w:val="0"/>
              <w:bidi w:val="0"/>
              <w:spacing w:line="500" w:lineRule="atLeast"/>
              <w:jc w:val="center"/>
              <w:rPr>
                <w:rFonts w:hint="eastAsia" w:ascii="宋体" w:hAnsi="宋体" w:eastAsia="宋体" w:cs="宋体"/>
                <w:color w:val="auto"/>
                <w:kern w:val="21"/>
                <w:szCs w:val="21"/>
                <w:highlight w:val="none"/>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6C66C3EB">
            <w:pPr>
              <w:keepNext w:val="0"/>
              <w:keepLines w:val="0"/>
              <w:bidi w:val="0"/>
              <w:spacing w:line="500" w:lineRule="atLeast"/>
              <w:jc w:val="center"/>
              <w:rPr>
                <w:rFonts w:hint="eastAsia" w:ascii="宋体" w:hAnsi="宋体" w:eastAsia="宋体" w:cs="宋体"/>
                <w:color w:val="auto"/>
                <w:kern w:val="21"/>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6F4D7E18">
            <w:pPr>
              <w:keepNext w:val="0"/>
              <w:keepLines w:val="0"/>
              <w:bidi w:val="0"/>
              <w:spacing w:line="500" w:lineRule="atLeast"/>
              <w:jc w:val="center"/>
              <w:rPr>
                <w:rFonts w:hint="eastAsia" w:ascii="宋体" w:hAnsi="宋体" w:eastAsia="宋体" w:cs="宋体"/>
                <w:color w:val="auto"/>
                <w:kern w:val="21"/>
                <w:szCs w:val="21"/>
                <w:highlight w:val="none"/>
              </w:rPr>
            </w:pPr>
          </w:p>
        </w:tc>
      </w:tr>
      <w:tr w14:paraId="0BBE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2429" w:type="dxa"/>
            <w:tcBorders>
              <w:top w:val="single" w:color="auto" w:sz="4" w:space="0"/>
              <w:left w:val="single" w:color="auto" w:sz="4" w:space="0"/>
              <w:bottom w:val="single" w:color="auto" w:sz="4" w:space="0"/>
              <w:right w:val="single" w:color="auto" w:sz="4" w:space="0"/>
            </w:tcBorders>
            <w:noWrap w:val="0"/>
            <w:vAlign w:val="center"/>
          </w:tcPr>
          <w:p w14:paraId="6CDFFA89">
            <w:pPr>
              <w:keepNext w:val="0"/>
              <w:keepLines w:val="0"/>
              <w:bidi w:val="0"/>
              <w:ind w:left="-70" w:right="-53"/>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监理生活设施费</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0E511D09">
            <w:pPr>
              <w:keepNext w:val="0"/>
              <w:keepLines w:val="0"/>
              <w:bidi w:val="0"/>
              <w:spacing w:line="500" w:lineRule="atLeast"/>
              <w:jc w:val="center"/>
              <w:rPr>
                <w:rFonts w:hint="eastAsia" w:ascii="宋体" w:hAnsi="宋体" w:eastAsia="宋体" w:cs="宋体"/>
                <w:color w:val="auto"/>
                <w:kern w:val="21"/>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top"/>
          </w:tcPr>
          <w:p w14:paraId="0430FD45">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37AF8C03">
            <w:pPr>
              <w:keepNext w:val="0"/>
              <w:keepLines w:val="0"/>
              <w:bidi w:val="0"/>
              <w:spacing w:line="500" w:lineRule="atLeast"/>
              <w:jc w:val="center"/>
              <w:rPr>
                <w:rFonts w:hint="eastAsia" w:ascii="宋体" w:hAnsi="宋体" w:eastAsia="宋体" w:cs="宋体"/>
                <w:color w:val="auto"/>
                <w:kern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7556079">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88C1515">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05BD9E77">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4C06FCB6">
            <w:pPr>
              <w:keepNext w:val="0"/>
              <w:keepLines w:val="0"/>
              <w:bidi w:val="0"/>
              <w:spacing w:line="500" w:lineRule="atLeast"/>
              <w:jc w:val="center"/>
              <w:rPr>
                <w:rFonts w:hint="eastAsia" w:ascii="宋体" w:hAnsi="宋体" w:eastAsia="宋体" w:cs="宋体"/>
                <w:color w:val="auto"/>
                <w:kern w:val="21"/>
                <w:szCs w:val="21"/>
                <w:highlight w:val="none"/>
              </w:rPr>
            </w:pPr>
          </w:p>
        </w:tc>
        <w:tc>
          <w:tcPr>
            <w:tcW w:w="1009" w:type="dxa"/>
            <w:tcBorders>
              <w:top w:val="single" w:color="auto" w:sz="4" w:space="0"/>
              <w:left w:val="single" w:color="auto" w:sz="4" w:space="0"/>
              <w:bottom w:val="single" w:color="auto" w:sz="4" w:space="0"/>
              <w:right w:val="single" w:color="auto" w:sz="4" w:space="0"/>
            </w:tcBorders>
            <w:noWrap w:val="0"/>
            <w:vAlign w:val="top"/>
          </w:tcPr>
          <w:p w14:paraId="00860162">
            <w:pPr>
              <w:keepNext w:val="0"/>
              <w:keepLines w:val="0"/>
              <w:bidi w:val="0"/>
              <w:spacing w:line="500" w:lineRule="atLeast"/>
              <w:jc w:val="center"/>
              <w:rPr>
                <w:rFonts w:hint="eastAsia" w:ascii="宋体" w:hAnsi="宋体" w:eastAsia="宋体" w:cs="宋体"/>
                <w:color w:val="auto"/>
                <w:kern w:val="21"/>
                <w:szCs w:val="21"/>
                <w:highlight w:val="none"/>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0675D86E">
            <w:pPr>
              <w:keepNext w:val="0"/>
              <w:keepLines w:val="0"/>
              <w:bidi w:val="0"/>
              <w:spacing w:line="500" w:lineRule="atLeast"/>
              <w:jc w:val="center"/>
              <w:rPr>
                <w:rFonts w:hint="eastAsia" w:ascii="宋体" w:hAnsi="宋体" w:eastAsia="宋体" w:cs="宋体"/>
                <w:color w:val="auto"/>
                <w:kern w:val="21"/>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3D5C2FFB">
            <w:pPr>
              <w:keepNext w:val="0"/>
              <w:keepLines w:val="0"/>
              <w:bidi w:val="0"/>
              <w:spacing w:line="500" w:lineRule="atLeast"/>
              <w:jc w:val="center"/>
              <w:rPr>
                <w:rFonts w:hint="eastAsia" w:ascii="宋体" w:hAnsi="宋体" w:eastAsia="宋体" w:cs="宋体"/>
                <w:color w:val="auto"/>
                <w:kern w:val="21"/>
                <w:szCs w:val="21"/>
                <w:highlight w:val="none"/>
              </w:rPr>
            </w:pPr>
          </w:p>
        </w:tc>
      </w:tr>
      <w:tr w14:paraId="4F99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2429" w:type="dxa"/>
            <w:tcBorders>
              <w:top w:val="single" w:color="auto" w:sz="4" w:space="0"/>
              <w:left w:val="single" w:color="auto" w:sz="4" w:space="0"/>
              <w:bottom w:val="single" w:color="auto" w:sz="4" w:space="0"/>
              <w:right w:val="single" w:color="auto" w:sz="4" w:space="0"/>
            </w:tcBorders>
            <w:noWrap w:val="0"/>
            <w:vAlign w:val="center"/>
          </w:tcPr>
          <w:p w14:paraId="10D5B284">
            <w:pPr>
              <w:keepNext w:val="0"/>
              <w:keepLines w:val="0"/>
              <w:bidi w:val="0"/>
              <w:ind w:left="-70" w:right="-53"/>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其它费用</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4A430889">
            <w:pPr>
              <w:keepNext w:val="0"/>
              <w:keepLines w:val="0"/>
              <w:bidi w:val="0"/>
              <w:spacing w:line="500" w:lineRule="atLeast"/>
              <w:jc w:val="center"/>
              <w:rPr>
                <w:rFonts w:hint="eastAsia" w:ascii="宋体" w:hAnsi="宋体" w:eastAsia="宋体" w:cs="宋体"/>
                <w:color w:val="auto"/>
                <w:kern w:val="21"/>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top"/>
          </w:tcPr>
          <w:p w14:paraId="0EEC192B">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13CD8ECF">
            <w:pPr>
              <w:keepNext w:val="0"/>
              <w:keepLines w:val="0"/>
              <w:bidi w:val="0"/>
              <w:spacing w:line="500" w:lineRule="atLeast"/>
              <w:jc w:val="center"/>
              <w:rPr>
                <w:rFonts w:hint="eastAsia" w:ascii="宋体" w:hAnsi="宋体" w:eastAsia="宋体" w:cs="宋体"/>
                <w:color w:val="auto"/>
                <w:kern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BC74854">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CE9106F">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23699FCE">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21C4CF26">
            <w:pPr>
              <w:keepNext w:val="0"/>
              <w:keepLines w:val="0"/>
              <w:bidi w:val="0"/>
              <w:spacing w:line="500" w:lineRule="atLeast"/>
              <w:jc w:val="center"/>
              <w:rPr>
                <w:rFonts w:hint="eastAsia" w:ascii="宋体" w:hAnsi="宋体" w:eastAsia="宋体" w:cs="宋体"/>
                <w:color w:val="auto"/>
                <w:kern w:val="21"/>
                <w:szCs w:val="21"/>
                <w:highlight w:val="none"/>
              </w:rPr>
            </w:pPr>
          </w:p>
        </w:tc>
        <w:tc>
          <w:tcPr>
            <w:tcW w:w="1009" w:type="dxa"/>
            <w:tcBorders>
              <w:top w:val="single" w:color="auto" w:sz="4" w:space="0"/>
              <w:left w:val="single" w:color="auto" w:sz="4" w:space="0"/>
              <w:bottom w:val="single" w:color="auto" w:sz="4" w:space="0"/>
              <w:right w:val="single" w:color="auto" w:sz="4" w:space="0"/>
            </w:tcBorders>
            <w:noWrap w:val="0"/>
            <w:vAlign w:val="top"/>
          </w:tcPr>
          <w:p w14:paraId="4805CD29">
            <w:pPr>
              <w:keepNext w:val="0"/>
              <w:keepLines w:val="0"/>
              <w:bidi w:val="0"/>
              <w:spacing w:line="500" w:lineRule="atLeast"/>
              <w:jc w:val="center"/>
              <w:rPr>
                <w:rFonts w:hint="eastAsia" w:ascii="宋体" w:hAnsi="宋体" w:eastAsia="宋体" w:cs="宋体"/>
                <w:color w:val="auto"/>
                <w:kern w:val="21"/>
                <w:szCs w:val="21"/>
                <w:highlight w:val="none"/>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6013CA42">
            <w:pPr>
              <w:keepNext w:val="0"/>
              <w:keepLines w:val="0"/>
              <w:bidi w:val="0"/>
              <w:spacing w:line="500" w:lineRule="atLeast"/>
              <w:jc w:val="center"/>
              <w:rPr>
                <w:rFonts w:hint="eastAsia" w:ascii="宋体" w:hAnsi="宋体" w:eastAsia="宋体" w:cs="宋体"/>
                <w:color w:val="auto"/>
                <w:kern w:val="21"/>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20A7FE49">
            <w:pPr>
              <w:keepNext w:val="0"/>
              <w:keepLines w:val="0"/>
              <w:bidi w:val="0"/>
              <w:spacing w:line="500" w:lineRule="atLeast"/>
              <w:jc w:val="center"/>
              <w:rPr>
                <w:rFonts w:hint="eastAsia" w:ascii="宋体" w:hAnsi="宋体" w:eastAsia="宋体" w:cs="宋体"/>
                <w:color w:val="auto"/>
                <w:kern w:val="21"/>
                <w:szCs w:val="21"/>
                <w:highlight w:val="none"/>
              </w:rPr>
            </w:pPr>
          </w:p>
        </w:tc>
      </w:tr>
      <w:tr w14:paraId="481B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2429" w:type="dxa"/>
            <w:tcBorders>
              <w:top w:val="single" w:color="auto" w:sz="4" w:space="0"/>
              <w:left w:val="single" w:color="auto" w:sz="4" w:space="0"/>
              <w:bottom w:val="single" w:color="auto" w:sz="4" w:space="0"/>
              <w:right w:val="single" w:color="auto" w:sz="4" w:space="0"/>
            </w:tcBorders>
            <w:noWrap w:val="0"/>
            <w:vAlign w:val="center"/>
          </w:tcPr>
          <w:p w14:paraId="195EBD6C">
            <w:pPr>
              <w:keepNext w:val="0"/>
              <w:keepLines w:val="0"/>
              <w:bidi w:val="0"/>
              <w:ind w:left="-70" w:right="-53"/>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57DB9188">
            <w:pPr>
              <w:keepNext w:val="0"/>
              <w:keepLines w:val="0"/>
              <w:bidi w:val="0"/>
              <w:spacing w:line="500" w:lineRule="atLeast"/>
              <w:jc w:val="center"/>
              <w:rPr>
                <w:rFonts w:hint="eastAsia" w:ascii="宋体" w:hAnsi="宋体" w:eastAsia="宋体" w:cs="宋体"/>
                <w:color w:val="auto"/>
                <w:kern w:val="21"/>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top"/>
          </w:tcPr>
          <w:p w14:paraId="3E4BF556">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6FE210A8">
            <w:pPr>
              <w:keepNext w:val="0"/>
              <w:keepLines w:val="0"/>
              <w:bidi w:val="0"/>
              <w:spacing w:line="500" w:lineRule="atLeast"/>
              <w:jc w:val="center"/>
              <w:rPr>
                <w:rFonts w:hint="eastAsia" w:ascii="宋体" w:hAnsi="宋体" w:eastAsia="宋体" w:cs="宋体"/>
                <w:color w:val="auto"/>
                <w:kern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C6F613D">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2B9A5244">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364B088F">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599BCF2E">
            <w:pPr>
              <w:keepNext w:val="0"/>
              <w:keepLines w:val="0"/>
              <w:bidi w:val="0"/>
              <w:spacing w:line="500" w:lineRule="atLeast"/>
              <w:jc w:val="center"/>
              <w:rPr>
                <w:rFonts w:hint="eastAsia" w:ascii="宋体" w:hAnsi="宋体" w:eastAsia="宋体" w:cs="宋体"/>
                <w:color w:val="auto"/>
                <w:kern w:val="21"/>
                <w:szCs w:val="21"/>
                <w:highlight w:val="none"/>
              </w:rPr>
            </w:pPr>
          </w:p>
        </w:tc>
        <w:tc>
          <w:tcPr>
            <w:tcW w:w="1009" w:type="dxa"/>
            <w:tcBorders>
              <w:top w:val="single" w:color="auto" w:sz="4" w:space="0"/>
              <w:left w:val="single" w:color="auto" w:sz="4" w:space="0"/>
              <w:bottom w:val="single" w:color="auto" w:sz="4" w:space="0"/>
              <w:right w:val="single" w:color="auto" w:sz="4" w:space="0"/>
            </w:tcBorders>
            <w:noWrap w:val="0"/>
            <w:vAlign w:val="top"/>
          </w:tcPr>
          <w:p w14:paraId="29D4D210">
            <w:pPr>
              <w:keepNext w:val="0"/>
              <w:keepLines w:val="0"/>
              <w:bidi w:val="0"/>
              <w:spacing w:line="500" w:lineRule="atLeast"/>
              <w:jc w:val="center"/>
              <w:rPr>
                <w:rFonts w:hint="eastAsia" w:ascii="宋体" w:hAnsi="宋体" w:eastAsia="宋体" w:cs="宋体"/>
                <w:color w:val="auto"/>
                <w:kern w:val="21"/>
                <w:szCs w:val="21"/>
                <w:highlight w:val="none"/>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4CD9EC6A">
            <w:pPr>
              <w:keepNext w:val="0"/>
              <w:keepLines w:val="0"/>
              <w:bidi w:val="0"/>
              <w:spacing w:line="500" w:lineRule="atLeast"/>
              <w:jc w:val="center"/>
              <w:rPr>
                <w:rFonts w:hint="eastAsia" w:ascii="宋体" w:hAnsi="宋体" w:eastAsia="宋体" w:cs="宋体"/>
                <w:color w:val="auto"/>
                <w:kern w:val="21"/>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10DD4D18">
            <w:pPr>
              <w:keepNext w:val="0"/>
              <w:keepLines w:val="0"/>
              <w:bidi w:val="0"/>
              <w:spacing w:line="500" w:lineRule="atLeast"/>
              <w:jc w:val="center"/>
              <w:rPr>
                <w:rFonts w:hint="eastAsia" w:ascii="宋体" w:hAnsi="宋体" w:eastAsia="宋体" w:cs="宋体"/>
                <w:color w:val="auto"/>
                <w:kern w:val="21"/>
                <w:szCs w:val="21"/>
                <w:highlight w:val="none"/>
              </w:rPr>
            </w:pPr>
          </w:p>
        </w:tc>
      </w:tr>
    </w:tbl>
    <w:p w14:paraId="538B6FF9">
      <w:pPr>
        <w:keepNext w:val="0"/>
        <w:keepLines w:val="0"/>
        <w:bidi w:val="0"/>
        <w:jc w:val="right"/>
        <w:rPr>
          <w:rFonts w:hint="eastAsia" w:ascii="宋体" w:hAnsi="宋体" w:eastAsia="宋体" w:cs="宋体"/>
          <w:color w:val="auto"/>
          <w:kern w:val="21"/>
          <w:highlight w:val="none"/>
        </w:rPr>
      </w:pPr>
    </w:p>
    <w:p w14:paraId="753F21E0">
      <w:pPr>
        <w:keepNext w:val="0"/>
        <w:keepLines w:val="0"/>
        <w:bidi w:val="0"/>
        <w:jc w:val="right"/>
        <w:rPr>
          <w:rFonts w:hint="eastAsia" w:ascii="宋体" w:hAnsi="宋体" w:eastAsia="宋体" w:cs="宋体"/>
          <w:color w:val="auto"/>
          <w:kern w:val="21"/>
          <w:highlight w:val="none"/>
        </w:rPr>
      </w:pPr>
    </w:p>
    <w:p w14:paraId="771D7034">
      <w:pPr>
        <w:keepNext w:val="0"/>
        <w:keepLines w:val="0"/>
        <w:bidi w:val="0"/>
        <w:spacing w:before="240" w:after="120" w:line="280" w:lineRule="atLeast"/>
        <w:rPr>
          <w:rFonts w:hint="eastAsia" w:ascii="宋体" w:hAnsi="宋体" w:eastAsia="宋体" w:cs="宋体"/>
          <w:color w:val="auto"/>
          <w:kern w:val="21"/>
          <w:highlight w:val="none"/>
        </w:rPr>
      </w:pPr>
    </w:p>
    <w:p w14:paraId="2B363481">
      <w:pPr>
        <w:pStyle w:val="18"/>
        <w:keepNext w:val="0"/>
        <w:keepLines w:val="0"/>
        <w:bidi w:val="0"/>
        <w:ind w:left="306" w:hanging="306" w:hangingChars="170"/>
        <w:rPr>
          <w:rFonts w:hint="eastAsia" w:ascii="宋体" w:hAnsi="宋体" w:eastAsia="宋体" w:cs="宋体"/>
          <w:color w:val="auto"/>
          <w:kern w:val="21"/>
          <w:highlight w:val="none"/>
        </w:rPr>
      </w:pPr>
      <w:r>
        <w:rPr>
          <w:rFonts w:hint="eastAsia" w:ascii="宋体" w:hAnsi="宋体" w:eastAsia="宋体" w:cs="宋体"/>
          <w:color w:val="auto"/>
          <w:kern w:val="21"/>
          <w:highlight w:val="none"/>
        </w:rPr>
        <w:t>注：</w:t>
      </w:r>
    </w:p>
    <w:p w14:paraId="0B9DD009">
      <w:pPr>
        <w:pStyle w:val="18"/>
        <w:keepNext w:val="0"/>
        <w:keepLines w:val="0"/>
        <w:bidi w:val="0"/>
        <w:ind w:left="306" w:hanging="306" w:hangingChars="170"/>
        <w:rPr>
          <w:rFonts w:hint="eastAsia" w:ascii="宋体" w:hAnsi="宋体" w:eastAsia="宋体" w:cs="宋体"/>
          <w:color w:val="auto"/>
          <w:kern w:val="21"/>
          <w:highlight w:val="none"/>
        </w:rPr>
      </w:pPr>
      <w:r>
        <w:rPr>
          <w:rFonts w:hint="eastAsia" w:ascii="宋体" w:hAnsi="宋体" w:eastAsia="宋体" w:cs="宋体"/>
          <w:color w:val="auto"/>
          <w:kern w:val="21"/>
          <w:highlight w:val="none"/>
        </w:rPr>
        <w:t>1.本表应按附件1和附件2监理人员和监理设施进场时间及数量安排计算相应的费用。</w:t>
      </w:r>
    </w:p>
    <w:p w14:paraId="76716588">
      <w:pPr>
        <w:pStyle w:val="18"/>
        <w:keepNext w:val="0"/>
        <w:keepLines w:val="0"/>
        <w:bidi w:val="0"/>
        <w:ind w:left="306" w:hanging="306" w:hangingChars="170"/>
        <w:rPr>
          <w:rFonts w:hint="eastAsia" w:ascii="宋体" w:hAnsi="宋体" w:eastAsia="宋体" w:cs="宋体"/>
          <w:color w:val="auto"/>
          <w:kern w:val="21"/>
          <w:highlight w:val="none"/>
        </w:rPr>
      </w:pPr>
      <w:r>
        <w:rPr>
          <w:rFonts w:hint="eastAsia" w:ascii="宋体" w:hAnsi="宋体" w:eastAsia="宋体" w:cs="宋体"/>
          <w:color w:val="auto"/>
          <w:kern w:val="21"/>
          <w:highlight w:val="none"/>
        </w:rPr>
        <w:t>2.本表各项合计费用应与监理服务费用报价汇总表相一致。</w:t>
      </w:r>
    </w:p>
    <w:p w14:paraId="68E3D0D6">
      <w:pPr>
        <w:pStyle w:val="18"/>
        <w:keepNext w:val="0"/>
        <w:keepLines w:val="0"/>
        <w:bidi w:val="0"/>
        <w:ind w:left="306" w:hanging="306" w:hangingChars="170"/>
        <w:rPr>
          <w:rFonts w:hint="eastAsia" w:ascii="宋体" w:hAnsi="宋体" w:eastAsia="宋体" w:cs="宋体"/>
          <w:color w:val="auto"/>
          <w:kern w:val="21"/>
          <w:highlight w:val="none"/>
        </w:rPr>
      </w:pPr>
      <w:r>
        <w:rPr>
          <w:rFonts w:hint="eastAsia" w:ascii="宋体" w:hAnsi="宋体" w:eastAsia="宋体" w:cs="宋体"/>
          <w:color w:val="auto"/>
          <w:kern w:val="21"/>
          <w:highlight w:val="none"/>
        </w:rPr>
        <w:t>3.本表将作为监理合同履行过程中委托人支付监理费用的参考依据。</w:t>
      </w:r>
    </w:p>
    <w:p w14:paraId="656595FB">
      <w:pPr>
        <w:keepNext w:val="0"/>
        <w:keepLines w:val="0"/>
        <w:bidi w:val="0"/>
        <w:spacing w:line="360" w:lineRule="auto"/>
        <w:rPr>
          <w:rFonts w:hint="eastAsia" w:ascii="宋体" w:hAnsi="宋体" w:eastAsia="宋体" w:cs="宋体"/>
          <w:b/>
          <w:bCs/>
          <w:color w:val="auto"/>
          <w:kern w:val="21"/>
          <w:highlight w:val="none"/>
        </w:rPr>
      </w:pPr>
    </w:p>
    <w:p w14:paraId="49CCFCBB">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附件1监理人员工作计划安排表</w:t>
      </w:r>
    </w:p>
    <w:p w14:paraId="190B4B65">
      <w:pPr>
        <w:keepNext w:val="0"/>
        <w:keepLines w:val="0"/>
        <w:bidi w:val="0"/>
        <w:spacing w:after="120" w:afterLines="50"/>
        <w:rPr>
          <w:rFonts w:hint="eastAsia" w:ascii="宋体" w:hAnsi="宋体" w:eastAsia="宋体" w:cs="宋体"/>
          <w:color w:val="auto"/>
          <w:kern w:val="21"/>
          <w:highlight w:val="none"/>
          <w:u w:val="single"/>
          <w:lang w:eastAsia="zh-CN"/>
        </w:rPr>
      </w:pPr>
      <w:r>
        <w:rPr>
          <w:rFonts w:hint="eastAsia" w:ascii="宋体" w:hAnsi="宋体" w:eastAsia="宋体" w:cs="宋体"/>
          <w:color w:val="auto"/>
          <w:kern w:val="21"/>
          <w:highlight w:val="none"/>
        </w:rPr>
        <w:t>标段：</w:t>
      </w:r>
    </w:p>
    <w:tbl>
      <w:tblPr>
        <w:tblStyle w:val="2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2"/>
        <w:gridCol w:w="2445"/>
        <w:gridCol w:w="1224"/>
        <w:gridCol w:w="546"/>
        <w:gridCol w:w="546"/>
        <w:gridCol w:w="546"/>
        <w:gridCol w:w="549"/>
        <w:gridCol w:w="546"/>
        <w:gridCol w:w="546"/>
        <w:gridCol w:w="549"/>
        <w:gridCol w:w="546"/>
        <w:gridCol w:w="546"/>
        <w:gridCol w:w="630"/>
        <w:gridCol w:w="631"/>
        <w:gridCol w:w="630"/>
        <w:gridCol w:w="654"/>
        <w:gridCol w:w="809"/>
        <w:gridCol w:w="1112"/>
      </w:tblGrid>
      <w:tr w14:paraId="167BCA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6" w:hRule="atLeast"/>
          <w:jc w:val="center"/>
        </w:trPr>
        <w:tc>
          <w:tcPr>
            <w:tcW w:w="702" w:type="dxa"/>
            <w:vMerge w:val="restart"/>
            <w:noWrap w:val="0"/>
            <w:vAlign w:val="center"/>
          </w:tcPr>
          <w:p w14:paraId="56150F87">
            <w:pPr>
              <w:pStyle w:val="37"/>
              <w:keepNext w:val="0"/>
              <w:keepLines w:val="0"/>
              <w:bidi w:val="0"/>
              <w:adjustRightInd/>
              <w:spacing w:line="240" w:lineRule="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2445" w:type="dxa"/>
            <w:vMerge w:val="restart"/>
            <w:noWrap w:val="0"/>
            <w:vAlign w:val="center"/>
          </w:tcPr>
          <w:p w14:paraId="4B1B56B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人员</w:t>
            </w:r>
          </w:p>
        </w:tc>
        <w:tc>
          <w:tcPr>
            <w:tcW w:w="1224" w:type="dxa"/>
            <w:vMerge w:val="restart"/>
            <w:noWrap w:val="0"/>
            <w:vAlign w:val="center"/>
          </w:tcPr>
          <w:p w14:paraId="5525482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驻场</w:t>
            </w:r>
          </w:p>
          <w:p w14:paraId="7FB97B8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时间</w:t>
            </w:r>
          </w:p>
          <w:p w14:paraId="72A249C5">
            <w:pPr>
              <w:keepNext w:val="0"/>
              <w:keepLines w:val="0"/>
              <w:bidi w:val="0"/>
              <w:ind w:left="-76" w:leftChars="-36" w:right="-82" w:rightChars="-39"/>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（月）</w:t>
            </w:r>
          </w:p>
        </w:tc>
        <w:tc>
          <w:tcPr>
            <w:tcW w:w="7465" w:type="dxa"/>
            <w:gridSpan w:val="13"/>
            <w:noWrap w:val="0"/>
            <w:vAlign w:val="center"/>
          </w:tcPr>
          <w:p w14:paraId="7D0B6B2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监理人员投入安排（共个月）</w:t>
            </w:r>
          </w:p>
        </w:tc>
        <w:tc>
          <w:tcPr>
            <w:tcW w:w="809" w:type="dxa"/>
            <w:vMerge w:val="restart"/>
            <w:noWrap w:val="0"/>
            <w:vAlign w:val="center"/>
          </w:tcPr>
          <w:p w14:paraId="5AFF2B5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w:t>
            </w:r>
          </w:p>
        </w:tc>
        <w:tc>
          <w:tcPr>
            <w:tcW w:w="1112" w:type="dxa"/>
            <w:vMerge w:val="restart"/>
            <w:noWrap w:val="0"/>
            <w:vAlign w:val="center"/>
          </w:tcPr>
          <w:p w14:paraId="2ED18DA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备注</w:t>
            </w:r>
          </w:p>
        </w:tc>
      </w:tr>
      <w:tr w14:paraId="3F91D0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702" w:type="dxa"/>
            <w:vMerge w:val="continue"/>
            <w:noWrap w:val="0"/>
            <w:vAlign w:val="center"/>
          </w:tcPr>
          <w:p w14:paraId="41E6C4C1">
            <w:pPr>
              <w:keepNext w:val="0"/>
              <w:keepLines w:val="0"/>
              <w:bidi w:val="0"/>
              <w:jc w:val="center"/>
              <w:rPr>
                <w:rFonts w:hint="eastAsia" w:ascii="宋体" w:hAnsi="宋体" w:eastAsia="宋体" w:cs="宋体"/>
                <w:color w:val="auto"/>
                <w:kern w:val="21"/>
                <w:szCs w:val="21"/>
                <w:highlight w:val="none"/>
              </w:rPr>
            </w:pPr>
          </w:p>
        </w:tc>
        <w:tc>
          <w:tcPr>
            <w:tcW w:w="2445" w:type="dxa"/>
            <w:vMerge w:val="continue"/>
            <w:noWrap w:val="0"/>
            <w:vAlign w:val="center"/>
          </w:tcPr>
          <w:p w14:paraId="1F5D279F">
            <w:pPr>
              <w:keepNext w:val="0"/>
              <w:keepLines w:val="0"/>
              <w:bidi w:val="0"/>
              <w:jc w:val="center"/>
              <w:rPr>
                <w:rFonts w:hint="eastAsia" w:ascii="宋体" w:hAnsi="宋体" w:eastAsia="宋体" w:cs="宋体"/>
                <w:color w:val="auto"/>
                <w:kern w:val="21"/>
                <w:szCs w:val="21"/>
                <w:highlight w:val="none"/>
              </w:rPr>
            </w:pPr>
          </w:p>
        </w:tc>
        <w:tc>
          <w:tcPr>
            <w:tcW w:w="1224" w:type="dxa"/>
            <w:vMerge w:val="continue"/>
            <w:noWrap w:val="0"/>
            <w:vAlign w:val="center"/>
          </w:tcPr>
          <w:p w14:paraId="79AB326A">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center"/>
          </w:tcPr>
          <w:p w14:paraId="3097C96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546" w:type="dxa"/>
            <w:noWrap w:val="0"/>
            <w:vAlign w:val="center"/>
          </w:tcPr>
          <w:p w14:paraId="4818223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546" w:type="dxa"/>
            <w:noWrap w:val="0"/>
            <w:vAlign w:val="center"/>
          </w:tcPr>
          <w:p w14:paraId="157C804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549" w:type="dxa"/>
            <w:noWrap w:val="0"/>
            <w:vAlign w:val="center"/>
          </w:tcPr>
          <w:p w14:paraId="4E940B8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546" w:type="dxa"/>
            <w:noWrap w:val="0"/>
            <w:vAlign w:val="center"/>
          </w:tcPr>
          <w:p w14:paraId="393DAFE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546" w:type="dxa"/>
            <w:noWrap w:val="0"/>
            <w:vAlign w:val="center"/>
          </w:tcPr>
          <w:p w14:paraId="7CD24040">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549" w:type="dxa"/>
            <w:noWrap w:val="0"/>
            <w:vAlign w:val="center"/>
          </w:tcPr>
          <w:p w14:paraId="457A6124">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546" w:type="dxa"/>
            <w:noWrap w:val="0"/>
            <w:vAlign w:val="center"/>
          </w:tcPr>
          <w:p w14:paraId="1807156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546" w:type="dxa"/>
            <w:noWrap w:val="0"/>
            <w:vAlign w:val="center"/>
          </w:tcPr>
          <w:p w14:paraId="6463CBB8">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630" w:type="dxa"/>
            <w:noWrap w:val="0"/>
            <w:vAlign w:val="center"/>
          </w:tcPr>
          <w:p w14:paraId="3A38565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10</w:t>
            </w:r>
          </w:p>
        </w:tc>
        <w:tc>
          <w:tcPr>
            <w:tcW w:w="631" w:type="dxa"/>
            <w:noWrap w:val="0"/>
            <w:vAlign w:val="center"/>
          </w:tcPr>
          <w:p w14:paraId="263F3FB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11</w:t>
            </w:r>
          </w:p>
        </w:tc>
        <w:tc>
          <w:tcPr>
            <w:tcW w:w="630" w:type="dxa"/>
            <w:noWrap w:val="0"/>
            <w:vAlign w:val="center"/>
          </w:tcPr>
          <w:p w14:paraId="145BA63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12</w:t>
            </w:r>
          </w:p>
        </w:tc>
        <w:tc>
          <w:tcPr>
            <w:tcW w:w="654" w:type="dxa"/>
            <w:noWrap w:val="0"/>
            <w:vAlign w:val="center"/>
          </w:tcPr>
          <w:p w14:paraId="37A3501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809" w:type="dxa"/>
            <w:vMerge w:val="continue"/>
            <w:noWrap w:val="0"/>
            <w:vAlign w:val="center"/>
          </w:tcPr>
          <w:p w14:paraId="5A78C462">
            <w:pPr>
              <w:keepNext w:val="0"/>
              <w:keepLines w:val="0"/>
              <w:bidi w:val="0"/>
              <w:jc w:val="center"/>
              <w:rPr>
                <w:rFonts w:hint="eastAsia" w:ascii="宋体" w:hAnsi="宋体" w:eastAsia="宋体" w:cs="宋体"/>
                <w:color w:val="auto"/>
                <w:kern w:val="21"/>
                <w:szCs w:val="21"/>
                <w:highlight w:val="none"/>
              </w:rPr>
            </w:pPr>
          </w:p>
        </w:tc>
        <w:tc>
          <w:tcPr>
            <w:tcW w:w="1112" w:type="dxa"/>
            <w:vMerge w:val="continue"/>
            <w:noWrap w:val="0"/>
            <w:vAlign w:val="center"/>
          </w:tcPr>
          <w:p w14:paraId="1C780E0A">
            <w:pPr>
              <w:keepNext w:val="0"/>
              <w:keepLines w:val="0"/>
              <w:bidi w:val="0"/>
              <w:jc w:val="center"/>
              <w:rPr>
                <w:rFonts w:hint="eastAsia" w:ascii="宋体" w:hAnsi="宋体" w:eastAsia="宋体" w:cs="宋体"/>
                <w:color w:val="auto"/>
                <w:kern w:val="21"/>
                <w:szCs w:val="21"/>
                <w:highlight w:val="none"/>
              </w:rPr>
            </w:pPr>
          </w:p>
        </w:tc>
      </w:tr>
      <w:tr w14:paraId="339F2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4E7F326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2445" w:type="dxa"/>
            <w:noWrap w:val="0"/>
            <w:vAlign w:val="center"/>
          </w:tcPr>
          <w:p w14:paraId="11E0CE4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总监理工程师</w:t>
            </w:r>
          </w:p>
        </w:tc>
        <w:tc>
          <w:tcPr>
            <w:tcW w:w="1224" w:type="dxa"/>
            <w:noWrap w:val="0"/>
            <w:vAlign w:val="top"/>
          </w:tcPr>
          <w:p w14:paraId="269C2A1F">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13BF4E4">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1EE7C4ED">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7876A062">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0B22E8CF">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3C0BF32">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B131444">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6D202AA6">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1FA80F3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2F98094">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39F47A11">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61E11421">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1973C573">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4A125528">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6642129C">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0CCE36F8">
            <w:pPr>
              <w:keepNext w:val="0"/>
              <w:keepLines w:val="0"/>
              <w:bidi w:val="0"/>
              <w:jc w:val="center"/>
              <w:rPr>
                <w:rFonts w:hint="eastAsia" w:ascii="宋体" w:hAnsi="宋体" w:eastAsia="宋体" w:cs="宋体"/>
                <w:color w:val="auto"/>
                <w:kern w:val="21"/>
                <w:szCs w:val="21"/>
                <w:highlight w:val="none"/>
              </w:rPr>
            </w:pPr>
          </w:p>
        </w:tc>
      </w:tr>
      <w:tr w14:paraId="7461C3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75CD11A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2445" w:type="dxa"/>
            <w:noWrap w:val="0"/>
            <w:vAlign w:val="center"/>
          </w:tcPr>
          <w:p w14:paraId="3DCDC5D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10B95BF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3F523FA">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2C2E670">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7C037F1">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01F0FFEB">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0649210">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35595EC">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73D188A3">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F42F34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172D3A31">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440A5EAC">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68FB11FB">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6C6B6C31">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6D6A386B">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74536F4E">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18AD9165">
            <w:pPr>
              <w:keepNext w:val="0"/>
              <w:keepLines w:val="0"/>
              <w:bidi w:val="0"/>
              <w:jc w:val="center"/>
              <w:rPr>
                <w:rFonts w:hint="eastAsia" w:ascii="宋体" w:hAnsi="宋体" w:eastAsia="宋体" w:cs="宋体"/>
                <w:color w:val="auto"/>
                <w:kern w:val="21"/>
                <w:szCs w:val="21"/>
                <w:highlight w:val="none"/>
              </w:rPr>
            </w:pPr>
          </w:p>
        </w:tc>
      </w:tr>
      <w:tr w14:paraId="44BBB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559F23D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2445" w:type="dxa"/>
            <w:noWrap w:val="0"/>
            <w:vAlign w:val="center"/>
          </w:tcPr>
          <w:p w14:paraId="313F500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7566115A">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CC94529">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7C23C482">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ED752BE">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2CA908A1">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AFFB708">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7E74DF0B">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0E64263F">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9B5AE6D">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886E5F5">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38D74D9F">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653C2611">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6EC0009C">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702431DF">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7F6E888D">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065BBF7C">
            <w:pPr>
              <w:keepNext w:val="0"/>
              <w:keepLines w:val="0"/>
              <w:bidi w:val="0"/>
              <w:jc w:val="center"/>
              <w:rPr>
                <w:rFonts w:hint="eastAsia" w:ascii="宋体" w:hAnsi="宋体" w:eastAsia="宋体" w:cs="宋体"/>
                <w:color w:val="auto"/>
                <w:kern w:val="21"/>
                <w:szCs w:val="21"/>
                <w:highlight w:val="none"/>
              </w:rPr>
            </w:pPr>
          </w:p>
        </w:tc>
      </w:tr>
      <w:tr w14:paraId="7E546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029707A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2445" w:type="dxa"/>
            <w:noWrap w:val="0"/>
            <w:vAlign w:val="center"/>
          </w:tcPr>
          <w:p w14:paraId="3AE7370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6FD87C7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404D570">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95F587C">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3B3E5B9">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215B9F25">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6B75135">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3E89BE9">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77EFE435">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E6A2794">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B50DF64">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13FAF049">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108E89DF">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3AC42C95">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520105A4">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05C8BC28">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54576F3D">
            <w:pPr>
              <w:keepNext w:val="0"/>
              <w:keepLines w:val="0"/>
              <w:bidi w:val="0"/>
              <w:jc w:val="center"/>
              <w:rPr>
                <w:rFonts w:hint="eastAsia" w:ascii="宋体" w:hAnsi="宋体" w:eastAsia="宋体" w:cs="宋体"/>
                <w:color w:val="auto"/>
                <w:kern w:val="21"/>
                <w:szCs w:val="21"/>
                <w:highlight w:val="none"/>
              </w:rPr>
            </w:pPr>
          </w:p>
        </w:tc>
      </w:tr>
      <w:tr w14:paraId="517E97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6CCE3C1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2445" w:type="dxa"/>
            <w:noWrap w:val="0"/>
            <w:vAlign w:val="center"/>
          </w:tcPr>
          <w:p w14:paraId="6D6DB644">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28A08475">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5FA348D">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1C410A3">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19A601B9">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70C8D9EF">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D8D7EFD">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9243932">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78D91008">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F7C0925">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BC46E53">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09D1E0D7">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261E55D3">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7199DD49">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6B38F998">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4A84EB9E">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61FEA59C">
            <w:pPr>
              <w:keepNext w:val="0"/>
              <w:keepLines w:val="0"/>
              <w:bidi w:val="0"/>
              <w:jc w:val="center"/>
              <w:rPr>
                <w:rFonts w:hint="eastAsia" w:ascii="宋体" w:hAnsi="宋体" w:eastAsia="宋体" w:cs="宋体"/>
                <w:color w:val="auto"/>
                <w:kern w:val="21"/>
                <w:szCs w:val="21"/>
                <w:highlight w:val="none"/>
              </w:rPr>
            </w:pPr>
          </w:p>
        </w:tc>
      </w:tr>
      <w:tr w14:paraId="127717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7B9B5FE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2445" w:type="dxa"/>
            <w:noWrap w:val="0"/>
            <w:vAlign w:val="center"/>
          </w:tcPr>
          <w:p w14:paraId="68498AE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041F83B5">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A4DEE01">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E075136">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79E75F1F">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45C4B47E">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1535D33">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C1CB6EC">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5836EDE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28FA6C4">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D1BA70C">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35F30FC6">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19453F41">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2E4BBF10">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2BF184BF">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7C5DAE7A">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04E1F294">
            <w:pPr>
              <w:keepNext w:val="0"/>
              <w:keepLines w:val="0"/>
              <w:bidi w:val="0"/>
              <w:jc w:val="center"/>
              <w:rPr>
                <w:rFonts w:hint="eastAsia" w:ascii="宋体" w:hAnsi="宋体" w:eastAsia="宋体" w:cs="宋体"/>
                <w:color w:val="auto"/>
                <w:kern w:val="21"/>
                <w:szCs w:val="21"/>
                <w:highlight w:val="none"/>
              </w:rPr>
            </w:pPr>
          </w:p>
        </w:tc>
      </w:tr>
      <w:tr w14:paraId="08A137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61A9D6A0">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2445" w:type="dxa"/>
            <w:noWrap w:val="0"/>
            <w:vAlign w:val="center"/>
          </w:tcPr>
          <w:p w14:paraId="5981EDF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251F1305">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F2F54D4">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6F8AC84">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298EB38">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2CFDD293">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80DC06C">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2368782">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5809E176">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FA4463A">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FA26B5C">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3DBD1DD2">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0D580C37">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17F647AC">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76E4F768">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747D50C4">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1E3FD3DE">
            <w:pPr>
              <w:keepNext w:val="0"/>
              <w:keepLines w:val="0"/>
              <w:bidi w:val="0"/>
              <w:jc w:val="center"/>
              <w:rPr>
                <w:rFonts w:hint="eastAsia" w:ascii="宋体" w:hAnsi="宋体" w:eastAsia="宋体" w:cs="宋体"/>
                <w:color w:val="auto"/>
                <w:kern w:val="21"/>
                <w:szCs w:val="21"/>
                <w:highlight w:val="none"/>
              </w:rPr>
            </w:pPr>
          </w:p>
        </w:tc>
      </w:tr>
      <w:tr w14:paraId="4B74E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6540434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2445" w:type="dxa"/>
            <w:noWrap w:val="0"/>
            <w:vAlign w:val="center"/>
          </w:tcPr>
          <w:p w14:paraId="61977A5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1EBF2C6B">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AB04608">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A43C33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0134DA5">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50F3ABF1">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A209A63">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23A88DA">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1C6F0BF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1540D4F">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A2CC579">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638E0708">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69AE8DD7">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78A6D812">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1B52F540">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2A727DD9">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4FC0AD0A">
            <w:pPr>
              <w:keepNext w:val="0"/>
              <w:keepLines w:val="0"/>
              <w:bidi w:val="0"/>
              <w:jc w:val="center"/>
              <w:rPr>
                <w:rFonts w:hint="eastAsia" w:ascii="宋体" w:hAnsi="宋体" w:eastAsia="宋体" w:cs="宋体"/>
                <w:color w:val="auto"/>
                <w:kern w:val="21"/>
                <w:szCs w:val="21"/>
                <w:highlight w:val="none"/>
              </w:rPr>
            </w:pPr>
          </w:p>
        </w:tc>
      </w:tr>
      <w:tr w14:paraId="335B54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33CEBEA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2445" w:type="dxa"/>
            <w:noWrap w:val="0"/>
            <w:vAlign w:val="center"/>
          </w:tcPr>
          <w:p w14:paraId="3E41F81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61AAEAD4">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9BA8C4E">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6984019">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745BD66">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0100F81D">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58F450B">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34AEEC9">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1CBDFC3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0C5D8F9">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EB42906">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2A078BFF">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6A340E59">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0D17EB68">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792E7E62">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66A9EF2B">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6B38FB94">
            <w:pPr>
              <w:keepNext w:val="0"/>
              <w:keepLines w:val="0"/>
              <w:bidi w:val="0"/>
              <w:jc w:val="center"/>
              <w:rPr>
                <w:rFonts w:hint="eastAsia" w:ascii="宋体" w:hAnsi="宋体" w:eastAsia="宋体" w:cs="宋体"/>
                <w:color w:val="auto"/>
                <w:kern w:val="21"/>
                <w:szCs w:val="21"/>
                <w:highlight w:val="none"/>
              </w:rPr>
            </w:pPr>
          </w:p>
        </w:tc>
      </w:tr>
      <w:tr w14:paraId="0E5FD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3AF3B5C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10</w:t>
            </w:r>
          </w:p>
        </w:tc>
        <w:tc>
          <w:tcPr>
            <w:tcW w:w="2445" w:type="dxa"/>
            <w:noWrap w:val="0"/>
            <w:vAlign w:val="center"/>
          </w:tcPr>
          <w:p w14:paraId="55C6CA2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224" w:type="dxa"/>
            <w:noWrap w:val="0"/>
            <w:vAlign w:val="top"/>
          </w:tcPr>
          <w:p w14:paraId="2EA327CF">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7DDEB4C">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125BBDC">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0EB5046">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275C6C39">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D803C66">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A726494">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51EA63C8">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105D0B9F">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5D83561">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68646A5E">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20FA8C03">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595EC10C">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125F6446">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3B316F10">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3A0A12B9">
            <w:pPr>
              <w:keepNext w:val="0"/>
              <w:keepLines w:val="0"/>
              <w:bidi w:val="0"/>
              <w:jc w:val="center"/>
              <w:rPr>
                <w:rFonts w:hint="eastAsia" w:ascii="宋体" w:hAnsi="宋体" w:eastAsia="宋体" w:cs="宋体"/>
                <w:color w:val="auto"/>
                <w:kern w:val="21"/>
                <w:szCs w:val="21"/>
                <w:highlight w:val="none"/>
              </w:rPr>
            </w:pPr>
          </w:p>
        </w:tc>
      </w:tr>
      <w:tr w14:paraId="18BE3D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4371" w:type="dxa"/>
            <w:gridSpan w:val="3"/>
            <w:noWrap w:val="0"/>
            <w:vAlign w:val="center"/>
          </w:tcPr>
          <w:p w14:paraId="379C6CF8">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每月应在工地的监理人员合计（人数）</w:t>
            </w:r>
          </w:p>
        </w:tc>
        <w:tc>
          <w:tcPr>
            <w:tcW w:w="546" w:type="dxa"/>
            <w:noWrap w:val="0"/>
            <w:vAlign w:val="top"/>
          </w:tcPr>
          <w:p w14:paraId="572499B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546" w:type="dxa"/>
            <w:noWrap w:val="0"/>
            <w:vAlign w:val="top"/>
          </w:tcPr>
          <w:p w14:paraId="7434CE84">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B2529B3">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29722FCD">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A15F9BB">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789C539D">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0BB0D746">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73D9A456">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C355118">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0377F5C5">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01B3BF0B">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3155D0AE">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4D7324DF">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31A8896D">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425D23C7">
            <w:pPr>
              <w:keepNext w:val="0"/>
              <w:keepLines w:val="0"/>
              <w:bidi w:val="0"/>
              <w:jc w:val="center"/>
              <w:rPr>
                <w:rFonts w:hint="eastAsia" w:ascii="宋体" w:hAnsi="宋体" w:eastAsia="宋体" w:cs="宋体"/>
                <w:color w:val="auto"/>
                <w:kern w:val="21"/>
                <w:szCs w:val="21"/>
                <w:highlight w:val="none"/>
              </w:rPr>
            </w:pPr>
          </w:p>
        </w:tc>
      </w:tr>
    </w:tbl>
    <w:p w14:paraId="1D1E39D3">
      <w:pPr>
        <w:keepNext w:val="0"/>
        <w:keepLines w:val="0"/>
        <w:bidi w:val="0"/>
        <w:ind w:firstLine="6930" w:firstLineChars="3300"/>
        <w:rPr>
          <w:rFonts w:hint="eastAsia" w:ascii="宋体" w:hAnsi="宋体" w:eastAsia="宋体" w:cs="宋体"/>
          <w:color w:val="auto"/>
          <w:kern w:val="21"/>
          <w:highlight w:val="none"/>
        </w:rPr>
      </w:pPr>
    </w:p>
    <w:p w14:paraId="2A401E04">
      <w:pPr>
        <w:pStyle w:val="18"/>
        <w:keepNext w:val="0"/>
        <w:keepLines w:val="0"/>
        <w:bidi w:val="0"/>
        <w:ind w:left="306" w:hanging="306" w:hangingChars="170"/>
        <w:rPr>
          <w:rFonts w:hint="eastAsia" w:ascii="宋体" w:hAnsi="宋体" w:eastAsia="宋体" w:cs="宋体"/>
          <w:color w:val="auto"/>
          <w:kern w:val="21"/>
          <w:highlight w:val="none"/>
        </w:rPr>
      </w:pPr>
      <w:r>
        <w:rPr>
          <w:rFonts w:hint="eastAsia" w:ascii="宋体" w:hAnsi="宋体" w:eastAsia="宋体" w:cs="宋体"/>
          <w:color w:val="auto"/>
          <w:kern w:val="21"/>
          <w:highlight w:val="none"/>
        </w:rPr>
        <w:t>注：按照拟投入本工程现场监理人员的计划在岗安排据实填报。在岗时间为:进场时间为当月第一日；在岗表示为“-”</w:t>
      </w:r>
    </w:p>
    <w:p w14:paraId="556BDDB3">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附件2监理设施进出场时间表</w:t>
      </w:r>
    </w:p>
    <w:tbl>
      <w:tblPr>
        <w:tblStyle w:val="21"/>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38"/>
        <w:gridCol w:w="2110"/>
        <w:gridCol w:w="2088"/>
        <w:gridCol w:w="2107"/>
        <w:gridCol w:w="3113"/>
        <w:gridCol w:w="1563"/>
      </w:tblGrid>
      <w:tr w14:paraId="672DFB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3038" w:type="dxa"/>
            <w:vMerge w:val="restart"/>
            <w:tcBorders>
              <w:top w:val="single" w:color="auto" w:sz="12" w:space="0"/>
              <w:left w:val="single" w:color="auto" w:sz="12" w:space="0"/>
              <w:bottom w:val="single" w:color="auto" w:sz="4" w:space="0"/>
              <w:right w:val="single" w:color="auto" w:sz="4" w:space="0"/>
            </w:tcBorders>
            <w:noWrap w:val="0"/>
            <w:vAlign w:val="center"/>
          </w:tcPr>
          <w:p w14:paraId="14464840">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时段</w:t>
            </w:r>
          </w:p>
        </w:tc>
        <w:tc>
          <w:tcPr>
            <w:tcW w:w="10981" w:type="dxa"/>
            <w:gridSpan w:val="5"/>
            <w:tcBorders>
              <w:top w:val="single" w:color="auto" w:sz="12" w:space="0"/>
              <w:left w:val="single" w:color="auto" w:sz="4" w:space="0"/>
              <w:bottom w:val="single" w:color="auto" w:sz="4" w:space="0"/>
              <w:right w:val="single" w:color="auto" w:sz="12" w:space="0"/>
            </w:tcBorders>
            <w:noWrap w:val="0"/>
            <w:vAlign w:val="center"/>
          </w:tcPr>
          <w:p w14:paraId="3764EAB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监理设施</w:t>
            </w:r>
          </w:p>
        </w:tc>
      </w:tr>
      <w:tr w14:paraId="6C3CD1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3038" w:type="dxa"/>
            <w:vMerge w:val="continue"/>
            <w:tcBorders>
              <w:top w:val="single" w:color="auto" w:sz="12" w:space="0"/>
              <w:left w:val="single" w:color="auto" w:sz="12" w:space="0"/>
              <w:bottom w:val="single" w:color="auto" w:sz="4" w:space="0"/>
              <w:right w:val="single" w:color="auto" w:sz="4" w:space="0"/>
            </w:tcBorders>
            <w:noWrap w:val="0"/>
            <w:vAlign w:val="center"/>
          </w:tcPr>
          <w:p w14:paraId="69337354">
            <w:pPr>
              <w:keepNext w:val="0"/>
              <w:keepLines w:val="0"/>
              <w:bidi w:val="0"/>
              <w:jc w:val="center"/>
              <w:rPr>
                <w:rFonts w:hint="eastAsia" w:ascii="宋体" w:hAnsi="宋体" w:eastAsia="宋体" w:cs="宋体"/>
                <w:color w:val="auto"/>
                <w:kern w:val="21"/>
                <w:szCs w:val="21"/>
                <w:highlight w:val="none"/>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2A01F65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交通设施</w:t>
            </w:r>
          </w:p>
        </w:tc>
        <w:tc>
          <w:tcPr>
            <w:tcW w:w="2088" w:type="dxa"/>
            <w:tcBorders>
              <w:top w:val="single" w:color="auto" w:sz="4" w:space="0"/>
              <w:left w:val="single" w:color="auto" w:sz="4" w:space="0"/>
              <w:bottom w:val="single" w:color="auto" w:sz="4" w:space="0"/>
              <w:right w:val="single" w:color="auto" w:sz="4" w:space="0"/>
            </w:tcBorders>
            <w:noWrap w:val="0"/>
            <w:vAlign w:val="center"/>
          </w:tcPr>
          <w:p w14:paraId="59EB0125">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办公设施</w:t>
            </w:r>
          </w:p>
        </w:tc>
        <w:tc>
          <w:tcPr>
            <w:tcW w:w="2107" w:type="dxa"/>
            <w:tcBorders>
              <w:top w:val="single" w:color="auto" w:sz="4" w:space="0"/>
              <w:left w:val="single" w:color="auto" w:sz="4" w:space="0"/>
              <w:bottom w:val="single" w:color="auto" w:sz="4" w:space="0"/>
              <w:right w:val="single" w:color="auto" w:sz="4" w:space="0"/>
            </w:tcBorders>
            <w:noWrap w:val="0"/>
            <w:vAlign w:val="center"/>
          </w:tcPr>
          <w:p w14:paraId="5F32E09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生活设施</w:t>
            </w:r>
          </w:p>
        </w:tc>
        <w:tc>
          <w:tcPr>
            <w:tcW w:w="3113" w:type="dxa"/>
            <w:tcBorders>
              <w:top w:val="single" w:color="auto" w:sz="4" w:space="0"/>
              <w:left w:val="single" w:color="auto" w:sz="4" w:space="0"/>
              <w:bottom w:val="single" w:color="auto" w:sz="4" w:space="0"/>
              <w:right w:val="single" w:color="auto" w:sz="4" w:space="0"/>
            </w:tcBorders>
            <w:noWrap w:val="0"/>
            <w:vAlign w:val="center"/>
          </w:tcPr>
          <w:p w14:paraId="58293C0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试验、检测仪器</w:t>
            </w: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45DB4044">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其它</w:t>
            </w:r>
          </w:p>
        </w:tc>
      </w:tr>
      <w:tr w14:paraId="3AE8EE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33F83E3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4489316C">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53DE2E9F">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3DBD8915">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72E07AB8">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03E41B74">
            <w:pPr>
              <w:keepNext w:val="0"/>
              <w:keepLines w:val="0"/>
              <w:bidi w:val="0"/>
              <w:jc w:val="center"/>
              <w:rPr>
                <w:rFonts w:hint="eastAsia" w:ascii="宋体" w:hAnsi="宋体" w:eastAsia="宋体" w:cs="宋体"/>
                <w:color w:val="auto"/>
                <w:kern w:val="21"/>
                <w:szCs w:val="21"/>
                <w:highlight w:val="none"/>
              </w:rPr>
            </w:pPr>
          </w:p>
        </w:tc>
      </w:tr>
      <w:tr w14:paraId="49DF3A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6C1F7D3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5EAFAABC">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3CA5CB03">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1CFAD909">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607B650D">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3A38B26D">
            <w:pPr>
              <w:keepNext w:val="0"/>
              <w:keepLines w:val="0"/>
              <w:bidi w:val="0"/>
              <w:jc w:val="center"/>
              <w:rPr>
                <w:rFonts w:hint="eastAsia" w:ascii="宋体" w:hAnsi="宋体" w:eastAsia="宋体" w:cs="宋体"/>
                <w:color w:val="auto"/>
                <w:kern w:val="21"/>
                <w:szCs w:val="21"/>
                <w:highlight w:val="none"/>
              </w:rPr>
            </w:pPr>
          </w:p>
        </w:tc>
      </w:tr>
      <w:tr w14:paraId="284CF1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6BB6DEE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5CA674E0">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032C11EB">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653B9985">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008E8D13">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6D916CFB">
            <w:pPr>
              <w:keepNext w:val="0"/>
              <w:keepLines w:val="0"/>
              <w:bidi w:val="0"/>
              <w:jc w:val="center"/>
              <w:rPr>
                <w:rFonts w:hint="eastAsia" w:ascii="宋体" w:hAnsi="宋体" w:eastAsia="宋体" w:cs="宋体"/>
                <w:color w:val="auto"/>
                <w:kern w:val="21"/>
                <w:szCs w:val="21"/>
                <w:highlight w:val="none"/>
              </w:rPr>
            </w:pPr>
          </w:p>
        </w:tc>
      </w:tr>
      <w:tr w14:paraId="469932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0F3029B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2E89328F">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0C492883">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16DE7D28">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657241FC">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3F6E0379">
            <w:pPr>
              <w:keepNext w:val="0"/>
              <w:keepLines w:val="0"/>
              <w:bidi w:val="0"/>
              <w:jc w:val="center"/>
              <w:rPr>
                <w:rFonts w:hint="eastAsia" w:ascii="宋体" w:hAnsi="宋体" w:eastAsia="宋体" w:cs="宋体"/>
                <w:color w:val="auto"/>
                <w:kern w:val="21"/>
                <w:szCs w:val="21"/>
                <w:highlight w:val="none"/>
              </w:rPr>
            </w:pPr>
          </w:p>
        </w:tc>
      </w:tr>
      <w:tr w14:paraId="70DA1F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77435DE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2DD55B14">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6CA1634D">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7D6BDABC">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0B714B39">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18E628DE">
            <w:pPr>
              <w:keepNext w:val="0"/>
              <w:keepLines w:val="0"/>
              <w:bidi w:val="0"/>
              <w:jc w:val="center"/>
              <w:rPr>
                <w:rFonts w:hint="eastAsia" w:ascii="宋体" w:hAnsi="宋体" w:eastAsia="宋体" w:cs="宋体"/>
                <w:color w:val="auto"/>
                <w:kern w:val="21"/>
                <w:szCs w:val="21"/>
                <w:highlight w:val="none"/>
              </w:rPr>
            </w:pPr>
          </w:p>
        </w:tc>
      </w:tr>
      <w:tr w14:paraId="1353C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06543AA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341E2B4E">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2302D806">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006176DC">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2BA16CC9">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761B2240">
            <w:pPr>
              <w:keepNext w:val="0"/>
              <w:keepLines w:val="0"/>
              <w:bidi w:val="0"/>
              <w:jc w:val="center"/>
              <w:rPr>
                <w:rFonts w:hint="eastAsia" w:ascii="宋体" w:hAnsi="宋体" w:eastAsia="宋体" w:cs="宋体"/>
                <w:color w:val="auto"/>
                <w:kern w:val="21"/>
                <w:szCs w:val="21"/>
                <w:highlight w:val="none"/>
              </w:rPr>
            </w:pPr>
          </w:p>
        </w:tc>
      </w:tr>
      <w:tr w14:paraId="1497E5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1B0C334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3D568FE0">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35456BA4">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2FE5A0A2">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75150614">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55F3AB85">
            <w:pPr>
              <w:keepNext w:val="0"/>
              <w:keepLines w:val="0"/>
              <w:bidi w:val="0"/>
              <w:jc w:val="center"/>
              <w:rPr>
                <w:rFonts w:hint="eastAsia" w:ascii="宋体" w:hAnsi="宋体" w:eastAsia="宋体" w:cs="宋体"/>
                <w:color w:val="auto"/>
                <w:kern w:val="21"/>
                <w:szCs w:val="21"/>
                <w:highlight w:val="none"/>
              </w:rPr>
            </w:pPr>
          </w:p>
        </w:tc>
      </w:tr>
      <w:tr w14:paraId="3079E5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06515A8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4F5F5B54">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3A4ED057">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6CE20D28">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76C252EB">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15BC136C">
            <w:pPr>
              <w:keepNext w:val="0"/>
              <w:keepLines w:val="0"/>
              <w:bidi w:val="0"/>
              <w:jc w:val="center"/>
              <w:rPr>
                <w:rFonts w:hint="eastAsia" w:ascii="宋体" w:hAnsi="宋体" w:eastAsia="宋体" w:cs="宋体"/>
                <w:color w:val="auto"/>
                <w:kern w:val="21"/>
                <w:szCs w:val="21"/>
                <w:highlight w:val="none"/>
              </w:rPr>
            </w:pPr>
          </w:p>
        </w:tc>
      </w:tr>
      <w:tr w14:paraId="6F08F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44B05FB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2485F6CD">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56E22196">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3479F2A7">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02999B04">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2439B994">
            <w:pPr>
              <w:keepNext w:val="0"/>
              <w:keepLines w:val="0"/>
              <w:bidi w:val="0"/>
              <w:jc w:val="center"/>
              <w:rPr>
                <w:rFonts w:hint="eastAsia" w:ascii="宋体" w:hAnsi="宋体" w:eastAsia="宋体" w:cs="宋体"/>
                <w:color w:val="auto"/>
                <w:kern w:val="21"/>
                <w:szCs w:val="21"/>
                <w:highlight w:val="none"/>
              </w:rPr>
            </w:pPr>
          </w:p>
        </w:tc>
      </w:tr>
      <w:tr w14:paraId="1B6C1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3038" w:type="dxa"/>
            <w:tcBorders>
              <w:top w:val="single" w:color="auto" w:sz="4" w:space="0"/>
              <w:left w:val="single" w:color="auto" w:sz="12" w:space="0"/>
              <w:bottom w:val="single" w:color="auto" w:sz="12" w:space="0"/>
              <w:right w:val="single" w:color="auto" w:sz="4" w:space="0"/>
            </w:tcBorders>
            <w:noWrap w:val="0"/>
            <w:vAlign w:val="center"/>
          </w:tcPr>
          <w:p w14:paraId="4FE865F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c>
          <w:tcPr>
            <w:tcW w:w="2110" w:type="dxa"/>
            <w:tcBorders>
              <w:top w:val="single" w:color="auto" w:sz="4" w:space="0"/>
              <w:left w:val="single" w:color="auto" w:sz="4" w:space="0"/>
              <w:bottom w:val="single" w:color="auto" w:sz="12" w:space="0"/>
              <w:right w:val="single" w:color="auto" w:sz="4" w:space="0"/>
            </w:tcBorders>
            <w:noWrap w:val="0"/>
            <w:vAlign w:val="center"/>
          </w:tcPr>
          <w:p w14:paraId="6300012B">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12" w:space="0"/>
              <w:right w:val="single" w:color="auto" w:sz="4" w:space="0"/>
            </w:tcBorders>
            <w:noWrap w:val="0"/>
            <w:vAlign w:val="center"/>
          </w:tcPr>
          <w:p w14:paraId="01F40453">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12" w:space="0"/>
              <w:right w:val="single" w:color="auto" w:sz="4" w:space="0"/>
            </w:tcBorders>
            <w:noWrap w:val="0"/>
            <w:vAlign w:val="center"/>
          </w:tcPr>
          <w:p w14:paraId="40257FB5">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12" w:space="0"/>
              <w:right w:val="single" w:color="auto" w:sz="4" w:space="0"/>
            </w:tcBorders>
            <w:noWrap w:val="0"/>
            <w:vAlign w:val="center"/>
          </w:tcPr>
          <w:p w14:paraId="00790F96">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12" w:space="0"/>
              <w:right w:val="single" w:color="auto" w:sz="12" w:space="0"/>
            </w:tcBorders>
            <w:noWrap w:val="0"/>
            <w:vAlign w:val="center"/>
          </w:tcPr>
          <w:p w14:paraId="37FE2E4B">
            <w:pPr>
              <w:keepNext w:val="0"/>
              <w:keepLines w:val="0"/>
              <w:bidi w:val="0"/>
              <w:jc w:val="center"/>
              <w:rPr>
                <w:rFonts w:hint="eastAsia" w:ascii="宋体" w:hAnsi="宋体" w:eastAsia="宋体" w:cs="宋体"/>
                <w:color w:val="auto"/>
                <w:kern w:val="21"/>
                <w:szCs w:val="21"/>
                <w:highlight w:val="none"/>
              </w:rPr>
            </w:pPr>
          </w:p>
        </w:tc>
      </w:tr>
    </w:tbl>
    <w:p w14:paraId="70427B4C">
      <w:pPr>
        <w:pStyle w:val="6"/>
        <w:keepNext w:val="0"/>
        <w:keepLines w:val="0"/>
        <w:bidi w:val="0"/>
        <w:ind w:left="0"/>
        <w:rPr>
          <w:rFonts w:hint="eastAsia" w:ascii="宋体" w:hAnsi="宋体" w:eastAsia="宋体" w:cs="宋体"/>
          <w:color w:val="auto"/>
          <w:highlight w:val="none"/>
        </w:rPr>
      </w:pPr>
    </w:p>
    <w:p w14:paraId="7145DB07">
      <w:pPr>
        <w:rPr>
          <w:rFonts w:hint="eastAsia" w:ascii="宋体" w:hAnsi="宋体" w:eastAsia="宋体" w:cs="宋体"/>
        </w:rPr>
      </w:pPr>
    </w:p>
    <w:sectPr>
      <w:footerReference r:id="rId22" w:type="default"/>
      <w:pgSz w:w="16838" w:h="11905" w:orient="landscape"/>
      <w:pgMar w:top="1134" w:right="1134" w:bottom="1134" w:left="1134" w:header="882" w:footer="1219"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64E8B">
    <w:pPr>
      <w:pStyle w:val="15"/>
      <w:rPr>
        <w:rFonts w:hint="default" w:eastAsia="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D1712">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D3C413">
                          <w:pPr>
                            <w:pStyle w:val="15"/>
                          </w:pPr>
                          <w:r>
                            <w:fldChar w:fldCharType="begin"/>
                          </w:r>
                          <w:r>
                            <w:instrText xml:space="preserve"> PAGE  \* MERGEFORMAT </w:instrText>
                          </w:r>
                          <w:r>
                            <w:fldChar w:fldCharType="separate"/>
                          </w:r>
                          <w:r>
                            <w:t>105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75D3C413">
                    <w:pPr>
                      <w:pStyle w:val="15"/>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7891D">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89ADCF">
                          <w:pPr>
                            <w:pStyle w:val="15"/>
                          </w:pPr>
                          <w:r>
                            <w:fldChar w:fldCharType="begin"/>
                          </w:r>
                          <w:r>
                            <w:instrText xml:space="preserve"> PAGE  \* MERGEFORMAT </w:instrText>
                          </w:r>
                          <w:r>
                            <w:fldChar w:fldCharType="separate"/>
                          </w:r>
                          <w:r>
                            <w:t>137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0789ADCF">
                    <w:pPr>
                      <w:pStyle w:val="15"/>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3DD99">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EC72F0">
                          <w:pPr>
                            <w:pStyle w:val="15"/>
                          </w:pPr>
                          <w:r>
                            <w:fldChar w:fldCharType="begin"/>
                          </w:r>
                          <w:r>
                            <w:instrText xml:space="preserve"> PAGE  \* MERGEFORMAT </w:instrText>
                          </w:r>
                          <w:r>
                            <w:fldChar w:fldCharType="separate"/>
                          </w:r>
                          <w:r>
                            <w:t>144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74EC72F0">
                    <w:pPr>
                      <w:pStyle w:val="15"/>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A2A9E">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C0D360">
                          <w:pPr>
                            <w:pStyle w:val="15"/>
                          </w:pPr>
                          <w:r>
                            <w:fldChar w:fldCharType="begin"/>
                          </w:r>
                          <w:r>
                            <w:instrText xml:space="preserve"> PAGE  \* MERGEFORMAT </w:instrText>
                          </w:r>
                          <w:r>
                            <w:fldChar w:fldCharType="separate"/>
                          </w:r>
                          <w:r>
                            <w:t>145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29C0D360">
                    <w:pPr>
                      <w:pStyle w:val="15"/>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BE5F9">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DE2A1A">
                          <w:pPr>
                            <w:pStyle w:val="15"/>
                          </w:pPr>
                          <w:r>
                            <w:fldChar w:fldCharType="begin"/>
                          </w:r>
                          <w:r>
                            <w:instrText xml:space="preserve"> PAGE  \* MERGEFORMAT </w:instrText>
                          </w:r>
                          <w:r>
                            <w:fldChar w:fldCharType="separate"/>
                          </w:r>
                          <w:r>
                            <w:t>154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2ADE2A1A">
                    <w:pPr>
                      <w:pStyle w:val="15"/>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DC10E">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ABE842">
                          <w:pPr>
                            <w:pStyle w:val="15"/>
                          </w:pPr>
                          <w:r>
                            <w:fldChar w:fldCharType="begin"/>
                          </w:r>
                          <w:r>
                            <w:instrText xml:space="preserve"> PAGE  \* MERGEFORMAT </w:instrText>
                          </w:r>
                          <w:r>
                            <w:fldChar w:fldCharType="separate"/>
                          </w:r>
                          <w:r>
                            <w:t>158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1BABE842">
                    <w:pPr>
                      <w:pStyle w:val="15"/>
                    </w:pPr>
                    <w:r>
                      <w:fldChar w:fldCharType="begin"/>
                    </w:r>
                    <w:r>
                      <w:instrText xml:space="preserve"> PAGE  \* MERGEFORMAT </w:instrText>
                    </w:r>
                    <w:r>
                      <w:fldChar w:fldCharType="separate"/>
                    </w:r>
                    <w:r>
                      <w:t>158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60DB7">
    <w:pPr>
      <w:pStyle w:val="15"/>
      <w:jc w:val="cente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4B9DAD">
                          <w:pPr>
                            <w:pStyle w:val="15"/>
                          </w:pPr>
                          <w:r>
                            <w:fldChar w:fldCharType="begin"/>
                          </w:r>
                          <w:r>
                            <w:instrText xml:space="preserve"> PAGE  \* MERGEFORMAT </w:instrText>
                          </w:r>
                          <w:r>
                            <w:fldChar w:fldCharType="separate"/>
                          </w:r>
                          <w:r>
                            <w:t>162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C4B9DAD">
                    <w:pPr>
                      <w:pStyle w:val="15"/>
                    </w:pPr>
                    <w:r>
                      <w:fldChar w:fldCharType="begin"/>
                    </w:r>
                    <w:r>
                      <w:instrText xml:space="preserve"> PAGE  \* MERGEFORMAT </w:instrText>
                    </w:r>
                    <w:r>
                      <w:fldChar w:fldCharType="separate"/>
                    </w:r>
                    <w:r>
                      <w:t>162</w:t>
                    </w:r>
                    <w:r>
                      <w:fldChar w:fldCharType="end"/>
                    </w:r>
                  </w:p>
                </w:txbxContent>
              </v:textbox>
            </v:shape>
          </w:pict>
        </mc:Fallback>
      </mc:AlternateContent>
    </w:r>
  </w:p>
  <w:p w14:paraId="570F753C">
    <w:pPr>
      <w:pStyle w:val="15"/>
      <w:pBdr>
        <w:top w:val="none" w:color="000000" w:sz="0" w:space="0"/>
        <w:left w:val="none" w:color="auto" w:sz="0" w:space="4"/>
        <w:bottom w:val="none" w:color="auto" w:sz="0" w:space="1"/>
        <w:right w:val="none" w:color="auto" w:sz="0" w:space="4"/>
      </w:pBdr>
      <w:wordWrap w:val="0"/>
      <w:ind w:right="220"/>
      <w:jc w:val="right"/>
      <w:rPr>
        <w:sz w:val="2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4925C">
    <w:pPr>
      <w:widowControl w:val="0"/>
      <w:kinsoku w:val="0"/>
      <w:overflowPunct w:val="0"/>
      <w:autoSpaceDE w:val="0"/>
      <w:autoSpaceDN w:val="0"/>
      <w:adjustRightInd w:val="0"/>
      <w:spacing w:line="200" w:lineRule="exact"/>
      <w:jc w:val="left"/>
      <w:rPr>
        <w:rFonts w:eastAsia="Times New Roman"/>
        <w:sz w:val="20"/>
      </w:rPr>
    </w:pPr>
    <w:r>
      <w:rPr>
        <w:sz w:val="24"/>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A529AF">
                          <w:pPr>
                            <w:pStyle w:val="15"/>
                          </w:pPr>
                          <w:r>
                            <w:fldChar w:fldCharType="begin"/>
                          </w:r>
                          <w:r>
                            <w:instrText xml:space="preserve"> PAGE  \* MERGEFORMAT </w:instrText>
                          </w:r>
                          <w:r>
                            <w:fldChar w:fldCharType="separate"/>
                          </w:r>
                          <w:r>
                            <w:t>166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8A529AF">
                    <w:pPr>
                      <w:pStyle w:val="15"/>
                    </w:pPr>
                    <w:r>
                      <w:fldChar w:fldCharType="begin"/>
                    </w:r>
                    <w:r>
                      <w:instrText xml:space="preserve"> PAGE  \* MERGEFORMAT </w:instrText>
                    </w:r>
                    <w:r>
                      <w:fldChar w:fldCharType="separate"/>
                    </w:r>
                    <w:r>
                      <w:t>166</w:t>
                    </w:r>
                    <w:r>
                      <w:fldChar w:fldCharType="end"/>
                    </w:r>
                  </w:p>
                </w:txbxContent>
              </v:textbox>
            </v:shape>
          </w:pict>
        </mc:Fallback>
      </mc:AlternateContent>
    </w:r>
    <w:r>
      <w:rPr>
        <w:rFonts w:eastAsia="Times New Roman"/>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9780270</wp:posOffset>
              </wp:positionV>
              <wp:extent cx="224155" cy="1397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224155" cy="139700"/>
                      </a:xfrm>
                      <a:prstGeom prst="rect">
                        <a:avLst/>
                      </a:prstGeom>
                      <a:noFill/>
                      <a:ln>
                        <a:noFill/>
                      </a:ln>
                      <a:effectLst/>
                    </wps:spPr>
                    <wps:txbx>
                      <w:txbxContent>
                        <w:p w14:paraId="616494C4"/>
                      </w:txbxContent>
                    </wps:txbx>
                    <wps:bodyPr wrap="square" lIns="0" tIns="0" rIns="0" bIns="0" upright="1"/>
                  </wps:wsp>
                </a:graphicData>
              </a:graphic>
            </wp:anchor>
          </w:drawing>
        </mc:Choice>
        <mc:Fallback>
          <w:pict>
            <v:shape id="_x0000_s1026" o:spid="_x0000_s1026" o:spt="202" type="#_x0000_t202" style="position:absolute;left:0pt;margin-top:770.1pt;height:11pt;width:17.65pt;mso-position-horizontal:center;mso-position-horizontal-relative:margin;mso-position-vertical-relative:page;z-index:251659264;mso-width-relative:page;mso-height-relative:page;" filled="f" stroked="f" coordsize="21600,21600" o:gfxdata="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0KIvu9gAAAAJAQAADwAAAAAAAAABACAAAAAiAAAAZHJz&#10;L2Rvd25yZXYueG1sUEsBAhQAFAAAAAgAh07iQPeU41HLAQAAjwMAAA4AAAAAAAAAAQAgAAAAJwEA&#10;AGRycy9lMm9Eb2MueG1sUEsFBgAAAAAGAAYAWQEAAGQFAAAAAA==&#10;">
              <v:fill on="f" focussize="0,0"/>
              <v:stroke on="f"/>
              <v:imagedata o:title=""/>
              <o:lock v:ext="edit" aspectratio="f"/>
              <v:textbox inset="0mm,0mm,0mm,0mm">
                <w:txbxContent>
                  <w:p w14:paraId="616494C4"/>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BDD9A">
    <w:pPr>
      <w:pStyle w:val="15"/>
      <w:framePr w:wrap="around" w:vAnchor="text" w:hAnchor="margin" w:xAlign="center" w:y="1"/>
      <w:rPr>
        <w:rStyle w:val="24"/>
        <w:rFonts w:hint="eastAsia"/>
      </w:rPr>
    </w:pPr>
    <w:r>
      <w:fldChar w:fldCharType="begin"/>
    </w:r>
    <w:r>
      <w:rPr>
        <w:rStyle w:val="24"/>
        <w:rFonts w:hint="eastAsia"/>
      </w:rPr>
      <w:instrText xml:space="preserve">PAGE  </w:instrText>
    </w:r>
    <w:r>
      <w:fldChar w:fldCharType="end"/>
    </w:r>
  </w:p>
  <w:p w14:paraId="4EA25D95">
    <w:pPr>
      <w:pStyle w:val="15"/>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3BA0A">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DF3BF">
    <w:pPr>
      <w:widowControl w:val="0"/>
      <w:kinsoku w:val="0"/>
      <w:overflowPunct w:val="0"/>
      <w:autoSpaceDE w:val="0"/>
      <w:autoSpaceDN w:val="0"/>
      <w:adjustRightInd w:val="0"/>
      <w:spacing w:line="200" w:lineRule="exact"/>
      <w:jc w:val="left"/>
      <w:rPr>
        <w:rFonts w:eastAsia="Times New Roman"/>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64082">
    <w:pPr>
      <w:widowControl w:val="0"/>
      <w:kinsoku w:val="0"/>
      <w:overflowPunct w:val="0"/>
      <w:autoSpaceDE w:val="0"/>
      <w:autoSpaceDN w:val="0"/>
      <w:adjustRightInd w:val="0"/>
      <w:spacing w:line="200" w:lineRule="exact"/>
      <w:jc w:val="left"/>
      <w:rPr>
        <w:rFonts w:hint="eastAsia"/>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3654A3">
                          <w:pPr>
                            <w:pStyle w:val="1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043654A3">
                    <w:pPr>
                      <w:pStyle w:val="1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0"/>
      </w:rPr>
      <w:t>.</w:t>
    </w:r>
  </w:p>
  <w:p w14:paraId="1DDB5E41">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F8774">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F145CC">
                          <w:pPr>
                            <w:pStyle w:val="15"/>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5CF145CC">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C4864">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C32856">
                          <w:pPr>
                            <w:pStyle w:val="15"/>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31C32856">
                    <w:pPr>
                      <w:pStyle w:val="15"/>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B358D">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0303FF">
                          <w:pPr>
                            <w:pStyle w:val="15"/>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90303FF">
                    <w:pPr>
                      <w:pStyle w:val="15"/>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C6EA8">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DF0F89">
                          <w:pPr>
                            <w:pStyle w:val="15"/>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75DF0F89">
                    <w:pPr>
                      <w:pStyle w:val="15"/>
                    </w:pPr>
                    <w:r>
                      <w:fldChar w:fldCharType="begin"/>
                    </w:r>
                    <w:r>
                      <w:instrText xml:space="preserve"> PAGE  \* MERGEFORMAT </w:instrText>
                    </w:r>
                    <w:r>
                      <w:fldChar w:fldCharType="separate"/>
                    </w:r>
                    <w:r>
                      <w:t>84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01550">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24151">
    <w:pPr>
      <w:pStyle w:val="16"/>
      <w:pBdr>
        <w:bottom w:val="none" w:color="auto" w:sz="0" w:space="0"/>
      </w:pBdr>
      <w:tabs>
        <w:tab w:val="left" w:pos="2059"/>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0B793">
    <w:pPr>
      <w:widowControl w:val="0"/>
      <w:kinsoku w:val="0"/>
      <w:overflowPunct w:val="0"/>
      <w:autoSpaceDE w:val="0"/>
      <w:autoSpaceDN w:val="0"/>
      <w:adjustRightInd w:val="0"/>
      <w:spacing w:line="231" w:lineRule="exact"/>
      <w:ind w:left="20"/>
      <w:jc w:val="center"/>
      <w:rPr>
        <w:rFonts w:eastAsia="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E71052"/>
    <w:multiLevelType w:val="singleLevel"/>
    <w:tmpl w:val="81E71052"/>
    <w:lvl w:ilvl="0" w:tentative="0">
      <w:start w:val="1"/>
      <w:numFmt w:val="chineseCounting"/>
      <w:suff w:val="nothing"/>
      <w:lvlText w:val="%1、"/>
      <w:lvlJc w:val="left"/>
      <w:rPr>
        <w:rFonts w:hint="eastAsia"/>
      </w:rPr>
    </w:lvl>
  </w:abstractNum>
  <w:abstractNum w:abstractNumId="1">
    <w:nsid w:val="845B5372"/>
    <w:multiLevelType w:val="multilevel"/>
    <w:tmpl w:val="845B5372"/>
    <w:lvl w:ilvl="0" w:tentative="0">
      <w:start w:val="5"/>
      <w:numFmt w:val="decimal"/>
      <w:lvlText w:val="%1"/>
      <w:lvlJc w:val="left"/>
      <w:pPr>
        <w:ind w:left="1457" w:hanging="660"/>
      </w:pPr>
      <w:rPr>
        <w:rFonts w:hint="default"/>
        <w:lang w:val="en-US" w:eastAsia="zh-CN" w:bidi="ar-SA"/>
      </w:rPr>
    </w:lvl>
    <w:lvl w:ilvl="1" w:tentative="0">
      <w:start w:val="1"/>
      <w:numFmt w:val="decimal"/>
      <w:lvlText w:val="%1.%2"/>
      <w:lvlJc w:val="left"/>
      <w:pPr>
        <w:ind w:left="1457" w:hanging="660"/>
      </w:pPr>
      <w:rPr>
        <w:rFonts w:hint="default"/>
        <w:lang w:val="en-US" w:eastAsia="zh-CN" w:bidi="ar-SA"/>
      </w:rPr>
    </w:lvl>
    <w:lvl w:ilvl="2" w:tentative="0">
      <w:start w:val="2"/>
      <w:numFmt w:val="decimal"/>
      <w:lvlText w:val="%1.%2.%3"/>
      <w:lvlJc w:val="left"/>
      <w:pPr>
        <w:ind w:left="1457" w:hanging="660"/>
      </w:pPr>
      <w:rPr>
        <w:rFonts w:hint="default" w:ascii="宋体" w:hAnsi="宋体" w:eastAsia="宋体" w:cs="宋体"/>
        <w:b w:val="0"/>
        <w:bCs w:val="0"/>
        <w:i w:val="0"/>
        <w:iCs w:val="0"/>
        <w:spacing w:val="-1"/>
        <w:w w:val="100"/>
        <w:sz w:val="24"/>
        <w:szCs w:val="24"/>
        <w:lang w:val="en-US" w:eastAsia="zh-CN" w:bidi="ar-SA"/>
      </w:rPr>
    </w:lvl>
    <w:lvl w:ilvl="3" w:tentative="0">
      <w:start w:val="0"/>
      <w:numFmt w:val="bullet"/>
      <w:lvlText w:val="•"/>
      <w:lvlJc w:val="left"/>
      <w:pPr>
        <w:ind w:left="3957" w:hanging="660"/>
      </w:pPr>
      <w:rPr>
        <w:rFonts w:hint="default"/>
        <w:lang w:val="en-US" w:eastAsia="zh-CN" w:bidi="ar-SA"/>
      </w:rPr>
    </w:lvl>
    <w:lvl w:ilvl="4" w:tentative="0">
      <w:start w:val="0"/>
      <w:numFmt w:val="bullet"/>
      <w:lvlText w:val="•"/>
      <w:lvlJc w:val="left"/>
      <w:pPr>
        <w:ind w:left="4790" w:hanging="660"/>
      </w:pPr>
      <w:rPr>
        <w:rFonts w:hint="default"/>
        <w:lang w:val="en-US" w:eastAsia="zh-CN" w:bidi="ar-SA"/>
      </w:rPr>
    </w:lvl>
    <w:lvl w:ilvl="5" w:tentative="0">
      <w:start w:val="0"/>
      <w:numFmt w:val="bullet"/>
      <w:lvlText w:val="•"/>
      <w:lvlJc w:val="left"/>
      <w:pPr>
        <w:ind w:left="5623" w:hanging="660"/>
      </w:pPr>
      <w:rPr>
        <w:rFonts w:hint="default"/>
        <w:lang w:val="en-US" w:eastAsia="zh-CN" w:bidi="ar-SA"/>
      </w:rPr>
    </w:lvl>
    <w:lvl w:ilvl="6" w:tentative="0">
      <w:start w:val="0"/>
      <w:numFmt w:val="bullet"/>
      <w:lvlText w:val="•"/>
      <w:lvlJc w:val="left"/>
      <w:pPr>
        <w:ind w:left="6455" w:hanging="660"/>
      </w:pPr>
      <w:rPr>
        <w:rFonts w:hint="default"/>
        <w:lang w:val="en-US" w:eastAsia="zh-CN" w:bidi="ar-SA"/>
      </w:rPr>
    </w:lvl>
    <w:lvl w:ilvl="7" w:tentative="0">
      <w:start w:val="0"/>
      <w:numFmt w:val="bullet"/>
      <w:lvlText w:val="•"/>
      <w:lvlJc w:val="left"/>
      <w:pPr>
        <w:ind w:left="7288" w:hanging="660"/>
      </w:pPr>
      <w:rPr>
        <w:rFonts w:hint="default"/>
        <w:lang w:val="en-US" w:eastAsia="zh-CN" w:bidi="ar-SA"/>
      </w:rPr>
    </w:lvl>
    <w:lvl w:ilvl="8" w:tentative="0">
      <w:start w:val="0"/>
      <w:numFmt w:val="bullet"/>
      <w:lvlText w:val="•"/>
      <w:lvlJc w:val="left"/>
      <w:pPr>
        <w:ind w:left="8120" w:hanging="660"/>
      </w:pPr>
      <w:rPr>
        <w:rFonts w:hint="default"/>
        <w:lang w:val="en-US" w:eastAsia="zh-CN" w:bidi="ar-SA"/>
      </w:rPr>
    </w:lvl>
  </w:abstractNum>
  <w:abstractNum w:abstractNumId="2">
    <w:nsid w:val="BDA1395C"/>
    <w:multiLevelType w:val="multilevel"/>
    <w:tmpl w:val="BDA1395C"/>
    <w:lvl w:ilvl="0" w:tentative="0">
      <w:start w:val="1"/>
      <w:numFmt w:val="decimal"/>
      <w:lvlText w:val="（%1）"/>
      <w:lvlJc w:val="left"/>
      <w:pPr>
        <w:ind w:left="356" w:hanging="605"/>
      </w:pPr>
      <w:rPr>
        <w:rFonts w:hint="default" w:ascii="宋体" w:hAnsi="宋体" w:eastAsia="宋体" w:cs="宋体"/>
        <w:b w:val="0"/>
        <w:bCs w:val="0"/>
        <w:i w:val="0"/>
        <w:iCs w:val="0"/>
        <w:w w:val="100"/>
        <w:sz w:val="24"/>
        <w:szCs w:val="24"/>
        <w:lang w:val="en-US" w:eastAsia="zh-CN" w:bidi="ar-SA"/>
      </w:rPr>
    </w:lvl>
    <w:lvl w:ilvl="1" w:tentative="0">
      <w:start w:val="0"/>
      <w:numFmt w:val="bullet"/>
      <w:lvlText w:val="•"/>
      <w:lvlJc w:val="left"/>
      <w:pPr>
        <w:ind w:left="1302" w:hanging="605"/>
      </w:pPr>
      <w:rPr>
        <w:rFonts w:hint="default"/>
        <w:lang w:val="en-US" w:eastAsia="zh-CN" w:bidi="ar-SA"/>
      </w:rPr>
    </w:lvl>
    <w:lvl w:ilvl="2" w:tentative="0">
      <w:start w:val="0"/>
      <w:numFmt w:val="bullet"/>
      <w:lvlText w:val="•"/>
      <w:lvlJc w:val="left"/>
      <w:pPr>
        <w:ind w:left="2245" w:hanging="605"/>
      </w:pPr>
      <w:rPr>
        <w:rFonts w:hint="default"/>
        <w:lang w:val="en-US" w:eastAsia="zh-CN" w:bidi="ar-SA"/>
      </w:rPr>
    </w:lvl>
    <w:lvl w:ilvl="3" w:tentative="0">
      <w:start w:val="0"/>
      <w:numFmt w:val="bullet"/>
      <w:lvlText w:val="•"/>
      <w:lvlJc w:val="left"/>
      <w:pPr>
        <w:ind w:left="3187" w:hanging="605"/>
      </w:pPr>
      <w:rPr>
        <w:rFonts w:hint="default"/>
        <w:lang w:val="en-US" w:eastAsia="zh-CN" w:bidi="ar-SA"/>
      </w:rPr>
    </w:lvl>
    <w:lvl w:ilvl="4" w:tentative="0">
      <w:start w:val="0"/>
      <w:numFmt w:val="bullet"/>
      <w:lvlText w:val="•"/>
      <w:lvlJc w:val="left"/>
      <w:pPr>
        <w:ind w:left="4130" w:hanging="605"/>
      </w:pPr>
      <w:rPr>
        <w:rFonts w:hint="default"/>
        <w:lang w:val="en-US" w:eastAsia="zh-CN" w:bidi="ar-SA"/>
      </w:rPr>
    </w:lvl>
    <w:lvl w:ilvl="5" w:tentative="0">
      <w:start w:val="0"/>
      <w:numFmt w:val="bullet"/>
      <w:lvlText w:val="•"/>
      <w:lvlJc w:val="left"/>
      <w:pPr>
        <w:ind w:left="5073" w:hanging="605"/>
      </w:pPr>
      <w:rPr>
        <w:rFonts w:hint="default"/>
        <w:lang w:val="en-US" w:eastAsia="zh-CN" w:bidi="ar-SA"/>
      </w:rPr>
    </w:lvl>
    <w:lvl w:ilvl="6" w:tentative="0">
      <w:start w:val="0"/>
      <w:numFmt w:val="bullet"/>
      <w:lvlText w:val="•"/>
      <w:lvlJc w:val="left"/>
      <w:pPr>
        <w:ind w:left="6015" w:hanging="605"/>
      </w:pPr>
      <w:rPr>
        <w:rFonts w:hint="default"/>
        <w:lang w:val="en-US" w:eastAsia="zh-CN" w:bidi="ar-SA"/>
      </w:rPr>
    </w:lvl>
    <w:lvl w:ilvl="7" w:tentative="0">
      <w:start w:val="0"/>
      <w:numFmt w:val="bullet"/>
      <w:lvlText w:val="•"/>
      <w:lvlJc w:val="left"/>
      <w:pPr>
        <w:ind w:left="6958" w:hanging="605"/>
      </w:pPr>
      <w:rPr>
        <w:rFonts w:hint="default"/>
        <w:lang w:val="en-US" w:eastAsia="zh-CN" w:bidi="ar-SA"/>
      </w:rPr>
    </w:lvl>
    <w:lvl w:ilvl="8" w:tentative="0">
      <w:start w:val="0"/>
      <w:numFmt w:val="bullet"/>
      <w:lvlText w:val="•"/>
      <w:lvlJc w:val="left"/>
      <w:pPr>
        <w:ind w:left="7900" w:hanging="605"/>
      </w:pPr>
      <w:rPr>
        <w:rFonts w:hint="default"/>
        <w:lang w:val="en-US" w:eastAsia="zh-CN" w:bidi="ar-SA"/>
      </w:rPr>
    </w:lvl>
  </w:abstractNum>
  <w:abstractNum w:abstractNumId="3">
    <w:nsid w:val="C53A85A0"/>
    <w:multiLevelType w:val="multilevel"/>
    <w:tmpl w:val="C53A85A0"/>
    <w:lvl w:ilvl="0" w:tentative="0">
      <w:start w:val="10"/>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E54702F7"/>
    <w:multiLevelType w:val="multilevel"/>
    <w:tmpl w:val="E54702F7"/>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5">
    <w:nsid w:val="F4014036"/>
    <w:multiLevelType w:val="singleLevel"/>
    <w:tmpl w:val="F4014036"/>
    <w:lvl w:ilvl="0" w:tentative="0">
      <w:start w:val="1"/>
      <w:numFmt w:val="decimal"/>
      <w:suff w:val="space"/>
      <w:lvlText w:val="%1."/>
      <w:lvlJc w:val="left"/>
    </w:lvl>
  </w:abstractNum>
  <w:abstractNum w:abstractNumId="6">
    <w:nsid w:val="FA9C057D"/>
    <w:multiLevelType w:val="singleLevel"/>
    <w:tmpl w:val="FA9C057D"/>
    <w:lvl w:ilvl="0" w:tentative="0">
      <w:start w:val="4"/>
      <w:numFmt w:val="decimal"/>
      <w:suff w:val="space"/>
      <w:lvlText w:val="%1."/>
      <w:lvlJc w:val="left"/>
    </w:lvl>
  </w:abstractNum>
  <w:abstractNum w:abstractNumId="7">
    <w:nsid w:val="0A8D6867"/>
    <w:multiLevelType w:val="singleLevel"/>
    <w:tmpl w:val="0A8D6867"/>
    <w:lvl w:ilvl="0" w:tentative="0">
      <w:start w:val="3"/>
      <w:numFmt w:val="decimal"/>
      <w:lvlText w:val="(%1)"/>
      <w:lvlJc w:val="left"/>
      <w:pPr>
        <w:tabs>
          <w:tab w:val="left" w:pos="312"/>
        </w:tabs>
      </w:pPr>
    </w:lvl>
  </w:abstractNum>
  <w:abstractNum w:abstractNumId="8">
    <w:nsid w:val="322D85CA"/>
    <w:multiLevelType w:val="multilevel"/>
    <w:tmpl w:val="322D85CA"/>
    <w:lvl w:ilvl="0" w:tentative="0">
      <w:start w:val="1"/>
      <w:numFmt w:val="decimal"/>
      <w:lvlText w:val="（%1）"/>
      <w:lvlJc w:val="left"/>
      <w:pPr>
        <w:ind w:left="1510" w:hanging="551"/>
      </w:pPr>
      <w:rPr>
        <w:rFonts w:hint="default" w:ascii="宋体" w:hAnsi="宋体" w:eastAsia="宋体" w:cs="宋体"/>
        <w:b w:val="0"/>
        <w:bCs w:val="0"/>
        <w:i w:val="0"/>
        <w:iCs w:val="0"/>
        <w:spacing w:val="-3"/>
        <w:w w:val="100"/>
        <w:sz w:val="24"/>
        <w:szCs w:val="24"/>
        <w:lang w:val="en-US" w:eastAsia="zh-CN" w:bidi="ar-SA"/>
      </w:rPr>
    </w:lvl>
    <w:lvl w:ilvl="1" w:tentative="0">
      <w:start w:val="0"/>
      <w:numFmt w:val="bullet"/>
      <w:lvlText w:val="•"/>
      <w:lvlJc w:val="left"/>
      <w:pPr>
        <w:ind w:left="2346" w:hanging="551"/>
      </w:pPr>
      <w:rPr>
        <w:rFonts w:hint="default"/>
        <w:lang w:val="en-US" w:eastAsia="zh-CN" w:bidi="ar-SA"/>
      </w:rPr>
    </w:lvl>
    <w:lvl w:ilvl="2" w:tentative="0">
      <w:start w:val="0"/>
      <w:numFmt w:val="bullet"/>
      <w:lvlText w:val="•"/>
      <w:lvlJc w:val="left"/>
      <w:pPr>
        <w:ind w:left="3191" w:hanging="551"/>
      </w:pPr>
      <w:rPr>
        <w:rFonts w:hint="default"/>
        <w:lang w:val="en-US" w:eastAsia="zh-CN" w:bidi="ar-SA"/>
      </w:rPr>
    </w:lvl>
    <w:lvl w:ilvl="3" w:tentative="0">
      <w:start w:val="0"/>
      <w:numFmt w:val="bullet"/>
      <w:lvlText w:val="•"/>
      <w:lvlJc w:val="left"/>
      <w:pPr>
        <w:ind w:left="4035" w:hanging="551"/>
      </w:pPr>
      <w:rPr>
        <w:rFonts w:hint="default"/>
        <w:lang w:val="en-US" w:eastAsia="zh-CN" w:bidi="ar-SA"/>
      </w:rPr>
    </w:lvl>
    <w:lvl w:ilvl="4" w:tentative="0">
      <w:start w:val="0"/>
      <w:numFmt w:val="bullet"/>
      <w:lvlText w:val="•"/>
      <w:lvlJc w:val="left"/>
      <w:pPr>
        <w:ind w:left="4880" w:hanging="551"/>
      </w:pPr>
      <w:rPr>
        <w:rFonts w:hint="default"/>
        <w:lang w:val="en-US" w:eastAsia="zh-CN" w:bidi="ar-SA"/>
      </w:rPr>
    </w:lvl>
    <w:lvl w:ilvl="5" w:tentative="0">
      <w:start w:val="0"/>
      <w:numFmt w:val="bullet"/>
      <w:lvlText w:val="•"/>
      <w:lvlJc w:val="left"/>
      <w:pPr>
        <w:ind w:left="5725" w:hanging="551"/>
      </w:pPr>
      <w:rPr>
        <w:rFonts w:hint="default"/>
        <w:lang w:val="en-US" w:eastAsia="zh-CN" w:bidi="ar-SA"/>
      </w:rPr>
    </w:lvl>
    <w:lvl w:ilvl="6" w:tentative="0">
      <w:start w:val="0"/>
      <w:numFmt w:val="bullet"/>
      <w:lvlText w:val="•"/>
      <w:lvlJc w:val="left"/>
      <w:pPr>
        <w:ind w:left="6569" w:hanging="551"/>
      </w:pPr>
      <w:rPr>
        <w:rFonts w:hint="default"/>
        <w:lang w:val="en-US" w:eastAsia="zh-CN" w:bidi="ar-SA"/>
      </w:rPr>
    </w:lvl>
    <w:lvl w:ilvl="7" w:tentative="0">
      <w:start w:val="0"/>
      <w:numFmt w:val="bullet"/>
      <w:lvlText w:val="•"/>
      <w:lvlJc w:val="left"/>
      <w:pPr>
        <w:ind w:left="7414" w:hanging="551"/>
      </w:pPr>
      <w:rPr>
        <w:rFonts w:hint="default"/>
        <w:lang w:val="en-US" w:eastAsia="zh-CN" w:bidi="ar-SA"/>
      </w:rPr>
    </w:lvl>
    <w:lvl w:ilvl="8" w:tentative="0">
      <w:start w:val="0"/>
      <w:numFmt w:val="bullet"/>
      <w:lvlText w:val="•"/>
      <w:lvlJc w:val="left"/>
      <w:pPr>
        <w:ind w:left="8258" w:hanging="551"/>
      </w:pPr>
      <w:rPr>
        <w:rFonts w:hint="default"/>
        <w:lang w:val="en-US" w:eastAsia="zh-CN" w:bidi="ar-SA"/>
      </w:rPr>
    </w:lvl>
  </w:abstractNum>
  <w:abstractNum w:abstractNumId="9">
    <w:nsid w:val="37C89A17"/>
    <w:multiLevelType w:val="singleLevel"/>
    <w:tmpl w:val="37C89A17"/>
    <w:lvl w:ilvl="0" w:tentative="0">
      <w:start w:val="1"/>
      <w:numFmt w:val="chineseCounting"/>
      <w:suff w:val="nothing"/>
      <w:lvlText w:val="%1、"/>
      <w:lvlJc w:val="left"/>
      <w:rPr>
        <w:rFonts w:hint="eastAsia"/>
      </w:rPr>
    </w:lvl>
  </w:abstractNum>
  <w:num w:numId="1">
    <w:abstractNumId w:val="0"/>
  </w:num>
  <w:num w:numId="2">
    <w:abstractNumId w:val="3"/>
  </w:num>
  <w:num w:numId="3">
    <w:abstractNumId w:val="4"/>
  </w:num>
  <w:num w:numId="4">
    <w:abstractNumId w:val="1"/>
  </w:num>
  <w:num w:numId="5">
    <w:abstractNumId w:val="8"/>
  </w:num>
  <w:num w:numId="6">
    <w:abstractNumId w:val="7"/>
  </w:num>
  <w:num w:numId="7">
    <w:abstractNumId w:val="2"/>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CC63FB"/>
    <w:rsid w:val="04A516FF"/>
    <w:rsid w:val="04CC6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1" w:semiHidden="0" w:name="heading 8"/>
    <w:lsdException w:qFormat="1" w:unhideWhenUsed="0" w:uiPriority="9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99"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1"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99"/>
    <w:pPr>
      <w:widowControl w:val="0"/>
      <w:autoSpaceDE w:val="0"/>
      <w:autoSpaceDN w:val="0"/>
      <w:adjustRightInd w:val="0"/>
      <w:ind w:left="0"/>
      <w:jc w:val="center"/>
      <w:outlineLvl w:val="0"/>
    </w:pPr>
    <w:rPr>
      <w:rFonts w:hint="eastAsia" w:ascii="黑体" w:hAnsi="黑体" w:eastAsia="黑体"/>
      <w:b/>
      <w:sz w:val="56"/>
    </w:rPr>
  </w:style>
  <w:style w:type="paragraph" w:styleId="6">
    <w:name w:val="heading 4"/>
    <w:basedOn w:val="1"/>
    <w:qFormat/>
    <w:uiPriority w:val="99"/>
    <w:pPr>
      <w:widowControl w:val="0"/>
      <w:autoSpaceDE w:val="0"/>
      <w:autoSpaceDN w:val="0"/>
      <w:adjustRightInd w:val="0"/>
      <w:ind w:left="163"/>
      <w:jc w:val="left"/>
      <w:outlineLvl w:val="3"/>
    </w:pPr>
    <w:rPr>
      <w:rFonts w:hint="eastAsia" w:ascii="黑体" w:hAnsi="黑体" w:eastAsia="黑体"/>
      <w:b/>
      <w:sz w:val="28"/>
    </w:rPr>
  </w:style>
  <w:style w:type="paragraph" w:styleId="7">
    <w:name w:val="heading 5"/>
    <w:basedOn w:val="1"/>
    <w:next w:val="1"/>
    <w:qFormat/>
    <w:uiPriority w:val="99"/>
    <w:pPr>
      <w:widowControl w:val="0"/>
      <w:autoSpaceDE w:val="0"/>
      <w:autoSpaceDN w:val="0"/>
      <w:adjustRightInd w:val="0"/>
      <w:ind w:left="56"/>
      <w:jc w:val="left"/>
      <w:outlineLvl w:val="4"/>
    </w:pPr>
    <w:rPr>
      <w:rFonts w:hint="eastAsia" w:ascii="黑体" w:hAnsi="黑体" w:eastAsia="黑体"/>
      <w:sz w:val="40"/>
    </w:rPr>
  </w:style>
  <w:style w:type="paragraph" w:styleId="8">
    <w:name w:val="heading 6"/>
    <w:basedOn w:val="1"/>
    <w:next w:val="1"/>
    <w:qFormat/>
    <w:uiPriority w:val="99"/>
    <w:pPr>
      <w:widowControl w:val="0"/>
      <w:autoSpaceDE w:val="0"/>
      <w:autoSpaceDN w:val="0"/>
      <w:adjustRightInd w:val="0"/>
      <w:jc w:val="left"/>
      <w:outlineLvl w:val="5"/>
    </w:pPr>
    <w:rPr>
      <w:rFonts w:hint="eastAsia" w:ascii="黑体" w:hAnsi="黑体" w:eastAsia="黑体"/>
      <w:sz w:val="36"/>
    </w:rPr>
  </w:style>
  <w:style w:type="paragraph" w:styleId="9">
    <w:name w:val="heading 7"/>
    <w:basedOn w:val="1"/>
    <w:next w:val="1"/>
    <w:qFormat/>
    <w:uiPriority w:val="99"/>
    <w:pPr>
      <w:widowControl w:val="0"/>
      <w:autoSpaceDE w:val="0"/>
      <w:autoSpaceDN w:val="0"/>
      <w:adjustRightInd w:val="0"/>
      <w:jc w:val="left"/>
      <w:outlineLvl w:val="6"/>
    </w:pPr>
    <w:rPr>
      <w:rFonts w:hint="eastAsia" w:ascii="宋体" w:hAnsi="宋体"/>
      <w:sz w:val="32"/>
    </w:rPr>
  </w:style>
  <w:style w:type="paragraph" w:styleId="10">
    <w:name w:val="heading 8"/>
    <w:qFormat/>
    <w:uiPriority w:val="1"/>
    <w:pPr>
      <w:widowControl w:val="0"/>
      <w:autoSpaceDE w:val="0"/>
      <w:autoSpaceDN w:val="0"/>
      <w:adjustRightInd w:val="0"/>
      <w:ind w:left="115"/>
      <w:outlineLvl w:val="7"/>
    </w:pPr>
    <w:rPr>
      <w:rFonts w:hint="eastAsia" w:ascii="宋体" w:hAnsi="宋体" w:eastAsia="宋体" w:cs="Times New Roman"/>
      <w:sz w:val="28"/>
      <w:szCs w:val="24"/>
      <w:lang w:val="en-US" w:eastAsia="zh-CN" w:bidi="ar-SA"/>
    </w:rPr>
  </w:style>
  <w:style w:type="paragraph" w:styleId="11">
    <w:name w:val="heading 9"/>
    <w:basedOn w:val="1"/>
    <w:next w:val="1"/>
    <w:qFormat/>
    <w:uiPriority w:val="99"/>
    <w:pPr>
      <w:widowControl w:val="0"/>
      <w:autoSpaceDE w:val="0"/>
      <w:autoSpaceDN w:val="0"/>
      <w:adjustRightInd w:val="0"/>
      <w:jc w:val="left"/>
      <w:outlineLvl w:val="8"/>
    </w:pPr>
    <w:rPr>
      <w:rFonts w:hint="eastAsia" w:ascii="黑体" w:hAnsi="黑体" w:eastAsia="黑体"/>
      <w:sz w:val="30"/>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spacing w:after="120"/>
      <w:ind w:firstLine="420" w:firstLineChars="100"/>
    </w:pPr>
  </w:style>
  <w:style w:type="paragraph" w:styleId="3">
    <w:name w:val="Body Text"/>
    <w:basedOn w:val="1"/>
    <w:next w:val="4"/>
    <w:unhideWhenUsed/>
    <w:qFormat/>
    <w:uiPriority w:val="99"/>
    <w:pPr>
      <w:widowControl w:val="0"/>
      <w:autoSpaceDE w:val="0"/>
      <w:autoSpaceDN w:val="0"/>
      <w:adjustRightInd w:val="0"/>
      <w:ind w:left="149"/>
      <w:jc w:val="left"/>
    </w:pPr>
    <w:rPr>
      <w:rFonts w:hint="eastAsia" w:ascii="宋体" w:hAnsi="宋体"/>
      <w:sz w:val="24"/>
    </w:rPr>
  </w:style>
  <w:style w:type="paragraph" w:styleId="4">
    <w:name w:val="toc 5"/>
    <w:basedOn w:val="1"/>
    <w:next w:val="1"/>
    <w:qFormat/>
    <w:uiPriority w:val="1"/>
    <w:pPr>
      <w:ind w:left="840"/>
      <w:jc w:val="left"/>
    </w:pPr>
    <w:rPr>
      <w:sz w:val="18"/>
      <w:szCs w:val="18"/>
    </w:rPr>
  </w:style>
  <w:style w:type="paragraph" w:styleId="12">
    <w:name w:val="annotation text"/>
    <w:basedOn w:val="1"/>
    <w:next w:val="1"/>
    <w:qFormat/>
    <w:uiPriority w:val="0"/>
    <w:pPr>
      <w:jc w:val="left"/>
    </w:pPr>
  </w:style>
  <w:style w:type="paragraph" w:styleId="13">
    <w:name w:val="Body Text Indent"/>
    <w:basedOn w:val="1"/>
    <w:unhideWhenUsed/>
    <w:qFormat/>
    <w:uiPriority w:val="99"/>
    <w:pPr>
      <w:widowControl w:val="0"/>
      <w:autoSpaceDE w:val="0"/>
      <w:autoSpaceDN w:val="0"/>
      <w:adjustRightInd w:val="0"/>
      <w:spacing w:after="120"/>
      <w:ind w:left="420" w:leftChars="200"/>
      <w:jc w:val="left"/>
    </w:pPr>
    <w:rPr>
      <w:rFonts w:hint="eastAsia"/>
      <w:sz w:val="24"/>
    </w:rPr>
  </w:style>
  <w:style w:type="paragraph" w:styleId="14">
    <w:name w:val="Plain Text"/>
    <w:basedOn w:val="1"/>
    <w:qFormat/>
    <w:uiPriority w:val="0"/>
    <w:rPr>
      <w:rFonts w:ascii="宋体" w:hAnsi="Courier New"/>
      <w:szCs w:val="20"/>
    </w:rPr>
  </w:style>
  <w:style w:type="paragraph" w:styleId="15">
    <w:name w:val="footer"/>
    <w:basedOn w:val="1"/>
    <w:unhideWhenUsed/>
    <w:qFormat/>
    <w:uiPriority w:val="99"/>
    <w:pPr>
      <w:widowControl w:val="0"/>
      <w:tabs>
        <w:tab w:val="center" w:pos="4153"/>
        <w:tab w:val="right" w:pos="8306"/>
      </w:tabs>
      <w:autoSpaceDE w:val="0"/>
      <w:autoSpaceDN w:val="0"/>
      <w:adjustRightInd w:val="0"/>
      <w:snapToGrid w:val="0"/>
      <w:jc w:val="left"/>
    </w:pPr>
    <w:rPr>
      <w:rFonts w:hint="eastAsia"/>
      <w:sz w:val="18"/>
    </w:rPr>
  </w:style>
  <w:style w:type="paragraph" w:styleId="1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unhideWhenUsed/>
    <w:qFormat/>
    <w:uiPriority w:val="99"/>
    <w:pPr>
      <w:widowControl w:val="0"/>
      <w:tabs>
        <w:tab w:val="right" w:pos="2800"/>
        <w:tab w:val="right" w:leader="dot" w:pos="9087"/>
      </w:tabs>
      <w:spacing w:line="360" w:lineRule="auto"/>
      <w:jc w:val="left"/>
      <w:textAlignment w:val="top"/>
    </w:pPr>
    <w:rPr>
      <w:rFonts w:hint="eastAsia" w:ascii="Calibri" w:hAnsi="Calibri"/>
      <w:sz w:val="24"/>
    </w:rPr>
  </w:style>
  <w:style w:type="paragraph" w:styleId="18">
    <w:name w:val="footnote text"/>
    <w:basedOn w:val="1"/>
    <w:unhideWhenUsed/>
    <w:qFormat/>
    <w:uiPriority w:val="99"/>
    <w:pPr>
      <w:widowControl w:val="0"/>
      <w:autoSpaceDE w:val="0"/>
      <w:autoSpaceDN w:val="0"/>
      <w:adjustRightInd w:val="0"/>
      <w:snapToGrid w:val="0"/>
      <w:jc w:val="left"/>
    </w:pPr>
    <w:rPr>
      <w:rFonts w:hint="eastAsia"/>
      <w:sz w:val="18"/>
    </w:rPr>
  </w:style>
  <w:style w:type="paragraph" w:styleId="19">
    <w:name w:val="Body Text 2"/>
    <w:basedOn w:val="1"/>
    <w:qFormat/>
    <w:uiPriority w:val="0"/>
    <w:pPr>
      <w:spacing w:line="500" w:lineRule="exact"/>
    </w:pPr>
    <w:rPr>
      <w:rFonts w:ascii="宋体"/>
      <w:sz w:val="24"/>
    </w:rPr>
  </w:style>
  <w:style w:type="paragraph" w:styleId="20">
    <w:name w:val="Normal (Web)"/>
    <w:basedOn w:val="1"/>
    <w:unhideWhenUsed/>
    <w:qFormat/>
    <w:uiPriority w:val="99"/>
    <w:pPr>
      <w:widowControl w:val="0"/>
      <w:autoSpaceDE w:val="0"/>
      <w:autoSpaceDN w:val="0"/>
      <w:adjustRightInd w:val="0"/>
      <w:jc w:val="left"/>
    </w:pPr>
    <w:rPr>
      <w:rFonts w:hint="eastAsia"/>
      <w:sz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unhideWhenUsed/>
    <w:qFormat/>
    <w:uiPriority w:val="99"/>
    <w:rPr>
      <w:rFonts w:hint="default" w:ascii="Times New Roman" w:hAnsi="Times New Roman" w:eastAsia="宋体"/>
      <w:sz w:val="24"/>
    </w:rPr>
  </w:style>
  <w:style w:type="character" w:styleId="25">
    <w:name w:val="Hyperlink"/>
    <w:qFormat/>
    <w:uiPriority w:val="0"/>
    <w:rPr>
      <w:color w:val="000000"/>
      <w:u w:val="none"/>
    </w:rPr>
  </w:style>
  <w:style w:type="paragraph" w:customStyle="1" w:styleId="26">
    <w:name w:val="Normal Indent1"/>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27">
    <w:name w:val="样式 宋体 行距: 1.5 倍行距"/>
    <w:basedOn w:val="28"/>
    <w:next w:val="1"/>
    <w:unhideWhenUsed/>
    <w:qFormat/>
    <w:uiPriority w:val="99"/>
    <w:pPr>
      <w:widowControl w:val="0"/>
      <w:autoSpaceDE w:val="0"/>
      <w:autoSpaceDN w:val="0"/>
      <w:adjustRightInd w:val="0"/>
      <w:jc w:val="center"/>
    </w:pPr>
    <w:rPr>
      <w:rFonts w:hint="eastAsia"/>
      <w:b/>
      <w:sz w:val="24"/>
    </w:rPr>
  </w:style>
  <w:style w:type="paragraph" w:customStyle="1" w:styleId="2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7"/>
    <w:qFormat/>
    <w:uiPriority w:val="0"/>
    <w:pPr>
      <w:widowControl w:val="0"/>
      <w:jc w:val="both"/>
    </w:pPr>
    <w:rPr>
      <w:rFonts w:ascii="Calibri" w:hAnsi="Calibri" w:eastAsia="宋体" w:cs="黑体"/>
      <w:kern w:val="2"/>
      <w:sz w:val="21"/>
      <w:szCs w:val="24"/>
      <w:lang w:val="en-US" w:eastAsia="zh-CN" w:bidi="ar-SA"/>
    </w:rPr>
  </w:style>
  <w:style w:type="paragraph" w:customStyle="1" w:styleId="29">
    <w:name w:val="正文 New New New"/>
    <w:unhideWhenUsed/>
    <w:qFormat/>
    <w:uiPriority w:val="99"/>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30">
    <w:name w:val="Table Paragraph"/>
    <w:basedOn w:val="1"/>
    <w:unhideWhenUsed/>
    <w:qFormat/>
    <w:uiPriority w:val="99"/>
    <w:pPr>
      <w:widowControl w:val="0"/>
      <w:autoSpaceDE w:val="0"/>
      <w:autoSpaceDN w:val="0"/>
      <w:adjustRightInd w:val="0"/>
      <w:jc w:val="left"/>
    </w:pPr>
    <w:rPr>
      <w:rFonts w:hint="eastAsia"/>
      <w:sz w:val="24"/>
    </w:rPr>
  </w:style>
  <w:style w:type="paragraph" w:customStyle="1" w:styleId="31">
    <w:name w:val="Table Text"/>
    <w:basedOn w:val="1"/>
    <w:semiHidden/>
    <w:qFormat/>
    <w:uiPriority w:val="0"/>
    <w:rPr>
      <w:rFonts w:ascii="宋体" w:hAnsi="宋体" w:eastAsia="宋体" w:cs="宋体"/>
      <w:sz w:val="20"/>
      <w:szCs w:val="20"/>
      <w:lang w:val="en-US" w:eastAsia="en-US" w:bidi="ar-SA"/>
    </w:rPr>
  </w:style>
  <w:style w:type="paragraph" w:customStyle="1" w:styleId="32">
    <w:name w:val="表格内容"/>
    <w:basedOn w:val="33"/>
    <w:unhideWhenUsed/>
    <w:qFormat/>
    <w:uiPriority w:val="99"/>
    <w:pPr>
      <w:ind w:firstLine="0" w:firstLineChars="0"/>
      <w:jc w:val="center"/>
    </w:pPr>
    <w:rPr>
      <w:rFonts w:hint="eastAsia"/>
      <w:sz w:val="24"/>
    </w:rPr>
  </w:style>
  <w:style w:type="paragraph" w:customStyle="1" w:styleId="33">
    <w:name w:val="招标正文"/>
    <w:basedOn w:val="1"/>
    <w:unhideWhenUsed/>
    <w:qFormat/>
    <w:uiPriority w:val="99"/>
    <w:pPr>
      <w:widowControl w:val="0"/>
      <w:autoSpaceDE w:val="0"/>
      <w:autoSpaceDN w:val="0"/>
      <w:adjustRightInd w:val="0"/>
      <w:ind w:firstLine="480" w:firstLineChars="200"/>
      <w:jc w:val="left"/>
    </w:pPr>
    <w:rPr>
      <w:rFonts w:hint="eastAsia"/>
      <w:sz w:val="24"/>
    </w:rPr>
  </w:style>
  <w:style w:type="paragraph" w:customStyle="1" w:styleId="34">
    <w:name w:val="Normal Indent"/>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35">
    <w:name w:val="正文正"/>
    <w:basedOn w:val="1"/>
    <w:unhideWhenUsed/>
    <w:qFormat/>
    <w:uiPriority w:val="99"/>
    <w:pPr>
      <w:widowControl w:val="0"/>
      <w:autoSpaceDE w:val="0"/>
      <w:autoSpaceDN w:val="0"/>
      <w:adjustRightInd w:val="0"/>
      <w:spacing w:line="560" w:lineRule="exact"/>
      <w:ind w:firstLine="561"/>
      <w:jc w:val="left"/>
    </w:pPr>
    <w:rPr>
      <w:rFonts w:hint="eastAsia" w:ascii="Calibri" w:hAnsi="Calibri"/>
      <w:sz w:val="28"/>
    </w:rPr>
  </w:style>
  <w:style w:type="paragraph" w:customStyle="1" w:styleId="36">
    <w:name w:val="表格正文-DDDDD"/>
    <w:basedOn w:val="1"/>
    <w:unhideWhenUsed/>
    <w:qFormat/>
    <w:uiPriority w:val="99"/>
    <w:pPr>
      <w:widowControl w:val="0"/>
      <w:autoSpaceDE w:val="0"/>
      <w:autoSpaceDN w:val="0"/>
      <w:adjustRightInd w:val="0"/>
      <w:spacing w:line="300" w:lineRule="exact"/>
      <w:jc w:val="center"/>
    </w:pPr>
    <w:rPr>
      <w:rFonts w:hint="default" w:eastAsia="Times New Roman"/>
      <w:sz w:val="24"/>
    </w:rPr>
  </w:style>
  <w:style w:type="paragraph" w:customStyle="1" w:styleId="37">
    <w:name w:val="表中"/>
    <w:basedOn w:val="1"/>
    <w:unhideWhenUsed/>
    <w:qFormat/>
    <w:uiPriority w:val="99"/>
    <w:pPr>
      <w:widowControl w:val="0"/>
      <w:autoSpaceDE w:val="0"/>
      <w:autoSpaceDN w:val="0"/>
      <w:adjustRightInd w:val="0"/>
      <w:spacing w:line="360" w:lineRule="atLeast"/>
      <w:jc w:val="center"/>
      <w:textAlignment w:val="baseline"/>
    </w:pPr>
    <w:rPr>
      <w:rFonts w:hint="eastAsia"/>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179</Pages>
  <Words>7833</Words>
  <Characters>9525</Characters>
  <Lines>0</Lines>
  <Paragraphs>0</Paragraphs>
  <TotalTime>0</TotalTime>
  <ScaleCrop>false</ScaleCrop>
  <LinksUpToDate>false</LinksUpToDate>
  <CharactersWithSpaces>9535</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2025-10-27T08:34:00Z</dcterms:created>
  <dc:creator>明正</dc:creator>
  <cp:lastModifiedBy>明正</cp:lastModifiedBy>
  <dcterms:modified xsi:type="dcterms:W3CDTF">2025-10-27T08:39:11Z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363E1A75B6AE4B61976AF288E70B4E9E_11</vt:lpwstr>
  </property>
  <property fmtid="{D5CDD505-2E9C-101B-9397-08002B2CF9AE}" pid="4" name="KSOTemplateDocerSaveRecord">
    <vt:lpwstr>eyJoZGlkIjoiY2ZiMzI0MGUwZmU4OTk2OGQwYTNlYmNmYzRlNTVkMmIiLCJ1c2VySWQiOiIzMjI4NDYzOTkifQ==</vt:lpwstr>
  </property>
</Properties>
</file>