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B31D47">
      <w:pPr>
        <w:spacing w:line="800" w:lineRule="exact"/>
        <w:jc w:val="center"/>
        <w:rPr>
          <w:rFonts w:hint="eastAsia" w:asciiTheme="minorEastAsia" w:hAnsiTheme="minorEastAsia" w:eastAsiaTheme="minorEastAsia" w:cstheme="minorEastAsia"/>
          <w:b/>
          <w:color w:val="auto"/>
          <w:sz w:val="44"/>
          <w:szCs w:val="44"/>
          <w:highlight w:val="none"/>
          <w:lang w:eastAsia="zh-CN"/>
        </w:rPr>
      </w:pPr>
      <w:r>
        <w:rPr>
          <w:rFonts w:hint="eastAsia" w:asciiTheme="minorEastAsia" w:hAnsiTheme="minorEastAsia" w:eastAsiaTheme="minorEastAsia" w:cstheme="minorEastAsia"/>
          <w:b/>
          <w:color w:val="auto"/>
          <w:sz w:val="32"/>
          <w:szCs w:val="32"/>
          <w:highlight w:val="none"/>
          <w:lang w:val="en-US" w:eastAsia="zh-CN"/>
        </w:rPr>
        <w:t xml:space="preserve"> </w:t>
      </w:r>
      <w:r>
        <w:rPr>
          <w:rFonts w:hint="eastAsia" w:asciiTheme="minorEastAsia" w:hAnsiTheme="minorEastAsia" w:eastAsiaTheme="minorEastAsia" w:cstheme="minorEastAsia"/>
          <w:b/>
          <w:color w:val="auto"/>
          <w:sz w:val="32"/>
          <w:szCs w:val="32"/>
          <w:highlight w:val="none"/>
          <w:lang w:val="en-US" w:eastAsia="zh-CN"/>
        </w:rPr>
        <w:tab/>
      </w:r>
      <w:r>
        <w:rPr>
          <w:rFonts w:hint="eastAsia" w:asciiTheme="minorEastAsia" w:hAnsiTheme="minorEastAsia" w:eastAsiaTheme="minorEastAsia" w:cstheme="minorEastAsia"/>
          <w:b/>
          <w:color w:val="auto"/>
          <w:sz w:val="44"/>
          <w:szCs w:val="44"/>
          <w:highlight w:val="none"/>
          <w:lang w:eastAsia="zh-CN"/>
        </w:rPr>
        <w:t>始兴县A级景区旅游基础设施建设项目-</w:t>
      </w:r>
    </w:p>
    <w:p w14:paraId="22FF6736">
      <w:pPr>
        <w:spacing w:line="360" w:lineRule="auto"/>
        <w:jc w:val="center"/>
        <w:rPr>
          <w:rFonts w:hint="eastAsia" w:asciiTheme="minorEastAsia" w:hAnsiTheme="minorEastAsia" w:eastAsiaTheme="minorEastAsia" w:cstheme="minorEastAsia"/>
          <w:b/>
          <w:color w:val="auto"/>
          <w:sz w:val="44"/>
          <w:szCs w:val="44"/>
          <w:highlight w:val="none"/>
          <w:lang w:eastAsia="zh-CN"/>
        </w:rPr>
      </w:pPr>
      <w:r>
        <w:rPr>
          <w:rFonts w:hint="eastAsia" w:asciiTheme="minorEastAsia" w:hAnsiTheme="minorEastAsia" w:eastAsiaTheme="minorEastAsia" w:cstheme="minorEastAsia"/>
          <w:b/>
          <w:color w:val="auto"/>
          <w:sz w:val="44"/>
          <w:szCs w:val="44"/>
          <w:highlight w:val="none"/>
          <w:lang w:eastAsia="zh-CN"/>
        </w:rPr>
        <w:t>“东湖听禅”景区旅游基础设施建设项目</w:t>
      </w:r>
    </w:p>
    <w:p w14:paraId="2B5BB0CA">
      <w:pPr>
        <w:spacing w:line="360" w:lineRule="auto"/>
        <w:jc w:val="center"/>
        <w:rPr>
          <w:rFonts w:hint="eastAsia" w:asciiTheme="minorEastAsia" w:hAnsiTheme="minorEastAsia" w:eastAsiaTheme="minorEastAsia" w:cstheme="minorEastAsia"/>
          <w:b/>
          <w:color w:val="auto"/>
          <w:sz w:val="44"/>
          <w:szCs w:val="44"/>
          <w:highlight w:val="none"/>
        </w:rPr>
      </w:pPr>
      <w:r>
        <w:rPr>
          <w:rFonts w:hint="eastAsia" w:asciiTheme="minorEastAsia" w:hAnsiTheme="minorEastAsia" w:eastAsiaTheme="minorEastAsia" w:cstheme="minorEastAsia"/>
          <w:b/>
          <w:bCs w:val="0"/>
          <w:color w:val="auto"/>
          <w:sz w:val="44"/>
          <w:szCs w:val="44"/>
          <w:highlight w:val="none"/>
          <w:lang w:eastAsia="zh-CN"/>
        </w:rPr>
        <w:t>设计、施工总承包</w:t>
      </w:r>
    </w:p>
    <w:p w14:paraId="4D830C1C">
      <w:pPr>
        <w:spacing w:line="360" w:lineRule="auto"/>
        <w:rPr>
          <w:rFonts w:hint="eastAsia" w:asciiTheme="minorEastAsia" w:hAnsiTheme="minorEastAsia" w:eastAsiaTheme="minorEastAsia" w:cstheme="minorEastAsia"/>
          <w:b/>
          <w:color w:val="auto"/>
          <w:highlight w:val="none"/>
        </w:rPr>
      </w:pPr>
    </w:p>
    <w:p w14:paraId="4B18280B">
      <w:pPr>
        <w:pStyle w:val="8"/>
        <w:rPr>
          <w:rFonts w:hint="eastAsia" w:asciiTheme="minorEastAsia" w:hAnsiTheme="minorEastAsia" w:eastAsiaTheme="minorEastAsia" w:cstheme="minorEastAsia"/>
          <w:color w:val="auto"/>
          <w:highlight w:val="none"/>
        </w:rPr>
      </w:pPr>
    </w:p>
    <w:p w14:paraId="38968BCF">
      <w:pPr>
        <w:pStyle w:val="8"/>
        <w:rPr>
          <w:rFonts w:hint="eastAsia" w:asciiTheme="minorEastAsia" w:hAnsiTheme="minorEastAsia" w:eastAsiaTheme="minorEastAsia" w:cstheme="minorEastAsia"/>
          <w:color w:val="auto"/>
          <w:highlight w:val="none"/>
        </w:rPr>
      </w:pPr>
    </w:p>
    <w:p w14:paraId="3EDB7EF0">
      <w:pPr>
        <w:rPr>
          <w:rFonts w:hint="eastAsia" w:asciiTheme="minorEastAsia" w:hAnsiTheme="minorEastAsia" w:eastAsiaTheme="minorEastAsia" w:cstheme="minorEastAsia"/>
          <w:color w:val="auto"/>
          <w:highlight w:val="none"/>
        </w:rPr>
      </w:pPr>
    </w:p>
    <w:p w14:paraId="73818AD7">
      <w:pPr>
        <w:pStyle w:val="2"/>
        <w:rPr>
          <w:rFonts w:hint="eastAsia"/>
          <w:color w:val="auto"/>
          <w:highlight w:val="none"/>
        </w:rPr>
      </w:pPr>
    </w:p>
    <w:p w14:paraId="1D7A4145">
      <w:pPr>
        <w:pStyle w:val="25"/>
        <w:spacing w:line="360" w:lineRule="auto"/>
        <w:jc w:val="center"/>
        <w:rPr>
          <w:rFonts w:hint="eastAsia" w:asciiTheme="minorEastAsia" w:hAnsiTheme="minorEastAsia" w:eastAsiaTheme="minorEastAsia" w:cstheme="minorEastAsia"/>
          <w:b/>
          <w:bCs/>
          <w:color w:val="auto"/>
          <w:spacing w:val="26"/>
          <w:sz w:val="84"/>
          <w:szCs w:val="84"/>
          <w:highlight w:val="none"/>
        </w:rPr>
      </w:pPr>
      <w:r>
        <w:rPr>
          <w:rFonts w:hint="eastAsia" w:asciiTheme="minorEastAsia" w:hAnsiTheme="minorEastAsia" w:eastAsiaTheme="minorEastAsia" w:cstheme="minorEastAsia"/>
          <w:b/>
          <w:bCs/>
          <w:color w:val="auto"/>
          <w:spacing w:val="26"/>
          <w:sz w:val="84"/>
          <w:szCs w:val="84"/>
          <w:highlight w:val="none"/>
        </w:rPr>
        <w:t>招标文件</w:t>
      </w:r>
    </w:p>
    <w:p w14:paraId="79C2433C">
      <w:pPr>
        <w:spacing w:line="360" w:lineRule="auto"/>
        <w:ind w:left="240" w:leftChars="100"/>
        <w:jc w:val="center"/>
        <w:rPr>
          <w:rFonts w:hint="eastAsia" w:asciiTheme="minorEastAsia" w:hAnsiTheme="minorEastAsia" w:eastAsiaTheme="minorEastAsia" w:cstheme="minorEastAsia"/>
          <w:b/>
          <w:color w:val="auto"/>
          <w:sz w:val="32"/>
          <w:szCs w:val="32"/>
          <w:highlight w:val="none"/>
        </w:rPr>
      </w:pPr>
    </w:p>
    <w:tbl>
      <w:tblPr>
        <w:tblStyle w:val="22"/>
        <w:tblpPr w:leftFromText="180" w:rightFromText="180" w:vertAnchor="text" w:horzAnchor="page" w:tblpX="1010" w:tblpY="1033"/>
        <w:tblW w:w="9979" w:type="dxa"/>
        <w:tblInd w:w="0" w:type="dxa"/>
        <w:tblLayout w:type="fixed"/>
        <w:tblCellMar>
          <w:top w:w="0" w:type="dxa"/>
          <w:left w:w="0" w:type="dxa"/>
          <w:bottom w:w="0" w:type="dxa"/>
          <w:right w:w="0" w:type="dxa"/>
        </w:tblCellMar>
      </w:tblPr>
      <w:tblGrid>
        <w:gridCol w:w="4757"/>
        <w:gridCol w:w="5222"/>
      </w:tblGrid>
      <w:tr w14:paraId="2FD6295D">
        <w:tblPrEx>
          <w:tblCellMar>
            <w:top w:w="0" w:type="dxa"/>
            <w:left w:w="0" w:type="dxa"/>
            <w:bottom w:w="0" w:type="dxa"/>
            <w:right w:w="0" w:type="dxa"/>
          </w:tblCellMar>
        </w:tblPrEx>
        <w:trPr>
          <w:trHeight w:val="789" w:hRule="atLeast"/>
        </w:trPr>
        <w:tc>
          <w:tcPr>
            <w:tcW w:w="4757" w:type="dxa"/>
            <w:noWrap/>
            <w:vAlign w:val="center"/>
          </w:tcPr>
          <w:p w14:paraId="39E76F57">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   标   人（盖单位章）：</w:t>
            </w:r>
          </w:p>
        </w:tc>
        <w:tc>
          <w:tcPr>
            <w:tcW w:w="5222" w:type="dxa"/>
            <w:noWrap/>
            <w:vAlign w:val="center"/>
          </w:tcPr>
          <w:p w14:paraId="29FD034E">
            <w:pPr>
              <w:pStyle w:val="26"/>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lang w:eastAsia="zh-CN"/>
              </w:rPr>
              <w:t>始兴县文化广电旅游体育局</w:t>
            </w:r>
          </w:p>
        </w:tc>
      </w:tr>
      <w:tr w14:paraId="136C192E">
        <w:tblPrEx>
          <w:tblCellMar>
            <w:top w:w="0" w:type="dxa"/>
            <w:left w:w="0" w:type="dxa"/>
            <w:bottom w:w="0" w:type="dxa"/>
            <w:right w:w="0" w:type="dxa"/>
          </w:tblCellMar>
        </w:tblPrEx>
        <w:trPr>
          <w:trHeight w:val="789" w:hRule="atLeast"/>
        </w:trPr>
        <w:tc>
          <w:tcPr>
            <w:tcW w:w="4757" w:type="dxa"/>
            <w:noWrap/>
            <w:vAlign w:val="center"/>
          </w:tcPr>
          <w:p w14:paraId="7FD87878">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招标人工作领导小组负责人（签字）：</w:t>
            </w:r>
          </w:p>
        </w:tc>
        <w:tc>
          <w:tcPr>
            <w:tcW w:w="5222" w:type="dxa"/>
            <w:noWrap/>
            <w:vAlign w:val="center"/>
          </w:tcPr>
          <w:p w14:paraId="31964FD1">
            <w:pPr>
              <w:pStyle w:val="26"/>
              <w:rPr>
                <w:rFonts w:hint="eastAsia" w:asciiTheme="minorEastAsia" w:hAnsiTheme="minorEastAsia" w:eastAsiaTheme="minorEastAsia" w:cstheme="minorEastAsia"/>
                <w:color w:val="auto"/>
                <w:sz w:val="28"/>
                <w:szCs w:val="28"/>
                <w:highlight w:val="none"/>
              </w:rPr>
            </w:pPr>
          </w:p>
        </w:tc>
      </w:tr>
      <w:tr w14:paraId="2ED622BB">
        <w:tblPrEx>
          <w:tblCellMar>
            <w:top w:w="0" w:type="dxa"/>
            <w:left w:w="0" w:type="dxa"/>
            <w:bottom w:w="0" w:type="dxa"/>
            <w:right w:w="0" w:type="dxa"/>
          </w:tblCellMar>
        </w:tblPrEx>
        <w:trPr>
          <w:trHeight w:val="789" w:hRule="atLeast"/>
        </w:trPr>
        <w:tc>
          <w:tcPr>
            <w:tcW w:w="4757" w:type="dxa"/>
            <w:noWrap/>
            <w:vAlign w:val="center"/>
          </w:tcPr>
          <w:p w14:paraId="1D46E07A">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 标 代 理 机 构 （盖章）：</w:t>
            </w:r>
          </w:p>
        </w:tc>
        <w:tc>
          <w:tcPr>
            <w:tcW w:w="5222" w:type="dxa"/>
            <w:noWrap/>
            <w:vAlign w:val="center"/>
          </w:tcPr>
          <w:p w14:paraId="4B1088F4">
            <w:pPr>
              <w:pStyle w:val="26"/>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snapToGrid w:val="0"/>
                <w:color w:val="auto"/>
                <w:kern w:val="0"/>
                <w:sz w:val="28"/>
                <w:szCs w:val="28"/>
                <w:highlight w:val="none"/>
                <w:lang w:eastAsia="zh-CN"/>
              </w:rPr>
              <w:t>韶关市诚智工程管理咨询有限公司</w:t>
            </w:r>
          </w:p>
        </w:tc>
      </w:tr>
      <w:tr w14:paraId="50708B5C">
        <w:tblPrEx>
          <w:tblCellMar>
            <w:top w:w="0" w:type="dxa"/>
            <w:left w:w="0" w:type="dxa"/>
            <w:bottom w:w="0" w:type="dxa"/>
            <w:right w:w="0" w:type="dxa"/>
          </w:tblCellMar>
        </w:tblPrEx>
        <w:trPr>
          <w:trHeight w:val="789" w:hRule="atLeast"/>
        </w:trPr>
        <w:tc>
          <w:tcPr>
            <w:tcW w:w="4757" w:type="dxa"/>
            <w:noWrap/>
            <w:vAlign w:val="center"/>
          </w:tcPr>
          <w:p w14:paraId="4A352288">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招标文件编制人（签字）：</w:t>
            </w:r>
          </w:p>
        </w:tc>
        <w:tc>
          <w:tcPr>
            <w:tcW w:w="5222" w:type="dxa"/>
            <w:noWrap/>
            <w:vAlign w:val="center"/>
          </w:tcPr>
          <w:p w14:paraId="7FFE9DA1">
            <w:pPr>
              <w:pStyle w:val="26"/>
              <w:rPr>
                <w:rFonts w:hint="eastAsia" w:asciiTheme="minorEastAsia" w:hAnsiTheme="minorEastAsia" w:eastAsiaTheme="minorEastAsia" w:cstheme="minorEastAsia"/>
                <w:color w:val="auto"/>
                <w:sz w:val="28"/>
                <w:szCs w:val="28"/>
                <w:highlight w:val="none"/>
              </w:rPr>
            </w:pPr>
          </w:p>
        </w:tc>
      </w:tr>
      <w:tr w14:paraId="502CCFD0">
        <w:tblPrEx>
          <w:tblCellMar>
            <w:top w:w="0" w:type="dxa"/>
            <w:left w:w="0" w:type="dxa"/>
            <w:bottom w:w="0" w:type="dxa"/>
            <w:right w:w="0" w:type="dxa"/>
          </w:tblCellMar>
        </w:tblPrEx>
        <w:trPr>
          <w:trHeight w:val="789" w:hRule="atLeast"/>
        </w:trPr>
        <w:tc>
          <w:tcPr>
            <w:tcW w:w="4757" w:type="dxa"/>
            <w:noWrap/>
            <w:vAlign w:val="center"/>
          </w:tcPr>
          <w:p w14:paraId="36128DEA">
            <w:pPr>
              <w:pStyle w:val="26"/>
              <w:wordWrap w:val="0"/>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招标代理机构项目负责人（签字）：</w:t>
            </w:r>
          </w:p>
        </w:tc>
        <w:tc>
          <w:tcPr>
            <w:tcW w:w="5222" w:type="dxa"/>
            <w:noWrap/>
            <w:vAlign w:val="center"/>
          </w:tcPr>
          <w:p w14:paraId="3EB17438">
            <w:pPr>
              <w:pStyle w:val="26"/>
              <w:rPr>
                <w:rFonts w:hint="eastAsia" w:asciiTheme="minorEastAsia" w:hAnsiTheme="minorEastAsia" w:eastAsiaTheme="minorEastAsia" w:cstheme="minorEastAsia"/>
                <w:color w:val="auto"/>
                <w:sz w:val="28"/>
                <w:szCs w:val="28"/>
                <w:highlight w:val="none"/>
              </w:rPr>
            </w:pPr>
          </w:p>
        </w:tc>
      </w:tr>
      <w:tr w14:paraId="15A47190">
        <w:tblPrEx>
          <w:tblCellMar>
            <w:top w:w="0" w:type="dxa"/>
            <w:left w:w="0" w:type="dxa"/>
            <w:bottom w:w="0" w:type="dxa"/>
            <w:right w:w="0" w:type="dxa"/>
          </w:tblCellMar>
        </w:tblPrEx>
        <w:trPr>
          <w:trHeight w:val="789" w:hRule="atLeast"/>
        </w:trPr>
        <w:tc>
          <w:tcPr>
            <w:tcW w:w="4757" w:type="dxa"/>
            <w:noWrap/>
            <w:vAlign w:val="center"/>
          </w:tcPr>
          <w:p w14:paraId="248DB1AB">
            <w:pPr>
              <w:pStyle w:val="26"/>
              <w:wordWrap w:val="0"/>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招标文件编制日期：</w:t>
            </w:r>
          </w:p>
        </w:tc>
        <w:tc>
          <w:tcPr>
            <w:tcW w:w="5222" w:type="dxa"/>
            <w:noWrap/>
            <w:vAlign w:val="center"/>
          </w:tcPr>
          <w:p w14:paraId="6621B740">
            <w:pPr>
              <w:pStyle w:val="26"/>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202</w:t>
            </w:r>
            <w:r>
              <w:rPr>
                <w:rFonts w:hint="eastAsia" w:asciiTheme="minorEastAsia" w:hAnsiTheme="minorEastAsia" w:eastAsiaTheme="minorEastAsia" w:cstheme="minorEastAsia"/>
                <w:color w:val="auto"/>
                <w:sz w:val="28"/>
                <w:highlight w:val="none"/>
                <w:lang w:val="en-US" w:eastAsia="zh-CN"/>
              </w:rPr>
              <w:t>5</w:t>
            </w:r>
            <w:r>
              <w:rPr>
                <w:rFonts w:hint="eastAsia" w:asciiTheme="minorEastAsia" w:hAnsiTheme="minorEastAsia" w:eastAsiaTheme="minorEastAsia" w:cstheme="minorEastAsia"/>
                <w:color w:val="auto"/>
                <w:sz w:val="28"/>
                <w:highlight w:val="none"/>
              </w:rPr>
              <w:t>年</w:t>
            </w:r>
            <w:r>
              <w:rPr>
                <w:rFonts w:hint="eastAsia" w:asciiTheme="minorEastAsia" w:hAnsiTheme="minorEastAsia" w:eastAsiaTheme="minorEastAsia" w:cstheme="minorEastAsia"/>
                <w:color w:val="auto"/>
                <w:sz w:val="28"/>
                <w:highlight w:val="none"/>
                <w:lang w:val="en-US" w:eastAsia="zh-CN"/>
              </w:rPr>
              <w:t>7</w:t>
            </w:r>
            <w:r>
              <w:rPr>
                <w:rFonts w:hint="eastAsia" w:asciiTheme="minorEastAsia" w:hAnsiTheme="minorEastAsia" w:eastAsiaTheme="minorEastAsia" w:cstheme="minorEastAsia"/>
                <w:color w:val="auto"/>
                <w:sz w:val="28"/>
                <w:highlight w:val="none"/>
              </w:rPr>
              <w:t>月</w:t>
            </w:r>
          </w:p>
        </w:tc>
      </w:tr>
    </w:tbl>
    <w:p w14:paraId="5A96B5D3">
      <w:pPr>
        <w:rPr>
          <w:rFonts w:hint="eastAsia"/>
          <w:color w:val="auto"/>
          <w:highlight w:val="none"/>
        </w:rPr>
      </w:pPr>
    </w:p>
    <w:p w14:paraId="241806E0">
      <w:pPr>
        <w:rPr>
          <w:rFonts w:hint="eastAsia"/>
          <w:color w:val="auto"/>
          <w:highlight w:val="none"/>
        </w:rPr>
      </w:pPr>
    </w:p>
    <w:p w14:paraId="63457F32">
      <w:pPr>
        <w:rPr>
          <w:rFonts w:hint="eastAsia"/>
          <w:color w:val="auto"/>
          <w:highlight w:val="none"/>
        </w:rPr>
      </w:pPr>
    </w:p>
    <w:p w14:paraId="6737FCDE">
      <w:pPr>
        <w:rPr>
          <w:rFonts w:hint="eastAsia"/>
          <w:color w:val="auto"/>
          <w:highlight w:val="none"/>
        </w:rPr>
        <w:sectPr>
          <w:footerReference r:id="rId3" w:type="default"/>
          <w:endnotePr>
            <w:numFmt w:val="decimal"/>
          </w:endnotePr>
          <w:pgSz w:w="11905" w:h="16838"/>
          <w:pgMar w:top="1134" w:right="1134" w:bottom="1134" w:left="1417" w:header="850" w:footer="992" w:gutter="0"/>
          <w:pgNumType w:fmt="decimal"/>
          <w:cols w:space="0" w:num="1"/>
          <w:rtlGutter w:val="0"/>
          <w:docGrid w:linePitch="327" w:charSpace="0"/>
        </w:sectPr>
      </w:pPr>
    </w:p>
    <w:p w14:paraId="45F02916">
      <w:pPr>
        <w:rPr>
          <w:rFonts w:hint="eastAsia"/>
          <w:color w:val="auto"/>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002401AE">
      <w:pPr>
        <w:rPr>
          <w:rFonts w:hint="eastAsia"/>
          <w:color w:val="auto"/>
          <w:highlight w:val="none"/>
        </w:rPr>
      </w:pPr>
    </w:p>
    <w:sdt>
      <w:sdtPr>
        <w:rPr>
          <w:rFonts w:hint="eastAsia" w:ascii="宋体" w:hAnsi="宋体" w:eastAsia="宋体" w:cs="宋体"/>
          <w:b/>
          <w:bCs/>
          <w:color w:val="auto"/>
          <w:kern w:val="2"/>
          <w:sz w:val="30"/>
          <w:szCs w:val="30"/>
          <w:highlight w:val="none"/>
          <w:lang w:val="en-US" w:eastAsia="zh-CN" w:bidi="ar-SA"/>
        </w:rPr>
        <w:id w:val="147456082"/>
        <w15:color w:val="DBDBDB"/>
        <w:docPartObj>
          <w:docPartGallery w:val="Table of Contents"/>
          <w:docPartUnique/>
        </w:docPartObj>
      </w:sdtPr>
      <w:sdtEndPr>
        <w:rPr>
          <w:rFonts w:hint="eastAsia" w:asciiTheme="minorEastAsia" w:hAnsiTheme="minorEastAsia" w:eastAsiaTheme="minorEastAsia" w:cstheme="minorEastAsia"/>
          <w:b/>
          <w:bCs/>
          <w:color w:val="auto"/>
          <w:kern w:val="44"/>
          <w:sz w:val="24"/>
          <w:szCs w:val="36"/>
          <w:highlight w:val="none"/>
          <w:lang w:val="en-US" w:eastAsia="zh-CN" w:bidi="ar-SA"/>
        </w:rPr>
      </w:sdtEndPr>
      <w:sdtContent>
        <w:p w14:paraId="6269062A">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14:paraId="0E2E7D13">
          <w:pPr>
            <w:pStyle w:val="16"/>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 w:val="24"/>
              <w:szCs w:val="24"/>
              <w:highlight w:val="none"/>
              <w:lang w:val="en-US" w:eastAsia="zh-CN" w:bidi="ar-SA"/>
            </w:rPr>
            <w:fldChar w:fldCharType="begin"/>
          </w:r>
          <w:r>
            <w:rPr>
              <w:rFonts w:hint="eastAsia" w:ascii="宋体" w:hAnsi="宋体" w:eastAsia="宋体" w:cs="宋体"/>
              <w:color w:val="auto"/>
              <w:kern w:val="44"/>
              <w:sz w:val="24"/>
              <w:szCs w:val="24"/>
              <w:highlight w:val="none"/>
              <w:lang w:val="en-US" w:eastAsia="zh-CN" w:bidi="ar-SA"/>
            </w:rPr>
            <w:instrText xml:space="preserve">TOC \o "1-3" \h \u </w:instrText>
          </w:r>
          <w:r>
            <w:rPr>
              <w:rFonts w:hint="eastAsia" w:ascii="宋体" w:hAnsi="宋体" w:eastAsia="宋体" w:cs="宋体"/>
              <w:color w:val="auto"/>
              <w:kern w:val="44"/>
              <w:sz w:val="24"/>
              <w:szCs w:val="24"/>
              <w:highlight w:val="none"/>
              <w:lang w:val="en-US" w:eastAsia="zh-CN" w:bidi="ar-SA"/>
            </w:rPr>
            <w:fldChar w:fldCharType="separate"/>
          </w: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_Toc4382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44"/>
              <w:szCs w:val="36"/>
              <w:highlight w:val="none"/>
            </w:rPr>
            <w:t>第一章投标须知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_Toc4382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5CE55F78">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_Toc673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2"/>
              <w:szCs w:val="28"/>
              <w:highlight w:val="none"/>
            </w:rPr>
            <w:t>第一节投标须知前附表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07D0F901">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_Toc29152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2"/>
              <w:szCs w:val="28"/>
              <w:highlight w:val="none"/>
            </w:rPr>
            <w:t>第二节</w:t>
          </w:r>
          <w:r>
            <w:rPr>
              <w:rFonts w:hint="eastAsia" w:ascii="宋体" w:hAnsi="宋体" w:eastAsia="宋体" w:cs="宋体"/>
              <w:color w:val="auto"/>
              <w:kern w:val="2"/>
              <w:szCs w:val="28"/>
              <w:highlight w:val="none"/>
              <w:lang w:val="en-US" w:eastAsia="zh-CN"/>
            </w:rPr>
            <w:t xml:space="preserve"> </w:t>
          </w:r>
          <w:r>
            <w:rPr>
              <w:rFonts w:hint="eastAsia" w:ascii="宋体" w:hAnsi="宋体" w:eastAsia="宋体" w:cs="宋体"/>
              <w:color w:val="auto"/>
              <w:kern w:val="2"/>
              <w:szCs w:val="28"/>
              <w:highlight w:val="none"/>
            </w:rPr>
            <w:t>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_Toc29152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51834358">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_Toc4158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2"/>
              <w:szCs w:val="28"/>
              <w:highlight w:val="none"/>
            </w:rPr>
            <w:t>第</w:t>
          </w:r>
          <w:r>
            <w:rPr>
              <w:rFonts w:hint="eastAsia" w:ascii="宋体" w:hAnsi="宋体" w:eastAsia="宋体" w:cs="宋体"/>
              <w:color w:val="auto"/>
              <w:kern w:val="2"/>
              <w:szCs w:val="28"/>
              <w:highlight w:val="none"/>
              <w:lang w:eastAsia="zh-CN"/>
            </w:rPr>
            <w:t>三</w:t>
          </w:r>
          <w:r>
            <w:rPr>
              <w:rFonts w:hint="eastAsia" w:ascii="宋体" w:hAnsi="宋体" w:eastAsia="宋体" w:cs="宋体"/>
              <w:color w:val="auto"/>
              <w:kern w:val="2"/>
              <w:szCs w:val="28"/>
              <w:highlight w:val="none"/>
            </w:rPr>
            <w:t>节 投标须知正文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17004A2E">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_Toc14214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2"/>
              <w:szCs w:val="28"/>
              <w:highlight w:val="none"/>
            </w:rPr>
            <w:t>第四节 否决投标条件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28</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68DED73E">
          <w:pPr>
            <w:pStyle w:val="16"/>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_Toc1587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44"/>
              <w:szCs w:val="36"/>
              <w:highlight w:val="none"/>
            </w:rPr>
            <w:t>第</w:t>
          </w:r>
          <w:r>
            <w:rPr>
              <w:rFonts w:hint="eastAsia" w:ascii="宋体" w:hAnsi="宋体" w:eastAsia="宋体" w:cs="宋体"/>
              <w:color w:val="auto"/>
              <w:kern w:val="44"/>
              <w:szCs w:val="36"/>
              <w:highlight w:val="none"/>
              <w:lang w:eastAsia="zh-CN"/>
            </w:rPr>
            <w:t>二</w:t>
          </w:r>
          <w:r>
            <w:rPr>
              <w:rFonts w:hint="eastAsia" w:ascii="宋体" w:hAnsi="宋体" w:eastAsia="宋体" w:cs="宋体"/>
              <w:color w:val="auto"/>
              <w:kern w:val="44"/>
              <w:szCs w:val="36"/>
              <w:highlight w:val="none"/>
            </w:rPr>
            <w:t>章 拟签订合同的主要条款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6FC0E30A">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_Toc31677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2"/>
              <w:highlight w:val="none"/>
            </w:rPr>
            <w:t>1 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_Toc31677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1B111760">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_Toc2587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highlight w:val="none"/>
            </w:rPr>
            <w:t>2 施工图工程量清单预算的编制原则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56B7F2D4">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_Toc5884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2"/>
              <w:szCs w:val="24"/>
              <w:highlight w:val="none"/>
            </w:rPr>
            <w:t>3 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465340D5">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_Toc31129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2"/>
              <w:szCs w:val="24"/>
              <w:highlight w:val="none"/>
            </w:rPr>
            <w:t>4 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_Toc31129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234C37AC">
          <w:pPr>
            <w:pStyle w:val="16"/>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_Toc25202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44"/>
              <w:szCs w:val="36"/>
              <w:highlight w:val="none"/>
            </w:rPr>
            <w:t>第</w:t>
          </w:r>
          <w:r>
            <w:rPr>
              <w:rFonts w:hint="eastAsia" w:ascii="宋体" w:hAnsi="宋体" w:eastAsia="宋体" w:cs="宋体"/>
              <w:color w:val="auto"/>
              <w:kern w:val="44"/>
              <w:szCs w:val="36"/>
              <w:highlight w:val="none"/>
              <w:lang w:eastAsia="zh-CN"/>
            </w:rPr>
            <w:t>三</w:t>
          </w:r>
          <w:r>
            <w:rPr>
              <w:rFonts w:hint="eastAsia" w:ascii="宋体" w:hAnsi="宋体" w:eastAsia="宋体" w:cs="宋体"/>
              <w:color w:val="auto"/>
              <w:kern w:val="44"/>
              <w:szCs w:val="36"/>
              <w:highlight w:val="none"/>
            </w:rPr>
            <w:t>章 中标人须知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_Toc25202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15B727FB">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_Toc12426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kern w:val="0"/>
              <w:szCs w:val="24"/>
              <w:highlight w:val="none"/>
            </w:rPr>
            <w:t>1．中标通知书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_Toc12426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728F8CC2">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_Toc15432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2．中标结果公示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_Toc15432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0F236092">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_Toc18221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3．履约保证</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6E5BF12B">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_Toc11158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4．合同订立</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_Toc11158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2A938651">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_Toc193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5．放弃中标的处理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38</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34D04512">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_Toc1278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6．专业工程分包</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38</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5E8EABA1">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_Toc3132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7．工人工资支付专用账户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38</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43FE5BB7">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_Toc7441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9．工期进度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_Toc7441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39</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1E947D2C">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_Toc3989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10．项目管理机构</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_Toc3989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39</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75E50E74">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_Toc16108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kern w:val="0"/>
              <w:szCs w:val="24"/>
              <w:highlight w:val="none"/>
            </w:rPr>
            <w:t>11．现场管理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_Toc16108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39</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3FC3013C">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_Toc31347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kern w:val="0"/>
              <w:szCs w:val="24"/>
              <w:highlight w:val="none"/>
            </w:rPr>
            <w:t>12．监督实施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_Toc31347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7F53B5CF">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_Toc4268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kern w:val="0"/>
              <w:szCs w:val="24"/>
              <w:highlight w:val="none"/>
            </w:rPr>
            <w:t>13．主材的采购和使用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_Toc4268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7A679009">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_Toc17217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kern w:val="0"/>
              <w:szCs w:val="24"/>
              <w:highlight w:val="none"/>
            </w:rPr>
            <w:t>14．竣工资料移交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_Toc17217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4E36D743">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_Toc7348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kern w:val="0"/>
              <w:szCs w:val="24"/>
              <w:highlight w:val="none"/>
            </w:rPr>
            <w:t>15．质量保证</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_Toc7348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2FC87041">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_Toc2549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16</w:t>
          </w:r>
          <w:r>
            <w:rPr>
              <w:rFonts w:hint="eastAsia" w:ascii="宋体" w:hAnsi="宋体" w:eastAsia="宋体" w:cs="宋体"/>
              <w:snapToGrid w:val="0"/>
              <w:color w:val="auto"/>
              <w:kern w:val="0"/>
              <w:szCs w:val="24"/>
              <w:highlight w:val="none"/>
            </w:rPr>
            <w:t>．不良行为处理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59365B31">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_Toc11729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kern w:val="0"/>
              <w:szCs w:val="24"/>
              <w:highlight w:val="none"/>
            </w:rPr>
            <w:t>17</w:t>
          </w:r>
          <w:r>
            <w:rPr>
              <w:rFonts w:hint="eastAsia" w:ascii="宋体" w:hAnsi="宋体" w:eastAsia="宋体" w:cs="宋体"/>
              <w:snapToGrid w:val="0"/>
              <w:color w:val="auto"/>
              <w:kern w:val="0"/>
              <w:szCs w:val="24"/>
              <w:highlight w:val="none"/>
            </w:rPr>
            <w:t>．</w:t>
          </w:r>
          <w:r>
            <w:rPr>
              <w:rFonts w:hint="eastAsia" w:ascii="宋体" w:hAnsi="宋体" w:eastAsia="宋体" w:cs="宋体"/>
              <w:bCs/>
              <w:snapToGrid w:val="0"/>
              <w:color w:val="auto"/>
              <w:kern w:val="0"/>
              <w:szCs w:val="24"/>
              <w:highlight w:val="none"/>
            </w:rPr>
            <w:t>信用评价条款内容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_Toc11729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6E8D8757">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_Toc13843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snapToGrid w:val="0"/>
              <w:color w:val="auto"/>
              <w:szCs w:val="24"/>
              <w:highlight w:val="none"/>
            </w:rPr>
            <w:t>18．其他事项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_Toc13843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1A3E34D2">
          <w:pPr>
            <w:pStyle w:val="16"/>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_Toc23995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44"/>
              <w:szCs w:val="36"/>
              <w:highlight w:val="none"/>
            </w:rPr>
            <w:t>第</w:t>
          </w:r>
          <w:r>
            <w:rPr>
              <w:rFonts w:hint="eastAsia" w:ascii="宋体" w:hAnsi="宋体" w:eastAsia="宋体" w:cs="宋体"/>
              <w:color w:val="auto"/>
              <w:kern w:val="44"/>
              <w:szCs w:val="36"/>
              <w:highlight w:val="none"/>
              <w:lang w:eastAsia="zh-CN"/>
            </w:rPr>
            <w:t>四</w:t>
          </w:r>
          <w:r>
            <w:rPr>
              <w:rFonts w:hint="eastAsia" w:ascii="宋体" w:hAnsi="宋体" w:eastAsia="宋体" w:cs="宋体"/>
              <w:color w:val="auto"/>
              <w:kern w:val="44"/>
              <w:szCs w:val="36"/>
              <w:highlight w:val="none"/>
            </w:rPr>
            <w:t>章 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48</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67870131">
          <w:pPr>
            <w:pStyle w:val="16"/>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_Toc12645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44"/>
              <w:szCs w:val="36"/>
              <w:highlight w:val="none"/>
            </w:rPr>
            <w:t>第</w:t>
          </w:r>
          <w:r>
            <w:rPr>
              <w:rFonts w:hint="eastAsia" w:ascii="宋体" w:hAnsi="宋体" w:eastAsia="宋体" w:cs="宋体"/>
              <w:color w:val="auto"/>
              <w:kern w:val="44"/>
              <w:szCs w:val="36"/>
              <w:highlight w:val="none"/>
              <w:lang w:eastAsia="zh-CN"/>
            </w:rPr>
            <w:t>五</w:t>
          </w:r>
          <w:r>
            <w:rPr>
              <w:rFonts w:hint="eastAsia" w:ascii="宋体" w:hAnsi="宋体" w:eastAsia="宋体" w:cs="宋体"/>
              <w:color w:val="auto"/>
              <w:kern w:val="44"/>
              <w:szCs w:val="36"/>
              <w:highlight w:val="none"/>
            </w:rPr>
            <w:t>章</w:t>
          </w:r>
          <w:r>
            <w:rPr>
              <w:rFonts w:hint="eastAsia" w:ascii="宋体" w:hAnsi="宋体" w:eastAsia="宋体" w:cs="宋体"/>
              <w:color w:val="auto"/>
              <w:kern w:val="44"/>
              <w:szCs w:val="36"/>
              <w:highlight w:val="none"/>
              <w:lang w:val="en-US" w:eastAsia="zh-CN"/>
            </w:rPr>
            <w:t xml:space="preserve">  </w:t>
          </w:r>
          <w:r>
            <w:rPr>
              <w:rFonts w:hint="eastAsia" w:ascii="宋体" w:hAnsi="宋体" w:eastAsia="宋体" w:cs="宋体"/>
              <w:color w:val="auto"/>
              <w:kern w:val="44"/>
              <w:szCs w:val="36"/>
              <w:highlight w:val="none"/>
            </w:rPr>
            <w:t>招标文件</w:t>
          </w:r>
          <w:r>
            <w:rPr>
              <w:rFonts w:hint="eastAsia" w:ascii="宋体" w:hAnsi="宋体" w:eastAsia="宋体" w:cs="宋体"/>
              <w:color w:val="auto"/>
              <w:kern w:val="44"/>
              <w:szCs w:val="36"/>
              <w:highlight w:val="none"/>
              <w:lang w:eastAsia="zh-CN"/>
            </w:rPr>
            <w:t>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_Toc12645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2D89FC69">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_Toc11586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szCs w:val="24"/>
              <w:highlight w:val="none"/>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_Toc11586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38768DAB">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_Toc14811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格式二 《投标函》及《工程项目总价表》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_Toc14811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52</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06D2CFF8">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_Toc31955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szCs w:val="24"/>
              <w:highlight w:val="none"/>
            </w:rPr>
            <w:t>格式三 各项</w:t>
          </w:r>
          <w:r>
            <w:rPr>
              <w:rFonts w:hint="eastAsia" w:ascii="宋体" w:hAnsi="宋体" w:eastAsia="宋体" w:cs="宋体"/>
              <w:bCs/>
              <w:color w:val="auto"/>
              <w:szCs w:val="24"/>
              <w:highlight w:val="none"/>
            </w:rPr>
            <w:t>承诺</w:t>
          </w:r>
          <w:r>
            <w:rPr>
              <w:rFonts w:hint="eastAsia" w:ascii="宋体" w:hAnsi="宋体" w:eastAsia="宋体" w:cs="宋体"/>
              <w:color w:val="auto"/>
              <w:szCs w:val="24"/>
              <w:highlight w:val="none"/>
            </w:rPr>
            <w:t>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_Toc31955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3467FFFF">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_Toc31997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_Toc31997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59</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3F007A18">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_Toc9551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60</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61B83181">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_Toc15771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格式六 联合体协议书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_Toc15771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567E2E2E">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_Toc24031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格式七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_Toc24031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7B1B5B6C">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_Toc10954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格式八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_Toc10954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3F788067">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_Toc16214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格式九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_Toc16214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27A0FB42">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_Toc17017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格式十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_Toc17017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7F4F2522">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_Toc7845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格式十一 项目设计负责人简历表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_Toc7845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4F549DF5">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_Toc8597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snapToGrid w:val="0"/>
              <w:color w:val="auto"/>
              <w:szCs w:val="24"/>
              <w:highlight w:val="none"/>
            </w:rPr>
            <w:t>格式十二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_Toc8597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153B020C">
          <w:pPr>
            <w:pStyle w:val="18"/>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_Toc6004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24"/>
              <w:highlight w:val="none"/>
            </w:rPr>
            <w:t>格式十三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_Toc6004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4DE4A696">
          <w:pPr>
            <w:pStyle w:val="16"/>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_Toc12766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44"/>
              <w:szCs w:val="30"/>
              <w:highlight w:val="none"/>
            </w:rPr>
            <w:t>第</w:t>
          </w:r>
          <w:r>
            <w:rPr>
              <w:rFonts w:hint="eastAsia" w:ascii="宋体" w:hAnsi="宋体" w:eastAsia="宋体" w:cs="宋体"/>
              <w:color w:val="auto"/>
              <w:kern w:val="44"/>
              <w:szCs w:val="30"/>
              <w:highlight w:val="none"/>
              <w:lang w:eastAsia="zh-CN"/>
            </w:rPr>
            <w:t>六</w:t>
          </w:r>
          <w:r>
            <w:rPr>
              <w:rFonts w:hint="eastAsia" w:ascii="宋体" w:hAnsi="宋体" w:eastAsia="宋体" w:cs="宋体"/>
              <w:color w:val="auto"/>
              <w:kern w:val="44"/>
              <w:szCs w:val="30"/>
              <w:highlight w:val="none"/>
            </w:rPr>
            <w:t>章  廉政合同、预付款保函、支付保函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0E168589">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_Toc2352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32"/>
              <w:highlight w:val="none"/>
            </w:rPr>
            <w:t>廉政合同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5FF3775C">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_Toc28197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32"/>
              <w:highlight w:val="none"/>
            </w:rPr>
            <w:t>履约保函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_Toc28197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74</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080DDA07">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_Toc3190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32"/>
              <w:highlight w:val="none"/>
            </w:rPr>
            <w:t>预付款保函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76</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14747189">
          <w:pPr>
            <w:pStyle w:val="10"/>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_Toc24613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bCs/>
              <w:color w:val="auto"/>
              <w:szCs w:val="32"/>
              <w:highlight w:val="none"/>
            </w:rPr>
            <w:t>支付保函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_Toc24613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78</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6E181AA6">
          <w:pPr>
            <w:pStyle w:val="16"/>
            <w:tabs>
              <w:tab w:val="right" w:leader="dot" w:pos="9354"/>
            </w:tabs>
            <w:spacing w:line="360" w:lineRule="auto"/>
            <w:rPr>
              <w:rFonts w:hint="eastAsia" w:ascii="宋体" w:hAnsi="宋体" w:eastAsia="宋体" w:cs="宋体"/>
              <w:color w:val="auto"/>
              <w:highlight w:val="none"/>
            </w:rPr>
          </w:pPr>
          <w:r>
            <w:rPr>
              <w:rFonts w:hint="eastAsia" w:ascii="宋体" w:hAnsi="宋体" w:eastAsia="宋体" w:cs="宋体"/>
              <w:color w:val="auto"/>
              <w:kern w:val="44"/>
              <w:szCs w:val="24"/>
              <w:highlight w:val="none"/>
              <w:lang w:val="en-US" w:eastAsia="zh-CN" w:bidi="ar-SA"/>
            </w:rPr>
            <w:fldChar w:fldCharType="begin"/>
          </w:r>
          <w:r>
            <w:rPr>
              <w:rFonts w:hint="eastAsia" w:ascii="宋体" w:hAnsi="宋体" w:eastAsia="宋体" w:cs="宋体"/>
              <w:color w:val="auto"/>
              <w:kern w:val="44"/>
              <w:szCs w:val="24"/>
              <w:highlight w:val="none"/>
              <w:lang w:val="en-US" w:eastAsia="zh-CN" w:bidi="ar-SA"/>
            </w:rPr>
            <w:instrText xml:space="preserve"> HYPERLINK \l _Toc22182 </w:instrText>
          </w:r>
          <w:r>
            <w:rPr>
              <w:rFonts w:hint="eastAsia" w:ascii="宋体" w:hAnsi="宋体" w:eastAsia="宋体" w:cs="宋体"/>
              <w:color w:val="auto"/>
              <w:kern w:val="44"/>
              <w:szCs w:val="24"/>
              <w:highlight w:val="none"/>
              <w:lang w:val="en-US" w:eastAsia="zh-CN" w:bidi="ar-SA"/>
            </w:rPr>
            <w:fldChar w:fldCharType="separate"/>
          </w:r>
          <w:r>
            <w:rPr>
              <w:rFonts w:hint="eastAsia" w:ascii="宋体" w:hAnsi="宋体" w:eastAsia="宋体" w:cs="宋体"/>
              <w:color w:val="auto"/>
              <w:kern w:val="44"/>
              <w:szCs w:val="36"/>
              <w:highlight w:val="none"/>
            </w:rPr>
            <w:t>第</w:t>
          </w:r>
          <w:r>
            <w:rPr>
              <w:rFonts w:hint="eastAsia" w:ascii="宋体" w:hAnsi="宋体" w:eastAsia="宋体" w:cs="宋体"/>
              <w:color w:val="auto"/>
              <w:kern w:val="44"/>
              <w:szCs w:val="36"/>
              <w:highlight w:val="none"/>
              <w:lang w:eastAsia="zh-CN"/>
            </w:rPr>
            <w:t>七</w:t>
          </w:r>
          <w:r>
            <w:rPr>
              <w:rFonts w:hint="eastAsia" w:ascii="宋体" w:hAnsi="宋体" w:eastAsia="宋体" w:cs="宋体"/>
              <w:color w:val="auto"/>
              <w:kern w:val="44"/>
              <w:szCs w:val="36"/>
              <w:highlight w:val="none"/>
            </w:rPr>
            <w:t>章  建设工程合同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_Toc22182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80</w:t>
          </w:r>
          <w:r>
            <w:rPr>
              <w:rFonts w:hint="eastAsia" w:ascii="宋体" w:hAnsi="宋体" w:eastAsia="宋体" w:cs="宋体"/>
              <w:color w:val="auto"/>
              <w:highlight w:val="none"/>
            </w:rPr>
            <w:fldChar w:fldCharType="end"/>
          </w:r>
          <w:r>
            <w:rPr>
              <w:rFonts w:hint="eastAsia" w:ascii="宋体" w:hAnsi="宋体" w:eastAsia="宋体" w:cs="宋体"/>
              <w:color w:val="auto"/>
              <w:kern w:val="44"/>
              <w:szCs w:val="24"/>
              <w:highlight w:val="none"/>
              <w:lang w:val="en-US" w:eastAsia="zh-CN" w:bidi="ar-SA"/>
            </w:rPr>
            <w:fldChar w:fldCharType="end"/>
          </w:r>
        </w:p>
        <w:p w14:paraId="33FB6E0F">
          <w:pPr>
            <w:pStyle w:val="27"/>
            <w:tabs>
              <w:tab w:val="left" w:pos="4935"/>
            </w:tabs>
            <w:spacing w:line="360" w:lineRule="auto"/>
            <w:jc w:val="center"/>
            <w:rPr>
              <w:rFonts w:hint="eastAsia" w:asciiTheme="minorEastAsia" w:hAnsiTheme="minorEastAsia" w:eastAsiaTheme="minorEastAsia" w:cstheme="minorEastAsia"/>
              <w:color w:val="auto"/>
              <w:kern w:val="44"/>
              <w:sz w:val="24"/>
              <w:szCs w:val="36"/>
              <w:highlight w:val="none"/>
              <w:lang w:val="en-US" w:eastAsia="zh-CN" w:bidi="ar-SA"/>
            </w:rPr>
          </w:pPr>
          <w:r>
            <w:rPr>
              <w:rFonts w:hint="eastAsia" w:ascii="宋体" w:hAnsi="宋体" w:eastAsia="宋体" w:cs="宋体"/>
              <w:color w:val="auto"/>
              <w:kern w:val="44"/>
              <w:szCs w:val="24"/>
              <w:highlight w:val="none"/>
              <w:lang w:val="en-US" w:eastAsia="zh-CN" w:bidi="ar-SA"/>
            </w:rPr>
            <w:fldChar w:fldCharType="end"/>
          </w:r>
        </w:p>
      </w:sdtContent>
    </w:sdt>
    <w:p w14:paraId="4916E273">
      <w:pPr>
        <w:pStyle w:val="27"/>
        <w:tabs>
          <w:tab w:val="left" w:pos="4935"/>
        </w:tabs>
        <w:jc w:val="center"/>
        <w:rPr>
          <w:rFonts w:hint="eastAsia" w:asciiTheme="minorEastAsia" w:hAnsiTheme="minorEastAsia" w:eastAsiaTheme="minorEastAsia" w:cstheme="minorEastAsia"/>
          <w:color w:val="auto"/>
          <w:kern w:val="44"/>
          <w:sz w:val="24"/>
          <w:szCs w:val="36"/>
          <w:highlight w:val="none"/>
          <w:lang w:val="en-US" w:eastAsia="zh-CN" w:bidi="ar-SA"/>
        </w:rPr>
      </w:pPr>
    </w:p>
    <w:p w14:paraId="1495E87D">
      <w:pPr>
        <w:pStyle w:val="27"/>
        <w:tabs>
          <w:tab w:val="left" w:pos="4935"/>
        </w:tabs>
        <w:jc w:val="center"/>
        <w:rPr>
          <w:rFonts w:hint="eastAsia" w:asciiTheme="minorEastAsia" w:hAnsiTheme="minorEastAsia" w:eastAsiaTheme="minorEastAsia" w:cstheme="minorEastAsia"/>
          <w:b/>
          <w:color w:val="auto"/>
          <w:kern w:val="44"/>
          <w:sz w:val="36"/>
          <w:szCs w:val="36"/>
          <w:highlight w:val="none"/>
        </w:rPr>
      </w:pPr>
    </w:p>
    <w:p w14:paraId="448315D9">
      <w:pPr>
        <w:pStyle w:val="27"/>
        <w:tabs>
          <w:tab w:val="left" w:pos="4935"/>
        </w:tabs>
        <w:jc w:val="center"/>
        <w:rPr>
          <w:rFonts w:hint="eastAsia" w:asciiTheme="minorEastAsia" w:hAnsiTheme="minorEastAsia" w:eastAsiaTheme="minorEastAsia" w:cstheme="minorEastAsia"/>
          <w:b/>
          <w:color w:val="auto"/>
          <w:kern w:val="44"/>
          <w:sz w:val="36"/>
          <w:szCs w:val="36"/>
          <w:highlight w:val="none"/>
        </w:rPr>
      </w:pPr>
    </w:p>
    <w:p w14:paraId="79E182A8">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p>
    <w:p w14:paraId="34C044F9">
      <w:pPr>
        <w:pStyle w:val="27"/>
        <w:rPr>
          <w:rFonts w:hint="eastAsia" w:asciiTheme="minorEastAsia" w:hAnsiTheme="minorEastAsia" w:eastAsiaTheme="minorEastAsia" w:cstheme="minorEastAsia"/>
          <w:b/>
          <w:color w:val="auto"/>
          <w:kern w:val="44"/>
          <w:sz w:val="36"/>
          <w:szCs w:val="36"/>
          <w:highlight w:val="none"/>
        </w:rPr>
      </w:pPr>
    </w:p>
    <w:p w14:paraId="15120515">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4CD17EB3">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bookmarkStart w:id="0" w:name="_Toc4382"/>
      <w:r>
        <w:rPr>
          <w:rFonts w:hint="eastAsia" w:asciiTheme="minorEastAsia" w:hAnsiTheme="minorEastAsia" w:eastAsiaTheme="minorEastAsia" w:cstheme="minorEastAsia"/>
          <w:b/>
          <w:color w:val="auto"/>
          <w:kern w:val="44"/>
          <w:sz w:val="36"/>
          <w:szCs w:val="36"/>
          <w:highlight w:val="none"/>
        </w:rPr>
        <w:t>第一章投标须知</w:t>
      </w:r>
      <w:bookmarkEnd w:id="0"/>
    </w:p>
    <w:p w14:paraId="4D8F089E">
      <w:pPr>
        <w:pStyle w:val="29"/>
        <w:keepNext/>
        <w:keepLines/>
        <w:autoSpaceDE/>
        <w:autoSpaceDN/>
        <w:adjustRightInd/>
        <w:spacing w:before="260" w:after="260" w:line="360" w:lineRule="exact"/>
        <w:ind w:firstLine="562" w:firstLineChars="200"/>
        <w:jc w:val="center"/>
        <w:rPr>
          <w:rFonts w:hint="eastAsia" w:asciiTheme="minorEastAsia" w:hAnsiTheme="minorEastAsia" w:eastAsiaTheme="minorEastAsia" w:cstheme="minorEastAsia"/>
          <w:b/>
          <w:color w:val="auto"/>
          <w:kern w:val="2"/>
          <w:sz w:val="28"/>
          <w:szCs w:val="28"/>
          <w:highlight w:val="none"/>
        </w:rPr>
      </w:pPr>
      <w:bookmarkStart w:id="1" w:name="_Hlt127175444"/>
      <w:bookmarkEnd w:id="1"/>
      <w:bookmarkStart w:id="2" w:name="_Toc673"/>
      <w:bookmarkStart w:id="3" w:name="_Toc23035"/>
      <w:bookmarkStart w:id="4" w:name="_Hlt120077520"/>
      <w:r>
        <w:rPr>
          <w:rFonts w:hint="eastAsia" w:asciiTheme="minorEastAsia" w:hAnsiTheme="minorEastAsia" w:eastAsiaTheme="minorEastAsia" w:cstheme="minorEastAsia"/>
          <w:b/>
          <w:color w:val="auto"/>
          <w:kern w:val="2"/>
          <w:sz w:val="28"/>
          <w:szCs w:val="28"/>
          <w:highlight w:val="none"/>
        </w:rPr>
        <w:t>第一节投标须知前附表</w:t>
      </w:r>
      <w:bookmarkEnd w:id="2"/>
      <w:bookmarkEnd w:id="3"/>
    </w:p>
    <w:tbl>
      <w:tblPr>
        <w:tblStyle w:val="22"/>
        <w:tblW w:w="100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10"/>
        <w:gridCol w:w="1723"/>
        <w:gridCol w:w="7530"/>
      </w:tblGrid>
      <w:tr w14:paraId="33BD1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225741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723" w:type="dxa"/>
            <w:tcBorders>
              <w:top w:val="single" w:color="auto" w:sz="4" w:space="0"/>
              <w:left w:val="single" w:color="auto" w:sz="4" w:space="0"/>
              <w:bottom w:val="single" w:color="auto" w:sz="4" w:space="0"/>
              <w:right w:val="single" w:color="auto" w:sz="4" w:space="0"/>
            </w:tcBorders>
            <w:noWrap/>
            <w:vAlign w:val="center"/>
          </w:tcPr>
          <w:p w14:paraId="79748BAF">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7530" w:type="dxa"/>
            <w:tcBorders>
              <w:top w:val="single" w:color="auto" w:sz="4" w:space="0"/>
              <w:left w:val="single" w:color="auto" w:sz="4" w:space="0"/>
              <w:bottom w:val="single" w:color="auto" w:sz="4" w:space="0"/>
              <w:right w:val="single" w:color="auto" w:sz="4" w:space="0"/>
            </w:tcBorders>
            <w:noWrap/>
            <w:vAlign w:val="center"/>
          </w:tcPr>
          <w:p w14:paraId="68677DA3">
            <w:pPr>
              <w:pStyle w:val="27"/>
              <w:keepNext w:val="0"/>
              <w:keepLines w:val="0"/>
              <w:pageBreakBefore w:val="0"/>
              <w:tabs>
                <w:tab w:val="left" w:pos="1180"/>
              </w:tabs>
              <w:kinsoku/>
              <w:overflowPunct/>
              <w:topLinePunct w:val="0"/>
              <w:autoSpaceDE/>
              <w:autoSpaceDN/>
              <w:bidi w:val="0"/>
              <w:spacing w:line="36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说明与要求</w:t>
            </w:r>
          </w:p>
        </w:tc>
      </w:tr>
      <w:tr w14:paraId="5F504F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4B070D6">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23" w:type="dxa"/>
            <w:tcBorders>
              <w:top w:val="single" w:color="auto" w:sz="4" w:space="0"/>
              <w:left w:val="single" w:color="auto" w:sz="4" w:space="0"/>
              <w:bottom w:val="single" w:color="auto" w:sz="4" w:space="0"/>
              <w:right w:val="single" w:color="auto" w:sz="4" w:space="0"/>
            </w:tcBorders>
            <w:noWrap/>
            <w:vAlign w:val="center"/>
          </w:tcPr>
          <w:p w14:paraId="78777180">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tc>
        <w:tc>
          <w:tcPr>
            <w:tcW w:w="7530" w:type="dxa"/>
            <w:tcBorders>
              <w:top w:val="single" w:color="auto" w:sz="4" w:space="0"/>
              <w:left w:val="single" w:color="auto" w:sz="4" w:space="0"/>
              <w:bottom w:val="single" w:color="auto" w:sz="4" w:space="0"/>
              <w:right w:val="single" w:color="auto" w:sz="4" w:space="0"/>
            </w:tcBorders>
            <w:noWrap/>
            <w:vAlign w:val="center"/>
          </w:tcPr>
          <w:p w14:paraId="42561DB1">
            <w:pPr>
              <w:pStyle w:val="30"/>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始兴县A级景区旅游基础设施建设项目-“东湖听禅”景区旅游基础设施建设项目</w:t>
            </w:r>
            <w:r>
              <w:rPr>
                <w:rFonts w:hint="eastAsia" w:ascii="宋体" w:hAnsi="宋体" w:eastAsia="宋体" w:cs="宋体"/>
                <w:b w:val="0"/>
                <w:bCs w:val="0"/>
                <w:color w:val="auto"/>
                <w:sz w:val="24"/>
                <w:szCs w:val="24"/>
                <w:highlight w:val="none"/>
                <w:lang w:eastAsia="zh-CN"/>
              </w:rPr>
              <w:t>设计、施工总承包</w:t>
            </w:r>
          </w:p>
        </w:tc>
      </w:tr>
      <w:tr w14:paraId="2474C0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AC0426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23" w:type="dxa"/>
            <w:tcBorders>
              <w:top w:val="single" w:color="auto" w:sz="4" w:space="0"/>
              <w:left w:val="single" w:color="auto" w:sz="4" w:space="0"/>
              <w:bottom w:val="single" w:color="auto" w:sz="4" w:space="0"/>
              <w:right w:val="single" w:color="auto" w:sz="4" w:space="0"/>
            </w:tcBorders>
            <w:noWrap/>
            <w:vAlign w:val="center"/>
          </w:tcPr>
          <w:p w14:paraId="6DE50202">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项目业主</w:t>
            </w:r>
          </w:p>
        </w:tc>
        <w:tc>
          <w:tcPr>
            <w:tcW w:w="7530" w:type="dxa"/>
            <w:tcBorders>
              <w:top w:val="single" w:color="auto" w:sz="4" w:space="0"/>
              <w:left w:val="single" w:color="auto" w:sz="4" w:space="0"/>
              <w:bottom w:val="single" w:color="auto" w:sz="4" w:space="0"/>
              <w:right w:val="single" w:color="auto" w:sz="4" w:space="0"/>
            </w:tcBorders>
            <w:noWrap/>
            <w:vAlign w:val="center"/>
          </w:tcPr>
          <w:p w14:paraId="40D95FD6">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auto"/>
                <w:kern w:val="0"/>
                <w:sz w:val="24"/>
                <w:szCs w:val="24"/>
                <w:highlight w:val="none"/>
                <w:lang w:eastAsia="zh-CN"/>
              </w:rPr>
            </w:pPr>
            <w:r>
              <w:rPr>
                <w:rFonts w:hint="eastAsia" w:hAnsi="宋体" w:cs="宋体"/>
                <w:color w:val="auto"/>
                <w:sz w:val="24"/>
                <w:szCs w:val="24"/>
                <w:highlight w:val="none"/>
                <w:lang w:val="en-US" w:eastAsia="zh-CN"/>
              </w:rPr>
              <w:t>始兴县文化广电旅游体育局</w:t>
            </w:r>
          </w:p>
        </w:tc>
      </w:tr>
      <w:tr w14:paraId="0AEBD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D26FAE4">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w:t>
            </w:r>
          </w:p>
        </w:tc>
        <w:tc>
          <w:tcPr>
            <w:tcW w:w="1723" w:type="dxa"/>
            <w:tcBorders>
              <w:top w:val="single" w:color="auto" w:sz="4" w:space="0"/>
              <w:left w:val="single" w:color="auto" w:sz="4" w:space="0"/>
              <w:bottom w:val="single" w:color="auto" w:sz="4" w:space="0"/>
              <w:right w:val="single" w:color="auto" w:sz="4" w:space="0"/>
            </w:tcBorders>
            <w:noWrap/>
            <w:vAlign w:val="center"/>
          </w:tcPr>
          <w:p w14:paraId="5EBDC97D">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项目批准部门</w:t>
            </w:r>
          </w:p>
        </w:tc>
        <w:tc>
          <w:tcPr>
            <w:tcW w:w="7530" w:type="dxa"/>
            <w:tcBorders>
              <w:top w:val="single" w:color="auto" w:sz="4" w:space="0"/>
              <w:left w:val="single" w:color="auto" w:sz="4" w:space="0"/>
              <w:bottom w:val="single" w:color="auto" w:sz="4" w:space="0"/>
              <w:right w:val="single" w:color="auto" w:sz="4" w:space="0"/>
            </w:tcBorders>
            <w:noWrap/>
            <w:vAlign w:val="center"/>
          </w:tcPr>
          <w:p w14:paraId="356E619F">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始兴县发展和改革局</w:t>
            </w:r>
          </w:p>
        </w:tc>
      </w:tr>
      <w:tr w14:paraId="3F6788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FE0AAE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23" w:type="dxa"/>
            <w:tcBorders>
              <w:top w:val="single" w:color="auto" w:sz="4" w:space="0"/>
              <w:left w:val="single" w:color="auto" w:sz="4" w:space="0"/>
              <w:bottom w:val="single" w:color="auto" w:sz="4" w:space="0"/>
              <w:right w:val="single" w:color="auto" w:sz="4" w:space="0"/>
            </w:tcBorders>
            <w:noWrap/>
            <w:vAlign w:val="center"/>
          </w:tcPr>
          <w:p w14:paraId="5347F7C8">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7530" w:type="dxa"/>
            <w:tcBorders>
              <w:top w:val="single" w:color="auto" w:sz="4" w:space="0"/>
              <w:left w:val="single" w:color="auto" w:sz="4" w:space="0"/>
              <w:bottom w:val="single" w:color="auto" w:sz="4" w:space="0"/>
              <w:right w:val="single" w:color="auto" w:sz="4" w:space="0"/>
            </w:tcBorders>
            <w:noWrap/>
            <w:vAlign w:val="center"/>
          </w:tcPr>
          <w:p w14:paraId="328A9DBE">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lang w:eastAsia="zh-CN"/>
              </w:rPr>
            </w:pPr>
            <w:r>
              <w:rPr>
                <w:rFonts w:hint="eastAsia" w:hAnsi="宋体" w:eastAsia="宋体" w:cs="宋体"/>
                <w:snapToGrid w:val="0"/>
                <w:color w:val="auto"/>
                <w:kern w:val="0"/>
                <w:sz w:val="24"/>
                <w:szCs w:val="24"/>
                <w:highlight w:val="none"/>
                <w:lang w:eastAsia="zh-CN"/>
              </w:rPr>
              <w:t>始发改投审〔2025</w:t>
            </w:r>
            <w:r>
              <w:rPr>
                <w:rFonts w:hint="eastAsia" w:hAnsi="宋体" w:eastAsia="宋体" w:cs="宋体"/>
                <w:snapToGrid w:val="0"/>
                <w:color w:val="auto"/>
                <w:kern w:val="0"/>
                <w:sz w:val="24"/>
                <w:szCs w:val="24"/>
                <w:highlight w:val="none"/>
                <w:lang w:val="en-US" w:eastAsia="zh-CN"/>
              </w:rPr>
              <w:t>]14</w:t>
            </w:r>
            <w:r>
              <w:rPr>
                <w:rFonts w:hint="eastAsia" w:hAnsi="宋体" w:eastAsia="宋体" w:cs="宋体"/>
                <w:snapToGrid w:val="0"/>
                <w:color w:val="auto"/>
                <w:kern w:val="0"/>
                <w:sz w:val="24"/>
                <w:szCs w:val="24"/>
                <w:highlight w:val="none"/>
                <w:lang w:eastAsia="zh-CN"/>
              </w:rPr>
              <w:t>号</w:t>
            </w:r>
          </w:p>
        </w:tc>
      </w:tr>
      <w:tr w14:paraId="04E77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E69894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23" w:type="dxa"/>
            <w:tcBorders>
              <w:top w:val="single" w:color="auto" w:sz="4" w:space="0"/>
              <w:left w:val="single" w:color="auto" w:sz="4" w:space="0"/>
              <w:bottom w:val="single" w:color="auto" w:sz="4" w:space="0"/>
              <w:right w:val="single" w:color="auto" w:sz="4" w:space="0"/>
            </w:tcBorders>
            <w:noWrap/>
            <w:vAlign w:val="center"/>
          </w:tcPr>
          <w:p w14:paraId="3E86F51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7530" w:type="dxa"/>
            <w:tcBorders>
              <w:top w:val="single" w:color="auto" w:sz="4" w:space="0"/>
              <w:left w:val="single" w:color="auto" w:sz="4" w:space="0"/>
              <w:bottom w:val="single" w:color="auto" w:sz="4" w:space="0"/>
              <w:right w:val="single" w:color="auto" w:sz="4" w:space="0"/>
            </w:tcBorders>
            <w:noWrap/>
            <w:vAlign w:val="center"/>
          </w:tcPr>
          <w:p w14:paraId="226D7C45">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lang w:eastAsia="zh-CN"/>
              </w:rPr>
            </w:pPr>
            <w:r>
              <w:rPr>
                <w:rFonts w:hint="eastAsia" w:hAnsi="宋体" w:eastAsia="宋体" w:cs="宋体"/>
                <w:snapToGrid w:val="0"/>
                <w:color w:val="auto"/>
                <w:kern w:val="0"/>
                <w:sz w:val="24"/>
                <w:szCs w:val="24"/>
                <w:highlight w:val="none"/>
                <w:lang w:eastAsia="zh-CN"/>
              </w:rPr>
              <w:t>2411-440222-04-01-580968</w:t>
            </w:r>
          </w:p>
        </w:tc>
      </w:tr>
      <w:tr w14:paraId="166C3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0C7C21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23" w:type="dxa"/>
            <w:tcBorders>
              <w:top w:val="single" w:color="auto" w:sz="4" w:space="0"/>
              <w:left w:val="single" w:color="auto" w:sz="4" w:space="0"/>
              <w:bottom w:val="single" w:color="auto" w:sz="4" w:space="0"/>
              <w:right w:val="single" w:color="auto" w:sz="4" w:space="0"/>
            </w:tcBorders>
            <w:noWrap/>
            <w:vAlign w:val="center"/>
          </w:tcPr>
          <w:p w14:paraId="07D77D28">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0CAF595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7530" w:type="dxa"/>
            <w:tcBorders>
              <w:top w:val="single" w:color="auto" w:sz="4" w:space="0"/>
              <w:left w:val="single" w:color="auto" w:sz="4" w:space="0"/>
              <w:bottom w:val="single" w:color="auto" w:sz="4" w:space="0"/>
              <w:right w:val="single" w:color="auto" w:sz="4" w:space="0"/>
            </w:tcBorders>
            <w:noWrap/>
            <w:vAlign w:val="center"/>
          </w:tcPr>
          <w:p w14:paraId="73621DEC">
            <w:pPr>
              <w:pStyle w:val="27"/>
              <w:keepNext w:val="0"/>
              <w:keepLines w:val="0"/>
              <w:pageBreakBefore w:val="0"/>
              <w:tabs>
                <w:tab w:val="left" w:pos="1180"/>
              </w:tabs>
              <w:kinsoku/>
              <w:overflowPunct/>
              <w:topLinePunct w:val="0"/>
              <w:autoSpaceDE/>
              <w:autoSpaceDN/>
              <w:bidi w:val="0"/>
              <w:spacing w:line="36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县级财政资金安排解决</w:t>
            </w:r>
            <w:r>
              <w:rPr>
                <w:rFonts w:hint="eastAsia" w:ascii="宋体" w:hAnsi="宋体" w:eastAsia="宋体" w:cs="宋体"/>
                <w:color w:val="auto"/>
                <w:sz w:val="24"/>
                <w:szCs w:val="24"/>
                <w:highlight w:val="none"/>
              </w:rPr>
              <w:t>100%</w:t>
            </w:r>
          </w:p>
        </w:tc>
      </w:tr>
      <w:tr w14:paraId="36F92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7CE2F92">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723" w:type="dxa"/>
            <w:tcBorders>
              <w:top w:val="single" w:color="auto" w:sz="4" w:space="0"/>
              <w:left w:val="single" w:color="auto" w:sz="4" w:space="0"/>
              <w:bottom w:val="single" w:color="auto" w:sz="4" w:space="0"/>
              <w:right w:val="single" w:color="auto" w:sz="4" w:space="0"/>
            </w:tcBorders>
            <w:noWrap/>
            <w:vAlign w:val="center"/>
          </w:tcPr>
          <w:p w14:paraId="48C0D43B">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w:t>
            </w:r>
          </w:p>
        </w:tc>
        <w:tc>
          <w:tcPr>
            <w:tcW w:w="7530" w:type="dxa"/>
            <w:tcBorders>
              <w:top w:val="single" w:color="auto" w:sz="4" w:space="0"/>
              <w:left w:val="single" w:color="auto" w:sz="4" w:space="0"/>
              <w:bottom w:val="single" w:color="auto" w:sz="4" w:space="0"/>
              <w:right w:val="single" w:color="auto" w:sz="4" w:space="0"/>
            </w:tcBorders>
            <w:noWrap/>
            <w:vAlign w:val="center"/>
          </w:tcPr>
          <w:p w14:paraId="03B71F36">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bCs/>
                <w:color w:val="auto"/>
                <w:sz w:val="24"/>
                <w:szCs w:val="24"/>
                <w:highlight w:val="none"/>
                <w:lang w:eastAsia="zh-CN"/>
              </w:rPr>
            </w:pPr>
            <w:r>
              <w:rPr>
                <w:rFonts w:hint="eastAsia" w:hAnsi="宋体" w:cs="宋体"/>
                <w:color w:val="auto"/>
                <w:kern w:val="0"/>
                <w:sz w:val="24"/>
                <w:szCs w:val="24"/>
                <w:highlight w:val="none"/>
                <w:lang w:eastAsia="zh-CN"/>
              </w:rPr>
              <w:t>始兴县文化广电旅游体育局</w:t>
            </w:r>
          </w:p>
        </w:tc>
      </w:tr>
      <w:tr w14:paraId="06E58E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4D41DE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8</w:t>
            </w:r>
          </w:p>
        </w:tc>
        <w:tc>
          <w:tcPr>
            <w:tcW w:w="1723" w:type="dxa"/>
            <w:tcBorders>
              <w:top w:val="single" w:color="auto" w:sz="4" w:space="0"/>
              <w:left w:val="single" w:color="auto" w:sz="4" w:space="0"/>
              <w:bottom w:val="single" w:color="auto" w:sz="4" w:space="0"/>
              <w:right w:val="single" w:color="auto" w:sz="4" w:space="0"/>
            </w:tcBorders>
            <w:noWrap/>
            <w:vAlign w:val="center"/>
          </w:tcPr>
          <w:p w14:paraId="148AF9D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招标代理机构</w:t>
            </w:r>
          </w:p>
        </w:tc>
        <w:tc>
          <w:tcPr>
            <w:tcW w:w="7530" w:type="dxa"/>
            <w:tcBorders>
              <w:top w:val="single" w:color="auto" w:sz="4" w:space="0"/>
              <w:left w:val="single" w:color="auto" w:sz="4" w:space="0"/>
              <w:bottom w:val="single" w:color="auto" w:sz="4" w:space="0"/>
              <w:right w:val="single" w:color="auto" w:sz="4" w:space="0"/>
            </w:tcBorders>
            <w:noWrap/>
            <w:vAlign w:val="center"/>
          </w:tcPr>
          <w:p w14:paraId="0C2E5032">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韶关市诚智工程管理咨询有限公司</w:t>
            </w:r>
          </w:p>
        </w:tc>
      </w:tr>
      <w:tr w14:paraId="267F87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D7C76AE">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9</w:t>
            </w:r>
          </w:p>
        </w:tc>
        <w:tc>
          <w:tcPr>
            <w:tcW w:w="1723" w:type="dxa"/>
            <w:tcBorders>
              <w:top w:val="single" w:color="auto" w:sz="4" w:space="0"/>
              <w:left w:val="single" w:color="auto" w:sz="4" w:space="0"/>
              <w:bottom w:val="single" w:color="auto" w:sz="4" w:space="0"/>
              <w:right w:val="single" w:color="auto" w:sz="4" w:space="0"/>
            </w:tcBorders>
            <w:noWrap/>
            <w:vAlign w:val="center"/>
          </w:tcPr>
          <w:p w14:paraId="60AF2E2B">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项目总投资</w:t>
            </w:r>
          </w:p>
        </w:tc>
        <w:tc>
          <w:tcPr>
            <w:tcW w:w="7530" w:type="dxa"/>
            <w:tcBorders>
              <w:top w:val="single" w:color="auto" w:sz="4" w:space="0"/>
              <w:left w:val="single" w:color="auto" w:sz="4" w:space="0"/>
              <w:bottom w:val="single" w:color="auto" w:sz="4" w:space="0"/>
              <w:right w:val="single" w:color="auto" w:sz="4" w:space="0"/>
            </w:tcBorders>
            <w:noWrap/>
            <w:vAlign w:val="center"/>
          </w:tcPr>
          <w:p w14:paraId="0E8BCFA5">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项目概算总投资</w:t>
            </w:r>
            <w:r>
              <w:rPr>
                <w:rFonts w:hint="eastAsia" w:hAnsi="宋体" w:cs="宋体"/>
                <w:color w:val="auto"/>
                <w:sz w:val="24"/>
                <w:szCs w:val="24"/>
                <w:highlight w:val="none"/>
                <w:lang w:val="en-US" w:eastAsia="zh-CN"/>
              </w:rPr>
              <w:t>3046.30</w:t>
            </w:r>
            <w:r>
              <w:rPr>
                <w:rFonts w:hint="eastAsia" w:ascii="宋体" w:hAnsi="宋体" w:eastAsia="宋体" w:cs="宋体"/>
                <w:color w:val="auto"/>
                <w:sz w:val="24"/>
                <w:szCs w:val="24"/>
                <w:highlight w:val="none"/>
                <w:lang w:eastAsia="zh-CN"/>
              </w:rPr>
              <w:t>万元，其中：勘察设计费约</w:t>
            </w:r>
            <w:r>
              <w:rPr>
                <w:rFonts w:hint="eastAsia" w:hAnsi="宋体" w:cs="宋体"/>
                <w:color w:val="auto"/>
                <w:sz w:val="24"/>
                <w:szCs w:val="24"/>
                <w:highlight w:val="none"/>
                <w:lang w:val="en-US" w:eastAsia="zh-CN"/>
              </w:rPr>
              <w:t>46.3</w:t>
            </w:r>
            <w:r>
              <w:rPr>
                <w:rFonts w:hint="eastAsia" w:ascii="宋体" w:hAnsi="宋体" w:eastAsia="宋体" w:cs="宋体"/>
                <w:color w:val="auto"/>
                <w:sz w:val="24"/>
                <w:szCs w:val="24"/>
                <w:highlight w:val="none"/>
                <w:lang w:eastAsia="zh-CN"/>
              </w:rPr>
              <w:t>万元，建安工程费约</w:t>
            </w:r>
            <w:r>
              <w:rPr>
                <w:rFonts w:hint="eastAsia" w:hAnsi="宋体" w:cs="宋体"/>
                <w:color w:val="auto"/>
                <w:sz w:val="24"/>
                <w:szCs w:val="24"/>
                <w:highlight w:val="none"/>
                <w:lang w:val="en-US" w:eastAsia="zh-CN"/>
              </w:rPr>
              <w:t>3000</w:t>
            </w:r>
            <w:r>
              <w:rPr>
                <w:rFonts w:hint="eastAsia" w:ascii="宋体" w:hAnsi="宋体" w:eastAsia="宋体" w:cs="宋体"/>
                <w:color w:val="auto"/>
                <w:sz w:val="24"/>
                <w:szCs w:val="24"/>
                <w:highlight w:val="none"/>
                <w:lang w:eastAsia="zh-CN"/>
              </w:rPr>
              <w:t>万元。</w:t>
            </w:r>
          </w:p>
        </w:tc>
      </w:tr>
      <w:tr w14:paraId="1DA66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0D8FCDE">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723" w:type="dxa"/>
            <w:tcBorders>
              <w:top w:val="single" w:color="auto" w:sz="4" w:space="0"/>
              <w:left w:val="single" w:color="auto" w:sz="4" w:space="0"/>
              <w:bottom w:val="single" w:color="auto" w:sz="4" w:space="0"/>
              <w:right w:val="single" w:color="auto" w:sz="4" w:space="0"/>
            </w:tcBorders>
            <w:noWrap/>
            <w:vAlign w:val="center"/>
          </w:tcPr>
          <w:p w14:paraId="60194323">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建设地点</w:t>
            </w:r>
          </w:p>
        </w:tc>
        <w:tc>
          <w:tcPr>
            <w:tcW w:w="7530" w:type="dxa"/>
            <w:tcBorders>
              <w:top w:val="single" w:color="auto" w:sz="4" w:space="0"/>
              <w:left w:val="single" w:color="auto" w:sz="4" w:space="0"/>
              <w:bottom w:val="single" w:color="auto" w:sz="4" w:space="0"/>
              <w:right w:val="single" w:color="auto" w:sz="4" w:space="0"/>
            </w:tcBorders>
            <w:noWrap/>
            <w:vAlign w:val="center"/>
          </w:tcPr>
          <w:p w14:paraId="3B80C0E1">
            <w:pPr>
              <w:pStyle w:val="27"/>
              <w:keepNext w:val="0"/>
              <w:keepLines w:val="0"/>
              <w:pageBreakBefore w:val="0"/>
              <w:kinsoku/>
              <w:overflowPunct/>
              <w:topLinePunct w:val="0"/>
              <w:autoSpaceDE/>
              <w:autoSpaceDN/>
              <w:bidi w:val="0"/>
              <w:spacing w:line="36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snapToGrid/>
                <w:color w:val="auto"/>
                <w:kern w:val="2"/>
                <w:sz w:val="24"/>
                <w:szCs w:val="24"/>
                <w:highlight w:val="none"/>
                <w:u w:val="none"/>
                <w:lang w:eastAsia="zh-CN"/>
              </w:rPr>
              <w:t>始兴县太平镇东湖坪民俗文化村周边。</w:t>
            </w:r>
          </w:p>
        </w:tc>
      </w:tr>
      <w:tr w14:paraId="3D9407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256BA59">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723" w:type="dxa"/>
            <w:tcBorders>
              <w:top w:val="single" w:color="auto" w:sz="4" w:space="0"/>
              <w:left w:val="single" w:color="auto" w:sz="4" w:space="0"/>
              <w:bottom w:val="single" w:color="auto" w:sz="4" w:space="0"/>
              <w:right w:val="single" w:color="auto" w:sz="4" w:space="0"/>
            </w:tcBorders>
            <w:noWrap/>
            <w:vAlign w:val="center"/>
          </w:tcPr>
          <w:p w14:paraId="6331649B">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项目建设内容</w:t>
            </w:r>
          </w:p>
          <w:p w14:paraId="54AD8F68">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和规模</w:t>
            </w:r>
          </w:p>
        </w:tc>
        <w:tc>
          <w:tcPr>
            <w:tcW w:w="7530" w:type="dxa"/>
            <w:tcBorders>
              <w:top w:val="single" w:color="auto" w:sz="4" w:space="0"/>
              <w:left w:val="single" w:color="auto" w:sz="4" w:space="0"/>
              <w:bottom w:val="single" w:color="auto" w:sz="4" w:space="0"/>
              <w:right w:val="single" w:color="auto" w:sz="4" w:space="0"/>
            </w:tcBorders>
            <w:noWrap/>
            <w:vAlign w:val="center"/>
          </w:tcPr>
          <w:p w14:paraId="6CD1FE1F">
            <w:pPr>
              <w:pStyle w:val="27"/>
              <w:keepNext w:val="0"/>
              <w:keepLines w:val="0"/>
              <w:pageBreakBefore w:val="0"/>
              <w:kinsoku/>
              <w:overflowPunct/>
              <w:topLinePunct w:val="0"/>
              <w:autoSpaceDE/>
              <w:autoSpaceDN/>
              <w:bidi w:val="0"/>
              <w:spacing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Cs w:val="24"/>
                <w:highlight w:val="none"/>
              </w:rPr>
              <w:t>景区旅游基础设施建设：主要包含停车场，交通环线建设，环境整治，休息设施，游览步道，标识标牌等（实际施工内容业主可根据需要适当调整）</w:t>
            </w:r>
            <w:r>
              <w:rPr>
                <w:rFonts w:hint="eastAsia" w:hAnsi="宋体" w:cs="宋体"/>
                <w:color w:val="auto"/>
                <w:szCs w:val="24"/>
                <w:highlight w:val="none"/>
                <w:lang w:eastAsia="zh-CN"/>
              </w:rPr>
              <w:t>。</w:t>
            </w:r>
          </w:p>
        </w:tc>
      </w:tr>
      <w:tr w14:paraId="22500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9FC3C8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23" w:type="dxa"/>
            <w:tcBorders>
              <w:top w:val="single" w:color="auto" w:sz="4" w:space="0"/>
              <w:left w:val="single" w:color="auto" w:sz="4" w:space="0"/>
              <w:bottom w:val="single" w:color="auto" w:sz="4" w:space="0"/>
              <w:right w:val="single" w:color="auto" w:sz="4" w:space="0"/>
            </w:tcBorders>
            <w:noWrap/>
            <w:vAlign w:val="center"/>
          </w:tcPr>
          <w:p w14:paraId="62C74530">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招标范围</w:t>
            </w:r>
          </w:p>
          <w:p w14:paraId="091B0450">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color w:val="auto"/>
                <w:kern w:val="0"/>
                <w:sz w:val="24"/>
                <w:szCs w:val="24"/>
                <w:highlight w:val="none"/>
              </w:rPr>
            </w:pPr>
          </w:p>
        </w:tc>
        <w:tc>
          <w:tcPr>
            <w:tcW w:w="7530" w:type="dxa"/>
            <w:tcBorders>
              <w:top w:val="single" w:color="auto" w:sz="4" w:space="0"/>
              <w:left w:val="single" w:color="auto" w:sz="4" w:space="0"/>
              <w:bottom w:val="single" w:color="auto" w:sz="4" w:space="0"/>
              <w:right w:val="single" w:color="auto" w:sz="4" w:space="0"/>
            </w:tcBorders>
            <w:noWrap/>
            <w:vAlign w:val="center"/>
          </w:tcPr>
          <w:p w14:paraId="78945155">
            <w:pPr>
              <w:pStyle w:val="27"/>
              <w:keepNext w:val="0"/>
              <w:keepLines w:val="0"/>
              <w:pageBreakBefore w:val="0"/>
              <w:kinsoku/>
              <w:overflowPunct/>
              <w:topLinePunct w:val="0"/>
              <w:autoSpaceDE/>
              <w:autoSpaceDN/>
              <w:bidi w:val="0"/>
              <w:spacing w:line="360" w:lineRule="exact"/>
              <w:ind w:left="247" w:leftChars="103"/>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本工程所涉及的内容包括但不限于（具体以项目主管部门批准的建设内容为准）：</w:t>
            </w:r>
          </w:p>
          <w:p w14:paraId="41FCB970">
            <w:pPr>
              <w:pStyle w:val="27"/>
              <w:keepNext w:val="0"/>
              <w:keepLines w:val="0"/>
              <w:pageBreakBefore w:val="0"/>
              <w:kinsoku/>
              <w:overflowPunct/>
              <w:topLinePunct w:val="0"/>
              <w:autoSpaceDE/>
              <w:autoSpaceDN/>
              <w:bidi w:val="0"/>
              <w:spacing w:line="360" w:lineRule="exact"/>
              <w:ind w:left="0" w:lef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本项目的设计范围：确保项目顺利实施的规划、报建、施工等所需的所有建安工程等设计文件。包括：施工图设计、工地现场服务、验收过程中的设计指导及配合阶段验收及档案整理、协助施工单位编制竣工图及后续设计服务工作。</w:t>
            </w:r>
          </w:p>
          <w:p w14:paraId="31180783">
            <w:pPr>
              <w:pStyle w:val="27"/>
              <w:keepNext w:val="0"/>
              <w:keepLines w:val="0"/>
              <w:pageBreakBefore w:val="0"/>
              <w:kinsoku/>
              <w:overflowPunct/>
              <w:topLinePunct w:val="0"/>
              <w:autoSpaceDE/>
              <w:autoSpaceDN/>
              <w:bidi w:val="0"/>
              <w:spacing w:line="360" w:lineRule="exact"/>
              <w:ind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CN" w:eastAsia="zh-CN" w:bidi="ar-SA"/>
              </w:rPr>
              <w:t>）</w:t>
            </w:r>
            <w:r>
              <w:rPr>
                <w:rFonts w:hint="eastAsia" w:ascii="宋体" w:hAnsi="宋体" w:eastAsia="宋体" w:cs="宋体"/>
                <w:color w:val="auto"/>
                <w:kern w:val="2"/>
                <w:sz w:val="24"/>
                <w:szCs w:val="24"/>
                <w:highlight w:val="none"/>
                <w:lang w:val="en-US" w:eastAsia="zh-CN" w:bidi="ar-SA"/>
              </w:rPr>
              <w:t>本项目的施工范围：施工图设计文件范围的所有工程施工。</w:t>
            </w:r>
          </w:p>
        </w:tc>
      </w:tr>
      <w:tr w14:paraId="55A53B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B65318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23" w:type="dxa"/>
            <w:tcBorders>
              <w:top w:val="single" w:color="auto" w:sz="4" w:space="0"/>
              <w:left w:val="single" w:color="auto" w:sz="4" w:space="0"/>
              <w:bottom w:val="single" w:color="auto" w:sz="4" w:space="0"/>
              <w:right w:val="single" w:color="auto" w:sz="4" w:space="0"/>
            </w:tcBorders>
            <w:noWrap/>
            <w:vAlign w:val="center"/>
          </w:tcPr>
          <w:p w14:paraId="5F5BC2D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标段划分</w:t>
            </w:r>
          </w:p>
        </w:tc>
        <w:tc>
          <w:tcPr>
            <w:tcW w:w="7530" w:type="dxa"/>
            <w:tcBorders>
              <w:top w:val="single" w:color="auto" w:sz="4" w:space="0"/>
              <w:left w:val="single" w:color="auto" w:sz="4" w:space="0"/>
              <w:bottom w:val="single" w:color="auto" w:sz="4" w:space="0"/>
              <w:right w:val="single" w:color="auto" w:sz="4" w:space="0"/>
            </w:tcBorders>
            <w:noWrap/>
            <w:vAlign w:val="center"/>
          </w:tcPr>
          <w:p w14:paraId="1D8FA72F">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本招标项目不划分标段。</w:t>
            </w:r>
          </w:p>
        </w:tc>
      </w:tr>
      <w:tr w14:paraId="07F95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56"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DF4AF97">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23" w:type="dxa"/>
            <w:tcBorders>
              <w:top w:val="single" w:color="auto" w:sz="4" w:space="0"/>
              <w:left w:val="single" w:color="auto" w:sz="4" w:space="0"/>
              <w:bottom w:val="single" w:color="auto" w:sz="4" w:space="0"/>
              <w:right w:val="single" w:color="auto" w:sz="4" w:space="0"/>
            </w:tcBorders>
            <w:noWrap/>
            <w:vAlign w:val="center"/>
          </w:tcPr>
          <w:p w14:paraId="0F6390FE">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7530" w:type="dxa"/>
            <w:tcBorders>
              <w:top w:val="single" w:color="auto" w:sz="4" w:space="0"/>
              <w:left w:val="single" w:color="auto" w:sz="4" w:space="0"/>
              <w:bottom w:val="single" w:color="auto" w:sz="4" w:space="0"/>
              <w:right w:val="single" w:color="auto" w:sz="4" w:space="0"/>
            </w:tcBorders>
            <w:noWrap/>
            <w:vAlign w:val="center"/>
          </w:tcPr>
          <w:p w14:paraId="1FD792F4">
            <w:pPr>
              <w:keepNext w:val="0"/>
              <w:keepLines w:val="0"/>
              <w:pageBreakBefore w:val="0"/>
              <w:kinsoku/>
              <w:wordWrap w:val="0"/>
              <w:overflowPunct/>
              <w:topLinePunct w:val="0"/>
              <w:autoSpaceDE/>
              <w:autoSpaceDN/>
              <w:bidi w:val="0"/>
              <w:adjustRightInd w:val="0"/>
              <w:snapToGrid w:val="0"/>
              <w:spacing w:line="360" w:lineRule="exact"/>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eastAsia="宋体" w:cs="宋体"/>
                <w:color w:val="auto"/>
                <w:kern w:val="0"/>
                <w:sz w:val="24"/>
                <w:szCs w:val="24"/>
                <w:highlight w:val="none"/>
                <w:lang w:val="en-US" w:eastAsia="zh-CN"/>
              </w:rPr>
              <w:t xml:space="preserve"> 180</w:t>
            </w:r>
            <w:r>
              <w:rPr>
                <w:rFonts w:hint="eastAsia" w:ascii="宋体" w:hAnsi="宋体" w:eastAsia="宋体" w:cs="宋体"/>
                <w:color w:val="auto"/>
                <w:kern w:val="0"/>
                <w:sz w:val="24"/>
                <w:szCs w:val="24"/>
                <w:highlight w:val="none"/>
                <w:lang w:eastAsia="zh-CN"/>
              </w:rPr>
              <w:t>日历天【其中：设计工期</w:t>
            </w:r>
            <w:r>
              <w:rPr>
                <w:rFonts w:hint="eastAsia" w:hAnsi="宋体" w:eastAsia="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lang w:eastAsia="zh-CN"/>
              </w:rPr>
              <w:t>日历天、施工工期</w:t>
            </w:r>
            <w:r>
              <w:rPr>
                <w:rFonts w:hint="eastAsia" w:hAnsi="宋体" w:eastAsia="宋体" w:cs="宋体"/>
                <w:color w:val="auto"/>
                <w:kern w:val="0"/>
                <w:sz w:val="24"/>
                <w:szCs w:val="24"/>
                <w:highlight w:val="none"/>
                <w:lang w:val="en-US" w:eastAsia="zh-CN"/>
              </w:rPr>
              <w:t>120</w:t>
            </w:r>
            <w:r>
              <w:rPr>
                <w:rFonts w:hint="eastAsia" w:ascii="宋体" w:hAnsi="宋体" w:eastAsia="宋体" w:cs="宋体"/>
                <w:color w:val="auto"/>
                <w:kern w:val="0"/>
                <w:sz w:val="24"/>
                <w:szCs w:val="24"/>
                <w:highlight w:val="none"/>
                <w:lang w:eastAsia="zh-CN"/>
              </w:rPr>
              <w:t>日历天】。</w:t>
            </w:r>
          </w:p>
        </w:tc>
      </w:tr>
      <w:tr w14:paraId="1ED7BD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4BB3FA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23" w:type="dxa"/>
            <w:tcBorders>
              <w:top w:val="single" w:color="auto" w:sz="4" w:space="0"/>
              <w:left w:val="single" w:color="auto" w:sz="4" w:space="0"/>
              <w:bottom w:val="single" w:color="auto" w:sz="4" w:space="0"/>
              <w:right w:val="single" w:color="auto" w:sz="4" w:space="0"/>
            </w:tcBorders>
            <w:noWrap/>
            <w:vAlign w:val="center"/>
          </w:tcPr>
          <w:p w14:paraId="305136B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7530" w:type="dxa"/>
            <w:tcBorders>
              <w:top w:val="single" w:color="auto" w:sz="4" w:space="0"/>
              <w:left w:val="single" w:color="auto" w:sz="4" w:space="0"/>
              <w:bottom w:val="single" w:color="auto" w:sz="4" w:space="0"/>
              <w:right w:val="single" w:color="auto" w:sz="4" w:space="0"/>
            </w:tcBorders>
            <w:noWrap/>
            <w:vAlign w:val="center"/>
          </w:tcPr>
          <w:p w14:paraId="2C0636B7">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设计要求：符合国家或行业颁布的现行有效的有关设计的规范要求，并必须通过有关部门的审查及经有资质的审图机构审查合格。</w:t>
            </w:r>
          </w:p>
          <w:p w14:paraId="02AA2922">
            <w:pPr>
              <w:pStyle w:val="27"/>
              <w:keepNext w:val="0"/>
              <w:keepLines w:val="0"/>
              <w:pageBreakBefore w:val="0"/>
              <w:kinsoku/>
              <w:overflowPunct/>
              <w:topLinePunct w:val="0"/>
              <w:autoSpaceDE/>
              <w:autoSpaceDN/>
              <w:bidi w:val="0"/>
              <w:spacing w:line="360" w:lineRule="exact"/>
              <w:ind w:firstLine="240" w:firstLineChars="100"/>
              <w:jc w:val="left"/>
              <w:textAlignment w:val="auto"/>
              <w:rPr>
                <w:rFonts w:hint="eastAsia" w:ascii="宋体" w:hAnsi="宋体" w:eastAsia="宋体" w:cs="宋体"/>
                <w:bCs/>
                <w:color w:val="auto"/>
                <w:sz w:val="24"/>
                <w:szCs w:val="24"/>
                <w:highlight w:val="none"/>
              </w:rPr>
            </w:pPr>
            <w:r>
              <w:rPr>
                <w:rFonts w:hint="eastAsia" w:ascii="宋体" w:hAnsi="宋体" w:eastAsia="宋体" w:cs="宋体"/>
                <w:snapToGrid w:val="0"/>
                <w:color w:val="auto"/>
                <w:kern w:val="0"/>
                <w:sz w:val="24"/>
                <w:szCs w:val="24"/>
                <w:highlight w:val="none"/>
              </w:rPr>
              <w:t>施工要求：施工质量必须达到合格标准。</w:t>
            </w:r>
          </w:p>
        </w:tc>
      </w:tr>
      <w:tr w14:paraId="7A420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28"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D97619B">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23" w:type="dxa"/>
            <w:tcBorders>
              <w:top w:val="single" w:color="auto" w:sz="4" w:space="0"/>
              <w:left w:val="single" w:color="auto" w:sz="4" w:space="0"/>
              <w:bottom w:val="single" w:color="auto" w:sz="4" w:space="0"/>
              <w:right w:val="single" w:color="auto" w:sz="4" w:space="0"/>
            </w:tcBorders>
            <w:noWrap/>
            <w:vAlign w:val="center"/>
          </w:tcPr>
          <w:p w14:paraId="3D2652F7">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工程最高投标限价</w:t>
            </w:r>
          </w:p>
        </w:tc>
        <w:tc>
          <w:tcPr>
            <w:tcW w:w="7530" w:type="dxa"/>
            <w:tcBorders>
              <w:top w:val="single" w:color="auto" w:sz="4" w:space="0"/>
              <w:left w:val="single" w:color="auto" w:sz="4" w:space="0"/>
              <w:bottom w:val="single" w:color="auto" w:sz="4" w:space="0"/>
              <w:right w:val="single" w:color="auto" w:sz="4" w:space="0"/>
            </w:tcBorders>
            <w:noWrap/>
            <w:vAlign w:val="center"/>
          </w:tcPr>
          <w:p w14:paraId="429EA86F">
            <w:pPr>
              <w:keepNext w:val="0"/>
              <w:keepLines w:val="0"/>
              <w:widowControl/>
              <w:suppressLineNumbers w:val="0"/>
              <w:jc w:val="left"/>
              <w:rPr>
                <w:rFonts w:hAnsi="宋体" w:eastAsia="宋体" w:cs="宋体"/>
                <w:color w:val="auto"/>
                <w:szCs w:val="24"/>
                <w:highlight w:val="none"/>
              </w:rPr>
            </w:pPr>
            <w:r>
              <w:rPr>
                <w:rFonts w:hint="eastAsia" w:ascii="宋体" w:hAnsi="宋体" w:eastAsia="宋体" w:cs="宋体"/>
                <w:color w:val="auto"/>
                <w:kern w:val="2"/>
                <w:sz w:val="24"/>
                <w:szCs w:val="24"/>
                <w:highlight w:val="none"/>
                <w:lang w:val="en-US" w:eastAsia="zh-CN" w:bidi="ar-SA"/>
              </w:rPr>
              <w:t>本工程最高投标限价为人民币（大写）</w:t>
            </w:r>
            <w:r>
              <w:rPr>
                <w:rFonts w:hint="eastAsia" w:ascii="宋体" w:hAnsi="宋体" w:eastAsia="宋体" w:cs="宋体"/>
                <w:i w:val="0"/>
                <w:caps w:val="0"/>
                <w:color w:val="auto"/>
                <w:spacing w:val="0"/>
                <w:kern w:val="2"/>
                <w:sz w:val="24"/>
                <w:szCs w:val="24"/>
                <w:highlight w:val="none"/>
                <w:shd w:val="clear" w:fill="auto"/>
                <w:lang w:val="en-US" w:eastAsia="zh-CN" w:bidi="ar-SA"/>
              </w:rPr>
              <w:t>叁仟零肆拾陆万叁仟</w:t>
            </w:r>
            <w:r>
              <w:rPr>
                <w:rFonts w:hint="eastAsia" w:ascii="宋体" w:hAnsi="宋体" w:eastAsia="宋体" w:cs="宋体"/>
                <w:color w:val="auto"/>
                <w:sz w:val="24"/>
                <w:szCs w:val="24"/>
                <w:highlight w:val="none"/>
                <w:u w:val="single"/>
                <w:lang w:val="en-US" w:eastAsia="zh-CN"/>
              </w:rPr>
              <w:t>元</w:t>
            </w:r>
          </w:p>
          <w:p w14:paraId="07FFD19A">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snapToGrid w:val="0"/>
                <w:color w:val="auto"/>
                <w:kern w:val="0"/>
                <w:sz w:val="24"/>
                <w:szCs w:val="24"/>
                <w:highlight w:val="none"/>
                <w:lang w:val="en-US"/>
              </w:rPr>
            </w:pPr>
            <w:r>
              <w:rPr>
                <w:rFonts w:hint="eastAsia" w:ascii="宋体" w:hAnsi="宋体" w:eastAsia="宋体" w:cs="宋体"/>
                <w:color w:val="auto"/>
                <w:sz w:val="24"/>
                <w:szCs w:val="24"/>
                <w:highlight w:val="none"/>
                <w:u w:val="single"/>
                <w:lang w:val="en-US" w:eastAsia="zh-CN"/>
              </w:rPr>
              <w:t>（小写：</w:t>
            </w:r>
            <w:r>
              <w:rPr>
                <w:rFonts w:hint="eastAsia" w:hAnsi="宋体" w:cs="宋体"/>
                <w:color w:val="auto"/>
                <w:sz w:val="24"/>
                <w:szCs w:val="24"/>
                <w:highlight w:val="none"/>
                <w:u w:val="single"/>
                <w:lang w:val="en-US" w:eastAsia="zh-CN"/>
              </w:rPr>
              <w:t>30463000.00</w:t>
            </w:r>
            <w:r>
              <w:rPr>
                <w:rFonts w:hint="eastAsia" w:ascii="宋体" w:hAnsi="宋体" w:eastAsia="宋体" w:cs="宋体"/>
                <w:color w:val="auto"/>
                <w:sz w:val="24"/>
                <w:szCs w:val="24"/>
                <w:highlight w:val="none"/>
                <w:u w:val="single"/>
                <w:lang w:val="en-US" w:eastAsia="zh-CN"/>
              </w:rPr>
              <w:t>元）</w:t>
            </w:r>
            <w:r>
              <w:rPr>
                <w:rFonts w:hint="eastAsia" w:ascii="宋体" w:hAnsi="宋体" w:eastAsia="宋体" w:cs="宋体"/>
                <w:color w:val="auto"/>
                <w:kern w:val="1"/>
                <w:sz w:val="24"/>
                <w:szCs w:val="24"/>
                <w:highlight w:val="none"/>
                <w:u w:val="none"/>
                <w:lang w:val="en-US" w:eastAsia="zh-CN"/>
              </w:rPr>
              <w:t>。</w:t>
            </w:r>
          </w:p>
        </w:tc>
      </w:tr>
      <w:tr w14:paraId="18F128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91E5074">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23" w:type="dxa"/>
            <w:tcBorders>
              <w:top w:val="single" w:color="auto" w:sz="4" w:space="0"/>
              <w:left w:val="single" w:color="auto" w:sz="4" w:space="0"/>
              <w:bottom w:val="single" w:color="auto" w:sz="4" w:space="0"/>
              <w:right w:val="single" w:color="auto" w:sz="4" w:space="0"/>
            </w:tcBorders>
            <w:noWrap/>
            <w:vAlign w:val="center"/>
          </w:tcPr>
          <w:p w14:paraId="562A09FF">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7530" w:type="dxa"/>
            <w:tcBorders>
              <w:top w:val="single" w:color="auto" w:sz="4" w:space="0"/>
              <w:left w:val="single" w:color="auto" w:sz="4" w:space="0"/>
              <w:bottom w:val="single" w:color="auto" w:sz="4" w:space="0"/>
              <w:right w:val="single" w:color="auto" w:sz="4" w:space="0"/>
            </w:tcBorders>
            <w:noWrap/>
            <w:vAlign w:val="center"/>
          </w:tcPr>
          <w:p w14:paraId="22D1A8F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1.本次招标接受联合体投标，联合体以一个投标人的身份共同投标。</w:t>
            </w:r>
          </w:p>
          <w:p w14:paraId="424DCC1A">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1.1联合体成员数量不超过</w:t>
            </w:r>
            <w:r>
              <w:rPr>
                <w:rFonts w:hint="eastAsia"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个。</w:t>
            </w:r>
          </w:p>
          <w:p w14:paraId="4F84417D">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1.2联合体各方应按招标文件提供的格式签订联合体协议书，明确联合体牵头人和各方权利义务，并承诺就中标项目向招标人承担连带责任。《联合体协议书》作为投标文件的组成部分向招标人提交。</w:t>
            </w:r>
          </w:p>
          <w:p w14:paraId="260681BD">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1.3联合体成员单位均应具备拟承担的工作内容（以《联合体协议书》的约定为准）所规定的资格条件。若同一工作内容由两个或两个以上单位共同承担，该项工作内容按照资质等级较低的单位确定联合体资质等级。  </w:t>
            </w:r>
          </w:p>
          <w:p w14:paraId="23C18BA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1.4联合体各方不得再以自己名义单独或参加其他联合体在本招标项目中投标，否则各相关投标均无效。</w:t>
            </w:r>
          </w:p>
          <w:p w14:paraId="0EAE662A">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6D71990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405C3404">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w:t>
            </w:r>
          </w:p>
          <w:p w14:paraId="1D1E1769">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 参加投标的投标人可以是单一独立法人或由不超过</w:t>
            </w:r>
            <w:r>
              <w:rPr>
                <w:rFonts w:hint="eastAsia"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家独立法人组成的联合体【必须注明其中一家为牵头人，牵头人必须为施工单位（投标人或组成联合体投标人的任意一方）】，联合体各方不得再以自己的名义单独申请，也不得同时参加两个或两个以上的联合体进行本项目的投标。单一独立法人必须至少同时具备以下(1)～(2)资质，组成联合体投标的，联合后必须至少具备以下(1)～(2)资质：</w:t>
            </w:r>
          </w:p>
          <w:p w14:paraId="39E66DA1">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（1)施工单位（投标人或组成联合体投标人）必须具备建设行政主管部门颁发的市政公用工程施工总承包</w:t>
            </w:r>
            <w:r>
              <w:rPr>
                <w:rFonts w:hint="eastAsia" w:hAnsi="宋体" w:eastAsia="宋体" w:cs="宋体"/>
                <w:snapToGrid w:val="0"/>
                <w:color w:val="auto"/>
                <w:kern w:val="0"/>
                <w:sz w:val="24"/>
                <w:szCs w:val="24"/>
                <w:highlight w:val="none"/>
                <w:lang w:eastAsia="zh-CN"/>
              </w:rPr>
              <w:t>二</w:t>
            </w:r>
            <w:r>
              <w:rPr>
                <w:rFonts w:hint="eastAsia" w:ascii="宋体" w:hAnsi="宋体" w:eastAsia="宋体" w:cs="宋体"/>
                <w:snapToGrid w:val="0"/>
                <w:color w:val="auto"/>
                <w:kern w:val="0"/>
                <w:sz w:val="24"/>
                <w:szCs w:val="24"/>
                <w:highlight w:val="none"/>
              </w:rPr>
              <w:t>级以上(含</w:t>
            </w:r>
            <w:r>
              <w:rPr>
                <w:rFonts w:hint="eastAsia" w:hAnsi="宋体" w:eastAsia="宋体" w:cs="宋体"/>
                <w:snapToGrid w:val="0"/>
                <w:color w:val="auto"/>
                <w:kern w:val="0"/>
                <w:sz w:val="24"/>
                <w:szCs w:val="24"/>
                <w:highlight w:val="none"/>
                <w:lang w:eastAsia="zh-CN"/>
              </w:rPr>
              <w:t>二</w:t>
            </w:r>
            <w:r>
              <w:rPr>
                <w:rFonts w:hint="eastAsia" w:ascii="宋体" w:hAnsi="宋体" w:eastAsia="宋体" w:cs="宋体"/>
                <w:snapToGrid w:val="0"/>
                <w:color w:val="auto"/>
                <w:kern w:val="0"/>
                <w:sz w:val="24"/>
                <w:szCs w:val="24"/>
                <w:highlight w:val="none"/>
              </w:rPr>
              <w:t>级)资质，并持有有效安全生产许可证;</w:t>
            </w:r>
          </w:p>
          <w:p w14:paraId="31DFBAC1">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（2）设计单位必须具备建设行政主管部门颁发的以下①或②资质</w:t>
            </w:r>
            <w:r>
              <w:rPr>
                <w:rFonts w:hint="eastAsia" w:hAnsi="宋体" w:eastAsia="宋体" w:cs="宋体"/>
                <w:snapToGrid w:val="0"/>
                <w:color w:val="auto"/>
                <w:kern w:val="0"/>
                <w:sz w:val="24"/>
                <w:szCs w:val="24"/>
                <w:highlight w:val="none"/>
                <w:lang w:eastAsia="zh-CN"/>
              </w:rPr>
              <w:t>；</w:t>
            </w:r>
          </w:p>
          <w:p w14:paraId="6445F73E">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①工程设计综合甲级资质</w:t>
            </w:r>
            <w:r>
              <w:rPr>
                <w:rFonts w:hint="eastAsia" w:ascii="宋体" w:hAnsi="宋体" w:eastAsia="宋体" w:cs="宋体"/>
                <w:snapToGrid w:val="0"/>
                <w:color w:val="auto"/>
                <w:kern w:val="0"/>
                <w:sz w:val="24"/>
                <w:szCs w:val="24"/>
                <w:highlight w:val="none"/>
                <w:lang w:eastAsia="zh-CN"/>
              </w:rPr>
              <w:t>；</w:t>
            </w:r>
          </w:p>
          <w:p w14:paraId="090E3FBA">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②须具备工程设计市政资质以下任意一项:</w:t>
            </w:r>
          </w:p>
          <w:p w14:paraId="767D2571">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a.工程设计市政行业乙级或以上资质</w:t>
            </w:r>
            <w:r>
              <w:rPr>
                <w:rFonts w:hint="eastAsia" w:ascii="宋体" w:hAnsi="宋体" w:eastAsia="宋体" w:cs="宋体"/>
                <w:snapToGrid w:val="0"/>
                <w:color w:val="auto"/>
                <w:kern w:val="0"/>
                <w:sz w:val="24"/>
                <w:szCs w:val="24"/>
                <w:highlight w:val="none"/>
                <w:lang w:eastAsia="zh-CN"/>
              </w:rPr>
              <w:t>；</w:t>
            </w:r>
          </w:p>
          <w:p w14:paraId="71266BDD">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b.工程设计市政行业(燃气工程、轨道交通工程除外)乙级或以上资质</w:t>
            </w:r>
            <w:r>
              <w:rPr>
                <w:rFonts w:hint="eastAsia" w:ascii="宋体" w:hAnsi="宋体" w:eastAsia="宋体" w:cs="宋体"/>
                <w:snapToGrid w:val="0"/>
                <w:color w:val="auto"/>
                <w:kern w:val="0"/>
                <w:sz w:val="24"/>
                <w:szCs w:val="24"/>
                <w:highlight w:val="none"/>
                <w:lang w:eastAsia="zh-CN"/>
              </w:rPr>
              <w:t>；</w:t>
            </w:r>
          </w:p>
          <w:p w14:paraId="3D3E705B">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c.工程设计市政行业(道路工程、排水工程)乙级或以上资质。</w:t>
            </w:r>
          </w:p>
          <w:p w14:paraId="56D1406A">
            <w:pPr>
              <w:pStyle w:val="30"/>
              <w:keepNext w:val="0"/>
              <w:keepLines w:val="0"/>
              <w:pageBreakBefore w:val="0"/>
              <w:widowControl/>
              <w:kinsoku/>
              <w:overflowPunct/>
              <w:topLinePunct w:val="0"/>
              <w:autoSpaceDE/>
              <w:autoSpaceDN/>
              <w:bidi w:val="0"/>
              <w:snapToGrid w:val="0"/>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注：投标人在中标后，设计企业若不具备相应的工程勘察资质可由中标人另行委托有相应资质的单位进行工程勘察，费用已包含在本次招标费用中。</w:t>
            </w:r>
          </w:p>
          <w:p w14:paraId="6F3FE3AD">
            <w:pPr>
              <w:pStyle w:val="30"/>
              <w:keepNext w:val="0"/>
              <w:keepLines w:val="0"/>
              <w:pageBreakBefore w:val="0"/>
              <w:kinsoku/>
              <w:wordWrap w:val="0"/>
              <w:overflowPunct/>
              <w:topLinePunct w:val="0"/>
              <w:autoSpaceDE/>
              <w:autoSpaceDN/>
              <w:bidi w:val="0"/>
              <w:adjustRightInd w:val="0"/>
              <w:snapToGrid w:val="0"/>
              <w:spacing w:line="360" w:lineRule="exact"/>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7DF2617E">
            <w:pPr>
              <w:keepNext w:val="0"/>
              <w:keepLines w:val="0"/>
              <w:pageBreakBefore w:val="0"/>
              <w:kinsoku/>
              <w:wordWrap w:val="0"/>
              <w:overflowPunct/>
              <w:topLinePunct w:val="0"/>
              <w:autoSpaceDE/>
              <w:autoSpaceDN/>
              <w:bidi w:val="0"/>
              <w:adjustRightInd w:val="0"/>
              <w:snapToGrid w:val="0"/>
              <w:spacing w:line="360" w:lineRule="exact"/>
              <w:ind w:left="247" w:leftChars="103"/>
              <w:jc w:val="left"/>
              <w:textAlignment w:val="auto"/>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3</w:t>
            </w:r>
            <w:r>
              <w:rPr>
                <w:rFonts w:hint="eastAsia" w:ascii="宋体" w:hAnsi="宋体" w:eastAsia="宋体" w:cs="宋体"/>
                <w:snapToGrid w:val="0"/>
                <w:color w:val="auto"/>
                <w:kern w:val="0"/>
                <w:sz w:val="24"/>
                <w:szCs w:val="24"/>
                <w:highlight w:val="none"/>
              </w:rPr>
              <w:t>．</w:t>
            </w:r>
            <w:r>
              <w:rPr>
                <w:rFonts w:hint="eastAsia" w:ascii="宋体" w:hAnsi="宋体" w:eastAsia="宋体" w:cs="宋体"/>
                <w:strike w:val="0"/>
                <w:dstrike w:val="0"/>
                <w:snapToGrid w:val="0"/>
                <w:color w:val="auto"/>
                <w:kern w:val="0"/>
                <w:sz w:val="24"/>
                <w:szCs w:val="24"/>
                <w:highlight w:val="none"/>
              </w:rPr>
              <w:t>相关人员要求</w:t>
            </w:r>
          </w:p>
          <w:p w14:paraId="1F661478">
            <w:pPr>
              <w:pStyle w:val="30"/>
              <w:keepNext w:val="0"/>
              <w:keepLines w:val="0"/>
              <w:pageBreakBefore w:val="0"/>
              <w:widowControl/>
              <w:kinsoku/>
              <w:overflowPunct/>
              <w:topLinePunct w:val="0"/>
              <w:autoSpaceDE/>
              <w:autoSpaceDN/>
              <w:bidi w:val="0"/>
              <w:spacing w:line="360" w:lineRule="exact"/>
              <w:ind w:left="247" w:leftChars="103"/>
              <w:jc w:val="left"/>
              <w:textAlignment w:val="auto"/>
              <w:rPr>
                <w:rFonts w:hint="eastAsia" w:ascii="宋体" w:hAnsi="宋体" w:eastAsia="宋体" w:cs="宋体"/>
                <w:b/>
                <w:bCs/>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 xml:space="preserve">3.1 </w:t>
            </w:r>
            <w:r>
              <w:rPr>
                <w:rFonts w:hint="eastAsia" w:ascii="宋体" w:hAnsi="宋体" w:eastAsia="宋体" w:cs="宋体"/>
                <w:strike w:val="0"/>
                <w:dstrike w:val="0"/>
                <w:snapToGrid w:val="0"/>
                <w:color w:val="auto"/>
                <w:kern w:val="0"/>
                <w:sz w:val="24"/>
                <w:szCs w:val="24"/>
                <w:highlight w:val="none"/>
                <w:lang w:eastAsia="zh-CN"/>
              </w:rPr>
              <w:t>拟派项目经理为</w:t>
            </w:r>
            <w:r>
              <w:rPr>
                <w:rFonts w:hint="eastAsia" w:ascii="宋体" w:hAnsi="宋体" w:eastAsia="宋体" w:cs="宋体"/>
                <w:strike w:val="0"/>
                <w:dstrike w:val="0"/>
                <w:snapToGrid w:val="0"/>
                <w:color w:val="auto"/>
                <w:kern w:val="0"/>
                <w:sz w:val="24"/>
                <w:szCs w:val="24"/>
                <w:highlight w:val="none"/>
                <w:u w:val="single"/>
                <w:lang w:eastAsia="zh-CN"/>
              </w:rPr>
              <w:t>“市政公用工程</w:t>
            </w:r>
            <w:r>
              <w:rPr>
                <w:rFonts w:hint="eastAsia" w:ascii="宋体" w:hAnsi="宋体" w:cs="宋体"/>
                <w:strike w:val="0"/>
                <w:dstrike w:val="0"/>
                <w:snapToGrid w:val="0"/>
                <w:color w:val="auto"/>
                <w:kern w:val="0"/>
                <w:sz w:val="24"/>
                <w:szCs w:val="24"/>
                <w:highlight w:val="none"/>
                <w:u w:val="single"/>
                <w:lang w:eastAsia="zh-CN"/>
              </w:rPr>
              <w:t>”</w:t>
            </w:r>
            <w:r>
              <w:rPr>
                <w:rFonts w:hint="eastAsia" w:ascii="宋体" w:hAnsi="宋体" w:eastAsia="宋体" w:cs="宋体"/>
                <w:strike w:val="0"/>
                <w:dstrike w:val="0"/>
                <w:snapToGrid w:val="0"/>
                <w:color w:val="auto"/>
                <w:kern w:val="0"/>
                <w:sz w:val="24"/>
                <w:szCs w:val="24"/>
                <w:highlight w:val="none"/>
                <w:u w:val="single"/>
                <w:lang w:eastAsia="zh-CN"/>
              </w:rPr>
              <w:t>专</w:t>
            </w:r>
            <w:r>
              <w:rPr>
                <w:rFonts w:hint="eastAsia" w:ascii="宋体" w:hAnsi="宋体" w:eastAsia="宋体" w:cs="宋体"/>
                <w:strike w:val="0"/>
                <w:dstrike w:val="0"/>
                <w:snapToGrid w:val="0"/>
                <w:color w:val="auto"/>
                <w:kern w:val="0"/>
                <w:sz w:val="24"/>
                <w:szCs w:val="24"/>
                <w:highlight w:val="none"/>
                <w:lang w:eastAsia="zh-CN"/>
              </w:rPr>
              <w:t>业一级或二级注册建造师，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r>
              <w:rPr>
                <w:rFonts w:hint="eastAsia" w:ascii="宋体" w:hAnsi="宋体" w:eastAsia="宋体" w:cs="宋体"/>
                <w:b/>
                <w:bCs/>
                <w:i w:val="0"/>
                <w:iCs w:val="0"/>
                <w:caps w:val="0"/>
                <w:snapToGrid w:val="0"/>
                <w:color w:val="auto"/>
                <w:spacing w:val="0"/>
                <w:kern w:val="0"/>
                <w:sz w:val="24"/>
                <w:szCs w:val="24"/>
                <w:highlight w:val="none"/>
                <w:shd w:val="clear"/>
              </w:rPr>
              <w:t>(若为联合体投标，则联合体成员任意一方提供均可)</w:t>
            </w:r>
            <w:r>
              <w:rPr>
                <w:rFonts w:hint="eastAsia" w:ascii="宋体" w:hAnsi="宋体" w:eastAsia="宋体" w:cs="宋体"/>
                <w:b/>
                <w:bCs/>
                <w:strike w:val="0"/>
                <w:dstrike w:val="0"/>
                <w:snapToGrid w:val="0"/>
                <w:color w:val="auto"/>
                <w:kern w:val="0"/>
                <w:sz w:val="24"/>
                <w:szCs w:val="24"/>
                <w:highlight w:val="none"/>
                <w:lang w:eastAsia="zh-CN"/>
              </w:rPr>
              <w:t xml:space="preserve">  </w:t>
            </w:r>
          </w:p>
          <w:p w14:paraId="1D46EB80">
            <w:pPr>
              <w:pStyle w:val="30"/>
              <w:ind w:left="247" w:leftChars="103"/>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3.2拟派项目技术负责人须具备“</w:t>
            </w:r>
            <w:r>
              <w:rPr>
                <w:rFonts w:hint="eastAsia" w:ascii="宋体" w:hAnsi="宋体" w:eastAsia="宋体" w:cs="宋体"/>
                <w:color w:val="auto"/>
                <w:kern w:val="2"/>
                <w:sz w:val="24"/>
                <w:szCs w:val="24"/>
                <w:highlight w:val="none"/>
                <w:u w:val="single"/>
                <w:lang w:val="en-US" w:eastAsia="zh-CN" w:bidi="ar-SA"/>
              </w:rPr>
              <w:t>市政公用工程</w:t>
            </w:r>
            <w:r>
              <w:rPr>
                <w:rFonts w:hint="eastAsia" w:ascii="宋体" w:hAnsi="宋体" w:eastAsia="宋体" w:cs="宋体"/>
                <w:color w:val="auto"/>
                <w:kern w:val="2"/>
                <w:sz w:val="24"/>
                <w:szCs w:val="24"/>
                <w:highlight w:val="none"/>
                <w:u w:val="none"/>
                <w:lang w:val="en-US" w:eastAsia="zh-CN" w:bidi="ar-SA"/>
              </w:rPr>
              <w:t>”相关专业工程师或以上职称。</w:t>
            </w:r>
            <w:r>
              <w:rPr>
                <w:rFonts w:hint="eastAsia" w:ascii="宋体" w:hAnsi="宋体" w:eastAsia="宋体" w:cs="宋体"/>
                <w:b/>
                <w:bCs/>
                <w:i w:val="0"/>
                <w:iCs w:val="0"/>
                <w:caps w:val="0"/>
                <w:snapToGrid w:val="0"/>
                <w:color w:val="auto"/>
                <w:spacing w:val="0"/>
                <w:kern w:val="0"/>
                <w:sz w:val="24"/>
                <w:szCs w:val="24"/>
                <w:highlight w:val="none"/>
                <w:shd w:val="clear"/>
              </w:rPr>
              <w:t>(若为联合体投标，则联合体成员任意一方提供均可)</w:t>
            </w:r>
            <w:r>
              <w:rPr>
                <w:rFonts w:hint="eastAsia" w:ascii="宋体" w:hAnsi="宋体" w:eastAsia="宋体" w:cs="宋体"/>
                <w:b/>
                <w:bCs/>
                <w:strike w:val="0"/>
                <w:dstrike w:val="0"/>
                <w:snapToGrid w:val="0"/>
                <w:color w:val="auto"/>
                <w:kern w:val="0"/>
                <w:sz w:val="24"/>
                <w:szCs w:val="24"/>
                <w:highlight w:val="none"/>
                <w:lang w:eastAsia="zh-CN"/>
              </w:rPr>
              <w:t xml:space="preserve">  </w:t>
            </w:r>
          </w:p>
          <w:p w14:paraId="07F66579">
            <w:pPr>
              <w:pStyle w:val="30"/>
              <w:ind w:left="247" w:leftChars="103"/>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拟派专职安全生产管理人员须具备有效安全生产考核合格证明（C证，安全生产考核合格证书或“广东省建筑施工企业管理人员安全生产考核系统”考核合格信息打印页）</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且不少于</w:t>
            </w:r>
            <w:r>
              <w:rPr>
                <w:rFonts w:hint="eastAsia" w:ascii="宋体" w:hAnsi="宋体" w:eastAsia="宋体" w:cs="宋体"/>
                <w:b/>
                <w:bCs/>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i w:val="0"/>
                <w:iCs w:val="0"/>
                <w:caps w:val="0"/>
                <w:snapToGrid w:val="0"/>
                <w:color w:val="auto"/>
                <w:spacing w:val="0"/>
                <w:kern w:val="0"/>
                <w:sz w:val="24"/>
                <w:szCs w:val="24"/>
                <w:highlight w:val="none"/>
                <w:shd w:val="clear"/>
              </w:rPr>
              <w:t>(若为联合体投标，则联合体成员任意一方提供均可)</w:t>
            </w:r>
            <w:r>
              <w:rPr>
                <w:rFonts w:hint="eastAsia" w:ascii="宋体" w:hAnsi="宋体" w:eastAsia="宋体" w:cs="宋体"/>
                <w:b/>
                <w:bCs/>
                <w:strike w:val="0"/>
                <w:dstrike w:val="0"/>
                <w:snapToGrid w:val="0"/>
                <w:color w:val="auto"/>
                <w:kern w:val="0"/>
                <w:sz w:val="24"/>
                <w:szCs w:val="24"/>
                <w:highlight w:val="none"/>
                <w:lang w:eastAsia="zh-CN"/>
              </w:rPr>
              <w:t xml:space="preserve">  </w:t>
            </w:r>
          </w:p>
          <w:p w14:paraId="29666815">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2"/>
                <w:sz w:val="24"/>
                <w:szCs w:val="24"/>
                <w:highlight w:val="none"/>
                <w:u w:val="none"/>
                <w:lang w:val="en-US" w:eastAsia="zh-CN" w:bidi="ar-SA"/>
              </w:rPr>
              <w:t>3.4拟派项目设计负责人须具备</w:t>
            </w:r>
            <w:r>
              <w:rPr>
                <w:rFonts w:hint="eastAsia" w:hAnsi="宋体" w:cs="宋体"/>
                <w:color w:val="auto"/>
                <w:kern w:val="2"/>
                <w:sz w:val="24"/>
                <w:szCs w:val="24"/>
                <w:highlight w:val="none"/>
                <w:u w:val="single"/>
                <w:lang w:val="en-US" w:eastAsia="zh-CN" w:bidi="ar-SA"/>
              </w:rPr>
              <w:t>市政类专业高级工程师或以上技术职称</w:t>
            </w:r>
            <w:r>
              <w:rPr>
                <w:rFonts w:hint="eastAsia" w:ascii="宋体" w:hAnsi="宋体" w:eastAsia="宋体" w:cs="宋体"/>
                <w:color w:val="auto"/>
                <w:kern w:val="2"/>
                <w:sz w:val="24"/>
                <w:szCs w:val="24"/>
                <w:highlight w:val="none"/>
                <w:u w:val="single"/>
                <w:lang w:val="en-US" w:eastAsia="zh-CN" w:bidi="ar-SA"/>
              </w:rPr>
              <w:t>。</w:t>
            </w:r>
          </w:p>
          <w:p w14:paraId="7B2578A9">
            <w:pPr>
              <w:pStyle w:val="27"/>
              <w:keepNext w:val="0"/>
              <w:keepLines w:val="0"/>
              <w:pageBreakBefore w:val="0"/>
              <w:widowControl/>
              <w:kinsoku/>
              <w:overflowPunct/>
              <w:topLinePunct w:val="0"/>
              <w:autoSpaceDE/>
              <w:autoSpaceDN/>
              <w:bidi w:val="0"/>
              <w:spacing w:before="75" w:after="75" w:line="360" w:lineRule="exact"/>
              <w:ind w:left="247" w:leftChars="103"/>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3.5投标人（包括组成联合体的所有成员单位）与其拟派往本项目管理机构的所有人员之间必须具备合法、唯一的劳动聘用关系。拟派人员中具备注册执业资格的，其注册单位须与投标人保持一致。</w:t>
            </w:r>
          </w:p>
          <w:p w14:paraId="57E655A0">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4．禁止投标条款：</w:t>
            </w:r>
          </w:p>
          <w:p w14:paraId="3625E986">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4.1．投标人不得存在下列情形之一：</w:t>
            </w:r>
          </w:p>
          <w:p w14:paraId="6B44D696">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（1）为招标人不具有独立法人资格的附属机构（单位）；</w:t>
            </w:r>
          </w:p>
          <w:p w14:paraId="1FD93DC8">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（2）为本招标项目前期准备提供咨询服务的；</w:t>
            </w:r>
          </w:p>
          <w:p w14:paraId="4D05137B">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（3）与本招标项目的其他投标人为同一个单位负责人；</w:t>
            </w:r>
          </w:p>
          <w:p w14:paraId="37A03CF7">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（4）与本招标项目的其他投标人存在控股、管理关系；</w:t>
            </w:r>
          </w:p>
          <w:p w14:paraId="44B397FA">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（5）为本招标项目的监理人；</w:t>
            </w:r>
          </w:p>
          <w:p w14:paraId="01954FE6">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（6）为本招标项目的代建人；</w:t>
            </w:r>
          </w:p>
          <w:p w14:paraId="63576190">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（7）为本招标项目的招标代理机构；</w:t>
            </w:r>
          </w:p>
          <w:p w14:paraId="6435DD9B">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（8）与本招标项目的监理人或代建人或招标代理机构同为一个法定代表人；</w:t>
            </w:r>
          </w:p>
          <w:p w14:paraId="144A8D42">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（9）与本招标项目的监理人或代建人或招标代理机构存在控股或参股关系；</w:t>
            </w:r>
          </w:p>
          <w:p w14:paraId="1D706098">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（10）与本招标项目的监理人或代建人或招标代理机构存在相互任职或工作关系；</w:t>
            </w:r>
          </w:p>
          <w:p w14:paraId="66EB531E">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（11）被依法暂停或者取消投标资格；</w:t>
            </w:r>
          </w:p>
          <w:p w14:paraId="3642EB3D">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（12）被责令停产停业、暂扣或者吊销许可证、暂扣或者吊销执照；</w:t>
            </w:r>
          </w:p>
          <w:p w14:paraId="79FB8332">
            <w:pPr>
              <w:keepNext w:val="0"/>
              <w:keepLines w:val="0"/>
              <w:pageBreakBefore w:val="0"/>
              <w:kinsoku/>
              <w:wordWrap w:val="0"/>
              <w:overflowPunct/>
              <w:topLinePunct w:val="0"/>
              <w:autoSpaceDE/>
              <w:autoSpaceDN/>
              <w:bidi w:val="0"/>
              <w:adjustRightInd w:val="0"/>
              <w:snapToGrid w:val="0"/>
              <w:spacing w:line="360" w:lineRule="exact"/>
              <w:ind w:left="240" w:lef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（13）进入清算程序，或被宣告破产，或其他丧失履约能力的情形；</w:t>
            </w:r>
          </w:p>
          <w:p w14:paraId="2A9B1FEA">
            <w:pPr>
              <w:keepNext w:val="0"/>
              <w:keepLines w:val="0"/>
              <w:pageBreakBefore w:val="0"/>
              <w:kinsoku/>
              <w:wordWrap w:val="0"/>
              <w:overflowPunct/>
              <w:topLinePunct w:val="0"/>
              <w:autoSpaceDE/>
              <w:autoSpaceDN/>
              <w:bidi w:val="0"/>
              <w:adjustRightInd w:val="0"/>
              <w:snapToGrid w:val="0"/>
              <w:spacing w:line="360" w:lineRule="exact"/>
              <w:ind w:left="240" w:lef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（14）在最近三年内发生重大工程质量或安全问题（以相关行业主管部门的行政处罚决定或司法机关出具的有关法律文书为准）；</w:t>
            </w:r>
          </w:p>
          <w:p w14:paraId="0A9D5F67">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（15）被“信用中国”网站（https://www.creditchina.gov.cn）发布的《法人和非法人组织公共信用信息报告》列入严重失信主体名单的。</w:t>
            </w:r>
          </w:p>
          <w:p w14:paraId="2C574450">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4.2．招标人拒绝以下名单中的单位参加本次投标：</w:t>
            </w:r>
          </w:p>
          <w:tbl>
            <w:tblPr>
              <w:tblStyle w:val="22"/>
              <w:tblW w:w="6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468"/>
              <w:gridCol w:w="3632"/>
            </w:tblGrid>
            <w:tr w14:paraId="7D5A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59" w:type="dxa"/>
                  <w:noWrap w:val="0"/>
                  <w:vAlign w:val="center"/>
                </w:tcPr>
                <w:p w14:paraId="02EA5C60">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468" w:type="dxa"/>
                  <w:noWrap w:val="0"/>
                  <w:vAlign w:val="center"/>
                </w:tcPr>
                <w:p w14:paraId="0CD0681A">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632" w:type="dxa"/>
                  <w:noWrap w:val="0"/>
                  <w:vAlign w:val="center"/>
                </w:tcPr>
                <w:p w14:paraId="185656E0">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2976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noWrap w:val="0"/>
                  <w:vAlign w:val="center"/>
                </w:tcPr>
                <w:p w14:paraId="20E8B8F7">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2468" w:type="dxa"/>
                  <w:noWrap w:val="0"/>
                  <w:vAlign w:val="center"/>
                </w:tcPr>
                <w:p w14:paraId="02FEEB61">
                  <w:pPr>
                    <w:pStyle w:val="30"/>
                    <w:keepNext w:val="0"/>
                    <w:keepLines w:val="0"/>
                    <w:pageBreakBefore w:val="0"/>
                    <w:kinsoku/>
                    <w:wordWrap w:val="0"/>
                    <w:overflowPunct/>
                    <w:topLinePunct w:val="0"/>
                    <w:autoSpaceDE/>
                    <w:autoSpaceDN/>
                    <w:bidi w:val="0"/>
                    <w:adjustRightInd w:val="0"/>
                    <w:snapToGrid w:val="0"/>
                    <w:spacing w:line="360" w:lineRule="exact"/>
                    <w:ind w:left="247" w:leftChars="103"/>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无</w:t>
                  </w:r>
                </w:p>
              </w:tc>
              <w:tc>
                <w:tcPr>
                  <w:tcW w:w="3632" w:type="dxa"/>
                  <w:noWrap w:val="0"/>
                  <w:vAlign w:val="center"/>
                </w:tcPr>
                <w:p w14:paraId="742ABB29">
                  <w:pPr>
                    <w:pStyle w:val="30"/>
                    <w:keepNext w:val="0"/>
                    <w:keepLines w:val="0"/>
                    <w:pageBreakBefore w:val="0"/>
                    <w:kinsoku/>
                    <w:wordWrap w:val="0"/>
                    <w:overflowPunct/>
                    <w:topLinePunct w:val="0"/>
                    <w:autoSpaceDE/>
                    <w:autoSpaceDN/>
                    <w:bidi w:val="0"/>
                    <w:adjustRightInd w:val="0"/>
                    <w:snapToGrid w:val="0"/>
                    <w:spacing w:line="360" w:lineRule="exact"/>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为招标人不具有独立法人资格的附属机构</w:t>
                  </w:r>
                </w:p>
              </w:tc>
            </w:tr>
            <w:tr w14:paraId="4198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59" w:type="dxa"/>
                  <w:noWrap w:val="0"/>
                  <w:vAlign w:val="center"/>
                </w:tcPr>
                <w:p w14:paraId="270BDFD8">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w:t>
                  </w:r>
                </w:p>
              </w:tc>
              <w:tc>
                <w:tcPr>
                  <w:tcW w:w="2468" w:type="dxa"/>
                  <w:noWrap w:val="0"/>
                  <w:vAlign w:val="center"/>
                </w:tcPr>
                <w:p w14:paraId="4E69CEDE">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auto"/>
                      <w:kern w:val="0"/>
                      <w:sz w:val="24"/>
                      <w:szCs w:val="24"/>
                      <w:highlight w:val="none"/>
                      <w:lang w:eastAsia="zh-CN"/>
                    </w:rPr>
                  </w:pPr>
                  <w:r>
                    <w:rPr>
                      <w:rFonts w:hint="eastAsia" w:hAnsi="宋体" w:eastAsia="宋体" w:cs="宋体"/>
                      <w:snapToGrid w:val="0"/>
                      <w:color w:val="auto"/>
                      <w:kern w:val="0"/>
                      <w:sz w:val="24"/>
                      <w:szCs w:val="24"/>
                      <w:highlight w:val="none"/>
                      <w:lang w:val="en-US" w:eastAsia="zh-CN"/>
                    </w:rPr>
                    <w:t>始兴县文化广电旅游体育局</w:t>
                  </w:r>
                </w:p>
              </w:tc>
              <w:tc>
                <w:tcPr>
                  <w:tcW w:w="3632" w:type="dxa"/>
                  <w:noWrap w:val="0"/>
                  <w:vAlign w:val="center"/>
                </w:tcPr>
                <w:p w14:paraId="2B385778">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为本招标项目的招标人</w:t>
                  </w:r>
                  <w:r>
                    <w:rPr>
                      <w:rFonts w:hint="eastAsia" w:hAnsi="宋体" w:eastAsia="宋体" w:cs="宋体"/>
                      <w:snapToGrid w:val="0"/>
                      <w:color w:val="auto"/>
                      <w:kern w:val="0"/>
                      <w:sz w:val="24"/>
                      <w:szCs w:val="24"/>
                      <w:highlight w:val="none"/>
                      <w:lang w:val="en-US" w:eastAsia="zh-CN" w:bidi="ar-SA"/>
                    </w:rPr>
                    <w:t>及项目业主单位</w:t>
                  </w:r>
                </w:p>
              </w:tc>
            </w:tr>
            <w:tr w14:paraId="0AF9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noWrap w:val="0"/>
                  <w:vAlign w:val="center"/>
                </w:tcPr>
                <w:p w14:paraId="453400A2">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w:t>
                  </w:r>
                </w:p>
              </w:tc>
              <w:tc>
                <w:tcPr>
                  <w:tcW w:w="2468" w:type="dxa"/>
                  <w:noWrap w:val="0"/>
                  <w:vAlign w:val="center"/>
                </w:tcPr>
                <w:p w14:paraId="769EE154">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hAnsi="宋体" w:eastAsia="宋体" w:cs="宋体"/>
                      <w:snapToGrid w:val="0"/>
                      <w:color w:val="auto"/>
                      <w:kern w:val="0"/>
                      <w:sz w:val="24"/>
                      <w:szCs w:val="24"/>
                      <w:highlight w:val="none"/>
                      <w:lang w:val="en-US" w:eastAsia="zh-CN"/>
                    </w:rPr>
                    <w:t>中科标禾工程项目管理有限公司</w:t>
                  </w:r>
                </w:p>
              </w:tc>
              <w:tc>
                <w:tcPr>
                  <w:tcW w:w="3632" w:type="dxa"/>
                  <w:noWrap w:val="0"/>
                  <w:vAlign w:val="center"/>
                </w:tcPr>
                <w:p w14:paraId="70AB983B">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hAnsi="宋体" w:eastAsia="宋体" w:cs="宋体"/>
                      <w:color w:val="auto"/>
                      <w:kern w:val="2"/>
                      <w:sz w:val="24"/>
                      <w:szCs w:val="24"/>
                      <w:highlight w:val="none"/>
                      <w:u w:val="none"/>
                      <w:lang w:val="en-US" w:eastAsia="zh-CN" w:bidi="ar-SA"/>
                    </w:rPr>
                    <w:t>为本招标项目的项目建议书编制单位</w:t>
                  </w:r>
                </w:p>
              </w:tc>
            </w:tr>
            <w:tr w14:paraId="795D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shd w:val="clear" w:color="auto" w:fill="auto"/>
                  <w:noWrap w:val="0"/>
                  <w:vAlign w:val="center"/>
                </w:tcPr>
                <w:p w14:paraId="3A2F902E">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4</w:t>
                  </w:r>
                </w:p>
              </w:tc>
              <w:tc>
                <w:tcPr>
                  <w:tcW w:w="2468" w:type="dxa"/>
                  <w:noWrap w:val="0"/>
                  <w:vAlign w:val="center"/>
                </w:tcPr>
                <w:p w14:paraId="4FB72C5D">
                  <w:pPr>
                    <w:keepNext w:val="0"/>
                    <w:keepLines w:val="0"/>
                    <w:pageBreakBefore w:val="0"/>
                    <w:widowControl w:val="0"/>
                    <w:kinsoku/>
                    <w:overflowPunct/>
                    <w:topLinePunct w:val="0"/>
                    <w:autoSpaceDE/>
                    <w:autoSpaceDN/>
                    <w:bidi w:val="0"/>
                    <w:spacing w:line="360" w:lineRule="exact"/>
                    <w:ind w:left="0" w:leftChars="0"/>
                    <w:jc w:val="both"/>
                    <w:textAlignment w:val="auto"/>
                    <w:rPr>
                      <w:rFonts w:hint="default" w:ascii="宋体" w:hAnsi="宋体" w:eastAsia="宋体" w:cs="宋体"/>
                      <w:snapToGrid w:val="0"/>
                      <w:color w:val="auto"/>
                      <w:kern w:val="0"/>
                      <w:sz w:val="24"/>
                      <w:szCs w:val="24"/>
                      <w:highlight w:val="none"/>
                      <w:lang w:val="en-US" w:eastAsia="zh-CN"/>
                    </w:rPr>
                  </w:pPr>
                  <w:r>
                    <w:rPr>
                      <w:rFonts w:hint="eastAsia" w:hAnsi="宋体" w:eastAsia="宋体" w:cs="宋体"/>
                      <w:snapToGrid w:val="0"/>
                      <w:color w:val="auto"/>
                      <w:kern w:val="0"/>
                      <w:sz w:val="24"/>
                      <w:szCs w:val="24"/>
                      <w:highlight w:val="none"/>
                      <w:lang w:val="en-US" w:eastAsia="zh-CN"/>
                    </w:rPr>
                    <w:t>中图设计有限公司</w:t>
                  </w:r>
                </w:p>
              </w:tc>
              <w:tc>
                <w:tcPr>
                  <w:tcW w:w="3632" w:type="dxa"/>
                  <w:noWrap w:val="0"/>
                  <w:vAlign w:val="center"/>
                </w:tcPr>
                <w:p w14:paraId="3E2ACA68">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为本招标项目的初步设计单位</w:t>
                  </w:r>
                </w:p>
              </w:tc>
            </w:tr>
            <w:tr w14:paraId="00FD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59" w:type="dxa"/>
                  <w:shd w:val="clear" w:color="auto" w:fill="auto"/>
                  <w:noWrap w:val="0"/>
                  <w:vAlign w:val="center"/>
                </w:tcPr>
                <w:p w14:paraId="283C1686">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5</w:t>
                  </w:r>
                </w:p>
              </w:tc>
              <w:tc>
                <w:tcPr>
                  <w:tcW w:w="2468" w:type="dxa"/>
                  <w:noWrap w:val="0"/>
                  <w:vAlign w:val="center"/>
                </w:tcPr>
                <w:p w14:paraId="63FDEC96">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待定</w:t>
                  </w:r>
                </w:p>
              </w:tc>
              <w:tc>
                <w:tcPr>
                  <w:tcW w:w="3632" w:type="dxa"/>
                  <w:noWrap w:val="0"/>
                  <w:vAlign w:val="center"/>
                </w:tcPr>
                <w:p w14:paraId="08F70FE1">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2"/>
                      <w:sz w:val="24"/>
                      <w:szCs w:val="24"/>
                      <w:highlight w:val="none"/>
                      <w:u w:val="none"/>
                      <w:lang w:val="en-US" w:eastAsia="zh-CN" w:bidi="ar-SA"/>
                    </w:rPr>
                    <w:t>为本招标项目的监理单位</w:t>
                  </w:r>
                </w:p>
              </w:tc>
            </w:tr>
            <w:tr w14:paraId="3A5F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9" w:type="dxa"/>
                  <w:shd w:val="clear" w:color="auto" w:fill="auto"/>
                  <w:noWrap w:val="0"/>
                  <w:vAlign w:val="center"/>
                </w:tcPr>
                <w:p w14:paraId="73357EBF">
                  <w:pPr>
                    <w:keepNext w:val="0"/>
                    <w:keepLines w:val="0"/>
                    <w:pageBreakBefore w:val="0"/>
                    <w:widowControl w:val="0"/>
                    <w:kinsoku/>
                    <w:overflowPunct/>
                    <w:topLinePunct w:val="0"/>
                    <w:autoSpaceDE/>
                    <w:autoSpaceDN/>
                    <w:bidi w:val="0"/>
                    <w:spacing w:line="36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6</w:t>
                  </w:r>
                </w:p>
              </w:tc>
              <w:tc>
                <w:tcPr>
                  <w:tcW w:w="2468" w:type="dxa"/>
                  <w:noWrap w:val="0"/>
                  <w:vAlign w:val="center"/>
                </w:tcPr>
                <w:p w14:paraId="689CD0CA">
                  <w:pPr>
                    <w:keepNext w:val="0"/>
                    <w:keepLines w:val="0"/>
                    <w:pageBreakBefore w:val="0"/>
                    <w:widowControl w:val="0"/>
                    <w:kinsoku/>
                    <w:wordWrap w:val="0"/>
                    <w:overflowPunct/>
                    <w:topLinePunct w:val="0"/>
                    <w:autoSpaceDE/>
                    <w:autoSpaceDN/>
                    <w:bidi w:val="0"/>
                    <w:adjustRightInd w:val="0"/>
                    <w:snapToGrid w:val="0"/>
                    <w:spacing w:line="36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韶关市诚智工程管理咨询有限公司</w:t>
                  </w:r>
                </w:p>
              </w:tc>
              <w:tc>
                <w:tcPr>
                  <w:tcW w:w="3632" w:type="dxa"/>
                  <w:noWrap w:val="0"/>
                  <w:vAlign w:val="center"/>
                </w:tcPr>
                <w:p w14:paraId="66930107">
                  <w:pPr>
                    <w:keepNext w:val="0"/>
                    <w:keepLines w:val="0"/>
                    <w:pageBreakBefore w:val="0"/>
                    <w:widowControl w:val="0"/>
                    <w:kinsoku/>
                    <w:overflowPunct/>
                    <w:topLinePunct w:val="0"/>
                    <w:autoSpaceDE/>
                    <w:autoSpaceDN/>
                    <w:bidi w:val="0"/>
                    <w:spacing w:line="36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w:t>
                  </w:r>
                  <w:r>
                    <w:rPr>
                      <w:rFonts w:hint="eastAsia" w:ascii="宋体" w:hAnsi="宋体" w:eastAsia="宋体" w:cs="宋体"/>
                      <w:snapToGrid w:val="0"/>
                      <w:color w:val="auto"/>
                      <w:kern w:val="0"/>
                      <w:sz w:val="24"/>
                      <w:szCs w:val="24"/>
                      <w:highlight w:val="none"/>
                      <w:lang w:val="en-US" w:eastAsia="zh-CN"/>
                    </w:rPr>
                    <w:t>项目</w:t>
                  </w:r>
                  <w:r>
                    <w:rPr>
                      <w:rFonts w:hint="eastAsia" w:ascii="宋体" w:hAnsi="宋体" w:eastAsia="宋体" w:cs="宋体"/>
                      <w:snapToGrid w:val="0"/>
                      <w:color w:val="auto"/>
                      <w:kern w:val="0"/>
                      <w:sz w:val="24"/>
                      <w:szCs w:val="24"/>
                      <w:highlight w:val="none"/>
                    </w:rPr>
                    <w:t>的招标代理机构</w:t>
                  </w:r>
                </w:p>
              </w:tc>
            </w:tr>
          </w:tbl>
          <w:p w14:paraId="03B57796">
            <w:pPr>
              <w:pStyle w:val="31"/>
              <w:keepNext w:val="0"/>
              <w:keepLines w:val="0"/>
              <w:pageBreakBefore w:val="0"/>
              <w:kinsoku/>
              <w:overflowPunct/>
              <w:topLinePunct w:val="0"/>
              <w:autoSpaceDE/>
              <w:autoSpaceDN/>
              <w:bidi w:val="0"/>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省外企业（包括组成联合体的所有成员单位）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若组成联合体时，包括联合体的所有成员单位)。</w:t>
            </w:r>
          </w:p>
        </w:tc>
      </w:tr>
      <w:tr w14:paraId="56BA9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F22C94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23" w:type="dxa"/>
            <w:tcBorders>
              <w:top w:val="single" w:color="auto" w:sz="4" w:space="0"/>
              <w:left w:val="single" w:color="auto" w:sz="4" w:space="0"/>
              <w:bottom w:val="single" w:color="auto" w:sz="4" w:space="0"/>
              <w:right w:val="single" w:color="auto" w:sz="4" w:space="0"/>
            </w:tcBorders>
            <w:noWrap/>
            <w:vAlign w:val="center"/>
          </w:tcPr>
          <w:p w14:paraId="36FAB4F5">
            <w:pPr>
              <w:keepNext w:val="0"/>
              <w:keepLines w:val="0"/>
              <w:pageBreakBefore w:val="0"/>
              <w:kinsoku/>
              <w:overflowPunct/>
              <w:topLinePunct w:val="0"/>
              <w:autoSpaceDE/>
              <w:autoSpaceDN/>
              <w:bidi w:val="0"/>
              <w:snapToGrid w:val="0"/>
              <w:spacing w:beforeLines="50"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投标保证</w:t>
            </w:r>
          </w:p>
        </w:tc>
        <w:tc>
          <w:tcPr>
            <w:tcW w:w="7530" w:type="dxa"/>
            <w:tcBorders>
              <w:top w:val="single" w:color="auto" w:sz="4" w:space="0"/>
              <w:left w:val="single" w:color="auto" w:sz="4" w:space="0"/>
              <w:bottom w:val="single" w:color="auto" w:sz="4" w:space="0"/>
              <w:right w:val="single" w:color="auto" w:sz="4" w:space="0"/>
            </w:tcBorders>
            <w:noWrap/>
            <w:vAlign w:val="center"/>
          </w:tcPr>
          <w:p w14:paraId="4F483263">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ascii="宋体" w:hAnsi="宋体" w:eastAsia="宋体" w:cs="宋体"/>
                <w:b/>
                <w:bCs/>
                <w:snapToGrid w:val="0"/>
                <w:color w:val="auto"/>
                <w:kern w:val="0"/>
                <w:sz w:val="24"/>
                <w:szCs w:val="24"/>
                <w:highlight w:val="none"/>
                <w:u w:val="single"/>
                <w:lang w:val="en-US" w:eastAsia="zh-CN"/>
              </w:rPr>
              <w:t>30</w:t>
            </w:r>
            <w:r>
              <w:rPr>
                <w:rFonts w:hint="eastAsia" w:ascii="宋体" w:hAnsi="宋体" w:eastAsia="宋体" w:cs="宋体"/>
                <w:b/>
                <w:bCs/>
                <w:snapToGrid w:val="0"/>
                <w:color w:val="auto"/>
                <w:kern w:val="0"/>
                <w:sz w:val="24"/>
                <w:szCs w:val="24"/>
                <w:highlight w:val="none"/>
                <w:u w:val="single"/>
              </w:rPr>
              <w:t>万元整</w:t>
            </w:r>
            <w:r>
              <w:rPr>
                <w:rFonts w:hint="eastAsia" w:ascii="宋体" w:hAnsi="宋体" w:eastAsia="宋体" w:cs="宋体"/>
                <w:snapToGrid w:val="0"/>
                <w:color w:val="auto"/>
                <w:kern w:val="0"/>
                <w:sz w:val="24"/>
                <w:szCs w:val="24"/>
                <w:highlight w:val="none"/>
              </w:rPr>
              <w:t>的投标保证。联合体投标的，由联合体牵头人缴纳。</w:t>
            </w:r>
          </w:p>
          <w:p w14:paraId="03D08F24">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41C3146">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重要事项时间地点一览表”）前，从其基本账户将投标保证金转账到指定的缴纳账号。逾期到账的、从非投标人基本账户转出的，其投标无效。</w:t>
            </w:r>
          </w:p>
          <w:p w14:paraId="496241F5">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银行保函，银行保函的有效期不得短于投标有效期。投标人必须在投标保证担保截止时间（见本章“重要事项时间地点一览表”）前，使用工程建设交易系统完成网上办理电子保函。</w:t>
            </w:r>
          </w:p>
          <w:p w14:paraId="1DDF40FC">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198E79CD">
            <w:pPr>
              <w:keepNext w:val="0"/>
              <w:keepLines w:val="0"/>
              <w:pageBreakBefore w:val="0"/>
              <w:kinsoku/>
              <w:wordWrap w:val="0"/>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656BE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522C7F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19</w:t>
            </w:r>
          </w:p>
        </w:tc>
        <w:tc>
          <w:tcPr>
            <w:tcW w:w="1723" w:type="dxa"/>
            <w:tcBorders>
              <w:top w:val="single" w:color="auto" w:sz="4" w:space="0"/>
              <w:left w:val="single" w:color="auto" w:sz="4" w:space="0"/>
              <w:bottom w:val="single" w:color="auto" w:sz="4" w:space="0"/>
              <w:right w:val="single" w:color="auto" w:sz="4" w:space="0"/>
            </w:tcBorders>
            <w:noWrap/>
            <w:vAlign w:val="center"/>
          </w:tcPr>
          <w:p w14:paraId="4E48F99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投标有效期</w:t>
            </w:r>
          </w:p>
        </w:tc>
        <w:tc>
          <w:tcPr>
            <w:tcW w:w="7530" w:type="dxa"/>
            <w:tcBorders>
              <w:top w:val="single" w:color="auto" w:sz="4" w:space="0"/>
              <w:left w:val="single" w:color="auto" w:sz="4" w:space="0"/>
              <w:bottom w:val="single" w:color="auto" w:sz="4" w:space="0"/>
              <w:right w:val="single" w:color="auto" w:sz="4" w:space="0"/>
            </w:tcBorders>
            <w:noWrap/>
            <w:vAlign w:val="center"/>
          </w:tcPr>
          <w:p w14:paraId="005790DA">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bCs/>
                <w:color w:val="auto"/>
                <w:sz w:val="24"/>
                <w:szCs w:val="24"/>
                <w:highlight w:val="none"/>
              </w:rPr>
            </w:pPr>
            <w:r>
              <w:rPr>
                <w:rFonts w:hint="eastAsia" w:ascii="宋体" w:hAnsi="宋体" w:eastAsia="宋体" w:cs="宋体"/>
                <w:snapToGrid w:val="0"/>
                <w:color w:val="auto"/>
                <w:kern w:val="0"/>
                <w:sz w:val="24"/>
                <w:szCs w:val="24"/>
                <w:highlight w:val="none"/>
              </w:rPr>
              <w:t xml:space="preserve">  本次招标的投标有效期为</w:t>
            </w:r>
            <w:r>
              <w:rPr>
                <w:rFonts w:hint="eastAsia" w:ascii="宋体" w:hAnsi="宋体" w:eastAsia="宋体" w:cs="宋体"/>
                <w:snapToGrid w:val="0"/>
                <w:color w:val="auto"/>
                <w:kern w:val="0"/>
                <w:sz w:val="24"/>
                <w:szCs w:val="24"/>
                <w:highlight w:val="none"/>
                <w:u w:val="single"/>
              </w:rPr>
              <w:t>120</w:t>
            </w:r>
            <w:r>
              <w:rPr>
                <w:rFonts w:hint="eastAsia" w:ascii="宋体" w:hAnsi="宋体" w:eastAsia="宋体" w:cs="宋体"/>
                <w:snapToGrid w:val="0"/>
                <w:color w:val="auto"/>
                <w:kern w:val="0"/>
                <w:sz w:val="24"/>
                <w:szCs w:val="24"/>
                <w:highlight w:val="none"/>
              </w:rPr>
              <w:t>个日历天。</w:t>
            </w:r>
          </w:p>
        </w:tc>
      </w:tr>
      <w:tr w14:paraId="254F8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F8A7A4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23" w:type="dxa"/>
            <w:tcBorders>
              <w:top w:val="single" w:color="auto" w:sz="4" w:space="0"/>
              <w:left w:val="single" w:color="auto" w:sz="4" w:space="0"/>
              <w:bottom w:val="single" w:color="auto" w:sz="4" w:space="0"/>
              <w:right w:val="single" w:color="auto" w:sz="4" w:space="0"/>
            </w:tcBorders>
            <w:noWrap/>
            <w:vAlign w:val="center"/>
          </w:tcPr>
          <w:p w14:paraId="370FA91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23EC89FB">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7530" w:type="dxa"/>
            <w:tcBorders>
              <w:top w:val="single" w:color="auto" w:sz="4" w:space="0"/>
              <w:left w:val="single" w:color="auto" w:sz="4" w:space="0"/>
              <w:bottom w:val="single" w:color="auto" w:sz="4" w:space="0"/>
              <w:right w:val="single" w:color="auto" w:sz="4" w:space="0"/>
            </w:tcBorders>
            <w:noWrap/>
            <w:vAlign w:val="center"/>
          </w:tcPr>
          <w:p w14:paraId="053CA4A0">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投标标书分为一册。</w:t>
            </w:r>
          </w:p>
        </w:tc>
      </w:tr>
      <w:tr w14:paraId="47B3EF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EDAF4D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23" w:type="dxa"/>
            <w:tcBorders>
              <w:top w:val="single" w:color="auto" w:sz="4" w:space="0"/>
              <w:left w:val="single" w:color="auto" w:sz="4" w:space="0"/>
              <w:bottom w:val="single" w:color="auto" w:sz="4" w:space="0"/>
              <w:right w:val="single" w:color="auto" w:sz="4" w:space="0"/>
            </w:tcBorders>
            <w:noWrap/>
            <w:vAlign w:val="center"/>
          </w:tcPr>
          <w:p w14:paraId="4A0939BA">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7530" w:type="dxa"/>
            <w:tcBorders>
              <w:top w:val="single" w:color="auto" w:sz="4" w:space="0"/>
              <w:left w:val="single" w:color="auto" w:sz="4" w:space="0"/>
              <w:bottom w:val="single" w:color="auto" w:sz="4" w:space="0"/>
              <w:right w:val="single" w:color="auto" w:sz="4" w:space="0"/>
            </w:tcBorders>
            <w:noWrap/>
            <w:vAlign w:val="center"/>
          </w:tcPr>
          <w:p w14:paraId="607A1414">
            <w:pPr>
              <w:keepNext w:val="0"/>
              <w:keepLines w:val="0"/>
              <w:pageBreakBefore w:val="0"/>
              <w:kinsoku/>
              <w:wordWrap w:val="0"/>
              <w:overflowPunct/>
              <w:topLinePunct w:val="0"/>
              <w:autoSpaceDE/>
              <w:autoSpaceDN/>
              <w:bidi w:val="0"/>
              <w:adjustRightInd w:val="0"/>
              <w:snapToGrid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评标委员会由5人组成，其中招标人代表0人，专家5人。专家从广东省综合评标评审专家库－韶关区域中随机抽取，其中技术类专家3人，经济类专家2人。</w:t>
            </w:r>
          </w:p>
        </w:tc>
      </w:tr>
      <w:tr w14:paraId="69756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8D6F0E2">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23" w:type="dxa"/>
            <w:tcBorders>
              <w:top w:val="single" w:color="auto" w:sz="4" w:space="0"/>
              <w:left w:val="single" w:color="auto" w:sz="4" w:space="0"/>
              <w:bottom w:val="single" w:color="auto" w:sz="4" w:space="0"/>
              <w:right w:val="single" w:color="auto" w:sz="4" w:space="0"/>
            </w:tcBorders>
            <w:noWrap/>
            <w:vAlign w:val="center"/>
          </w:tcPr>
          <w:p w14:paraId="52F5133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7530" w:type="dxa"/>
            <w:tcBorders>
              <w:top w:val="single" w:color="auto" w:sz="4" w:space="0"/>
              <w:left w:val="single" w:color="auto" w:sz="4" w:space="0"/>
              <w:bottom w:val="single" w:color="auto" w:sz="4" w:space="0"/>
              <w:right w:val="single" w:color="auto" w:sz="4" w:space="0"/>
            </w:tcBorders>
            <w:noWrap/>
            <w:vAlign w:val="center"/>
          </w:tcPr>
          <w:p w14:paraId="30E163B5">
            <w:pPr>
              <w:keepNext w:val="0"/>
              <w:keepLines w:val="0"/>
              <w:pageBreakBefore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综合评估法</w:t>
            </w:r>
          </w:p>
        </w:tc>
      </w:tr>
      <w:tr w14:paraId="4F95B5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F72B290">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1723" w:type="dxa"/>
            <w:tcBorders>
              <w:top w:val="single" w:color="auto" w:sz="4" w:space="0"/>
              <w:left w:val="single" w:color="auto" w:sz="4" w:space="0"/>
              <w:bottom w:val="single" w:color="auto" w:sz="4" w:space="0"/>
              <w:right w:val="single" w:color="auto" w:sz="4" w:space="0"/>
            </w:tcBorders>
            <w:noWrap/>
            <w:vAlign w:val="center"/>
          </w:tcPr>
          <w:p w14:paraId="443D1462">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安全文明施工</w:t>
            </w:r>
          </w:p>
        </w:tc>
        <w:tc>
          <w:tcPr>
            <w:tcW w:w="7530" w:type="dxa"/>
            <w:tcBorders>
              <w:top w:val="single" w:color="auto" w:sz="4" w:space="0"/>
              <w:left w:val="single" w:color="auto" w:sz="4" w:space="0"/>
              <w:bottom w:val="single" w:color="auto" w:sz="4" w:space="0"/>
              <w:right w:val="single" w:color="auto" w:sz="4" w:space="0"/>
            </w:tcBorders>
            <w:noWrap/>
            <w:vAlign w:val="center"/>
          </w:tcPr>
          <w:p w14:paraId="5249D4FF">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达到国家、省、市有关标准</w:t>
            </w:r>
          </w:p>
        </w:tc>
      </w:tr>
      <w:tr w14:paraId="737D2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B14D61B">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w:t>
            </w:r>
          </w:p>
        </w:tc>
        <w:tc>
          <w:tcPr>
            <w:tcW w:w="1723" w:type="dxa"/>
            <w:tcBorders>
              <w:top w:val="single" w:color="auto" w:sz="4" w:space="0"/>
              <w:left w:val="single" w:color="auto" w:sz="4" w:space="0"/>
              <w:bottom w:val="single" w:color="auto" w:sz="4" w:space="0"/>
              <w:right w:val="single" w:color="auto" w:sz="4" w:space="0"/>
            </w:tcBorders>
            <w:noWrap/>
            <w:vAlign w:val="center"/>
          </w:tcPr>
          <w:p w14:paraId="4342495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房屋建筑工程</w:t>
            </w:r>
          </w:p>
          <w:p w14:paraId="5D0BB14A">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绿色建筑标准</w:t>
            </w:r>
          </w:p>
        </w:tc>
        <w:tc>
          <w:tcPr>
            <w:tcW w:w="7530" w:type="dxa"/>
            <w:tcBorders>
              <w:top w:val="single" w:color="auto" w:sz="4" w:space="0"/>
              <w:left w:val="single" w:color="auto" w:sz="4" w:space="0"/>
              <w:bottom w:val="single" w:color="auto" w:sz="4" w:space="0"/>
              <w:right w:val="single" w:color="auto" w:sz="4" w:space="0"/>
            </w:tcBorders>
            <w:noWrap/>
            <w:vAlign w:val="center"/>
          </w:tcPr>
          <w:p w14:paraId="3410B4E4">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本招标项目不纳入绿色建筑实施范围。</w:t>
            </w:r>
          </w:p>
        </w:tc>
      </w:tr>
      <w:tr w14:paraId="148DC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025653C">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p>
        </w:tc>
        <w:tc>
          <w:tcPr>
            <w:tcW w:w="1723" w:type="dxa"/>
            <w:tcBorders>
              <w:top w:val="single" w:color="auto" w:sz="4" w:space="0"/>
              <w:left w:val="single" w:color="auto" w:sz="4" w:space="0"/>
              <w:bottom w:val="single" w:color="auto" w:sz="4" w:space="0"/>
              <w:right w:val="single" w:color="auto" w:sz="4" w:space="0"/>
            </w:tcBorders>
            <w:noWrap/>
            <w:vAlign w:val="center"/>
          </w:tcPr>
          <w:p w14:paraId="4B114C41">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工程款支付</w:t>
            </w:r>
          </w:p>
        </w:tc>
        <w:tc>
          <w:tcPr>
            <w:tcW w:w="7530" w:type="dxa"/>
            <w:tcBorders>
              <w:top w:val="single" w:color="auto" w:sz="4" w:space="0"/>
              <w:left w:val="single" w:color="auto" w:sz="4" w:space="0"/>
              <w:bottom w:val="single" w:color="auto" w:sz="4" w:space="0"/>
              <w:right w:val="single" w:color="auto" w:sz="4" w:space="0"/>
            </w:tcBorders>
            <w:noWrap/>
            <w:vAlign w:val="center"/>
          </w:tcPr>
          <w:p w14:paraId="50191FBD">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详见本招标文件“2-4、工程付款办法”</w:t>
            </w:r>
          </w:p>
        </w:tc>
      </w:tr>
      <w:tr w14:paraId="685C8E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81603E7">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1723" w:type="dxa"/>
            <w:tcBorders>
              <w:top w:val="single" w:color="auto" w:sz="4" w:space="0"/>
              <w:left w:val="single" w:color="auto" w:sz="4" w:space="0"/>
              <w:bottom w:val="single" w:color="auto" w:sz="4" w:space="0"/>
              <w:right w:val="single" w:color="auto" w:sz="4" w:space="0"/>
            </w:tcBorders>
            <w:noWrap/>
            <w:vAlign w:val="center"/>
          </w:tcPr>
          <w:p w14:paraId="04198799">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工程质量保证金</w:t>
            </w:r>
          </w:p>
        </w:tc>
        <w:tc>
          <w:tcPr>
            <w:tcW w:w="7530" w:type="dxa"/>
            <w:tcBorders>
              <w:top w:val="single" w:color="auto" w:sz="4" w:space="0"/>
              <w:left w:val="single" w:color="auto" w:sz="4" w:space="0"/>
              <w:bottom w:val="single" w:color="auto" w:sz="4" w:space="0"/>
              <w:right w:val="single" w:color="auto" w:sz="4" w:space="0"/>
            </w:tcBorders>
            <w:noWrap/>
            <w:vAlign w:val="center"/>
          </w:tcPr>
          <w:p w14:paraId="258F8CE9">
            <w:pPr>
              <w:pStyle w:val="27"/>
              <w:keepNext w:val="0"/>
              <w:keepLines w:val="0"/>
              <w:pageBreakBefore w:val="0"/>
              <w:kinsoku/>
              <w:overflowPunct/>
              <w:topLinePunct w:val="0"/>
              <w:autoSpaceDE/>
              <w:autoSpaceDN/>
              <w:bidi w:val="0"/>
              <w:spacing w:line="360" w:lineRule="exact"/>
              <w:ind w:firstLine="240" w:firstLineChars="1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工程质量保证金总金额为结算价的3%，从工程竣工验收合格之日起计满</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w:t>
            </w:r>
          </w:p>
        </w:tc>
      </w:tr>
      <w:tr w14:paraId="243DA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747EC92">
            <w:pPr>
              <w:pStyle w:val="27"/>
              <w:keepNext w:val="0"/>
              <w:keepLines w:val="0"/>
              <w:pageBreakBefore w:val="0"/>
              <w:kinsoku/>
              <w:overflowPunct/>
              <w:topLinePunct w:val="0"/>
              <w:autoSpaceDE/>
              <w:autoSpaceDN/>
              <w:bidi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1723" w:type="dxa"/>
            <w:tcBorders>
              <w:top w:val="single" w:color="auto" w:sz="4" w:space="0"/>
              <w:left w:val="single" w:color="auto" w:sz="4" w:space="0"/>
              <w:bottom w:val="single" w:color="auto" w:sz="4" w:space="0"/>
              <w:right w:val="single" w:color="auto" w:sz="4" w:space="0"/>
            </w:tcBorders>
            <w:noWrap/>
            <w:vAlign w:val="center"/>
          </w:tcPr>
          <w:p w14:paraId="36199C06">
            <w:pPr>
              <w:keepNext w:val="0"/>
              <w:keepLines w:val="0"/>
              <w:pageBreakBefore w:val="0"/>
              <w:kinsoku/>
              <w:overflowPunct/>
              <w:topLinePunct w:val="0"/>
              <w:autoSpaceDE/>
              <w:autoSpaceDN/>
              <w:bidi w:val="0"/>
              <w:snapToGrid w:val="0"/>
              <w:spacing w:beforeLines="50"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招标代理服务</w:t>
            </w:r>
            <w:r>
              <w:rPr>
                <w:rFonts w:hint="eastAsia" w:ascii="宋体" w:hAnsi="宋体" w:eastAsia="宋体" w:cs="宋体"/>
                <w:snapToGrid w:val="0"/>
                <w:color w:val="auto"/>
                <w:kern w:val="0"/>
                <w:sz w:val="24"/>
                <w:szCs w:val="24"/>
                <w:highlight w:val="none"/>
                <w:lang w:val="en-US" w:eastAsia="zh-CN"/>
              </w:rPr>
              <w:t>费及评标专家酬劳</w:t>
            </w:r>
          </w:p>
        </w:tc>
        <w:tc>
          <w:tcPr>
            <w:tcW w:w="7530" w:type="dxa"/>
            <w:tcBorders>
              <w:top w:val="single" w:color="auto" w:sz="4" w:space="0"/>
              <w:left w:val="single" w:color="auto" w:sz="4" w:space="0"/>
              <w:bottom w:val="single" w:color="auto" w:sz="4" w:space="0"/>
              <w:right w:val="single" w:color="auto" w:sz="4" w:space="0"/>
            </w:tcBorders>
            <w:noWrap/>
            <w:vAlign w:val="center"/>
          </w:tcPr>
          <w:p w14:paraId="7F94094E">
            <w:pPr>
              <w:keepNext w:val="0"/>
              <w:keepLines w:val="0"/>
              <w:pageBreakBefore w:val="0"/>
              <w:kinsoku/>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根据本工程的建设工程招标代理合同约定，本工程的招标代理服务费及评标专家酬劳全部由中标人支付。</w:t>
            </w:r>
          </w:p>
          <w:p w14:paraId="64AAB851">
            <w:pPr>
              <w:keepNext w:val="0"/>
              <w:keepLines w:val="0"/>
              <w:pageBreakBefore w:val="0"/>
              <w:kinsoku/>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
                <w:bCs/>
                <w:snapToGrid w:val="0"/>
                <w:color w:val="auto"/>
                <w:kern w:val="0"/>
                <w:sz w:val="24"/>
                <w:szCs w:val="24"/>
                <w:highlight w:val="none"/>
              </w:rPr>
              <w:t>注：参与投标视为认可该条款。</w:t>
            </w:r>
          </w:p>
        </w:tc>
      </w:tr>
      <w:tr w14:paraId="777CAC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E37B3E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1723" w:type="dxa"/>
            <w:tcBorders>
              <w:top w:val="single" w:color="auto" w:sz="4" w:space="0"/>
              <w:left w:val="single" w:color="auto" w:sz="4" w:space="0"/>
              <w:bottom w:val="single" w:color="auto" w:sz="4" w:space="0"/>
              <w:right w:val="single" w:color="auto" w:sz="4" w:space="0"/>
            </w:tcBorders>
            <w:noWrap/>
            <w:vAlign w:val="center"/>
          </w:tcPr>
          <w:p w14:paraId="776C4141">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0FD96E29">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530" w:type="dxa"/>
            <w:tcBorders>
              <w:top w:val="single" w:color="auto" w:sz="4" w:space="0"/>
              <w:left w:val="single" w:color="auto" w:sz="4" w:space="0"/>
              <w:bottom w:val="single" w:color="auto" w:sz="4" w:space="0"/>
              <w:right w:val="single" w:color="auto" w:sz="4" w:space="0"/>
            </w:tcBorders>
            <w:noWrap/>
            <w:vAlign w:val="center"/>
          </w:tcPr>
          <w:p w14:paraId="2C271817">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eastAsia="宋体" w:cs="宋体"/>
                <w:snapToGrid w:val="0"/>
                <w:color w:val="auto"/>
                <w:kern w:val="0"/>
                <w:sz w:val="24"/>
                <w:szCs w:val="24"/>
                <w:highlight w:val="none"/>
                <w:lang w:eastAsia="zh-CN"/>
              </w:rPr>
              <w:t>始兴县文化广电旅游体育局</w:t>
            </w:r>
          </w:p>
          <w:p w14:paraId="4F7AEFF5">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办公地址：韶关市始兴县太平镇永安大道中79号</w:t>
            </w:r>
          </w:p>
          <w:p w14:paraId="35436C84">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联系人（部门）：庞小姐</w:t>
            </w:r>
          </w:p>
          <w:p w14:paraId="7A02427E">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snapToGrid w:val="0"/>
                <w:color w:val="auto"/>
                <w:kern w:val="0"/>
                <w:sz w:val="24"/>
                <w:szCs w:val="24"/>
                <w:highlight w:val="none"/>
                <w:lang w:val="en-US" w:eastAsia="zh-CN"/>
              </w:rPr>
              <w:t>0751-3326851</w:t>
            </w:r>
          </w:p>
        </w:tc>
      </w:tr>
      <w:tr w14:paraId="2F186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6"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61E7ED8">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1723" w:type="dxa"/>
            <w:tcBorders>
              <w:top w:val="single" w:color="auto" w:sz="4" w:space="0"/>
              <w:left w:val="single" w:color="auto" w:sz="4" w:space="0"/>
              <w:bottom w:val="single" w:color="auto" w:sz="4" w:space="0"/>
              <w:right w:val="single" w:color="auto" w:sz="4" w:space="0"/>
            </w:tcBorders>
            <w:noWrap/>
            <w:vAlign w:val="center"/>
          </w:tcPr>
          <w:p w14:paraId="14E075FF">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10C69DC">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530" w:type="dxa"/>
            <w:tcBorders>
              <w:top w:val="single" w:color="auto" w:sz="4" w:space="0"/>
              <w:left w:val="single" w:color="auto" w:sz="4" w:space="0"/>
              <w:bottom w:val="single" w:color="auto" w:sz="4" w:space="0"/>
              <w:right w:val="single" w:color="auto" w:sz="4" w:space="0"/>
            </w:tcBorders>
            <w:noWrap/>
            <w:vAlign w:val="center"/>
          </w:tcPr>
          <w:p w14:paraId="1AE06DEB">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韶关市诚智工程管理咨询有限公司</w:t>
            </w:r>
          </w:p>
          <w:p w14:paraId="009A0C44">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val="en-US" w:eastAsia="zh-CN"/>
              </w:rPr>
              <w:t>韶关市武江区西联镇车头新村一街5-2座-2</w:t>
            </w:r>
          </w:p>
          <w:p w14:paraId="094CF5BD">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val="en-US" w:eastAsia="zh-CN"/>
              </w:rPr>
              <w:t>陈</w:t>
            </w:r>
            <w:r>
              <w:rPr>
                <w:rFonts w:hint="eastAsia" w:ascii="宋体" w:hAnsi="宋体" w:eastAsia="宋体" w:cs="宋体"/>
                <w:snapToGrid w:val="0"/>
                <w:color w:val="auto"/>
                <w:kern w:val="0"/>
                <w:sz w:val="24"/>
                <w:szCs w:val="24"/>
                <w:highlight w:val="none"/>
              </w:rPr>
              <w:t>工</w:t>
            </w:r>
          </w:p>
          <w:p w14:paraId="13AFF981">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snapToGrid w:val="0"/>
                <w:color w:val="auto"/>
                <w:kern w:val="0"/>
                <w:sz w:val="24"/>
                <w:szCs w:val="24"/>
                <w:highlight w:val="none"/>
                <w:lang w:val="en-US" w:eastAsia="zh-CN"/>
              </w:rPr>
              <w:t>0751-8963229</w:t>
            </w:r>
          </w:p>
        </w:tc>
      </w:tr>
      <w:tr w14:paraId="1554C5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CA7BD8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0</w:t>
            </w:r>
          </w:p>
        </w:tc>
        <w:tc>
          <w:tcPr>
            <w:tcW w:w="1723" w:type="dxa"/>
            <w:tcBorders>
              <w:top w:val="single" w:color="auto" w:sz="4" w:space="0"/>
              <w:left w:val="single" w:color="auto" w:sz="4" w:space="0"/>
              <w:bottom w:val="single" w:color="auto" w:sz="4" w:space="0"/>
              <w:right w:val="single" w:color="auto" w:sz="4" w:space="0"/>
            </w:tcBorders>
            <w:noWrap/>
            <w:vAlign w:val="center"/>
          </w:tcPr>
          <w:p w14:paraId="0851F536">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1879445B">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530" w:type="dxa"/>
            <w:tcBorders>
              <w:top w:val="single" w:color="auto" w:sz="4" w:space="0"/>
              <w:left w:val="single" w:color="auto" w:sz="4" w:space="0"/>
              <w:bottom w:val="single" w:color="auto" w:sz="4" w:space="0"/>
              <w:right w:val="single" w:color="auto" w:sz="4" w:space="0"/>
            </w:tcBorders>
            <w:noWrap/>
            <w:vAlign w:val="center"/>
          </w:tcPr>
          <w:p w14:paraId="06E908B9">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73D074B9">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lang w:val="zh-CN"/>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val="zh-CN"/>
              </w:rPr>
              <w:t>始兴县永安大道中79号行政服务大楼四楼</w:t>
            </w:r>
          </w:p>
          <w:p w14:paraId="0E2C610D">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val="zh-CN"/>
              </w:rPr>
              <w:t>邓工</w:t>
            </w:r>
          </w:p>
          <w:p w14:paraId="42D1F3D7">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 xml:space="preserve">联系电话： </w:t>
            </w:r>
            <w:r>
              <w:rPr>
                <w:rFonts w:hint="eastAsia" w:ascii="宋体" w:hAnsi="宋体" w:eastAsia="宋体" w:cs="宋体"/>
                <w:snapToGrid w:val="0"/>
                <w:color w:val="auto"/>
                <w:kern w:val="0"/>
                <w:sz w:val="24"/>
                <w:szCs w:val="24"/>
                <w:highlight w:val="none"/>
                <w:lang w:val="zh-CN"/>
              </w:rPr>
              <w:t>0751-3315236</w:t>
            </w:r>
          </w:p>
        </w:tc>
      </w:tr>
      <w:tr w14:paraId="026A6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F0DD6C5">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val="en-US" w:eastAsia="zh-CN"/>
              </w:rPr>
              <w:t>1</w:t>
            </w:r>
          </w:p>
        </w:tc>
        <w:tc>
          <w:tcPr>
            <w:tcW w:w="1723" w:type="dxa"/>
            <w:tcBorders>
              <w:top w:val="single" w:color="auto" w:sz="4" w:space="0"/>
              <w:left w:val="single" w:color="auto" w:sz="4" w:space="0"/>
              <w:bottom w:val="single" w:color="auto" w:sz="4" w:space="0"/>
              <w:right w:val="single" w:color="auto" w:sz="4" w:space="0"/>
            </w:tcBorders>
            <w:noWrap/>
            <w:vAlign w:val="center"/>
          </w:tcPr>
          <w:p w14:paraId="26DADE1D">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063B0453">
            <w:pPr>
              <w:keepNext w:val="0"/>
              <w:keepLines w:val="0"/>
              <w:pageBreakBefore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530" w:type="dxa"/>
            <w:tcBorders>
              <w:top w:val="single" w:color="auto" w:sz="4" w:space="0"/>
              <w:left w:val="single" w:color="auto" w:sz="4" w:space="0"/>
              <w:bottom w:val="single" w:color="auto" w:sz="4" w:space="0"/>
              <w:right w:val="single" w:color="auto" w:sz="4" w:space="0"/>
            </w:tcBorders>
            <w:noWrap/>
            <w:vAlign w:val="center"/>
          </w:tcPr>
          <w:p w14:paraId="3D54DA34">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lang w:val="zh-CN"/>
              </w:rPr>
              <w:t>始兴县住房和城乡建设管理局</w:t>
            </w:r>
          </w:p>
          <w:p w14:paraId="2FC78F47">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val="zh-CN"/>
              </w:rPr>
              <w:t>韶关市始兴县沿江北路1号</w:t>
            </w:r>
          </w:p>
          <w:p w14:paraId="058EA31B">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snapToGrid w:val="0"/>
                <w:color w:val="auto"/>
                <w:kern w:val="0"/>
                <w:sz w:val="24"/>
                <w:szCs w:val="24"/>
                <w:highlight w:val="none"/>
                <w:lang w:val="zh-CN"/>
              </w:rPr>
              <w:t>建管股</w:t>
            </w:r>
          </w:p>
          <w:p w14:paraId="2861318A">
            <w:pPr>
              <w:keepNext w:val="0"/>
              <w:keepLines w:val="0"/>
              <w:pageBreakBefore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snapToGrid w:val="0"/>
                <w:color w:val="auto"/>
                <w:kern w:val="0"/>
                <w:sz w:val="24"/>
                <w:szCs w:val="24"/>
                <w:highlight w:val="none"/>
                <w:lang w:val="zh-CN"/>
              </w:rPr>
              <w:t xml:space="preserve"> 0751-</w:t>
            </w:r>
            <w:r>
              <w:rPr>
                <w:rFonts w:hint="eastAsia" w:ascii="宋体" w:hAnsi="宋体" w:eastAsia="宋体" w:cs="宋体"/>
                <w:snapToGrid w:val="0"/>
                <w:color w:val="auto"/>
                <w:kern w:val="0"/>
                <w:sz w:val="24"/>
                <w:szCs w:val="24"/>
                <w:highlight w:val="none"/>
              </w:rPr>
              <w:t>3315107  </w:t>
            </w:r>
          </w:p>
        </w:tc>
      </w:tr>
      <w:bookmarkEnd w:id="4"/>
    </w:tbl>
    <w:p w14:paraId="60D2C90F">
      <w:pPr>
        <w:pStyle w:val="29"/>
        <w:keepNext/>
        <w:keepLines/>
        <w:autoSpaceDE/>
        <w:autoSpaceDN/>
        <w:adjustRightInd/>
        <w:spacing w:before="260" w:after="260" w:line="360" w:lineRule="exact"/>
        <w:ind w:firstLine="482" w:firstLineChars="200"/>
        <w:jc w:val="center"/>
        <w:rPr>
          <w:rFonts w:hint="eastAsia" w:asciiTheme="minorEastAsia" w:hAnsiTheme="minorEastAsia" w:eastAsiaTheme="minorEastAsia" w:cstheme="minorEastAsia"/>
          <w:b/>
          <w:color w:val="auto"/>
          <w:kern w:val="2"/>
          <w:highlight w:val="none"/>
        </w:rPr>
      </w:pPr>
      <w:bookmarkStart w:id="5" w:name="_Toc122671103"/>
      <w:bookmarkStart w:id="6" w:name="_Toc122859103"/>
      <w:bookmarkStart w:id="7" w:name="_Toc122769943"/>
      <w:r>
        <w:rPr>
          <w:rFonts w:hint="eastAsia" w:asciiTheme="minorEastAsia" w:hAnsiTheme="minorEastAsia" w:eastAsiaTheme="minorEastAsia" w:cstheme="minorEastAsia"/>
          <w:b/>
          <w:color w:val="auto"/>
          <w:kern w:val="2"/>
          <w:highlight w:val="none"/>
        </w:rPr>
        <w:br w:type="page"/>
      </w:r>
      <w:bookmarkEnd w:id="5"/>
      <w:bookmarkEnd w:id="6"/>
      <w:bookmarkEnd w:id="7"/>
      <w:bookmarkStart w:id="8" w:name="_Toc12063"/>
      <w:bookmarkStart w:id="9" w:name="_Toc29152"/>
      <w:r>
        <w:rPr>
          <w:rFonts w:hint="eastAsia" w:asciiTheme="minorEastAsia" w:hAnsiTheme="minorEastAsia" w:eastAsiaTheme="minorEastAsia" w:cstheme="minorEastAsia"/>
          <w:b/>
          <w:color w:val="auto"/>
          <w:kern w:val="2"/>
          <w:sz w:val="28"/>
          <w:szCs w:val="28"/>
          <w:highlight w:val="none"/>
        </w:rPr>
        <w:t>第二节</w:t>
      </w:r>
      <w:r>
        <w:rPr>
          <w:rFonts w:hint="eastAsia" w:asciiTheme="minorEastAsia" w:hAnsiTheme="minorEastAsia" w:eastAsiaTheme="minorEastAsia" w:cstheme="minorEastAsia"/>
          <w:b/>
          <w:color w:val="auto"/>
          <w:kern w:val="2"/>
          <w:sz w:val="28"/>
          <w:szCs w:val="28"/>
          <w:highlight w:val="none"/>
          <w:lang w:val="en-US" w:eastAsia="zh-CN"/>
        </w:rPr>
        <w:t xml:space="preserve"> </w:t>
      </w:r>
      <w:r>
        <w:rPr>
          <w:rFonts w:hint="eastAsia" w:asciiTheme="minorEastAsia" w:hAnsiTheme="minorEastAsia" w:eastAsiaTheme="minorEastAsia" w:cstheme="minorEastAsia"/>
          <w:b/>
          <w:color w:val="auto"/>
          <w:kern w:val="2"/>
          <w:sz w:val="28"/>
          <w:szCs w:val="28"/>
          <w:highlight w:val="none"/>
        </w:rPr>
        <w:t>重要事项时间地点一览表</w:t>
      </w:r>
      <w:bookmarkEnd w:id="8"/>
      <w:bookmarkEnd w:id="9"/>
    </w:p>
    <w:tbl>
      <w:tblPr>
        <w:tblStyle w:val="22"/>
        <w:tblW w:w="499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57" w:type="dxa"/>
          <w:bottom w:w="0" w:type="dxa"/>
          <w:right w:w="57" w:type="dxa"/>
        </w:tblCellMar>
      </w:tblPr>
      <w:tblGrid>
        <w:gridCol w:w="464"/>
        <w:gridCol w:w="1655"/>
        <w:gridCol w:w="7347"/>
      </w:tblGrid>
      <w:tr w14:paraId="472EF81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73"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550366E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p>
        </w:tc>
        <w:tc>
          <w:tcPr>
            <w:tcW w:w="874" w:type="pct"/>
            <w:tcBorders>
              <w:top w:val="single" w:color="080000" w:sz="4" w:space="0"/>
              <w:left w:val="nil"/>
              <w:bottom w:val="single" w:color="080000" w:sz="4" w:space="0"/>
              <w:right w:val="single" w:color="080000" w:sz="4" w:space="0"/>
            </w:tcBorders>
            <w:noWrap w:val="0"/>
            <w:vAlign w:val="center"/>
          </w:tcPr>
          <w:p w14:paraId="55F4FD2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招标公告</w:t>
            </w:r>
          </w:p>
          <w:p w14:paraId="776D52B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发布时间</w:t>
            </w:r>
          </w:p>
        </w:tc>
        <w:tc>
          <w:tcPr>
            <w:tcW w:w="3880" w:type="pct"/>
            <w:tcBorders>
              <w:top w:val="single" w:color="080000" w:sz="4" w:space="0"/>
              <w:left w:val="nil"/>
              <w:bottom w:val="single" w:color="080000" w:sz="4" w:space="0"/>
              <w:right w:val="single" w:color="080000" w:sz="4" w:space="0"/>
            </w:tcBorders>
            <w:noWrap w:val="0"/>
            <w:vAlign w:val="center"/>
          </w:tcPr>
          <w:p w14:paraId="2292D7C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7</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 xml:space="preserve">28 </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0"/>
                <w:sz w:val="24"/>
                <w:szCs w:val="24"/>
                <w:highlight w:val="none"/>
                <w:u w:val="single"/>
                <w:lang w:val="en-US" w:eastAsia="zh-CN" w:bidi="ar"/>
              </w:rPr>
              <w:t xml:space="preserve"> </w:t>
            </w:r>
            <w:r>
              <w:rPr>
                <w:rFonts w:hint="eastAsia" w:hAnsi="宋体" w:eastAsia="宋体" w:cs="宋体"/>
                <w:color w:val="auto"/>
                <w:kern w:val="0"/>
                <w:sz w:val="24"/>
                <w:szCs w:val="24"/>
                <w:highlight w:val="none"/>
                <w:u w:val="single"/>
                <w:lang w:val="en-US" w:eastAsia="zh-CN" w:bidi="ar"/>
              </w:rPr>
              <w:t>16</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00</w:t>
            </w:r>
            <w:r>
              <w:rPr>
                <w:rFonts w:hint="eastAsia" w:ascii="宋体" w:hAnsi="宋体" w:eastAsia="宋体" w:cs="宋体"/>
                <w:color w:val="auto"/>
                <w:kern w:val="2"/>
                <w:sz w:val="24"/>
                <w:szCs w:val="24"/>
                <w:highlight w:val="none"/>
                <w:lang w:val="en-US" w:eastAsia="zh-CN" w:bidi="ar"/>
              </w:rPr>
              <w:t>分</w:t>
            </w:r>
          </w:p>
        </w:tc>
      </w:tr>
      <w:tr w14:paraId="6F19AF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83"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09ABD74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p>
        </w:tc>
        <w:tc>
          <w:tcPr>
            <w:tcW w:w="874" w:type="pct"/>
            <w:tcBorders>
              <w:top w:val="single" w:color="080000" w:sz="4" w:space="0"/>
              <w:left w:val="nil"/>
              <w:bottom w:val="single" w:color="080000" w:sz="4" w:space="0"/>
              <w:right w:val="single" w:color="080000" w:sz="4" w:space="0"/>
            </w:tcBorders>
            <w:noWrap w:val="0"/>
            <w:vAlign w:val="center"/>
          </w:tcPr>
          <w:p w14:paraId="38D43E5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获取招标文件截止时间</w:t>
            </w:r>
          </w:p>
        </w:tc>
        <w:tc>
          <w:tcPr>
            <w:tcW w:w="3880" w:type="pct"/>
            <w:tcBorders>
              <w:top w:val="single" w:color="080000" w:sz="4" w:space="0"/>
              <w:left w:val="nil"/>
              <w:bottom w:val="single" w:color="080000" w:sz="4" w:space="0"/>
              <w:right w:val="single" w:color="080000" w:sz="4" w:space="0"/>
            </w:tcBorders>
            <w:noWrap w:val="0"/>
            <w:vAlign w:val="center"/>
          </w:tcPr>
          <w:p w14:paraId="73E9E42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19</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7B134C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812"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6838688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p>
        </w:tc>
        <w:tc>
          <w:tcPr>
            <w:tcW w:w="874" w:type="pct"/>
            <w:tcBorders>
              <w:top w:val="single" w:color="080000" w:sz="4" w:space="0"/>
              <w:left w:val="nil"/>
              <w:bottom w:val="single" w:color="080000" w:sz="4" w:space="0"/>
              <w:right w:val="single" w:color="080000" w:sz="4" w:space="0"/>
            </w:tcBorders>
            <w:noWrap w:val="0"/>
            <w:vAlign w:val="center"/>
          </w:tcPr>
          <w:p w14:paraId="585DD21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网上提问</w:t>
            </w:r>
          </w:p>
          <w:p w14:paraId="7CED4E7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截止时间</w:t>
            </w:r>
          </w:p>
        </w:tc>
        <w:tc>
          <w:tcPr>
            <w:tcW w:w="3880" w:type="pct"/>
            <w:tcBorders>
              <w:top w:val="single" w:color="080000" w:sz="4" w:space="0"/>
              <w:left w:val="nil"/>
              <w:bottom w:val="single" w:color="080000" w:sz="4" w:space="0"/>
              <w:right w:val="single" w:color="080000" w:sz="4" w:space="0"/>
            </w:tcBorders>
            <w:noWrap w:val="0"/>
            <w:vAlign w:val="center"/>
          </w:tcPr>
          <w:p w14:paraId="2155932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9</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16 </w:t>
            </w:r>
            <w:r>
              <w:rPr>
                <w:rFonts w:hint="eastAsia" w:ascii="宋体" w:hAnsi="宋体" w:eastAsia="宋体" w:cs="宋体"/>
                <w:color w:val="auto"/>
                <w:kern w:val="2"/>
                <w:sz w:val="24"/>
                <w:szCs w:val="24"/>
                <w:highlight w:val="none"/>
                <w:lang w:val="en-US" w:eastAsia="zh-CN" w:bidi="ar"/>
              </w:rPr>
              <w:t>时</w:t>
            </w:r>
            <w:r>
              <w:rPr>
                <w:rFonts w:hint="eastAsia" w:ascii="宋体" w:hAnsi="宋体" w:eastAsia="宋体" w:cs="宋体"/>
                <w:color w:val="auto"/>
                <w:kern w:val="2"/>
                <w:sz w:val="24"/>
                <w:szCs w:val="24"/>
                <w:highlight w:val="none"/>
                <w:u w:val="single"/>
                <w:lang w:val="en-US" w:eastAsia="zh-CN" w:bidi="ar"/>
              </w:rPr>
              <w:t xml:space="preserve"> 00 </w:t>
            </w:r>
            <w:r>
              <w:rPr>
                <w:rFonts w:hint="eastAsia" w:ascii="宋体" w:hAnsi="宋体" w:eastAsia="宋体" w:cs="宋体"/>
                <w:color w:val="auto"/>
                <w:kern w:val="2"/>
                <w:sz w:val="24"/>
                <w:szCs w:val="24"/>
                <w:highlight w:val="none"/>
                <w:lang w:val="en-US" w:eastAsia="zh-CN" w:bidi="ar"/>
              </w:rPr>
              <w:t>分</w:t>
            </w:r>
          </w:p>
        </w:tc>
      </w:tr>
      <w:tr w14:paraId="21D30B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82"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59A9EA5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w:t>
            </w:r>
          </w:p>
        </w:tc>
        <w:tc>
          <w:tcPr>
            <w:tcW w:w="874" w:type="pct"/>
            <w:tcBorders>
              <w:top w:val="single" w:color="080000" w:sz="4" w:space="0"/>
              <w:left w:val="nil"/>
              <w:bottom w:val="single" w:color="080000" w:sz="4" w:space="0"/>
              <w:right w:val="single" w:color="080000" w:sz="4" w:space="0"/>
            </w:tcBorders>
            <w:noWrap w:val="0"/>
            <w:vAlign w:val="center"/>
          </w:tcPr>
          <w:p w14:paraId="147DCE8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网上答疑</w:t>
            </w:r>
          </w:p>
          <w:p w14:paraId="578C2D4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时间</w:t>
            </w:r>
          </w:p>
        </w:tc>
        <w:tc>
          <w:tcPr>
            <w:tcW w:w="3880" w:type="pct"/>
            <w:tcBorders>
              <w:top w:val="single" w:color="080000" w:sz="4" w:space="0"/>
              <w:left w:val="nil"/>
              <w:bottom w:val="single" w:color="080000" w:sz="4" w:space="0"/>
              <w:right w:val="single" w:color="080000" w:sz="4" w:space="0"/>
            </w:tcBorders>
            <w:noWrap w:val="0"/>
            <w:vAlign w:val="center"/>
          </w:tcPr>
          <w:p w14:paraId="4FB15F3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 xml:space="preserve">8 </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 xml:space="preserve">9 </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16 </w:t>
            </w:r>
            <w:r>
              <w:rPr>
                <w:rFonts w:hint="eastAsia" w:ascii="宋体" w:hAnsi="宋体" w:eastAsia="宋体" w:cs="宋体"/>
                <w:color w:val="auto"/>
                <w:kern w:val="2"/>
                <w:sz w:val="24"/>
                <w:szCs w:val="24"/>
                <w:highlight w:val="none"/>
                <w:lang w:val="en-US" w:eastAsia="zh-CN" w:bidi="ar"/>
              </w:rPr>
              <w:t>时</w:t>
            </w:r>
            <w:r>
              <w:rPr>
                <w:rFonts w:hint="eastAsia" w:ascii="宋体" w:hAnsi="宋体" w:eastAsia="宋体" w:cs="宋体"/>
                <w:color w:val="auto"/>
                <w:kern w:val="2"/>
                <w:sz w:val="24"/>
                <w:szCs w:val="24"/>
                <w:highlight w:val="none"/>
                <w:u w:val="single"/>
                <w:lang w:val="en-US" w:eastAsia="zh-CN" w:bidi="ar"/>
              </w:rPr>
              <w:t xml:space="preserve"> 30 </w:t>
            </w:r>
            <w:r>
              <w:rPr>
                <w:rFonts w:hint="eastAsia" w:ascii="宋体" w:hAnsi="宋体" w:eastAsia="宋体" w:cs="宋体"/>
                <w:color w:val="auto"/>
                <w:kern w:val="2"/>
                <w:sz w:val="24"/>
                <w:szCs w:val="24"/>
                <w:highlight w:val="none"/>
                <w:lang w:val="en-US" w:eastAsia="zh-CN" w:bidi="ar"/>
              </w:rPr>
              <w:t>分</w:t>
            </w:r>
            <w:r>
              <w:rPr>
                <w:rFonts w:hint="eastAsia" w:ascii="宋体" w:hAnsi="宋体" w:eastAsia="宋体" w:cs="宋体"/>
                <w:color w:val="auto"/>
                <w:kern w:val="0"/>
                <w:sz w:val="24"/>
                <w:szCs w:val="24"/>
                <w:highlight w:val="none"/>
                <w:lang w:val="en-US" w:eastAsia="zh-CN" w:bidi="ar"/>
              </w:rPr>
              <w:t>至</w:t>
            </w: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12</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16 </w:t>
            </w:r>
            <w:r>
              <w:rPr>
                <w:rFonts w:hint="eastAsia" w:ascii="宋体" w:hAnsi="宋体" w:eastAsia="宋体" w:cs="宋体"/>
                <w:color w:val="auto"/>
                <w:kern w:val="2"/>
                <w:sz w:val="24"/>
                <w:szCs w:val="24"/>
                <w:highlight w:val="none"/>
                <w:lang w:val="en-US" w:eastAsia="zh-CN" w:bidi="ar"/>
              </w:rPr>
              <w:t>时</w:t>
            </w:r>
            <w:r>
              <w:rPr>
                <w:rFonts w:hint="eastAsia" w:ascii="宋体" w:hAnsi="宋体" w:eastAsia="宋体" w:cs="宋体"/>
                <w:color w:val="auto"/>
                <w:kern w:val="2"/>
                <w:sz w:val="24"/>
                <w:szCs w:val="24"/>
                <w:highlight w:val="none"/>
                <w:u w:val="single"/>
                <w:lang w:val="en-US" w:eastAsia="zh-CN" w:bidi="ar"/>
              </w:rPr>
              <w:t xml:space="preserve"> 00 </w:t>
            </w:r>
            <w:r>
              <w:rPr>
                <w:rFonts w:hint="eastAsia" w:ascii="宋体" w:hAnsi="宋体" w:eastAsia="宋体" w:cs="宋体"/>
                <w:color w:val="auto"/>
                <w:kern w:val="2"/>
                <w:sz w:val="24"/>
                <w:szCs w:val="24"/>
                <w:highlight w:val="none"/>
                <w:lang w:val="en-US" w:eastAsia="zh-CN" w:bidi="ar"/>
              </w:rPr>
              <w:t>分</w:t>
            </w:r>
          </w:p>
        </w:tc>
      </w:tr>
      <w:tr w14:paraId="250D9D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1373"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7D2611B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w:t>
            </w:r>
          </w:p>
        </w:tc>
        <w:tc>
          <w:tcPr>
            <w:tcW w:w="874" w:type="pct"/>
            <w:tcBorders>
              <w:top w:val="single" w:color="080000" w:sz="4" w:space="0"/>
              <w:left w:val="nil"/>
              <w:bottom w:val="single" w:color="080000" w:sz="4" w:space="0"/>
              <w:right w:val="single" w:color="080000" w:sz="4" w:space="0"/>
            </w:tcBorders>
            <w:noWrap w:val="0"/>
            <w:vAlign w:val="center"/>
          </w:tcPr>
          <w:p w14:paraId="0897F91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投标保证缴</w:t>
            </w:r>
          </w:p>
          <w:p w14:paraId="2F23376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纳截止时间</w:t>
            </w:r>
          </w:p>
        </w:tc>
        <w:tc>
          <w:tcPr>
            <w:tcW w:w="3880" w:type="pct"/>
            <w:tcBorders>
              <w:top w:val="single" w:color="080000" w:sz="4" w:space="0"/>
              <w:left w:val="nil"/>
              <w:bottom w:val="single" w:color="080000" w:sz="4" w:space="0"/>
              <w:right w:val="single" w:color="080000" w:sz="4" w:space="0"/>
            </w:tcBorders>
            <w:noWrap w:val="0"/>
            <w:vAlign w:val="center"/>
          </w:tcPr>
          <w:p w14:paraId="4B9B741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投标保证金到账截止时间：</w:t>
            </w: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18</w:t>
            </w:r>
            <w:r>
              <w:rPr>
                <w:rFonts w:hint="eastAsia" w:ascii="宋体" w:hAnsi="宋体" w:eastAsia="宋体" w:cs="宋体"/>
                <w:color w:val="auto"/>
                <w:kern w:val="0"/>
                <w:sz w:val="24"/>
                <w:szCs w:val="24"/>
                <w:highlight w:val="none"/>
                <w:lang w:val="en-US" w:eastAsia="zh-CN" w:bidi="ar"/>
              </w:rPr>
              <w:t>日</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lang w:val="en-US" w:eastAsia="zh-CN" w:bidi="ar"/>
              </w:rPr>
              <w:t>分</w:t>
            </w:r>
            <w:r>
              <w:rPr>
                <w:rFonts w:hint="eastAsia" w:ascii="宋体" w:hAnsi="宋体" w:eastAsia="宋体" w:cs="宋体"/>
                <w:color w:val="auto"/>
                <w:kern w:val="0"/>
                <w:sz w:val="24"/>
                <w:szCs w:val="24"/>
                <w:highlight w:val="none"/>
                <w:lang w:val="en-US" w:eastAsia="zh-CN" w:bidi="ar"/>
              </w:rPr>
              <w:t>；</w:t>
            </w:r>
          </w:p>
          <w:p w14:paraId="142C2DF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投标保证担保上传截止时间：</w:t>
            </w: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18</w:t>
            </w:r>
            <w:r>
              <w:rPr>
                <w:rFonts w:hint="eastAsia" w:ascii="宋体" w:hAnsi="宋体" w:eastAsia="宋体" w:cs="宋体"/>
                <w:color w:val="auto"/>
                <w:kern w:val="0"/>
                <w:sz w:val="24"/>
                <w:szCs w:val="24"/>
                <w:highlight w:val="none"/>
                <w:lang w:val="en-US" w:eastAsia="zh-CN" w:bidi="ar"/>
              </w:rPr>
              <w:t>日</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lang w:val="en-US" w:eastAsia="zh-CN" w:bidi="ar"/>
              </w:rPr>
              <w:t>分</w:t>
            </w:r>
            <w:r>
              <w:rPr>
                <w:rFonts w:hint="eastAsia" w:ascii="宋体" w:hAnsi="宋体" w:eastAsia="宋体" w:cs="宋体"/>
                <w:color w:val="auto"/>
                <w:kern w:val="0"/>
                <w:sz w:val="24"/>
                <w:szCs w:val="24"/>
                <w:highlight w:val="none"/>
                <w:lang w:val="en-US" w:eastAsia="zh-CN" w:bidi="ar"/>
              </w:rPr>
              <w:t>；</w:t>
            </w:r>
          </w:p>
          <w:p w14:paraId="732ED3E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投标保证保险投保截止时间：</w:t>
            </w: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18</w:t>
            </w:r>
            <w:r>
              <w:rPr>
                <w:rFonts w:hint="eastAsia" w:ascii="宋体" w:hAnsi="宋体" w:eastAsia="宋体" w:cs="宋体"/>
                <w:color w:val="auto"/>
                <w:kern w:val="0"/>
                <w:sz w:val="24"/>
                <w:szCs w:val="24"/>
                <w:highlight w:val="none"/>
                <w:lang w:val="en-US" w:eastAsia="zh-CN" w:bidi="ar"/>
              </w:rPr>
              <w:t>日</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lang w:val="en-US" w:eastAsia="zh-CN" w:bidi="ar"/>
              </w:rPr>
              <w:t>分</w:t>
            </w:r>
            <w:r>
              <w:rPr>
                <w:rFonts w:hint="eastAsia" w:ascii="宋体" w:hAnsi="宋体" w:eastAsia="宋体" w:cs="宋体"/>
                <w:color w:val="auto"/>
                <w:kern w:val="0"/>
                <w:sz w:val="24"/>
                <w:szCs w:val="24"/>
                <w:highlight w:val="none"/>
                <w:lang w:val="en-US" w:eastAsia="zh-CN" w:bidi="ar"/>
              </w:rPr>
              <w:t>。</w:t>
            </w:r>
          </w:p>
        </w:tc>
      </w:tr>
      <w:tr w14:paraId="1EFD6A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821"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3B818D2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w:t>
            </w:r>
          </w:p>
        </w:tc>
        <w:tc>
          <w:tcPr>
            <w:tcW w:w="874" w:type="pct"/>
            <w:tcBorders>
              <w:top w:val="single" w:color="080000" w:sz="4" w:space="0"/>
              <w:left w:val="nil"/>
              <w:bottom w:val="single" w:color="080000" w:sz="4" w:space="0"/>
              <w:right w:val="single" w:color="080000" w:sz="4" w:space="0"/>
            </w:tcBorders>
            <w:noWrap w:val="0"/>
            <w:vAlign w:val="center"/>
          </w:tcPr>
          <w:p w14:paraId="606249C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电子投标</w:t>
            </w:r>
          </w:p>
          <w:p w14:paraId="64CB781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截止时间</w:t>
            </w:r>
          </w:p>
        </w:tc>
        <w:tc>
          <w:tcPr>
            <w:tcW w:w="3880" w:type="pct"/>
            <w:tcBorders>
              <w:top w:val="single" w:color="080000" w:sz="4" w:space="0"/>
              <w:left w:val="nil"/>
              <w:bottom w:val="single" w:color="080000" w:sz="4" w:space="0"/>
              <w:right w:val="single" w:color="080000" w:sz="4" w:space="0"/>
            </w:tcBorders>
            <w:noWrap w:val="0"/>
            <w:vAlign w:val="center"/>
          </w:tcPr>
          <w:p w14:paraId="7A96BB1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19</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059A9C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899"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0C3F5F2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7</w:t>
            </w:r>
          </w:p>
        </w:tc>
        <w:tc>
          <w:tcPr>
            <w:tcW w:w="874" w:type="pct"/>
            <w:tcBorders>
              <w:top w:val="single" w:color="080000" w:sz="4" w:space="0"/>
              <w:left w:val="nil"/>
              <w:bottom w:val="single" w:color="080000" w:sz="4" w:space="0"/>
              <w:right w:val="single" w:color="080000" w:sz="4" w:space="0"/>
            </w:tcBorders>
            <w:noWrap w:val="0"/>
            <w:vAlign w:val="center"/>
          </w:tcPr>
          <w:p w14:paraId="61AA0A7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投标评审原件(如有)递交时间</w:t>
            </w:r>
          </w:p>
        </w:tc>
        <w:tc>
          <w:tcPr>
            <w:tcW w:w="3880" w:type="pct"/>
            <w:tcBorders>
              <w:top w:val="single" w:color="080000" w:sz="4" w:space="0"/>
              <w:left w:val="nil"/>
              <w:bottom w:val="single" w:color="080000" w:sz="4" w:space="0"/>
              <w:right w:val="single" w:color="080000" w:sz="4" w:space="0"/>
            </w:tcBorders>
            <w:noWrap w:val="0"/>
            <w:vAlign w:val="center"/>
          </w:tcPr>
          <w:p w14:paraId="47AE663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19</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00</w:t>
            </w:r>
            <w:r>
              <w:rPr>
                <w:rFonts w:hint="eastAsia" w:ascii="宋体" w:hAnsi="宋体" w:eastAsia="宋体" w:cs="宋体"/>
                <w:color w:val="auto"/>
                <w:kern w:val="2"/>
                <w:sz w:val="24"/>
                <w:szCs w:val="24"/>
                <w:highlight w:val="none"/>
                <w:lang w:val="en-US" w:eastAsia="zh-CN" w:bidi="ar"/>
              </w:rPr>
              <w:t>分</w:t>
            </w:r>
            <w:r>
              <w:rPr>
                <w:rFonts w:hint="eastAsia" w:ascii="宋体" w:hAnsi="宋体" w:eastAsia="宋体" w:cs="宋体"/>
                <w:color w:val="auto"/>
                <w:kern w:val="0"/>
                <w:sz w:val="24"/>
                <w:szCs w:val="24"/>
                <w:highlight w:val="none"/>
                <w:lang w:val="en-US" w:eastAsia="zh-CN" w:bidi="ar"/>
              </w:rPr>
              <w:t>至</w:t>
            </w: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19</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0E24BF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901"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06A1088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w:t>
            </w:r>
          </w:p>
        </w:tc>
        <w:tc>
          <w:tcPr>
            <w:tcW w:w="874" w:type="pct"/>
            <w:tcBorders>
              <w:top w:val="single" w:color="080000" w:sz="4" w:space="0"/>
              <w:left w:val="nil"/>
              <w:bottom w:val="single" w:color="080000" w:sz="4" w:space="0"/>
              <w:right w:val="single" w:color="080000" w:sz="4" w:space="0"/>
            </w:tcBorders>
            <w:noWrap w:val="0"/>
            <w:vAlign w:val="center"/>
          </w:tcPr>
          <w:p w14:paraId="5EDD09C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投标评审原件(如有)递交地点</w:t>
            </w:r>
          </w:p>
        </w:tc>
        <w:tc>
          <w:tcPr>
            <w:tcW w:w="3880" w:type="pct"/>
            <w:tcBorders>
              <w:top w:val="single" w:color="080000" w:sz="4" w:space="0"/>
              <w:left w:val="nil"/>
              <w:bottom w:val="single" w:color="080000" w:sz="4" w:space="0"/>
              <w:right w:val="single" w:color="080000" w:sz="4" w:space="0"/>
            </w:tcBorders>
            <w:noWrap w:val="0"/>
            <w:vAlign w:val="center"/>
          </w:tcPr>
          <w:p w14:paraId="024A134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递交场所：韶关市公共资源交易中心始兴分中心</w:t>
            </w:r>
          </w:p>
          <w:p w14:paraId="37BB1D2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地址：始兴县永安大道中79号行政服务大楼四楼，具体房间号以当日现场通知为准。</w:t>
            </w:r>
          </w:p>
        </w:tc>
      </w:tr>
      <w:tr w14:paraId="5E0EBF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755"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6C9EE4D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9</w:t>
            </w:r>
          </w:p>
        </w:tc>
        <w:tc>
          <w:tcPr>
            <w:tcW w:w="874" w:type="pct"/>
            <w:tcBorders>
              <w:top w:val="single" w:color="080000" w:sz="4" w:space="0"/>
              <w:left w:val="nil"/>
              <w:bottom w:val="single" w:color="080000" w:sz="4" w:space="0"/>
              <w:right w:val="single" w:color="080000" w:sz="4" w:space="0"/>
            </w:tcBorders>
            <w:noWrap w:val="0"/>
            <w:vAlign w:val="center"/>
          </w:tcPr>
          <w:p w14:paraId="12F0691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开标时间</w:t>
            </w:r>
          </w:p>
        </w:tc>
        <w:tc>
          <w:tcPr>
            <w:tcW w:w="3880" w:type="pct"/>
            <w:tcBorders>
              <w:top w:val="single" w:color="080000" w:sz="4" w:space="0"/>
              <w:left w:val="nil"/>
              <w:bottom w:val="single" w:color="080000" w:sz="4" w:space="0"/>
              <w:right w:val="single" w:color="080000" w:sz="4" w:space="0"/>
            </w:tcBorders>
            <w:noWrap w:val="0"/>
            <w:vAlign w:val="center"/>
          </w:tcPr>
          <w:p w14:paraId="73638BC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
              </w:rPr>
              <w:t>2025</w:t>
            </w:r>
            <w:r>
              <w:rPr>
                <w:rFonts w:hint="eastAsia" w:ascii="宋体" w:hAnsi="宋体" w:eastAsia="宋体" w:cs="宋体"/>
                <w:color w:val="auto"/>
                <w:kern w:val="0"/>
                <w:sz w:val="24"/>
                <w:szCs w:val="24"/>
                <w:highlight w:val="none"/>
                <w:lang w:val="en-US" w:eastAsia="zh-CN" w:bidi="ar"/>
              </w:rPr>
              <w:t>年</w:t>
            </w:r>
            <w:r>
              <w:rPr>
                <w:rFonts w:hint="eastAsia" w:hAnsi="宋体" w:eastAsia="宋体" w:cs="宋体"/>
                <w:color w:val="auto"/>
                <w:kern w:val="0"/>
                <w:sz w:val="24"/>
                <w:szCs w:val="24"/>
                <w:highlight w:val="none"/>
                <w:u w:val="single"/>
                <w:lang w:val="en-US" w:eastAsia="zh-CN" w:bidi="ar"/>
              </w:rPr>
              <w:t>8</w:t>
            </w:r>
            <w:r>
              <w:rPr>
                <w:rFonts w:hint="eastAsia" w:ascii="宋体" w:hAnsi="宋体" w:eastAsia="宋体" w:cs="宋体"/>
                <w:color w:val="auto"/>
                <w:kern w:val="0"/>
                <w:sz w:val="24"/>
                <w:szCs w:val="24"/>
                <w:highlight w:val="none"/>
                <w:lang w:val="en-US" w:eastAsia="zh-CN" w:bidi="ar"/>
              </w:rPr>
              <w:t>月</w:t>
            </w:r>
            <w:r>
              <w:rPr>
                <w:rFonts w:hint="eastAsia" w:hAnsi="宋体" w:eastAsia="宋体" w:cs="宋体"/>
                <w:color w:val="auto"/>
                <w:kern w:val="0"/>
                <w:sz w:val="24"/>
                <w:szCs w:val="24"/>
                <w:highlight w:val="none"/>
                <w:u w:val="single"/>
                <w:lang w:val="en-US" w:eastAsia="zh-CN" w:bidi="ar"/>
              </w:rPr>
              <w:t>19</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color w:val="auto"/>
                <w:kern w:val="2"/>
                <w:sz w:val="24"/>
                <w:szCs w:val="24"/>
                <w:highlight w:val="none"/>
                <w:u w:val="single"/>
                <w:lang w:val="en-US" w:eastAsia="zh-CN" w:bidi="ar"/>
              </w:rPr>
              <w:t xml:space="preserve"> </w:t>
            </w:r>
            <w:r>
              <w:rPr>
                <w:rFonts w:hint="eastAsia" w:hAnsi="宋体" w:eastAsia="宋体" w:cs="宋体"/>
                <w:color w:val="auto"/>
                <w:kern w:val="2"/>
                <w:sz w:val="24"/>
                <w:szCs w:val="24"/>
                <w:highlight w:val="none"/>
                <w:u w:val="single"/>
                <w:lang w:val="en-US" w:eastAsia="zh-CN" w:bidi="ar"/>
              </w:rPr>
              <w:t>9</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时</w:t>
            </w:r>
            <w:r>
              <w:rPr>
                <w:rFonts w:hint="eastAsia" w:hAnsi="宋体" w:eastAsia="宋体" w:cs="宋体"/>
                <w:color w:val="auto"/>
                <w:kern w:val="2"/>
                <w:sz w:val="24"/>
                <w:szCs w:val="24"/>
                <w:highlight w:val="none"/>
                <w:u w:val="single"/>
                <w:lang w:val="en-US" w:eastAsia="zh-CN" w:bidi="ar"/>
              </w:rPr>
              <w:t>30</w:t>
            </w:r>
            <w:r>
              <w:rPr>
                <w:rFonts w:hint="eastAsia" w:ascii="宋体" w:hAnsi="宋体" w:eastAsia="宋体" w:cs="宋体"/>
                <w:color w:val="auto"/>
                <w:kern w:val="2"/>
                <w:sz w:val="24"/>
                <w:szCs w:val="24"/>
                <w:highlight w:val="none"/>
                <w:lang w:val="en-US" w:eastAsia="zh-CN" w:bidi="ar"/>
              </w:rPr>
              <w:t>分</w:t>
            </w:r>
          </w:p>
        </w:tc>
      </w:tr>
      <w:tr w14:paraId="33273E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967" w:hRule="atLeast"/>
        </w:trPr>
        <w:tc>
          <w:tcPr>
            <w:tcW w:w="245" w:type="pct"/>
            <w:tcBorders>
              <w:top w:val="single" w:color="080000" w:sz="4" w:space="0"/>
              <w:left w:val="single" w:color="080000" w:sz="4" w:space="0"/>
              <w:bottom w:val="single" w:color="080000" w:sz="4" w:space="0"/>
              <w:right w:val="single" w:color="080000" w:sz="4" w:space="0"/>
            </w:tcBorders>
            <w:noWrap w:val="0"/>
            <w:vAlign w:val="center"/>
          </w:tcPr>
          <w:p w14:paraId="2301090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10</w:t>
            </w:r>
          </w:p>
        </w:tc>
        <w:tc>
          <w:tcPr>
            <w:tcW w:w="874" w:type="pct"/>
            <w:tcBorders>
              <w:top w:val="single" w:color="080000" w:sz="4" w:space="0"/>
              <w:left w:val="nil"/>
              <w:bottom w:val="single" w:color="080000" w:sz="4" w:space="0"/>
              <w:right w:val="single" w:color="080000" w:sz="4" w:space="0"/>
            </w:tcBorders>
            <w:noWrap w:val="0"/>
            <w:vAlign w:val="center"/>
          </w:tcPr>
          <w:p w14:paraId="63BA050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开标地点</w:t>
            </w:r>
          </w:p>
        </w:tc>
        <w:tc>
          <w:tcPr>
            <w:tcW w:w="3880" w:type="pct"/>
            <w:tcBorders>
              <w:top w:val="single" w:color="080000" w:sz="4" w:space="0"/>
              <w:left w:val="nil"/>
              <w:bottom w:val="single" w:color="080000" w:sz="4" w:space="0"/>
              <w:right w:val="single" w:color="080000" w:sz="4" w:space="0"/>
            </w:tcBorders>
            <w:noWrap w:val="0"/>
            <w:vAlign w:val="center"/>
          </w:tcPr>
          <w:p w14:paraId="7D394A6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开标场所：韶关市公共资源交易中心始兴分中心，</w:t>
            </w:r>
          </w:p>
          <w:p w14:paraId="786341E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leftChars="0" w:right="0"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地址：始兴县永安大道中79号行政服务大楼四楼，具体开标室以当日现场通知为准。</w:t>
            </w:r>
          </w:p>
        </w:tc>
      </w:tr>
      <w:tr w14:paraId="4C526E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57" w:type="dxa"/>
            <w:bottom w:w="0" w:type="dxa"/>
            <w:right w:w="57" w:type="dxa"/>
          </w:tblCellMar>
        </w:tblPrEx>
        <w:trPr>
          <w:trHeight w:val="1419" w:hRule="atLeast"/>
        </w:trPr>
        <w:tc>
          <w:tcPr>
            <w:tcW w:w="1119" w:type="pct"/>
            <w:gridSpan w:val="2"/>
            <w:tcBorders>
              <w:top w:val="single" w:color="080000" w:sz="4" w:space="0"/>
              <w:left w:val="single" w:color="080000" w:sz="4" w:space="0"/>
              <w:bottom w:val="single" w:color="080000" w:sz="4" w:space="0"/>
              <w:right w:val="single" w:color="080000" w:sz="4" w:space="0"/>
            </w:tcBorders>
            <w:noWrap w:val="0"/>
            <w:vAlign w:val="center"/>
          </w:tcPr>
          <w:p w14:paraId="41244AC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备注</w:t>
            </w:r>
          </w:p>
        </w:tc>
        <w:tc>
          <w:tcPr>
            <w:tcW w:w="3880" w:type="pct"/>
            <w:tcBorders>
              <w:top w:val="single" w:color="080000" w:sz="4" w:space="0"/>
              <w:left w:val="nil"/>
              <w:bottom w:val="single" w:color="080000" w:sz="4" w:space="0"/>
              <w:right w:val="single" w:color="080000" w:sz="4" w:space="0"/>
            </w:tcBorders>
            <w:noWrap w:val="0"/>
            <w:vAlign w:val="center"/>
          </w:tcPr>
          <w:p w14:paraId="5877504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400" w:lineRule="exact"/>
              <w:ind w:left="0" w:right="0" w:firstLine="240" w:firstLineChars="1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投标人应按有关计划时间安排办理企业CA认证、企业入库等，自行下载招标文件等资料文件、招标答疑书等。若由于投标人自身原因未能及时取得上述资料的，由此发生的任何责任由投标人自负。</w:t>
            </w:r>
          </w:p>
        </w:tc>
      </w:tr>
    </w:tbl>
    <w:p w14:paraId="4EF27819">
      <w:pPr>
        <w:pStyle w:val="29"/>
        <w:keepNext/>
        <w:keepLines/>
        <w:autoSpaceDE/>
        <w:autoSpaceDN/>
        <w:adjustRightInd/>
        <w:spacing w:before="260" w:after="260" w:line="360" w:lineRule="exact"/>
        <w:ind w:firstLine="480" w:firstLineChars="200"/>
        <w:jc w:val="center"/>
        <w:rPr>
          <w:rFonts w:hint="eastAsia" w:asciiTheme="minorEastAsia" w:hAnsiTheme="minorEastAsia" w:eastAsiaTheme="minorEastAsia" w:cstheme="minorEastAsia"/>
          <w:b/>
          <w:color w:val="auto"/>
          <w:kern w:val="44"/>
          <w:sz w:val="36"/>
          <w:szCs w:val="36"/>
          <w:highlight w:val="none"/>
        </w:rPr>
      </w:pPr>
      <w:r>
        <w:rPr>
          <w:rFonts w:hint="eastAsia" w:asciiTheme="minorEastAsia" w:hAnsiTheme="minorEastAsia" w:eastAsiaTheme="minorEastAsia" w:cstheme="minorEastAsia"/>
          <w:color w:val="auto"/>
          <w:sz w:val="24"/>
          <w:highlight w:val="none"/>
        </w:rPr>
        <w:br w:type="page"/>
      </w:r>
      <w:bookmarkStart w:id="10" w:name="_Hlt69669159"/>
      <w:bookmarkEnd w:id="10"/>
      <w:bookmarkStart w:id="11" w:name="_Toc4158"/>
      <w:bookmarkStart w:id="12" w:name="_Toc30776"/>
      <w:bookmarkStart w:id="13" w:name="_Hlt69698754"/>
      <w:bookmarkStart w:id="14" w:name="_Hlt69698705"/>
      <w:r>
        <w:rPr>
          <w:rFonts w:hint="eastAsia" w:asciiTheme="minorEastAsia" w:hAnsiTheme="minorEastAsia" w:eastAsiaTheme="minorEastAsia" w:cstheme="minorEastAsia"/>
          <w:b/>
          <w:color w:val="auto"/>
          <w:kern w:val="2"/>
          <w:sz w:val="28"/>
          <w:szCs w:val="28"/>
          <w:highlight w:val="none"/>
        </w:rPr>
        <w:t>第</w:t>
      </w:r>
      <w:r>
        <w:rPr>
          <w:rFonts w:hint="eastAsia" w:asciiTheme="minorEastAsia" w:hAnsiTheme="minorEastAsia" w:eastAsiaTheme="minorEastAsia" w:cstheme="minorEastAsia"/>
          <w:b/>
          <w:color w:val="auto"/>
          <w:kern w:val="2"/>
          <w:sz w:val="28"/>
          <w:szCs w:val="28"/>
          <w:highlight w:val="none"/>
          <w:lang w:eastAsia="zh-CN"/>
        </w:rPr>
        <w:t>三</w:t>
      </w:r>
      <w:r>
        <w:rPr>
          <w:rFonts w:hint="eastAsia" w:asciiTheme="minorEastAsia" w:hAnsiTheme="minorEastAsia" w:eastAsiaTheme="minorEastAsia" w:cstheme="minorEastAsia"/>
          <w:b/>
          <w:color w:val="auto"/>
          <w:kern w:val="2"/>
          <w:sz w:val="28"/>
          <w:szCs w:val="28"/>
          <w:highlight w:val="none"/>
        </w:rPr>
        <w:t>节</w:t>
      </w:r>
      <w:bookmarkStart w:id="15" w:name="_Hlt87793819"/>
      <w:bookmarkEnd w:id="15"/>
      <w:r>
        <w:rPr>
          <w:rFonts w:hint="eastAsia" w:asciiTheme="minorEastAsia" w:hAnsiTheme="minorEastAsia" w:eastAsiaTheme="minorEastAsia" w:cstheme="minorEastAsia"/>
          <w:b/>
          <w:color w:val="auto"/>
          <w:kern w:val="2"/>
          <w:sz w:val="28"/>
          <w:szCs w:val="28"/>
          <w:highlight w:val="none"/>
        </w:rPr>
        <w:t xml:space="preserve"> 投标须知正文</w:t>
      </w:r>
      <w:bookmarkEnd w:id="11"/>
      <w:bookmarkEnd w:id="12"/>
    </w:p>
    <w:bookmarkEnd w:id="13"/>
    <w:bookmarkEnd w:id="14"/>
    <w:p w14:paraId="225A55FE">
      <w:pPr>
        <w:widowControl/>
        <w:ind w:firstLine="480" w:firstLineChars="200"/>
        <w:rPr>
          <w:rFonts w:hint="eastAsia" w:ascii="宋体" w:hAnsi="宋体" w:eastAsia="宋体" w:cs="宋体"/>
          <w:color w:val="auto"/>
          <w:sz w:val="24"/>
          <w:szCs w:val="24"/>
          <w:highlight w:val="none"/>
        </w:rPr>
      </w:pPr>
      <w:bookmarkStart w:id="16" w:name="_Hlt78795222"/>
      <w:bookmarkEnd w:id="16"/>
      <w:bookmarkStart w:id="17" w:name="_Hlt74474735"/>
      <w:bookmarkEnd w:id="17"/>
      <w:bookmarkStart w:id="18" w:name="_Hlt109358474"/>
      <w:bookmarkEnd w:id="18"/>
      <w:bookmarkStart w:id="19" w:name="_Hlt87948285"/>
      <w:bookmarkEnd w:id="19"/>
      <w:bookmarkStart w:id="20" w:name="_Hlt119991399"/>
      <w:bookmarkEnd w:id="20"/>
      <w:bookmarkStart w:id="21" w:name="_Toc30732"/>
      <w:bookmarkStart w:id="22" w:name="_Toc574"/>
      <w:bookmarkStart w:id="23" w:name="_Toc13971"/>
      <w:bookmarkStart w:id="24" w:name="_Toc18453"/>
      <w:bookmarkStart w:id="25" w:name="_Toc23054"/>
      <w:bookmarkStart w:id="26" w:name="_Toc24563"/>
      <w:bookmarkStart w:id="27" w:name="_Toc25252"/>
      <w:bookmarkStart w:id="28" w:name="_Toc4081"/>
      <w:bookmarkStart w:id="29" w:name="_Toc31976"/>
      <w:r>
        <w:rPr>
          <w:rFonts w:hint="eastAsia" w:ascii="宋体" w:hAnsi="宋体" w:eastAsia="宋体" w:cs="宋体"/>
          <w:snapToGrid w:val="0"/>
          <w:color w:val="auto"/>
          <w:kern w:val="0"/>
          <w:sz w:val="24"/>
          <w:szCs w:val="24"/>
          <w:highlight w:val="none"/>
          <w:u w:val="single"/>
          <w:lang w:eastAsia="zh-CN"/>
        </w:rPr>
        <w:t>“</w:t>
      </w:r>
      <w:r>
        <w:rPr>
          <w:rFonts w:hint="eastAsia" w:ascii="宋体" w:hAnsi="宋体" w:cs="宋体"/>
          <w:snapToGrid w:val="0"/>
          <w:color w:val="auto"/>
          <w:kern w:val="0"/>
          <w:sz w:val="24"/>
          <w:szCs w:val="24"/>
          <w:highlight w:val="none"/>
          <w:u w:val="single"/>
          <w:lang w:eastAsia="zh-CN"/>
        </w:rPr>
        <w:t>始兴县A级景区旅游基础设施建设项目</w:t>
      </w:r>
      <w:r>
        <w:rPr>
          <w:rFonts w:hint="eastAsia" w:ascii="宋体" w:hAnsi="宋体" w:eastAsia="宋体" w:cs="宋体"/>
          <w:snapToGrid w:val="0"/>
          <w:color w:val="auto"/>
          <w:kern w:val="0"/>
          <w:sz w:val="24"/>
          <w:szCs w:val="24"/>
          <w:highlight w:val="none"/>
        </w:rPr>
        <w:t>经</w:t>
      </w:r>
      <w:r>
        <w:rPr>
          <w:rFonts w:hint="eastAsia" w:ascii="宋体" w:hAnsi="宋体" w:eastAsia="宋体" w:cs="宋体"/>
          <w:bCs/>
          <w:color w:val="auto"/>
          <w:sz w:val="24"/>
          <w:szCs w:val="24"/>
          <w:highlight w:val="none"/>
          <w:u w:val="single"/>
          <w:lang w:val="en-US" w:eastAsia="zh-CN"/>
        </w:rPr>
        <w:t>始兴县发展和改革局</w:t>
      </w:r>
      <w:r>
        <w:rPr>
          <w:rFonts w:hint="eastAsia" w:ascii="宋体" w:hAnsi="宋体" w:eastAsia="宋体" w:cs="宋体"/>
          <w:color w:val="auto"/>
          <w:sz w:val="24"/>
          <w:szCs w:val="24"/>
          <w:highlight w:val="none"/>
        </w:rPr>
        <w:t>以</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始兴县发展和改革局关于始兴县A级景区旅游基础设施建设项目</w:t>
      </w:r>
      <w:r>
        <w:rPr>
          <w:rFonts w:hint="eastAsia" w:ascii="宋体" w:hAnsi="宋体" w:eastAsia="宋体" w:cs="宋体"/>
          <w:color w:val="auto"/>
          <w:kern w:val="2"/>
          <w:sz w:val="24"/>
          <w:szCs w:val="24"/>
          <w:highlight w:val="none"/>
          <w:u w:val="single"/>
          <w:lang w:val="en-US" w:eastAsia="zh-CN" w:bidi="ar"/>
        </w:rPr>
        <w:t>项目建议书的批复</w:t>
      </w:r>
      <w:r>
        <w:rPr>
          <w:rFonts w:hint="eastAsia" w:ascii="宋体" w:hAnsi="宋体" w:eastAsia="宋体" w:cs="宋体"/>
          <w:color w:val="auto"/>
          <w:sz w:val="24"/>
          <w:szCs w:val="24"/>
          <w:highlight w:val="none"/>
          <w:u w:val="single"/>
          <w:lang w:eastAsia="zh-CN"/>
        </w:rPr>
        <w:t>》（</w:t>
      </w:r>
      <w:r>
        <w:rPr>
          <w:rFonts w:hint="eastAsia" w:ascii="宋体" w:hAnsi="宋体" w:cs="宋体"/>
          <w:snapToGrid w:val="0"/>
          <w:color w:val="auto"/>
          <w:kern w:val="0"/>
          <w:sz w:val="24"/>
          <w:szCs w:val="24"/>
          <w:highlight w:val="none"/>
          <w:u w:val="single"/>
          <w:lang w:eastAsia="zh-CN"/>
        </w:rPr>
        <w:t>始发改投审</w:t>
      </w:r>
      <w:r>
        <w:rPr>
          <w:rFonts w:hint="eastAsia" w:ascii="宋体" w:hAnsi="宋体" w:cs="宋体"/>
          <w:snapToGrid w:val="0"/>
          <w:color w:val="auto"/>
          <w:kern w:val="0"/>
          <w:sz w:val="24"/>
          <w:szCs w:val="24"/>
          <w:highlight w:val="none"/>
          <w:u w:val="single"/>
          <w:lang w:val="en-US" w:eastAsia="zh-CN"/>
        </w:rPr>
        <w:t>[</w:t>
      </w:r>
      <w:r>
        <w:rPr>
          <w:rFonts w:hint="eastAsia" w:ascii="宋体" w:hAnsi="宋体" w:cs="宋体"/>
          <w:snapToGrid w:val="0"/>
          <w:color w:val="auto"/>
          <w:kern w:val="0"/>
          <w:sz w:val="24"/>
          <w:szCs w:val="24"/>
          <w:highlight w:val="none"/>
          <w:u w:val="single"/>
          <w:lang w:eastAsia="zh-CN"/>
        </w:rPr>
        <w:t>2025</w:t>
      </w:r>
      <w:r>
        <w:rPr>
          <w:rFonts w:hint="eastAsia" w:ascii="宋体" w:hAnsi="宋体" w:cs="宋体"/>
          <w:snapToGrid w:val="0"/>
          <w:color w:val="auto"/>
          <w:kern w:val="0"/>
          <w:sz w:val="24"/>
          <w:szCs w:val="24"/>
          <w:highlight w:val="none"/>
          <w:u w:val="single"/>
          <w:lang w:val="en-US" w:eastAsia="zh-CN"/>
        </w:rPr>
        <w:t>]</w:t>
      </w:r>
      <w:r>
        <w:rPr>
          <w:rFonts w:hint="eastAsia" w:hAnsi="宋体" w:cs="宋体"/>
          <w:snapToGrid w:val="0"/>
          <w:color w:val="auto"/>
          <w:kern w:val="0"/>
          <w:sz w:val="24"/>
          <w:szCs w:val="24"/>
          <w:highlight w:val="none"/>
          <w:u w:val="single"/>
          <w:lang w:val="en-US" w:eastAsia="zh-CN"/>
        </w:rPr>
        <w:t>14</w:t>
      </w:r>
      <w:bookmarkStart w:id="609" w:name="_GoBack"/>
      <w:bookmarkEnd w:id="609"/>
      <w:r>
        <w:rPr>
          <w:rFonts w:hint="eastAsia" w:ascii="宋体" w:hAnsi="宋体" w:cs="宋体"/>
          <w:snapToGrid w:val="0"/>
          <w:color w:val="auto"/>
          <w:kern w:val="0"/>
          <w:sz w:val="24"/>
          <w:szCs w:val="24"/>
          <w:highlight w:val="none"/>
          <w:u w:val="single"/>
          <w:lang w:eastAsia="zh-CN"/>
        </w:rPr>
        <w:t>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批准建设，项目代码</w:t>
      </w:r>
      <w:r>
        <w:rPr>
          <w:rFonts w:hint="eastAsia" w:ascii="宋体" w:hAnsi="宋体" w:cs="宋体"/>
          <w:snapToGrid w:val="0"/>
          <w:color w:val="auto"/>
          <w:kern w:val="0"/>
          <w:sz w:val="24"/>
          <w:szCs w:val="24"/>
          <w:highlight w:val="none"/>
          <w:u w:val="single"/>
          <w:lang w:val="en-US" w:eastAsia="zh-CN"/>
        </w:rPr>
        <w:t>2411-440222-04-01-580968</w:t>
      </w:r>
      <w:r>
        <w:rPr>
          <w:rFonts w:hint="eastAsia" w:ascii="宋体" w:hAnsi="宋体" w:eastAsia="宋体" w:cs="宋体"/>
          <w:color w:val="auto"/>
          <w:sz w:val="24"/>
          <w:szCs w:val="24"/>
          <w:highlight w:val="none"/>
        </w:rPr>
        <w:t>。本项目业主为</w:t>
      </w:r>
      <w:r>
        <w:rPr>
          <w:rFonts w:hint="eastAsia" w:ascii="宋体" w:hAnsi="宋体" w:cs="宋体"/>
          <w:color w:val="auto"/>
          <w:sz w:val="24"/>
          <w:szCs w:val="24"/>
          <w:highlight w:val="none"/>
          <w:u w:val="single"/>
          <w:lang w:val="en-US" w:eastAsia="zh-CN"/>
        </w:rPr>
        <w:t>始兴县文化广电旅游体育局</w:t>
      </w:r>
      <w:r>
        <w:rPr>
          <w:rFonts w:hint="eastAsia" w:ascii="宋体" w:hAnsi="宋体" w:eastAsia="宋体" w:cs="宋体"/>
          <w:color w:val="auto"/>
          <w:sz w:val="24"/>
          <w:szCs w:val="24"/>
          <w:highlight w:val="none"/>
        </w:rPr>
        <w:t>，</w:t>
      </w:r>
      <w:r>
        <w:rPr>
          <w:rFonts w:hint="eastAsia" w:ascii="宋体" w:hAnsi="宋体" w:eastAsia="宋体" w:cs="宋体"/>
          <w:b w:val="0"/>
          <w:bCs/>
          <w:snapToGrid w:val="0"/>
          <w:color w:val="auto"/>
          <w:kern w:val="0"/>
          <w:sz w:val="24"/>
          <w:szCs w:val="24"/>
          <w:highlight w:val="none"/>
          <w:lang w:val="en-US" w:eastAsia="zh-CN" w:bidi="ar-SA"/>
        </w:rPr>
        <w:t>项目建设所需资金由县级财政资金安排解决</w:t>
      </w:r>
      <w:r>
        <w:rPr>
          <w:rFonts w:hint="eastAsia" w:ascii="宋体" w:hAnsi="宋体" w:eastAsia="宋体" w:cs="宋体"/>
          <w:color w:val="auto"/>
          <w:sz w:val="24"/>
          <w:szCs w:val="24"/>
          <w:highlight w:val="none"/>
        </w:rPr>
        <w:t>，出资比例为</w:t>
      </w:r>
      <w:r>
        <w:rPr>
          <w:rFonts w:hint="eastAsia" w:ascii="宋体" w:hAnsi="宋体" w:eastAsia="宋体" w:cs="宋体"/>
          <w:color w:val="auto"/>
          <w:sz w:val="24"/>
          <w:szCs w:val="24"/>
          <w:highlight w:val="none"/>
          <w:u w:val="single"/>
        </w:rPr>
        <w:t>100%</w:t>
      </w:r>
      <w:r>
        <w:rPr>
          <w:rFonts w:hint="eastAsia" w:ascii="宋体" w:hAnsi="宋体" w:eastAsia="宋体" w:cs="宋体"/>
          <w:color w:val="auto"/>
          <w:sz w:val="24"/>
          <w:szCs w:val="24"/>
          <w:highlight w:val="none"/>
        </w:rPr>
        <w:t>，招标人为</w:t>
      </w:r>
      <w:r>
        <w:rPr>
          <w:rFonts w:hint="eastAsia" w:ascii="宋体" w:hAnsi="宋体" w:cs="宋体"/>
          <w:color w:val="auto"/>
          <w:sz w:val="24"/>
          <w:szCs w:val="24"/>
          <w:highlight w:val="none"/>
          <w:u w:val="single"/>
          <w:lang w:val="en-US" w:eastAsia="zh-CN"/>
        </w:rPr>
        <w:t>始兴县文化广电旅游体育局</w:t>
      </w:r>
      <w:r>
        <w:rPr>
          <w:rFonts w:hint="eastAsia" w:ascii="宋体" w:hAnsi="宋体" w:eastAsia="宋体" w:cs="宋体"/>
          <w:color w:val="auto"/>
          <w:sz w:val="24"/>
          <w:szCs w:val="24"/>
          <w:highlight w:val="none"/>
        </w:rPr>
        <w:t>，招标代理机构为</w:t>
      </w:r>
      <w:r>
        <w:rPr>
          <w:rFonts w:hint="eastAsia" w:ascii="宋体" w:hAnsi="宋体" w:eastAsia="宋体" w:cs="宋体"/>
          <w:color w:val="auto"/>
          <w:sz w:val="24"/>
          <w:szCs w:val="24"/>
          <w:highlight w:val="none"/>
          <w:u w:val="single"/>
          <w:lang w:eastAsia="zh-CN"/>
        </w:rPr>
        <w:t>韶关市诚智工程管理咨询有限公司</w:t>
      </w:r>
      <w:r>
        <w:rPr>
          <w:rFonts w:hint="eastAsia" w:ascii="宋体" w:hAnsi="宋体" w:eastAsia="宋体" w:cs="宋体"/>
          <w:color w:val="auto"/>
          <w:sz w:val="24"/>
          <w:szCs w:val="24"/>
          <w:highlight w:val="none"/>
        </w:rPr>
        <w:t>。项目已具备招标条件，现对该项目的</w:t>
      </w:r>
      <w:r>
        <w:rPr>
          <w:rFonts w:hint="eastAsia" w:ascii="宋体" w:hAnsi="宋体" w:cs="宋体"/>
          <w:color w:val="auto"/>
          <w:sz w:val="24"/>
          <w:szCs w:val="24"/>
          <w:highlight w:val="none"/>
          <w:lang w:eastAsia="zh-CN"/>
        </w:rPr>
        <w:t>“东湖听禅”景区旅游基础设施建设项目</w:t>
      </w:r>
      <w:r>
        <w:rPr>
          <w:rFonts w:hint="eastAsia" w:ascii="宋体" w:hAnsi="宋体" w:eastAsia="宋体" w:cs="宋体"/>
          <w:b w:val="0"/>
          <w:bCs w:val="0"/>
          <w:color w:val="auto"/>
          <w:sz w:val="24"/>
          <w:szCs w:val="24"/>
          <w:highlight w:val="none"/>
          <w:lang w:eastAsia="zh-CN"/>
        </w:rPr>
        <w:t>设计、施工总承包</w:t>
      </w:r>
      <w:r>
        <w:rPr>
          <w:rFonts w:hint="eastAsia" w:ascii="宋体" w:hAnsi="宋体" w:cs="宋体"/>
          <w:color w:val="auto"/>
          <w:kern w:val="2"/>
          <w:sz w:val="24"/>
          <w:szCs w:val="24"/>
          <w:highlight w:val="none"/>
          <w:u w:val="single"/>
          <w:lang w:val="en-US" w:eastAsia="zh-CN" w:bidi="ar-SA"/>
        </w:rPr>
        <w:t xml:space="preserve"> </w:t>
      </w:r>
      <w:r>
        <w:rPr>
          <w:rFonts w:hint="eastAsia" w:ascii="宋体" w:hAnsi="宋体" w:eastAsia="宋体" w:cs="宋体"/>
          <w:color w:val="auto"/>
          <w:sz w:val="24"/>
          <w:szCs w:val="24"/>
          <w:highlight w:val="none"/>
        </w:rPr>
        <w:t>进行公开招标。</w:t>
      </w:r>
    </w:p>
    <w:p w14:paraId="06A482A0">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bCs/>
          <w:snapToGrid w:val="0"/>
          <w:color w:val="auto"/>
          <w:sz w:val="24"/>
          <w:szCs w:val="24"/>
          <w:highlight w:val="none"/>
        </w:rPr>
      </w:pPr>
      <w:bookmarkStart w:id="30" w:name="_Toc2693"/>
      <w:bookmarkStart w:id="31" w:name="_Toc16791"/>
      <w:bookmarkStart w:id="32" w:name="_Toc21426"/>
      <w:r>
        <w:rPr>
          <w:rFonts w:hint="eastAsia" w:ascii="宋体" w:hAnsi="宋体" w:eastAsia="宋体" w:cs="宋体"/>
          <w:b/>
          <w:color w:val="auto"/>
          <w:kern w:val="2"/>
          <w:sz w:val="24"/>
          <w:szCs w:val="24"/>
          <w:highlight w:val="none"/>
        </w:rPr>
        <w:t>1、 工程概况综合说明</w:t>
      </w:r>
      <w:bookmarkEnd w:id="21"/>
      <w:bookmarkEnd w:id="22"/>
      <w:bookmarkEnd w:id="23"/>
      <w:bookmarkEnd w:id="24"/>
      <w:bookmarkEnd w:id="25"/>
      <w:bookmarkEnd w:id="26"/>
      <w:bookmarkEnd w:id="27"/>
      <w:bookmarkEnd w:id="28"/>
      <w:bookmarkEnd w:id="29"/>
      <w:bookmarkEnd w:id="30"/>
      <w:bookmarkEnd w:id="31"/>
      <w:bookmarkEnd w:id="32"/>
    </w:p>
    <w:p w14:paraId="11FA4A84">
      <w:pPr>
        <w:pStyle w:val="30"/>
        <w:pageBreakBefore w:val="0"/>
        <w:kinsoku/>
        <w:wordWrap w:val="0"/>
        <w:overflowPunct/>
        <w:topLinePunct w:val="0"/>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w:t>
      </w:r>
      <w:r>
        <w:rPr>
          <w:rFonts w:hint="eastAsia" w:ascii="宋体" w:hAnsi="宋体" w:eastAsia="宋体" w:cs="宋体"/>
          <w:color w:val="auto"/>
          <w:sz w:val="24"/>
          <w:szCs w:val="24"/>
          <w:highlight w:val="none"/>
        </w:rPr>
        <w:t xml:space="preserve"> 工程概况</w:t>
      </w:r>
    </w:p>
    <w:p w14:paraId="743F8D56">
      <w:pPr>
        <w:pStyle w:val="30"/>
        <w:pageBreakBefore w:val="0"/>
        <w:kinsoku/>
        <w:wordWrap w:val="0"/>
        <w:overflowPunct/>
        <w:topLinePunct w:val="0"/>
        <w:bidi w:val="0"/>
        <w:adjustRightInd w:val="0"/>
        <w:snapToGrid w:val="0"/>
        <w:spacing w:line="360" w:lineRule="auto"/>
        <w:ind w:firstLine="480"/>
        <w:jc w:val="lef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b/>
          <w:bCs/>
          <w:color w:val="auto"/>
          <w:sz w:val="24"/>
          <w:szCs w:val="24"/>
          <w:highlight w:val="none"/>
        </w:rPr>
        <w:t>1.1.1</w:t>
      </w:r>
      <w:r>
        <w:rPr>
          <w:rFonts w:hint="eastAsia" w:ascii="宋体" w:hAnsi="宋体" w:eastAsia="宋体" w:cs="宋体"/>
          <w:color w:val="auto"/>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eastAsia="zh-CN"/>
        </w:rPr>
        <w:t>始兴县太平镇东湖坪民俗文化村周边。</w:t>
      </w:r>
    </w:p>
    <w:p w14:paraId="2DFF1C61">
      <w:pPr>
        <w:pageBreakBefore w:val="0"/>
        <w:widowControl/>
        <w:kinsoku/>
        <w:overflowPunct/>
        <w:topLinePunct w:val="0"/>
        <w:bidi w:val="0"/>
        <w:spacing w:line="360" w:lineRule="auto"/>
        <w:ind w:left="511" w:leftChars="213"/>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z w:val="24"/>
          <w:szCs w:val="24"/>
          <w:highlight w:val="none"/>
        </w:rPr>
        <w:t>1.1.2</w:t>
      </w:r>
      <w:r>
        <w:rPr>
          <w:rFonts w:hint="eastAsia" w:ascii="宋体" w:hAnsi="宋体" w:eastAsia="宋体" w:cs="宋体"/>
          <w:color w:val="auto"/>
          <w:sz w:val="24"/>
          <w:szCs w:val="24"/>
          <w:highlight w:val="none"/>
        </w:rPr>
        <w:t xml:space="preserve"> 建设内容和规模：</w:t>
      </w:r>
      <w:r>
        <w:rPr>
          <w:rFonts w:hint="eastAsia" w:hAnsi="宋体" w:eastAsia="宋体" w:cs="宋体"/>
          <w:color w:val="auto"/>
          <w:szCs w:val="24"/>
          <w:highlight w:val="none"/>
        </w:rPr>
        <w:t>景区旅游基础设施建设：主要包含停车场，交通环线建设，环境整治，休息设施，游览步道，标识标牌等（实际施工内容业主可根据需要适当调整）</w:t>
      </w:r>
      <w:r>
        <w:rPr>
          <w:rFonts w:hint="eastAsia" w:hAnsi="宋体" w:eastAsia="宋体" w:cs="宋体"/>
          <w:color w:val="auto"/>
          <w:szCs w:val="24"/>
          <w:highlight w:val="none"/>
          <w:lang w:eastAsia="zh-CN"/>
        </w:rPr>
        <w:t>。</w:t>
      </w:r>
    </w:p>
    <w:p w14:paraId="228E0D36">
      <w:pPr>
        <w:pageBreakBefore w:val="0"/>
        <w:widowControl/>
        <w:kinsoku/>
        <w:overflowPunct/>
        <w:topLinePunct w:val="0"/>
        <w:bidi w:val="0"/>
        <w:spacing w:line="360" w:lineRule="auto"/>
        <w:ind w:left="511" w:leftChars="213"/>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1.1.3</w:t>
      </w:r>
      <w:r>
        <w:rPr>
          <w:rFonts w:hint="eastAsia" w:ascii="宋体" w:hAnsi="宋体" w:eastAsia="宋体" w:cs="宋体"/>
          <w:color w:val="auto"/>
          <w:sz w:val="24"/>
          <w:szCs w:val="24"/>
          <w:highlight w:val="none"/>
        </w:rPr>
        <w:t xml:space="preserve"> 项目总投资：</w:t>
      </w:r>
      <w:bookmarkStart w:id="33" w:name="_Toc20999"/>
      <w:r>
        <w:rPr>
          <w:rFonts w:hint="eastAsia" w:ascii="宋体" w:hAnsi="宋体" w:eastAsia="宋体" w:cs="宋体"/>
          <w:color w:val="auto"/>
          <w:sz w:val="24"/>
          <w:szCs w:val="24"/>
          <w:highlight w:val="none"/>
          <w:lang w:eastAsia="zh-CN"/>
        </w:rPr>
        <w:t>项目概算总投资</w:t>
      </w:r>
      <w:r>
        <w:rPr>
          <w:rFonts w:hint="eastAsia" w:hAnsi="宋体" w:cs="宋体"/>
          <w:color w:val="auto"/>
          <w:sz w:val="24"/>
          <w:szCs w:val="24"/>
          <w:highlight w:val="none"/>
          <w:lang w:val="en-US" w:eastAsia="zh-CN"/>
        </w:rPr>
        <w:t>3046.30</w:t>
      </w:r>
      <w:r>
        <w:rPr>
          <w:rFonts w:hint="eastAsia" w:ascii="宋体" w:hAnsi="宋体" w:eastAsia="宋体" w:cs="宋体"/>
          <w:color w:val="auto"/>
          <w:sz w:val="24"/>
          <w:szCs w:val="24"/>
          <w:highlight w:val="none"/>
          <w:lang w:eastAsia="zh-CN"/>
        </w:rPr>
        <w:t>万元，其中：勘察设计费约</w:t>
      </w:r>
      <w:r>
        <w:rPr>
          <w:rFonts w:hint="eastAsia" w:hAnsi="宋体" w:cs="宋体"/>
          <w:color w:val="auto"/>
          <w:sz w:val="24"/>
          <w:szCs w:val="24"/>
          <w:highlight w:val="none"/>
          <w:lang w:val="en-US" w:eastAsia="zh-CN"/>
        </w:rPr>
        <w:t>46.3</w:t>
      </w:r>
      <w:r>
        <w:rPr>
          <w:rFonts w:hint="eastAsia" w:ascii="宋体" w:hAnsi="宋体" w:eastAsia="宋体" w:cs="宋体"/>
          <w:color w:val="auto"/>
          <w:sz w:val="24"/>
          <w:szCs w:val="24"/>
          <w:highlight w:val="none"/>
          <w:lang w:eastAsia="zh-CN"/>
        </w:rPr>
        <w:t>万元，建安工程费约</w:t>
      </w:r>
      <w:r>
        <w:rPr>
          <w:rFonts w:hint="eastAsia" w:hAnsi="宋体" w:cs="宋体"/>
          <w:color w:val="auto"/>
          <w:sz w:val="24"/>
          <w:szCs w:val="24"/>
          <w:highlight w:val="none"/>
          <w:lang w:val="en-US" w:eastAsia="zh-CN"/>
        </w:rPr>
        <w:t>3000</w:t>
      </w:r>
      <w:r>
        <w:rPr>
          <w:rFonts w:hint="eastAsia" w:ascii="宋体" w:hAnsi="宋体" w:eastAsia="宋体" w:cs="宋体"/>
          <w:color w:val="auto"/>
          <w:sz w:val="24"/>
          <w:szCs w:val="24"/>
          <w:highlight w:val="none"/>
          <w:lang w:eastAsia="zh-CN"/>
        </w:rPr>
        <w:t>万元。</w:t>
      </w:r>
    </w:p>
    <w:p w14:paraId="0D615CEF">
      <w:pPr>
        <w:pageBreakBefore w:val="0"/>
        <w:widowControl/>
        <w:kinsoku/>
        <w:overflowPunct/>
        <w:topLinePunct w:val="0"/>
        <w:bidi w:val="0"/>
        <w:spacing w:line="360" w:lineRule="auto"/>
        <w:ind w:left="511" w:leftChars="213"/>
        <w:textAlignment w:val="auto"/>
        <w:rPr>
          <w:rFonts w:hint="eastAsia" w:ascii="宋体" w:hAnsi="宋体" w:eastAsia="宋体" w:cs="宋体"/>
          <w:snapToGrid w:val="0"/>
          <w:color w:val="auto"/>
          <w:kern w:val="0"/>
          <w:sz w:val="24"/>
          <w:szCs w:val="24"/>
          <w:highlight w:val="none"/>
          <w:u w:val="single"/>
          <w:lang w:eastAsia="zh-CN"/>
        </w:rPr>
      </w:pPr>
      <w:r>
        <w:rPr>
          <w:rFonts w:hint="eastAsia" w:ascii="宋体" w:hAnsi="宋体" w:eastAsia="宋体" w:cs="宋体"/>
          <w:b/>
          <w:bCs/>
          <w:snapToGrid w:val="0"/>
          <w:color w:val="auto"/>
          <w:kern w:val="0"/>
          <w:sz w:val="24"/>
          <w:szCs w:val="24"/>
          <w:highlight w:val="none"/>
        </w:rPr>
        <w:t>1.2</w:t>
      </w:r>
      <w:r>
        <w:rPr>
          <w:rFonts w:hint="eastAsia" w:ascii="宋体" w:hAnsi="宋体" w:eastAsia="宋体" w:cs="宋体"/>
          <w:snapToGrid w:val="0"/>
          <w:color w:val="auto"/>
          <w:kern w:val="0"/>
          <w:sz w:val="24"/>
          <w:szCs w:val="24"/>
          <w:highlight w:val="none"/>
        </w:rPr>
        <w:t xml:space="preserve"> 标段划分：</w:t>
      </w:r>
      <w:bookmarkEnd w:id="33"/>
      <w:r>
        <w:rPr>
          <w:rFonts w:hint="eastAsia" w:ascii="宋体" w:hAnsi="宋体" w:eastAsia="宋体" w:cs="宋体"/>
          <w:snapToGrid w:val="0"/>
          <w:color w:val="auto"/>
          <w:kern w:val="0"/>
          <w:sz w:val="24"/>
          <w:szCs w:val="24"/>
          <w:highlight w:val="none"/>
          <w:u w:val="single"/>
          <w:lang w:eastAsia="zh-CN"/>
        </w:rPr>
        <w:t>本招标项目不划分标段。</w:t>
      </w:r>
    </w:p>
    <w:p w14:paraId="66226F2A">
      <w:pPr>
        <w:pStyle w:val="27"/>
        <w:pageBreakBefore w:val="0"/>
        <w:kinsoku/>
        <w:overflowPunct/>
        <w:topLinePunct w:val="0"/>
        <w:bidi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color w:val="auto"/>
          <w:sz w:val="24"/>
          <w:szCs w:val="24"/>
          <w:highlight w:val="none"/>
        </w:rPr>
        <w:t xml:space="preserve"> 投标费用：</w:t>
      </w:r>
      <w:r>
        <w:rPr>
          <w:rFonts w:hint="eastAsia" w:ascii="宋体" w:hAnsi="宋体" w:eastAsia="宋体" w:cs="宋体"/>
          <w:color w:val="auto"/>
          <w:sz w:val="24"/>
          <w:szCs w:val="24"/>
          <w:highlight w:val="none"/>
          <w:u w:val="single"/>
        </w:rPr>
        <w:t>投标人应承担所有准备和参加投标的相关费用，不论投标结果如何，招标人均无义务和责任承担这些费用</w:t>
      </w:r>
      <w:r>
        <w:rPr>
          <w:rFonts w:hint="eastAsia" w:ascii="宋体" w:hAnsi="宋体" w:eastAsia="宋体" w:cs="宋体"/>
          <w:color w:val="auto"/>
          <w:sz w:val="24"/>
          <w:szCs w:val="24"/>
          <w:highlight w:val="none"/>
        </w:rPr>
        <w:t>。</w:t>
      </w:r>
      <w:bookmarkStart w:id="34" w:name="_Toc12190"/>
      <w:bookmarkStart w:id="35" w:name="_Toc121"/>
      <w:bookmarkStart w:id="36" w:name="_Toc17359"/>
      <w:bookmarkStart w:id="37" w:name="_Toc106184808"/>
      <w:bookmarkStart w:id="38" w:name="_Toc5372"/>
      <w:bookmarkStart w:id="39" w:name="_Toc14958"/>
      <w:bookmarkStart w:id="40" w:name="_Toc32400"/>
      <w:bookmarkStart w:id="41" w:name="_Toc18851"/>
      <w:bookmarkStart w:id="42" w:name="_Toc22550"/>
      <w:bookmarkStart w:id="43" w:name="_Toc7700"/>
    </w:p>
    <w:p w14:paraId="6DC660E2">
      <w:pPr>
        <w:pStyle w:val="27"/>
        <w:pageBreakBefore w:val="0"/>
        <w:kinsoku/>
        <w:overflowPunct/>
        <w:topLinePunct w:val="0"/>
        <w:bidi w:val="0"/>
        <w:spacing w:line="400" w:lineRule="exact"/>
        <w:ind w:firstLine="482" w:firstLineChars="200"/>
        <w:textAlignment w:val="auto"/>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2 、招标范围</w:t>
      </w:r>
      <w:bookmarkEnd w:id="34"/>
      <w:bookmarkEnd w:id="35"/>
      <w:bookmarkEnd w:id="36"/>
      <w:bookmarkEnd w:id="37"/>
      <w:bookmarkEnd w:id="38"/>
      <w:bookmarkEnd w:id="39"/>
      <w:bookmarkEnd w:id="40"/>
      <w:bookmarkEnd w:id="41"/>
      <w:bookmarkEnd w:id="42"/>
      <w:bookmarkEnd w:id="43"/>
      <w:bookmarkStart w:id="44" w:name="_Hlt91408212"/>
      <w:bookmarkEnd w:id="44"/>
    </w:p>
    <w:p w14:paraId="762F0AD9">
      <w:pPr>
        <w:pStyle w:val="27"/>
        <w:pageBreakBefore w:val="0"/>
        <w:kinsoku/>
        <w:overflowPunct/>
        <w:topLinePunct w:val="0"/>
        <w:bidi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招标范围：</w:t>
      </w:r>
      <w:bookmarkStart w:id="45" w:name="_Toc2350"/>
      <w:bookmarkStart w:id="46" w:name="_Toc27886"/>
      <w:bookmarkStart w:id="47" w:name="_Toc21803"/>
      <w:bookmarkStart w:id="48" w:name="_Toc1366"/>
      <w:bookmarkStart w:id="49" w:name="_Toc32739"/>
      <w:bookmarkStart w:id="50" w:name="_Toc708"/>
      <w:bookmarkStart w:id="51" w:name="_Toc2217"/>
      <w:bookmarkStart w:id="52" w:name="_Toc26845"/>
      <w:r>
        <w:rPr>
          <w:rFonts w:hint="eastAsia" w:ascii="宋体" w:hAnsi="宋体" w:eastAsia="宋体" w:cs="宋体"/>
          <w:snapToGrid w:val="0"/>
          <w:color w:val="auto"/>
          <w:kern w:val="0"/>
          <w:sz w:val="24"/>
          <w:szCs w:val="24"/>
          <w:highlight w:val="none"/>
        </w:rPr>
        <w:t>本工程所涉及的内容包括但不限于以下（1）和（2）：</w:t>
      </w:r>
      <w:bookmarkStart w:id="53" w:name="_Toc14847"/>
    </w:p>
    <w:p w14:paraId="7DFAE0EF">
      <w:pPr>
        <w:pStyle w:val="27"/>
        <w:pageBreakBefore w:val="0"/>
        <w:kinsoku/>
        <w:overflowPunct/>
        <w:topLinePunct w:val="0"/>
        <w:bidi w:val="0"/>
        <w:spacing w:line="400" w:lineRule="exact"/>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本项目的设计范围：确保项目顺利实施的规划、报建、施工等所需的所有建安工程等设计文件。包括：施工图设计、工地现场服务、验收过程中的设计指导及配合阶段验收及档案整理、协助施工单位编制竣工图及后续设计服务工作。</w:t>
      </w:r>
    </w:p>
    <w:p w14:paraId="0A775EBC">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snapToGrid w:val="0"/>
          <w:color w:val="auto"/>
          <w:kern w:val="0"/>
          <w:sz w:val="24"/>
          <w:szCs w:val="24"/>
          <w:highlight w:val="none"/>
          <w:lang w:eastAsia="zh-CN"/>
        </w:rPr>
      </w:pPr>
      <w:bookmarkStart w:id="54" w:name="_Toc24769"/>
      <w:bookmarkStart w:id="55" w:name="_Toc24878"/>
      <w:bookmarkStart w:id="56" w:name="_Toc3711"/>
      <w:r>
        <w:rPr>
          <w:rFonts w:hint="eastAsia" w:ascii="宋体" w:hAnsi="宋体" w:eastAsia="宋体" w:cs="宋体"/>
          <w:snapToGrid w:val="0"/>
          <w:color w:val="auto"/>
          <w:kern w:val="0"/>
          <w:sz w:val="24"/>
          <w:szCs w:val="24"/>
          <w:highlight w:val="none"/>
          <w:lang w:eastAsia="zh-CN"/>
        </w:rPr>
        <w:t>（2）本项目的施工范围：施工图设计文件范围的所有工程施工。</w:t>
      </w:r>
      <w:bookmarkEnd w:id="54"/>
      <w:bookmarkEnd w:id="55"/>
      <w:bookmarkEnd w:id="56"/>
    </w:p>
    <w:p w14:paraId="1E8DD8FE">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auto"/>
          <w:kern w:val="2"/>
          <w:sz w:val="24"/>
          <w:szCs w:val="24"/>
          <w:highlight w:val="none"/>
        </w:rPr>
      </w:pPr>
      <w:bookmarkStart w:id="57" w:name="_Toc4434"/>
      <w:bookmarkStart w:id="58" w:name="_Toc24656"/>
      <w:bookmarkStart w:id="59" w:name="_Toc12790"/>
      <w:r>
        <w:rPr>
          <w:rFonts w:hint="eastAsia" w:ascii="宋体" w:hAnsi="宋体" w:eastAsia="宋体" w:cs="宋体"/>
          <w:b/>
          <w:color w:val="auto"/>
          <w:kern w:val="2"/>
          <w:sz w:val="24"/>
          <w:szCs w:val="24"/>
          <w:highlight w:val="none"/>
        </w:rPr>
        <w:t>3</w:t>
      </w:r>
      <w:bookmarkStart w:id="60" w:name="_Hlt66187826"/>
      <w:bookmarkEnd w:id="60"/>
      <w:r>
        <w:rPr>
          <w:rFonts w:hint="eastAsia" w:ascii="宋体" w:hAnsi="宋体" w:eastAsia="宋体" w:cs="宋体"/>
          <w:b/>
          <w:color w:val="auto"/>
          <w:kern w:val="2"/>
          <w:sz w:val="24"/>
          <w:szCs w:val="24"/>
          <w:highlight w:val="none"/>
        </w:rPr>
        <w:t>、工期</w:t>
      </w:r>
      <w:bookmarkEnd w:id="45"/>
      <w:bookmarkEnd w:id="46"/>
      <w:bookmarkEnd w:id="47"/>
      <w:bookmarkEnd w:id="48"/>
      <w:bookmarkEnd w:id="49"/>
      <w:bookmarkEnd w:id="50"/>
      <w:bookmarkEnd w:id="51"/>
      <w:bookmarkEnd w:id="52"/>
      <w:bookmarkEnd w:id="53"/>
      <w:bookmarkEnd w:id="57"/>
      <w:bookmarkEnd w:id="58"/>
      <w:bookmarkEnd w:id="59"/>
    </w:p>
    <w:p w14:paraId="49F22110">
      <w:pPr>
        <w:pStyle w:val="27"/>
        <w:pageBreakBefore w:val="0"/>
        <w:kinsoku/>
        <w:overflowPunct/>
        <w:topLinePunct w:val="0"/>
        <w:bidi w:val="0"/>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rPr>
        <w:t xml:space="preserve"> 本工程工期为：</w:t>
      </w:r>
      <w:r>
        <w:rPr>
          <w:rFonts w:hint="eastAsia" w:hAnsi="宋体" w:eastAsia="宋体" w:cs="宋体"/>
          <w:color w:val="auto"/>
          <w:kern w:val="0"/>
          <w:sz w:val="24"/>
          <w:szCs w:val="24"/>
          <w:highlight w:val="none"/>
          <w:lang w:val="en-US" w:eastAsia="zh-CN"/>
        </w:rPr>
        <w:t>180</w:t>
      </w:r>
      <w:r>
        <w:rPr>
          <w:rFonts w:hint="eastAsia" w:ascii="宋体" w:hAnsi="宋体" w:eastAsia="宋体" w:cs="宋体"/>
          <w:color w:val="auto"/>
          <w:kern w:val="0"/>
          <w:sz w:val="24"/>
          <w:szCs w:val="24"/>
          <w:highlight w:val="none"/>
          <w:lang w:eastAsia="zh-CN"/>
        </w:rPr>
        <w:t>日历天【其中：设计工期</w:t>
      </w:r>
      <w:r>
        <w:rPr>
          <w:rFonts w:hint="eastAsia" w:hAnsi="宋体" w:eastAsia="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lang w:eastAsia="zh-CN"/>
        </w:rPr>
        <w:t>日历天、施工工期</w:t>
      </w:r>
      <w:r>
        <w:rPr>
          <w:rFonts w:hint="eastAsia" w:hAnsi="宋体" w:eastAsia="宋体" w:cs="宋体"/>
          <w:color w:val="auto"/>
          <w:kern w:val="0"/>
          <w:sz w:val="24"/>
          <w:szCs w:val="24"/>
          <w:highlight w:val="none"/>
          <w:lang w:val="en-US" w:eastAsia="zh-CN"/>
        </w:rPr>
        <w:t>120</w:t>
      </w:r>
      <w:r>
        <w:rPr>
          <w:rFonts w:hint="eastAsia" w:ascii="宋体" w:hAnsi="宋体" w:eastAsia="宋体" w:cs="宋体"/>
          <w:color w:val="auto"/>
          <w:kern w:val="0"/>
          <w:sz w:val="24"/>
          <w:szCs w:val="24"/>
          <w:highlight w:val="none"/>
          <w:lang w:eastAsia="zh-CN"/>
        </w:rPr>
        <w:t>日历天】</w:t>
      </w:r>
      <w:r>
        <w:rPr>
          <w:rFonts w:hint="eastAsia"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中标人必须在所要求的工期内完成全部招标工程。</w:t>
      </w:r>
    </w:p>
    <w:p w14:paraId="053FEFB1">
      <w:pPr>
        <w:pStyle w:val="27"/>
        <w:pageBreakBefore w:val="0"/>
        <w:kinsoku/>
        <w:overflowPunct/>
        <w:topLinePunct w:val="0"/>
        <w:bidi w:val="0"/>
        <w:spacing w:line="400" w:lineRule="exact"/>
        <w:ind w:firstLine="482"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b/>
          <w:color w:val="auto"/>
          <w:kern w:val="44"/>
          <w:sz w:val="24"/>
          <w:szCs w:val="24"/>
          <w:highlight w:val="none"/>
        </w:rPr>
        <w:t>3.3</w:t>
      </w:r>
      <w:r>
        <w:rPr>
          <w:rFonts w:hint="eastAsia" w:ascii="宋体" w:hAnsi="宋体" w:eastAsia="宋体" w:cs="宋体"/>
          <w:color w:val="auto"/>
          <w:sz w:val="24"/>
          <w:szCs w:val="24"/>
          <w:highlight w:val="none"/>
        </w:rPr>
        <w:t>设计工期自中标通知书发出之日起计算，至提交符合招标人及审图机构要求的施工图设计文件之日止（每一步设计工作，必须</w:t>
      </w:r>
      <w:r>
        <w:rPr>
          <w:rFonts w:hint="eastAsia" w:ascii="宋体" w:hAnsi="宋体" w:eastAsia="宋体" w:cs="宋体"/>
          <w:color w:val="auto"/>
          <w:sz w:val="24"/>
          <w:szCs w:val="24"/>
          <w:highlight w:val="none"/>
          <w:lang w:val="en-US" w:eastAsia="zh-CN"/>
        </w:rPr>
        <w:t>经</w:t>
      </w:r>
      <w:r>
        <w:rPr>
          <w:rFonts w:hint="eastAsia" w:ascii="宋体" w:hAnsi="宋体" w:eastAsia="宋体" w:cs="宋体"/>
          <w:color w:val="auto"/>
          <w:sz w:val="24"/>
          <w:szCs w:val="24"/>
          <w:highlight w:val="none"/>
        </w:rPr>
        <w:t>招标人及有关部门审核批准后方可实施）</w:t>
      </w:r>
      <w:r>
        <w:rPr>
          <w:rFonts w:hint="eastAsia" w:ascii="宋体" w:hAnsi="宋体" w:eastAsia="宋体" w:cs="宋体"/>
          <w:color w:val="auto"/>
          <w:sz w:val="24"/>
          <w:szCs w:val="24"/>
          <w:highlight w:val="none"/>
          <w:lang w:val="zh-CN"/>
        </w:rPr>
        <w:t>。</w:t>
      </w:r>
    </w:p>
    <w:p w14:paraId="6A6E040D">
      <w:pPr>
        <w:pStyle w:val="27"/>
        <w:pageBreakBefore w:val="0"/>
        <w:kinsoku/>
        <w:overflowPunct/>
        <w:topLinePunct w:val="0"/>
        <w:bidi w:val="0"/>
        <w:spacing w:line="4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val="zh-CN"/>
        </w:rPr>
        <w:t>.</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lang w:val="zh-CN"/>
        </w:rPr>
        <w:t xml:space="preserve"> 施工工期从开工令签发之日起计，至竣工验收之日止。</w:t>
      </w:r>
      <w:bookmarkStart w:id="61" w:name="_Toc11872"/>
    </w:p>
    <w:p w14:paraId="2763D77E">
      <w:pPr>
        <w:pStyle w:val="29"/>
        <w:keepNext/>
        <w:keepLines/>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auto"/>
          <w:kern w:val="2"/>
          <w:sz w:val="24"/>
          <w:szCs w:val="24"/>
          <w:highlight w:val="none"/>
        </w:rPr>
      </w:pPr>
      <w:bookmarkStart w:id="62" w:name="_Toc1889"/>
      <w:bookmarkStart w:id="63" w:name="_Toc19644"/>
      <w:bookmarkStart w:id="64" w:name="_Toc30034"/>
      <w:bookmarkStart w:id="65" w:name="_Toc24539"/>
      <w:bookmarkStart w:id="66" w:name="_Toc9262"/>
      <w:bookmarkStart w:id="67" w:name="_Toc14822"/>
      <w:bookmarkStart w:id="68" w:name="_Toc15203"/>
      <w:bookmarkStart w:id="69" w:name="_Toc3312"/>
      <w:bookmarkStart w:id="70" w:name="_Toc13379"/>
      <w:bookmarkStart w:id="71" w:name="_Toc2499"/>
      <w:bookmarkStart w:id="72" w:name="_Toc26377"/>
      <w:r>
        <w:rPr>
          <w:rFonts w:hint="eastAsia" w:ascii="宋体" w:hAnsi="宋体" w:eastAsia="宋体" w:cs="宋体"/>
          <w:b/>
          <w:color w:val="auto"/>
          <w:kern w:val="2"/>
          <w:sz w:val="24"/>
          <w:szCs w:val="24"/>
          <w:highlight w:val="none"/>
        </w:rPr>
        <w:t>4 、投标人资质及条件要求</w:t>
      </w:r>
      <w:bookmarkEnd w:id="61"/>
      <w:bookmarkEnd w:id="62"/>
      <w:bookmarkEnd w:id="63"/>
      <w:bookmarkEnd w:id="64"/>
      <w:bookmarkEnd w:id="65"/>
      <w:bookmarkEnd w:id="66"/>
      <w:bookmarkEnd w:id="67"/>
      <w:bookmarkEnd w:id="68"/>
      <w:bookmarkEnd w:id="69"/>
      <w:bookmarkEnd w:id="70"/>
      <w:bookmarkEnd w:id="71"/>
      <w:bookmarkEnd w:id="72"/>
      <w:bookmarkStart w:id="73" w:name="_Hlt74496495"/>
      <w:bookmarkEnd w:id="73"/>
    </w:p>
    <w:p w14:paraId="22158E95">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4.1.本次招标接受联合体投标，联合体以一个投标人的身份共同投标。</w:t>
      </w:r>
    </w:p>
    <w:p w14:paraId="3E0E29BC">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4.1.1联合体成员数量不超过</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个。</w:t>
      </w:r>
    </w:p>
    <w:p w14:paraId="5B061BA1">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4.1.2联合体各方应按招标文件提供的格式签订联合体协议书，明确联合体牵头人和各方权利义务，并承诺就中标项目向招标人承担连带责任。《联合体协议书》作为投标文件的组成部分向招标人提交。</w:t>
      </w:r>
    </w:p>
    <w:p w14:paraId="5371735B">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4.1.3联合体成员单位均应具备拟承担的工作内容（以《联合体协议书》的约定为准）所规定的资格条件。若同一工作内容由两个或两个以上单位共同承担，该项工作内容按照资质等级较低的单位确定联合体资质等级。  </w:t>
      </w:r>
    </w:p>
    <w:p w14:paraId="3A678C56">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4.1.4联合体各方不得再以自己名义单独或参加其他联合体在本招标项目中投标，否则各相关投标均无效。</w:t>
      </w:r>
    </w:p>
    <w:p w14:paraId="13E32DA3">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4.2.资质要求</w:t>
      </w:r>
    </w:p>
    <w:p w14:paraId="462F123A">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4.2.1 投标人须具备独立法人资格，按国家法律经营。</w:t>
      </w:r>
    </w:p>
    <w:p w14:paraId="61F0B76A">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4.2.2 投标人须持有建设行政主管部门颁发的企业资质证书。</w:t>
      </w:r>
    </w:p>
    <w:p w14:paraId="42E0CCD4">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4.2.3 参加投标的投标人可以是单一独立法人或由不超过</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家独立法人组成的联合体【必须注明其中一家为牵头人，牵头人必须为施工单位（投标人或组成联合体投标人的任意一方）】，联合体各方不得再以自己的名义单独申请，也不得同时参加两个或两个以上的联合体进行本项目的投标。单一独立法人必须至少同时具备以下(1)～(2)资质，组成联合体投标的，联合后必须至少具备以下(1)～(2)资质：</w:t>
      </w:r>
    </w:p>
    <w:p w14:paraId="18956B3E">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（1)施工单位（投标人或组成联合体投标人）必须具备建设行政主管部门颁发的市政公用工程施工总承包</w:t>
      </w:r>
      <w:r>
        <w:rPr>
          <w:rFonts w:hint="eastAsia" w:ascii="宋体" w:hAnsi="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lang w:val="en-US" w:eastAsia="zh-CN"/>
        </w:rPr>
        <w:t>级以上(含</w:t>
      </w:r>
      <w:r>
        <w:rPr>
          <w:rFonts w:hint="eastAsia" w:ascii="宋体" w:hAnsi="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lang w:val="en-US" w:eastAsia="zh-CN"/>
        </w:rPr>
        <w:t>级)资质，并持有有效安全生产许可证;</w:t>
      </w:r>
    </w:p>
    <w:p w14:paraId="50048B98">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（2）设计单位必须具备建设行政主管部门颁发的以下①或②资质</w:t>
      </w:r>
      <w:r>
        <w:rPr>
          <w:rFonts w:hint="eastAsia" w:ascii="宋体" w:hAnsi="宋体" w:cs="宋体"/>
          <w:color w:val="auto"/>
          <w:kern w:val="0"/>
          <w:sz w:val="24"/>
          <w:szCs w:val="24"/>
          <w:highlight w:val="none"/>
          <w:lang w:val="en-US" w:eastAsia="zh-CN"/>
        </w:rPr>
        <w:t>：</w:t>
      </w:r>
    </w:p>
    <w:p w14:paraId="03B8B418">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①工程设计综合甲级资质</w:t>
      </w:r>
      <w:r>
        <w:rPr>
          <w:rFonts w:hint="eastAsia" w:ascii="宋体" w:hAnsi="宋体" w:cs="宋体"/>
          <w:color w:val="auto"/>
          <w:kern w:val="0"/>
          <w:sz w:val="24"/>
          <w:szCs w:val="24"/>
          <w:highlight w:val="none"/>
          <w:lang w:val="en-US" w:eastAsia="zh-CN"/>
        </w:rPr>
        <w:t>；</w:t>
      </w:r>
    </w:p>
    <w:p w14:paraId="58250A20">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②须具备工程设计市政资质以下任意一项:</w:t>
      </w:r>
    </w:p>
    <w:p w14:paraId="62AC8114">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a.工程设计市政行业乙级或以上资质</w:t>
      </w:r>
      <w:r>
        <w:rPr>
          <w:rFonts w:hint="eastAsia" w:ascii="宋体" w:hAnsi="宋体" w:cs="宋体"/>
          <w:color w:val="auto"/>
          <w:kern w:val="0"/>
          <w:sz w:val="24"/>
          <w:szCs w:val="24"/>
          <w:highlight w:val="none"/>
          <w:lang w:val="en-US" w:eastAsia="zh-CN"/>
        </w:rPr>
        <w:t>；</w:t>
      </w:r>
    </w:p>
    <w:p w14:paraId="432E6163">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b.工程设计市政行业(燃气工程、轨道交通工程除外)乙级或以上资质</w:t>
      </w:r>
      <w:r>
        <w:rPr>
          <w:rFonts w:hint="eastAsia" w:ascii="宋体" w:hAnsi="宋体" w:cs="宋体"/>
          <w:color w:val="auto"/>
          <w:kern w:val="0"/>
          <w:sz w:val="24"/>
          <w:szCs w:val="24"/>
          <w:highlight w:val="none"/>
          <w:lang w:val="en-US" w:eastAsia="zh-CN"/>
        </w:rPr>
        <w:t>；</w:t>
      </w:r>
    </w:p>
    <w:p w14:paraId="1BA566E2">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c.工程设计市政行业(道路工程、排水工程)乙级或以上资质。</w:t>
      </w:r>
    </w:p>
    <w:p w14:paraId="24FBB80E">
      <w:pPr>
        <w:pStyle w:val="30"/>
        <w:pageBreakBefore w:val="0"/>
        <w:widowControl/>
        <w:kinsoku/>
        <w:overflowPunct/>
        <w:topLinePunct w:val="0"/>
        <w:bidi w:val="0"/>
        <w:snapToGrid w:val="0"/>
        <w:spacing w:line="400" w:lineRule="exact"/>
        <w:ind w:left="247" w:leftChars="103"/>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注：投标人在中标后，设计企业若不具备相应的工程勘察资质可由中标人另行委托有相应资质的单位进行工程勘察，费用已包含在本次招标费用中。</w:t>
      </w:r>
    </w:p>
    <w:p w14:paraId="20BE81BF">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strike/>
          <w:color w:val="auto"/>
          <w:sz w:val="24"/>
          <w:szCs w:val="24"/>
          <w:highlight w:val="none"/>
          <w:lang w:val="zh-CN"/>
        </w:rPr>
      </w:pPr>
      <w:r>
        <w:rPr>
          <w:rFonts w:hint="eastAsia" w:ascii="宋体" w:hAnsi="宋体" w:eastAsia="宋体" w:cs="宋体"/>
          <w:b/>
          <w:bCs/>
          <w:color w:val="auto"/>
          <w:kern w:val="0"/>
          <w:sz w:val="24"/>
          <w:szCs w:val="24"/>
          <w:highlight w:val="none"/>
        </w:rPr>
        <w:t>4.2.4</w:t>
      </w:r>
      <w:r>
        <w:rPr>
          <w:rFonts w:hint="eastAsia" w:ascii="宋体" w:hAnsi="宋体" w:eastAsia="宋体" w:cs="宋体"/>
          <w:color w:val="auto"/>
          <w:sz w:val="24"/>
          <w:szCs w:val="24"/>
          <w:highlight w:val="none"/>
          <w:lang w:val="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50467CC">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kern w:val="0"/>
          <w:sz w:val="24"/>
          <w:szCs w:val="24"/>
          <w:highlight w:val="none"/>
        </w:rPr>
        <w:t>4.3</w:t>
      </w:r>
      <w:r>
        <w:rPr>
          <w:rFonts w:hint="eastAsia" w:ascii="宋体" w:hAnsi="宋体" w:eastAsia="宋体" w:cs="宋体"/>
          <w:snapToGrid w:val="0"/>
          <w:color w:val="auto"/>
          <w:kern w:val="0"/>
          <w:sz w:val="24"/>
          <w:szCs w:val="24"/>
          <w:highlight w:val="none"/>
        </w:rPr>
        <w:t>相关人员要求</w:t>
      </w:r>
    </w:p>
    <w:p w14:paraId="6C36F76C">
      <w:pPr>
        <w:pStyle w:val="30"/>
        <w:pageBreakBefore w:val="0"/>
        <w:widowControl/>
        <w:kinsoku/>
        <w:wordWrap/>
        <w:overflowPunct/>
        <w:topLinePunct w:val="0"/>
        <w:bidi w:val="0"/>
        <w:adjustRightInd/>
        <w:snapToGrid/>
        <w:spacing w:line="360" w:lineRule="exact"/>
        <w:ind w:left="247" w:leftChars="103" w:firstLine="0" w:firstLineChars="0"/>
        <w:jc w:val="left"/>
        <w:textAlignment w:val="auto"/>
        <w:rPr>
          <w:rFonts w:hint="eastAsia" w:ascii="宋体" w:hAnsi="宋体" w:eastAsia="宋体" w:cs="宋体"/>
          <w:strike w:val="0"/>
          <w:dstrike w:val="0"/>
          <w:color w:val="auto"/>
          <w:kern w:val="0"/>
          <w:sz w:val="24"/>
          <w:szCs w:val="24"/>
          <w:highlight w:val="none"/>
        </w:rPr>
      </w:pPr>
      <w:r>
        <w:rPr>
          <w:rFonts w:hint="eastAsia" w:ascii="宋体" w:hAnsi="宋体" w:eastAsia="宋体" w:cs="宋体"/>
          <w:b/>
          <w:bCs/>
          <w:color w:val="auto"/>
          <w:kern w:val="0"/>
          <w:sz w:val="24"/>
          <w:szCs w:val="24"/>
          <w:highlight w:val="none"/>
        </w:rPr>
        <w:t>4.3.1</w:t>
      </w:r>
      <w:r>
        <w:rPr>
          <w:rFonts w:hint="eastAsia" w:ascii="宋体" w:hAnsi="宋体" w:eastAsia="宋体" w:cs="宋体"/>
          <w:strike w:val="0"/>
          <w:dstrike w:val="0"/>
          <w:color w:val="auto"/>
          <w:sz w:val="24"/>
          <w:szCs w:val="24"/>
          <w:highlight w:val="none"/>
        </w:rPr>
        <w:t>拟派项目经理为“市政公用工程”专业一级或二级注册建造师，其中一级注册建造师应持有国家住建部印发的有效注册证书，二级注册建造师应持有考试取得执业资格的省、自治区、直辖市住建部门核准的有效电子注册证书（二级注册建造师应持有住建部门核准的、在使用有效期内的有效电子证书）。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r>
        <w:rPr>
          <w:rFonts w:hint="eastAsia" w:ascii="宋体" w:hAnsi="宋体" w:eastAsia="宋体" w:cs="宋体"/>
          <w:b/>
          <w:bCs/>
          <w:i w:val="0"/>
          <w:iCs w:val="0"/>
          <w:caps w:val="0"/>
          <w:snapToGrid w:val="0"/>
          <w:color w:val="auto"/>
          <w:spacing w:val="0"/>
          <w:kern w:val="0"/>
          <w:sz w:val="24"/>
          <w:szCs w:val="24"/>
          <w:highlight w:val="none"/>
          <w:shd w:val="clear"/>
        </w:rPr>
        <w:t>(若为联合体投标，则联合体成员任意一方提供均可)</w:t>
      </w:r>
      <w:r>
        <w:rPr>
          <w:rFonts w:hint="eastAsia" w:ascii="宋体" w:hAnsi="宋体" w:eastAsia="宋体" w:cs="宋体"/>
          <w:b/>
          <w:bCs/>
          <w:strike w:val="0"/>
          <w:dstrike w:val="0"/>
          <w:snapToGrid w:val="0"/>
          <w:color w:val="auto"/>
          <w:kern w:val="0"/>
          <w:sz w:val="24"/>
          <w:szCs w:val="24"/>
          <w:highlight w:val="none"/>
          <w:lang w:eastAsia="zh-CN"/>
        </w:rPr>
        <w:t xml:space="preserve">  </w:t>
      </w:r>
    </w:p>
    <w:p w14:paraId="168FD6F7">
      <w:pPr>
        <w:pStyle w:val="30"/>
        <w:spacing w:line="360" w:lineRule="exact"/>
        <w:ind w:left="247" w:leftChars="103"/>
        <w:rPr>
          <w:rFonts w:hint="eastAsia" w:ascii="宋体" w:hAnsi="宋体" w:eastAsia="宋体" w:cs="宋体"/>
          <w:strike w:val="0"/>
          <w:dstrike w:val="0"/>
          <w:color w:val="auto"/>
          <w:kern w:val="0"/>
          <w:sz w:val="24"/>
          <w:szCs w:val="24"/>
          <w:highlight w:val="none"/>
        </w:rPr>
      </w:pPr>
      <w:r>
        <w:rPr>
          <w:rFonts w:hint="eastAsia" w:ascii="宋体" w:hAnsi="宋体" w:eastAsia="宋体" w:cs="宋体"/>
          <w:b/>
          <w:bCs/>
          <w:color w:val="auto"/>
          <w:kern w:val="0"/>
          <w:sz w:val="24"/>
          <w:szCs w:val="24"/>
          <w:highlight w:val="none"/>
        </w:rPr>
        <w:t>4.</w:t>
      </w: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trike w:val="0"/>
          <w:dstrike w:val="0"/>
          <w:snapToGrid w:val="0"/>
          <w:color w:val="auto"/>
          <w:kern w:val="0"/>
          <w:sz w:val="24"/>
          <w:szCs w:val="24"/>
          <w:highlight w:val="none"/>
        </w:rPr>
        <w:t>拟派项目技术负责人须具备</w:t>
      </w:r>
      <w:r>
        <w:rPr>
          <w:rFonts w:hint="eastAsia" w:ascii="宋体" w:hAnsi="宋体" w:eastAsia="宋体" w:cs="宋体"/>
          <w:strike w:val="0"/>
          <w:dstrike w:val="0"/>
          <w:snapToGrid w:val="0"/>
          <w:color w:val="auto"/>
          <w:kern w:val="0"/>
          <w:sz w:val="24"/>
          <w:szCs w:val="24"/>
          <w:highlight w:val="none"/>
          <w:u w:val="single"/>
          <w:lang w:val="en-US" w:eastAsia="zh-CN"/>
        </w:rPr>
        <w:t>“市政公用工程</w:t>
      </w:r>
      <w:r>
        <w:rPr>
          <w:rFonts w:hint="eastAsia" w:ascii="宋体" w:hAnsi="宋体" w:eastAsia="宋体" w:cs="宋体"/>
          <w:strike w:val="0"/>
          <w:dstrike w:val="0"/>
          <w:snapToGrid w:val="0"/>
          <w:color w:val="auto"/>
          <w:kern w:val="0"/>
          <w:sz w:val="24"/>
          <w:szCs w:val="24"/>
          <w:highlight w:val="none"/>
          <w:u w:val="single"/>
          <w:lang w:eastAsia="zh-CN"/>
        </w:rPr>
        <w:t>”</w:t>
      </w:r>
      <w:r>
        <w:rPr>
          <w:rFonts w:hint="eastAsia" w:ascii="宋体" w:hAnsi="宋体" w:eastAsia="宋体" w:cs="宋体"/>
          <w:strike w:val="0"/>
          <w:dstrike w:val="0"/>
          <w:color w:val="auto"/>
          <w:kern w:val="0"/>
          <w:sz w:val="24"/>
          <w:szCs w:val="24"/>
          <w:highlight w:val="none"/>
          <w:u w:val="none"/>
          <w:lang w:val="en-US" w:eastAsia="zh-CN"/>
        </w:rPr>
        <w:t>相关</w:t>
      </w:r>
      <w:r>
        <w:rPr>
          <w:rFonts w:hint="eastAsia" w:ascii="宋体" w:hAnsi="宋体" w:eastAsia="宋体" w:cs="宋体"/>
          <w:strike w:val="0"/>
          <w:dstrike w:val="0"/>
          <w:color w:val="auto"/>
          <w:kern w:val="0"/>
          <w:sz w:val="24"/>
          <w:szCs w:val="24"/>
          <w:highlight w:val="none"/>
        </w:rPr>
        <w:t>专业</w:t>
      </w:r>
      <w:r>
        <w:rPr>
          <w:rFonts w:hint="eastAsia" w:ascii="宋体" w:hAnsi="宋体" w:eastAsia="宋体" w:cs="宋体"/>
          <w:strike w:val="0"/>
          <w:dstrike w:val="0"/>
          <w:color w:val="auto"/>
          <w:sz w:val="24"/>
          <w:szCs w:val="24"/>
          <w:highlight w:val="none"/>
        </w:rPr>
        <w:t>工程师</w:t>
      </w:r>
      <w:r>
        <w:rPr>
          <w:rFonts w:hint="eastAsia" w:ascii="宋体" w:hAnsi="宋体" w:eastAsia="宋体" w:cs="宋体"/>
          <w:strike w:val="0"/>
          <w:dstrike w:val="0"/>
          <w:color w:val="auto"/>
          <w:sz w:val="24"/>
          <w:szCs w:val="24"/>
          <w:highlight w:val="none"/>
          <w:lang w:val="en-US" w:eastAsia="zh-CN"/>
        </w:rPr>
        <w:t>或</w:t>
      </w:r>
      <w:r>
        <w:rPr>
          <w:rFonts w:hint="eastAsia" w:ascii="宋体" w:hAnsi="宋体" w:eastAsia="宋体" w:cs="宋体"/>
          <w:strike w:val="0"/>
          <w:dstrike w:val="0"/>
          <w:color w:val="auto"/>
          <w:sz w:val="24"/>
          <w:szCs w:val="24"/>
          <w:highlight w:val="none"/>
        </w:rPr>
        <w:t>以上职称</w:t>
      </w:r>
      <w:r>
        <w:rPr>
          <w:rFonts w:hint="eastAsia" w:ascii="宋体" w:hAnsi="宋体" w:eastAsia="宋体" w:cs="宋体"/>
          <w:strike w:val="0"/>
          <w:dstrike w:val="0"/>
          <w:color w:val="auto"/>
          <w:kern w:val="0"/>
          <w:sz w:val="24"/>
          <w:szCs w:val="24"/>
          <w:highlight w:val="none"/>
        </w:rPr>
        <w:t>。</w:t>
      </w:r>
      <w:r>
        <w:rPr>
          <w:rFonts w:hint="eastAsia" w:ascii="宋体" w:hAnsi="宋体" w:eastAsia="宋体" w:cs="宋体"/>
          <w:b/>
          <w:bCs/>
          <w:i w:val="0"/>
          <w:iCs w:val="0"/>
          <w:caps w:val="0"/>
          <w:snapToGrid w:val="0"/>
          <w:color w:val="auto"/>
          <w:spacing w:val="0"/>
          <w:kern w:val="0"/>
          <w:sz w:val="24"/>
          <w:szCs w:val="24"/>
          <w:highlight w:val="none"/>
          <w:shd w:val="clear"/>
        </w:rPr>
        <w:t>(若为联合体投标，则联合体成员任意一方提供均可)</w:t>
      </w:r>
      <w:r>
        <w:rPr>
          <w:rFonts w:hint="eastAsia" w:ascii="宋体" w:hAnsi="宋体" w:eastAsia="宋体" w:cs="宋体"/>
          <w:b/>
          <w:bCs/>
          <w:strike w:val="0"/>
          <w:dstrike w:val="0"/>
          <w:snapToGrid w:val="0"/>
          <w:color w:val="auto"/>
          <w:kern w:val="0"/>
          <w:sz w:val="24"/>
          <w:szCs w:val="24"/>
          <w:highlight w:val="none"/>
          <w:lang w:eastAsia="zh-CN"/>
        </w:rPr>
        <w:t xml:space="preserve">  </w:t>
      </w:r>
    </w:p>
    <w:p w14:paraId="63726851">
      <w:pPr>
        <w:pStyle w:val="30"/>
        <w:pageBreakBefore w:val="0"/>
        <w:widowControl/>
        <w:kinsoku/>
        <w:wordWrap/>
        <w:overflowPunct/>
        <w:topLinePunct w:val="0"/>
        <w:bidi w:val="0"/>
        <w:adjustRightInd/>
        <w:snapToGrid/>
        <w:spacing w:line="360" w:lineRule="exact"/>
        <w:ind w:left="247" w:leftChars="103" w:firstLine="0" w:firstLineChars="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kern w:val="0"/>
          <w:sz w:val="24"/>
          <w:szCs w:val="24"/>
          <w:highlight w:val="none"/>
        </w:rPr>
        <w:t>4.</w:t>
      </w: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拟派专职安全生产管理人员须具备有效安全生产考核合格证明（C证，安全生产考核合格证书或广东省建筑施工企业管理人员安全生产考核系统考核合格信息打印页），且不少于1人。</w:t>
      </w:r>
      <w:r>
        <w:rPr>
          <w:rFonts w:hint="eastAsia" w:ascii="宋体" w:hAnsi="宋体" w:eastAsia="宋体" w:cs="宋体"/>
          <w:b/>
          <w:bCs/>
          <w:i w:val="0"/>
          <w:iCs w:val="0"/>
          <w:caps w:val="0"/>
          <w:snapToGrid w:val="0"/>
          <w:color w:val="auto"/>
          <w:spacing w:val="0"/>
          <w:kern w:val="0"/>
          <w:sz w:val="24"/>
          <w:szCs w:val="24"/>
          <w:highlight w:val="none"/>
          <w:shd w:val="clear"/>
        </w:rPr>
        <w:t>(若为联合体投标，则联合体成员任意一方提供均可)</w:t>
      </w:r>
      <w:r>
        <w:rPr>
          <w:rFonts w:hint="eastAsia" w:ascii="宋体" w:hAnsi="宋体" w:eastAsia="宋体" w:cs="宋体"/>
          <w:b/>
          <w:bCs/>
          <w:strike w:val="0"/>
          <w:dstrike w:val="0"/>
          <w:snapToGrid w:val="0"/>
          <w:color w:val="auto"/>
          <w:kern w:val="0"/>
          <w:sz w:val="24"/>
          <w:szCs w:val="24"/>
          <w:highlight w:val="none"/>
          <w:lang w:eastAsia="zh-CN"/>
        </w:rPr>
        <w:t xml:space="preserve">  </w:t>
      </w:r>
    </w:p>
    <w:p w14:paraId="56159025">
      <w:pPr>
        <w:pStyle w:val="27"/>
        <w:pageBreakBefore w:val="0"/>
        <w:widowControl/>
        <w:kinsoku/>
        <w:wordWrap w:val="0"/>
        <w:overflowPunct/>
        <w:topLinePunct w:val="0"/>
        <w:bidi w:val="0"/>
        <w:adjustRightInd w:val="0"/>
        <w:snapToGrid w:val="0"/>
        <w:spacing w:before="75" w:after="75" w:line="360" w:lineRule="exact"/>
        <w:ind w:left="247" w:leftChars="103"/>
        <w:jc w:val="left"/>
        <w:textAlignment w:val="auto"/>
        <w:rPr>
          <w:rFonts w:hint="eastAsia" w:ascii="宋体" w:hAnsi="宋体" w:eastAsia="宋体" w:cs="宋体"/>
          <w:i/>
          <w:color w:val="auto"/>
          <w:kern w:val="0"/>
          <w:sz w:val="24"/>
          <w:szCs w:val="24"/>
          <w:highlight w:val="none"/>
        </w:rPr>
      </w:pPr>
      <w:r>
        <w:rPr>
          <w:rFonts w:hint="eastAsia" w:ascii="宋体" w:hAnsi="宋体" w:eastAsia="宋体" w:cs="宋体"/>
          <w:b/>
          <w:bCs/>
          <w:color w:val="auto"/>
          <w:kern w:val="0"/>
          <w:sz w:val="24"/>
          <w:szCs w:val="24"/>
          <w:highlight w:val="none"/>
        </w:rPr>
        <w:t>4.</w:t>
      </w: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color w:val="auto"/>
          <w:sz w:val="24"/>
          <w:szCs w:val="24"/>
          <w:highlight w:val="none"/>
        </w:rPr>
        <w:t>拟委派担任本工程的设计负责人</w:t>
      </w:r>
      <w:r>
        <w:rPr>
          <w:rFonts w:hint="eastAsia" w:hAnsi="宋体" w:cs="宋体"/>
          <w:color w:val="auto"/>
          <w:sz w:val="24"/>
          <w:szCs w:val="24"/>
          <w:highlight w:val="none"/>
          <w:lang w:eastAsia="zh-CN"/>
        </w:rPr>
        <w:t>具备</w:t>
      </w:r>
      <w:r>
        <w:rPr>
          <w:rFonts w:hint="eastAsia" w:hAnsi="宋体" w:cs="宋体"/>
          <w:color w:val="auto"/>
          <w:kern w:val="2"/>
          <w:sz w:val="24"/>
          <w:szCs w:val="24"/>
          <w:highlight w:val="none"/>
          <w:u w:val="single"/>
          <w:lang w:val="en-US" w:eastAsia="zh-CN" w:bidi="ar-SA"/>
        </w:rPr>
        <w:t>市政类专业高级工程师或以上技术职称</w:t>
      </w:r>
      <w:r>
        <w:rPr>
          <w:rFonts w:hint="eastAsia" w:ascii="宋体" w:hAnsi="宋体" w:eastAsia="宋体" w:cs="宋体"/>
          <w:color w:val="auto"/>
          <w:kern w:val="2"/>
          <w:sz w:val="24"/>
          <w:szCs w:val="24"/>
          <w:highlight w:val="none"/>
          <w:u w:val="single"/>
          <w:lang w:val="en-US" w:eastAsia="zh-CN" w:bidi="ar-SA"/>
        </w:rPr>
        <w:t>。</w:t>
      </w:r>
    </w:p>
    <w:p w14:paraId="3D12065E">
      <w:pPr>
        <w:pageBreakBefore w:val="0"/>
        <w:kinsoku/>
        <w:wordWrap w:val="0"/>
        <w:overflowPunct/>
        <w:topLinePunct w:val="0"/>
        <w:bidi w:val="0"/>
        <w:adjustRightInd w:val="0"/>
        <w:snapToGrid w:val="0"/>
        <w:spacing w:line="400" w:lineRule="exact"/>
        <w:ind w:firstLine="241"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kern w:val="0"/>
          <w:sz w:val="24"/>
          <w:szCs w:val="24"/>
          <w:highlight w:val="none"/>
        </w:rPr>
        <w:t>4.</w:t>
      </w: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投标人（包括组成联合体的所有成员单位）与其拟派往本项目管理机构的所有人员之间必须具备合法、唯一的劳动聘用关系。拟派人员中具备注册执业资格的，其注册单位须与投标人保持一致。</w:t>
      </w:r>
    </w:p>
    <w:p w14:paraId="3AB374D2">
      <w:pPr>
        <w:pageBreakBefore w:val="0"/>
        <w:kinsoku/>
        <w:wordWrap w:val="0"/>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kern w:val="0"/>
          <w:sz w:val="24"/>
          <w:szCs w:val="24"/>
          <w:highlight w:val="none"/>
        </w:rPr>
        <w:t>4.4</w:t>
      </w:r>
      <w:r>
        <w:rPr>
          <w:rFonts w:hint="eastAsia" w:ascii="宋体" w:hAnsi="宋体" w:eastAsia="宋体" w:cs="宋体"/>
          <w:snapToGrid w:val="0"/>
          <w:color w:val="auto"/>
          <w:kern w:val="0"/>
          <w:sz w:val="24"/>
          <w:szCs w:val="24"/>
          <w:highlight w:val="none"/>
        </w:rPr>
        <w:t>禁止投标条款：</w:t>
      </w:r>
    </w:p>
    <w:p w14:paraId="2DD75148">
      <w:pPr>
        <w:pageBreakBefore w:val="0"/>
        <w:kinsoku/>
        <w:wordWrap w:val="0"/>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kern w:val="0"/>
          <w:sz w:val="24"/>
          <w:szCs w:val="24"/>
          <w:highlight w:val="none"/>
        </w:rPr>
        <w:t>4.4.1</w:t>
      </w:r>
      <w:r>
        <w:rPr>
          <w:rFonts w:hint="eastAsia" w:ascii="宋体" w:hAnsi="宋体" w:eastAsia="宋体" w:cs="宋体"/>
          <w:snapToGrid w:val="0"/>
          <w:color w:val="auto"/>
          <w:kern w:val="0"/>
          <w:sz w:val="24"/>
          <w:szCs w:val="24"/>
          <w:highlight w:val="none"/>
        </w:rPr>
        <w:t>投标人不得存在下列情形之一：</w:t>
      </w:r>
    </w:p>
    <w:p w14:paraId="78388942">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2E530C7">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（2）为本招标项目前期准备提供咨询服务的；</w:t>
      </w:r>
    </w:p>
    <w:p w14:paraId="5526027D">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189B603A">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7D4B51F5">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3CA0CDE4">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47667562">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73655D50">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1E765FD1">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5588A1D0">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2FBB1C19">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05EE3A1F">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2E57C6FE">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270FC1BF">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720DC324">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（15）被“信用中国”网站（https://www.creditchina.gov.cn）发布的《法人和非法人组织公共信用信息报告》列入严重失信主体名单的。</w:t>
      </w:r>
    </w:p>
    <w:p w14:paraId="40C03FA9">
      <w:pPr>
        <w:pageBreakBefore w:val="0"/>
        <w:kinsoku/>
        <w:wordWrap w:val="0"/>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4.4.2</w:t>
      </w:r>
      <w:r>
        <w:rPr>
          <w:rFonts w:hint="eastAsia" w:ascii="宋体" w:hAnsi="宋体" w:eastAsia="宋体" w:cs="宋体"/>
          <w:snapToGrid w:val="0"/>
          <w:color w:val="auto"/>
          <w:kern w:val="0"/>
          <w:sz w:val="24"/>
          <w:szCs w:val="24"/>
          <w:highlight w:val="none"/>
        </w:rPr>
        <w:t>招标人拒绝以下名单中的单位参加本次投标：</w:t>
      </w:r>
    </w:p>
    <w:tbl>
      <w:tblPr>
        <w:tblStyle w:val="22"/>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566"/>
        <w:gridCol w:w="4633"/>
      </w:tblGrid>
      <w:tr w14:paraId="2B19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noWrap w:val="0"/>
            <w:vAlign w:val="center"/>
          </w:tcPr>
          <w:p w14:paraId="7B434811">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566" w:type="dxa"/>
            <w:noWrap w:val="0"/>
            <w:vAlign w:val="center"/>
          </w:tcPr>
          <w:p w14:paraId="1929EC8D">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633" w:type="dxa"/>
            <w:noWrap w:val="0"/>
            <w:vAlign w:val="center"/>
          </w:tcPr>
          <w:p w14:paraId="1E438B46">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09B2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noWrap w:val="0"/>
            <w:vAlign w:val="center"/>
          </w:tcPr>
          <w:p w14:paraId="69024FEE">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3566" w:type="dxa"/>
            <w:noWrap w:val="0"/>
            <w:vAlign w:val="center"/>
          </w:tcPr>
          <w:p w14:paraId="268D8CC2">
            <w:pPr>
              <w:pStyle w:val="30"/>
              <w:pageBreakBefore w:val="0"/>
              <w:kinsoku/>
              <w:wordWrap w:val="0"/>
              <w:overflowPunct/>
              <w:topLinePunct w:val="0"/>
              <w:bidi w:val="0"/>
              <w:adjustRightInd w:val="0"/>
              <w:snapToGrid w:val="0"/>
              <w:spacing w:line="400" w:lineRule="exact"/>
              <w:ind w:left="247" w:leftChars="103"/>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无</w:t>
            </w:r>
          </w:p>
        </w:tc>
        <w:tc>
          <w:tcPr>
            <w:tcW w:w="4633" w:type="dxa"/>
            <w:noWrap w:val="0"/>
            <w:vAlign w:val="center"/>
          </w:tcPr>
          <w:p w14:paraId="4A3D11C0">
            <w:pPr>
              <w:pStyle w:val="30"/>
              <w:pageBreakBefore w:val="0"/>
              <w:kinsoku/>
              <w:wordWrap w:val="0"/>
              <w:overflowPunct/>
              <w:topLinePunct w:val="0"/>
              <w:bidi w:val="0"/>
              <w:adjustRightInd w:val="0"/>
              <w:snapToGrid w:val="0"/>
              <w:spacing w:line="400" w:lineRule="exact"/>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为招标人不具有独立法人资格的附属机构</w:t>
            </w:r>
          </w:p>
        </w:tc>
      </w:tr>
      <w:tr w14:paraId="406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noWrap w:val="0"/>
            <w:vAlign w:val="center"/>
          </w:tcPr>
          <w:p w14:paraId="4F8204EB">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w:t>
            </w:r>
          </w:p>
        </w:tc>
        <w:tc>
          <w:tcPr>
            <w:tcW w:w="3566" w:type="dxa"/>
            <w:noWrap w:val="0"/>
            <w:vAlign w:val="center"/>
          </w:tcPr>
          <w:p w14:paraId="024D8C54">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lang w:eastAsia="zh-CN"/>
              </w:rPr>
            </w:pPr>
            <w:r>
              <w:rPr>
                <w:rFonts w:hint="eastAsia" w:hAnsi="宋体" w:eastAsia="宋体" w:cs="宋体"/>
                <w:snapToGrid w:val="0"/>
                <w:color w:val="auto"/>
                <w:kern w:val="0"/>
                <w:sz w:val="24"/>
                <w:szCs w:val="24"/>
                <w:highlight w:val="none"/>
                <w:lang w:val="en-US" w:eastAsia="zh-CN"/>
              </w:rPr>
              <w:t>始兴县文化广电旅游体育局</w:t>
            </w:r>
          </w:p>
        </w:tc>
        <w:tc>
          <w:tcPr>
            <w:tcW w:w="4633" w:type="dxa"/>
            <w:noWrap w:val="0"/>
            <w:vAlign w:val="center"/>
          </w:tcPr>
          <w:p w14:paraId="30512324">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为本招标项目的招标人</w:t>
            </w:r>
          </w:p>
        </w:tc>
      </w:tr>
      <w:tr w14:paraId="3320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noWrap w:val="0"/>
            <w:vAlign w:val="center"/>
          </w:tcPr>
          <w:p w14:paraId="06403A4E">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w:t>
            </w:r>
          </w:p>
        </w:tc>
        <w:tc>
          <w:tcPr>
            <w:tcW w:w="3566" w:type="dxa"/>
            <w:noWrap w:val="0"/>
            <w:vAlign w:val="center"/>
          </w:tcPr>
          <w:p w14:paraId="7454E659">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hAnsi="宋体" w:eastAsia="宋体" w:cs="宋体"/>
                <w:snapToGrid w:val="0"/>
                <w:color w:val="auto"/>
                <w:kern w:val="0"/>
                <w:sz w:val="24"/>
                <w:szCs w:val="24"/>
                <w:highlight w:val="none"/>
                <w:lang w:val="en-US" w:eastAsia="zh-CN"/>
              </w:rPr>
              <w:t>中科标禾工程项目管理有限公司</w:t>
            </w:r>
          </w:p>
        </w:tc>
        <w:tc>
          <w:tcPr>
            <w:tcW w:w="4633" w:type="dxa"/>
            <w:noWrap w:val="0"/>
            <w:vAlign w:val="center"/>
          </w:tcPr>
          <w:p w14:paraId="7D9BE633">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hAnsi="宋体" w:eastAsia="宋体" w:cs="宋体"/>
                <w:color w:val="auto"/>
                <w:kern w:val="2"/>
                <w:sz w:val="24"/>
                <w:szCs w:val="24"/>
                <w:highlight w:val="none"/>
                <w:u w:val="none"/>
                <w:lang w:val="en-US" w:eastAsia="zh-CN" w:bidi="ar-SA"/>
              </w:rPr>
              <w:t>为本招标项目的项目建议书编制单位</w:t>
            </w:r>
          </w:p>
        </w:tc>
      </w:tr>
      <w:tr w14:paraId="4E77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shd w:val="clear" w:color="auto" w:fill="auto"/>
            <w:noWrap w:val="0"/>
            <w:vAlign w:val="center"/>
          </w:tcPr>
          <w:p w14:paraId="171DD977">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4</w:t>
            </w:r>
          </w:p>
        </w:tc>
        <w:tc>
          <w:tcPr>
            <w:tcW w:w="3566" w:type="dxa"/>
            <w:noWrap w:val="0"/>
            <w:vAlign w:val="center"/>
          </w:tcPr>
          <w:p w14:paraId="057A84ED">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lang w:val="en-US" w:eastAsia="zh-CN"/>
              </w:rPr>
            </w:pPr>
            <w:r>
              <w:rPr>
                <w:rFonts w:hint="eastAsia" w:hAnsi="宋体" w:eastAsia="宋体" w:cs="宋体"/>
                <w:snapToGrid w:val="0"/>
                <w:color w:val="auto"/>
                <w:kern w:val="0"/>
                <w:sz w:val="24"/>
                <w:szCs w:val="24"/>
                <w:highlight w:val="none"/>
                <w:lang w:val="en-US" w:eastAsia="zh-CN"/>
              </w:rPr>
              <w:t>中图设计有限公司</w:t>
            </w:r>
          </w:p>
        </w:tc>
        <w:tc>
          <w:tcPr>
            <w:tcW w:w="4633" w:type="dxa"/>
            <w:noWrap w:val="0"/>
            <w:vAlign w:val="center"/>
          </w:tcPr>
          <w:p w14:paraId="656B4EB2">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为本招标项目的初步设计单位</w:t>
            </w:r>
          </w:p>
        </w:tc>
      </w:tr>
      <w:tr w14:paraId="632B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shd w:val="clear" w:color="auto" w:fill="auto"/>
            <w:noWrap w:val="0"/>
            <w:vAlign w:val="center"/>
          </w:tcPr>
          <w:p w14:paraId="2E4A3406">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5</w:t>
            </w:r>
          </w:p>
        </w:tc>
        <w:tc>
          <w:tcPr>
            <w:tcW w:w="3566" w:type="dxa"/>
            <w:noWrap w:val="0"/>
            <w:vAlign w:val="center"/>
          </w:tcPr>
          <w:p w14:paraId="0FBA8E64">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待定</w:t>
            </w:r>
          </w:p>
        </w:tc>
        <w:tc>
          <w:tcPr>
            <w:tcW w:w="4633" w:type="dxa"/>
            <w:noWrap w:val="0"/>
            <w:vAlign w:val="center"/>
          </w:tcPr>
          <w:p w14:paraId="6C92A795">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2"/>
                <w:sz w:val="24"/>
                <w:szCs w:val="24"/>
                <w:highlight w:val="none"/>
                <w:u w:val="none"/>
                <w:lang w:val="en-US" w:eastAsia="zh-CN" w:bidi="ar-SA"/>
              </w:rPr>
              <w:t>为本招标项目的监理单位</w:t>
            </w:r>
          </w:p>
        </w:tc>
      </w:tr>
      <w:tr w14:paraId="548D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shd w:val="clear" w:color="auto" w:fill="auto"/>
            <w:noWrap w:val="0"/>
            <w:vAlign w:val="center"/>
          </w:tcPr>
          <w:p w14:paraId="072DF399">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6</w:t>
            </w:r>
          </w:p>
        </w:tc>
        <w:tc>
          <w:tcPr>
            <w:tcW w:w="3566" w:type="dxa"/>
            <w:noWrap w:val="0"/>
            <w:vAlign w:val="center"/>
          </w:tcPr>
          <w:p w14:paraId="584BB500">
            <w:pPr>
              <w:keepNext w:val="0"/>
              <w:keepLines w:val="0"/>
              <w:pageBreakBefore w:val="0"/>
              <w:widowControl w:val="0"/>
              <w:kinsoku/>
              <w:wordWrap w:val="0"/>
              <w:overflowPunct/>
              <w:topLinePunct w:val="0"/>
              <w:autoSpaceDE/>
              <w:autoSpaceDN/>
              <w:bidi w:val="0"/>
              <w:adjustRightInd w:val="0"/>
              <w:snapToGrid w:val="0"/>
              <w:spacing w:line="40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韶关市诚智工程管理咨询有限公司</w:t>
            </w:r>
          </w:p>
        </w:tc>
        <w:tc>
          <w:tcPr>
            <w:tcW w:w="4633" w:type="dxa"/>
            <w:noWrap w:val="0"/>
            <w:vAlign w:val="center"/>
          </w:tcPr>
          <w:p w14:paraId="3B3BD2AF">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w:t>
            </w:r>
            <w:r>
              <w:rPr>
                <w:rFonts w:hint="eastAsia" w:ascii="宋体" w:hAnsi="宋体" w:eastAsia="宋体" w:cs="宋体"/>
                <w:snapToGrid w:val="0"/>
                <w:color w:val="auto"/>
                <w:kern w:val="0"/>
                <w:sz w:val="24"/>
                <w:szCs w:val="24"/>
                <w:highlight w:val="none"/>
                <w:lang w:val="en-US" w:eastAsia="zh-CN"/>
              </w:rPr>
              <w:t>项目</w:t>
            </w:r>
            <w:r>
              <w:rPr>
                <w:rFonts w:hint="eastAsia" w:ascii="宋体" w:hAnsi="宋体" w:eastAsia="宋体" w:cs="宋体"/>
                <w:snapToGrid w:val="0"/>
                <w:color w:val="auto"/>
                <w:kern w:val="0"/>
                <w:sz w:val="24"/>
                <w:szCs w:val="24"/>
                <w:highlight w:val="none"/>
              </w:rPr>
              <w:t>的招标代理机构</w:t>
            </w:r>
          </w:p>
        </w:tc>
      </w:tr>
      <w:tr w14:paraId="03D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4" w:type="dxa"/>
            <w:noWrap w:val="0"/>
            <w:vAlign w:val="center"/>
          </w:tcPr>
          <w:p w14:paraId="4D20794C">
            <w:pPr>
              <w:keepNext w:val="0"/>
              <w:keepLines w:val="0"/>
              <w:pageBreakBefore w:val="0"/>
              <w:widowControl w:val="0"/>
              <w:kinsoku/>
              <w:overflowPunct/>
              <w:topLinePunct w:val="0"/>
              <w:autoSpaceDE/>
              <w:autoSpaceDN/>
              <w:bidi w:val="0"/>
              <w:spacing w:line="400" w:lineRule="exact"/>
              <w:ind w:left="0" w:leftChars="0"/>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7</w:t>
            </w:r>
          </w:p>
        </w:tc>
        <w:tc>
          <w:tcPr>
            <w:tcW w:w="3566" w:type="dxa"/>
            <w:noWrap w:val="0"/>
            <w:vAlign w:val="center"/>
          </w:tcPr>
          <w:p w14:paraId="7C70829D">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待定</w:t>
            </w:r>
          </w:p>
        </w:tc>
        <w:tc>
          <w:tcPr>
            <w:tcW w:w="4633" w:type="dxa"/>
            <w:noWrap w:val="0"/>
            <w:vAlign w:val="center"/>
          </w:tcPr>
          <w:p w14:paraId="3E215DAA">
            <w:pPr>
              <w:keepNext w:val="0"/>
              <w:keepLines w:val="0"/>
              <w:pageBreakBefore w:val="0"/>
              <w:widowControl w:val="0"/>
              <w:kinsoku/>
              <w:overflowPunct/>
              <w:topLinePunct w:val="0"/>
              <w:autoSpaceDE/>
              <w:autoSpaceDN/>
              <w:bidi w:val="0"/>
              <w:spacing w:line="400" w:lineRule="exact"/>
              <w:ind w:left="0" w:leftChars="0"/>
              <w:jc w:val="both"/>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为本招标项目的全过程造价咨询单位</w:t>
            </w:r>
          </w:p>
        </w:tc>
      </w:tr>
    </w:tbl>
    <w:p w14:paraId="33082437">
      <w:pPr>
        <w:pageBreakBefore w:val="0"/>
        <w:kinsoku/>
        <w:wordWrap w:val="0"/>
        <w:overflowPunct/>
        <w:topLinePunct w:val="0"/>
        <w:bidi w:val="0"/>
        <w:adjustRightInd w:val="0"/>
        <w:snapToGrid w:val="0"/>
        <w:spacing w:line="400" w:lineRule="exact"/>
        <w:ind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4.5</w:t>
      </w:r>
      <w:r>
        <w:rPr>
          <w:rFonts w:hint="eastAsia" w:ascii="宋体" w:hAnsi="宋体" w:eastAsia="宋体" w:cs="宋体"/>
          <w:snapToGrid w:val="0"/>
          <w:color w:val="auto"/>
          <w:kern w:val="0"/>
          <w:sz w:val="24"/>
          <w:szCs w:val="24"/>
          <w:highlight w:val="none"/>
        </w:rPr>
        <w:t>省外企业（包括组成联合体的所有成员单位）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若组成联合体时，包括联合体的所有成员单位)。</w:t>
      </w:r>
    </w:p>
    <w:p w14:paraId="2C52C55E">
      <w:pPr>
        <w:pStyle w:val="29"/>
        <w:keepNext/>
        <w:keepLines/>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auto"/>
          <w:kern w:val="2"/>
          <w:sz w:val="24"/>
          <w:szCs w:val="24"/>
          <w:highlight w:val="none"/>
        </w:rPr>
      </w:pPr>
      <w:bookmarkStart w:id="74" w:name="_Toc2707"/>
      <w:bookmarkStart w:id="75" w:name="_Toc18979"/>
      <w:bookmarkStart w:id="76" w:name="_Toc20378"/>
      <w:bookmarkStart w:id="77" w:name="_Toc3588"/>
      <w:bookmarkStart w:id="78" w:name="_Toc3094"/>
      <w:bookmarkStart w:id="79" w:name="_Toc19499"/>
      <w:bookmarkStart w:id="80" w:name="_Toc29466"/>
      <w:bookmarkStart w:id="81" w:name="_Toc22640"/>
      <w:bookmarkStart w:id="82" w:name="_Toc17645"/>
      <w:bookmarkStart w:id="83" w:name="_Toc24391"/>
      <w:bookmarkStart w:id="84" w:name="_Toc27650"/>
      <w:bookmarkStart w:id="85" w:name="_Toc8294"/>
      <w:r>
        <w:rPr>
          <w:rFonts w:hint="eastAsia" w:ascii="宋体" w:hAnsi="宋体" w:eastAsia="宋体" w:cs="宋体"/>
          <w:b/>
          <w:color w:val="auto"/>
          <w:kern w:val="2"/>
          <w:sz w:val="24"/>
          <w:szCs w:val="24"/>
          <w:highlight w:val="none"/>
        </w:rPr>
        <w:t>5 、工程招标内容及要求</w:t>
      </w:r>
      <w:bookmarkEnd w:id="74"/>
      <w:bookmarkEnd w:id="75"/>
      <w:bookmarkEnd w:id="76"/>
      <w:bookmarkEnd w:id="77"/>
      <w:bookmarkEnd w:id="78"/>
      <w:bookmarkEnd w:id="79"/>
      <w:bookmarkEnd w:id="80"/>
      <w:bookmarkEnd w:id="81"/>
      <w:bookmarkEnd w:id="82"/>
      <w:bookmarkEnd w:id="83"/>
      <w:bookmarkEnd w:id="84"/>
      <w:bookmarkEnd w:id="85"/>
    </w:p>
    <w:p w14:paraId="09FEE97F">
      <w:pPr>
        <w:pStyle w:val="36"/>
        <w:pageBreakBefore w:val="0"/>
        <w:widowControl/>
        <w:kinsoku/>
        <w:overflowPunct/>
        <w:topLinePunct w:val="0"/>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设计阶段包括所有相关报建、报批、施工图设计、及施工配合、后续设计服务工作等；</w:t>
      </w:r>
    </w:p>
    <w:p w14:paraId="170FB515">
      <w:pPr>
        <w:pStyle w:val="36"/>
        <w:pageBreakBefore w:val="0"/>
        <w:widowControl/>
        <w:kinsoku/>
        <w:overflowPunct/>
        <w:topLinePunct w:val="0"/>
        <w:bidi w:val="0"/>
        <w:spacing w:line="400" w:lineRule="exact"/>
        <w:ind w:firstLine="480" w:firstLineChars="200"/>
        <w:jc w:val="left"/>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highlight w:val="none"/>
        </w:rPr>
        <w:t>施工包括施工图设计文件及工程量清单范围内的所有工程及配套设施等的施工及配合阶段验收、档案整理、保修期维护等总承包范围工作。</w:t>
      </w:r>
    </w:p>
    <w:p w14:paraId="1B9BD1E2">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5.1本次设计工程的内容及要求：</w:t>
      </w:r>
    </w:p>
    <w:p w14:paraId="5B139438">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5.5.1</w:t>
      </w:r>
      <w:r>
        <w:rPr>
          <w:rFonts w:hint="eastAsia" w:ascii="宋体" w:hAnsi="宋体" w:eastAsia="宋体" w:cs="宋体"/>
          <w:snapToGrid w:val="0"/>
          <w:color w:val="auto"/>
          <w:kern w:val="0"/>
          <w:sz w:val="24"/>
          <w:szCs w:val="24"/>
          <w:highlight w:val="none"/>
        </w:rPr>
        <w:t>本次设计工程的内容及要求：</w:t>
      </w:r>
    </w:p>
    <w:p w14:paraId="0D523ED6">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5.1.1.1</w:t>
      </w:r>
      <w:r>
        <w:rPr>
          <w:rFonts w:hint="eastAsia" w:ascii="宋体" w:hAnsi="宋体" w:eastAsia="宋体" w:cs="宋体"/>
          <w:color w:val="auto"/>
          <w:sz w:val="24"/>
          <w:szCs w:val="24"/>
          <w:highlight w:val="none"/>
        </w:rPr>
        <w:t>确保项目顺利实施的规划、报建、施工等所需的所有建安工程等设计文件。包括：施工图设计、工地现场服务、验收过程中的设计指导及配合阶段验收及档案整理、协助施工单位编制竣工图及后续设计服务工作。</w:t>
      </w:r>
    </w:p>
    <w:p w14:paraId="06DC6019">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5.1.1.2</w:t>
      </w:r>
      <w:r>
        <w:rPr>
          <w:rFonts w:hint="eastAsia" w:ascii="宋体" w:hAnsi="宋体" w:eastAsia="宋体" w:cs="宋体"/>
          <w:color w:val="auto"/>
          <w:sz w:val="24"/>
          <w:szCs w:val="24"/>
          <w:highlight w:val="none"/>
        </w:rPr>
        <w:t>本工程各个阶段的设计成果必须经招标人及有关审批部门同意后方可进行下一工序的设计工作，若招标人或有关审批部门在审批过程中提出的设计修改或变更，中标人必须无条件进行修改或变更，招标人不再支付由此而增加的设计费用。本工程施工图设计必须先经招标人确认才能送审，并经招标人委托的有资质的审图机构审查合格。若招标人或审图机构在审查过程中提出的设计修改或变更，中标人必须无条件进行修改或优化设计，招标人不再支付由此而增加的设计费用。</w:t>
      </w:r>
    </w:p>
    <w:p w14:paraId="7B045540">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5.1.1.3</w:t>
      </w:r>
      <w:r>
        <w:rPr>
          <w:rFonts w:hint="eastAsia" w:ascii="宋体" w:hAnsi="宋体" w:eastAsia="宋体" w:cs="宋体"/>
          <w:color w:val="auto"/>
          <w:sz w:val="24"/>
          <w:szCs w:val="24"/>
          <w:highlight w:val="none"/>
        </w:rPr>
        <w:t>本工程设计要求的质量标准：符合现行的国家及地方的有关设计规范等，且必须通过有关部门的审查及经有资质的审图机构审查合格。</w:t>
      </w:r>
    </w:p>
    <w:p w14:paraId="05CECD30">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5.2</w:t>
      </w:r>
      <w:r>
        <w:rPr>
          <w:rFonts w:hint="eastAsia" w:ascii="宋体" w:hAnsi="宋体" w:eastAsia="宋体" w:cs="宋体"/>
          <w:color w:val="auto"/>
          <w:sz w:val="24"/>
          <w:szCs w:val="24"/>
          <w:highlight w:val="none"/>
        </w:rPr>
        <w:t>设计承包内容：中标人按合同约定、招标文件内容要求、法律法规及国家强制性标准要求提供完整的设计文件及建设期间的服务等内容。</w:t>
      </w:r>
    </w:p>
    <w:p w14:paraId="63A2A158">
      <w:pPr>
        <w:pStyle w:val="36"/>
        <w:pageBreakBefore w:val="0"/>
        <w:widowControl/>
        <w:kinsoku/>
        <w:overflowPunct/>
        <w:topLinePunct w:val="0"/>
        <w:bidi w:val="0"/>
        <w:spacing w:line="40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施工图设计文件12套。提供的所有资料均含电子版（含CAD及PDF文件格式）。</w:t>
      </w:r>
    </w:p>
    <w:p w14:paraId="41B79CA2">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5.3</w:t>
      </w:r>
      <w:r>
        <w:rPr>
          <w:rFonts w:hint="eastAsia" w:ascii="宋体" w:hAnsi="宋体" w:eastAsia="宋体" w:cs="宋体"/>
          <w:color w:val="auto"/>
          <w:sz w:val="24"/>
          <w:szCs w:val="24"/>
          <w:highlight w:val="none"/>
        </w:rPr>
        <w:t xml:space="preserve"> 施工期间若遇到工程变更、突发事件或不可预见的事件等情况，中标人接到建设单位或监理单位通知后应当立即到达施工现场，研究并及时处理问题。</w:t>
      </w:r>
    </w:p>
    <w:p w14:paraId="46A7CA43">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5.5关于设计深度的要求</w:t>
      </w:r>
    </w:p>
    <w:p w14:paraId="58279A08">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5.5.1</w:t>
      </w:r>
      <w:r>
        <w:rPr>
          <w:rFonts w:hint="eastAsia" w:ascii="宋体" w:hAnsi="宋体" w:eastAsia="宋体" w:cs="宋体"/>
          <w:color w:val="auto"/>
          <w:sz w:val="24"/>
          <w:szCs w:val="24"/>
          <w:highlight w:val="none"/>
        </w:rPr>
        <w:t>按现行的设计文件深度规定等有关技术标准、设计规范（标准）要求。</w:t>
      </w:r>
    </w:p>
    <w:p w14:paraId="399C1C5E">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5.5.2</w:t>
      </w:r>
      <w:r>
        <w:rPr>
          <w:rFonts w:hint="eastAsia" w:ascii="宋体" w:hAnsi="宋体" w:eastAsia="宋体" w:cs="宋体"/>
          <w:color w:val="auto"/>
          <w:sz w:val="24"/>
          <w:szCs w:val="24"/>
          <w:highlight w:val="none"/>
        </w:rPr>
        <w:t>各专业设计应同步进行，中标人应指定总体中标人统筹布局，做好各项设施的协调和衔接、位置预留，不得留待施工中临时变更。</w:t>
      </w:r>
    </w:p>
    <w:p w14:paraId="50983165">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5.5.3</w:t>
      </w:r>
      <w:r>
        <w:rPr>
          <w:rFonts w:hint="eastAsia" w:ascii="宋体" w:hAnsi="宋体" w:eastAsia="宋体" w:cs="宋体"/>
          <w:color w:val="auto"/>
          <w:sz w:val="24"/>
          <w:szCs w:val="24"/>
          <w:highlight w:val="none"/>
        </w:rPr>
        <w:t>对技术复杂或造价、规模较大的主要分项工程应作方案比较。</w:t>
      </w:r>
    </w:p>
    <w:p w14:paraId="27E8BA6D">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5.5.4</w:t>
      </w:r>
      <w:r>
        <w:rPr>
          <w:rFonts w:hint="eastAsia" w:ascii="宋体" w:hAnsi="宋体" w:eastAsia="宋体" w:cs="宋体"/>
          <w:color w:val="auto"/>
          <w:sz w:val="24"/>
          <w:szCs w:val="24"/>
          <w:highlight w:val="none"/>
        </w:rPr>
        <w:t>施工图设计文件的深度，应当满足设备材料采购，非标准设备制作和施工的需要，并注明建设工程合理使用年限。</w:t>
      </w:r>
    </w:p>
    <w:p w14:paraId="28B48C5C">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5.5.5</w:t>
      </w:r>
      <w:r>
        <w:rPr>
          <w:rFonts w:hint="eastAsia" w:ascii="宋体" w:hAnsi="宋体" w:eastAsia="宋体" w:cs="宋体"/>
          <w:color w:val="auto"/>
          <w:sz w:val="24"/>
          <w:szCs w:val="24"/>
          <w:highlight w:val="none"/>
        </w:rPr>
        <w:t>相关的配套外部接口方案均需取得政府主管部门或规划部门认可。</w:t>
      </w:r>
    </w:p>
    <w:p w14:paraId="6B757754">
      <w:pPr>
        <w:pStyle w:val="36"/>
        <w:pageBreakBefore w:val="0"/>
        <w:widowControl/>
        <w:kinsoku/>
        <w:overflowPunct/>
        <w:topLinePunct w:val="0"/>
        <w:bidi w:val="0"/>
        <w:spacing w:line="400" w:lineRule="exact"/>
        <w:ind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5.5.6</w:t>
      </w:r>
      <w:r>
        <w:rPr>
          <w:rFonts w:hint="eastAsia" w:ascii="宋体" w:hAnsi="宋体" w:eastAsia="宋体" w:cs="宋体"/>
          <w:color w:val="auto"/>
          <w:sz w:val="24"/>
          <w:szCs w:val="24"/>
          <w:highlight w:val="none"/>
        </w:rPr>
        <w:t>施工图设计文件应考虑交通维护、临时施工便道、危大工程、对周边建筑物的影响等因素，并提供相应的设计方案及计算书（可另册装订），以指导现场施工及过程评审。</w:t>
      </w:r>
    </w:p>
    <w:p w14:paraId="24AB5760">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5.6</w:t>
      </w:r>
      <w:r>
        <w:rPr>
          <w:rFonts w:hint="eastAsia" w:ascii="宋体" w:hAnsi="宋体" w:eastAsia="宋体" w:cs="宋体"/>
          <w:b/>
          <w:bCs/>
          <w:color w:val="auto"/>
          <w:kern w:val="0"/>
          <w:sz w:val="24"/>
          <w:szCs w:val="24"/>
          <w:highlight w:val="none"/>
        </w:rPr>
        <w:t>．</w:t>
      </w:r>
      <w:r>
        <w:rPr>
          <w:rFonts w:hint="eastAsia" w:ascii="宋体" w:hAnsi="宋体" w:eastAsia="宋体" w:cs="宋体"/>
          <w:snapToGrid w:val="0"/>
          <w:color w:val="auto"/>
          <w:kern w:val="0"/>
          <w:sz w:val="24"/>
          <w:szCs w:val="24"/>
          <w:highlight w:val="none"/>
        </w:rPr>
        <w:t>设计后期配合施工工作</w:t>
      </w:r>
    </w:p>
    <w:p w14:paraId="25EFA2C7">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5.6.1</w:t>
      </w:r>
      <w:r>
        <w:rPr>
          <w:rFonts w:hint="eastAsia" w:ascii="宋体" w:hAnsi="宋体" w:eastAsia="宋体" w:cs="宋体"/>
          <w:b/>
          <w:bCs/>
          <w:color w:val="auto"/>
          <w:kern w:val="0"/>
          <w:sz w:val="24"/>
          <w:szCs w:val="24"/>
          <w:highlight w:val="none"/>
        </w:rPr>
        <w:t>．</w:t>
      </w:r>
      <w:r>
        <w:rPr>
          <w:rFonts w:hint="eastAsia" w:ascii="宋体" w:hAnsi="宋体" w:eastAsia="宋体" w:cs="宋体"/>
          <w:snapToGrid w:val="0"/>
          <w:color w:val="auto"/>
          <w:kern w:val="0"/>
          <w:sz w:val="24"/>
          <w:szCs w:val="24"/>
          <w:highlight w:val="none"/>
        </w:rPr>
        <w:t>施工图设计完成并经有关单位审查后，才能进入施工阶段，设计单位必须按投标文件的承诺至少派1名参与并熟悉本项目设计、有现场处理经验的设计代表驻现场以配合，建设管理单位不另外支付配合施工费用。</w:t>
      </w:r>
    </w:p>
    <w:p w14:paraId="418658EF">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w:t>
      </w:r>
      <w:r>
        <w:rPr>
          <w:rFonts w:hint="eastAsia" w:ascii="宋体" w:hAnsi="宋体" w:eastAsia="宋体" w:cs="宋体"/>
          <w:snapToGrid w:val="0"/>
          <w:color w:val="auto"/>
          <w:kern w:val="0"/>
          <w:sz w:val="24"/>
          <w:szCs w:val="24"/>
          <w:highlight w:val="none"/>
        </w:rPr>
        <w:t>限额设计要求：</w:t>
      </w:r>
    </w:p>
    <w:p w14:paraId="371AE85C">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5.7.1</w:t>
      </w:r>
      <w:r>
        <w:rPr>
          <w:rFonts w:hint="eastAsia" w:ascii="宋体" w:hAnsi="宋体" w:eastAsia="宋体" w:cs="宋体"/>
          <w:snapToGrid w:val="0"/>
          <w:color w:val="auto"/>
          <w:kern w:val="0"/>
          <w:sz w:val="24"/>
          <w:szCs w:val="24"/>
          <w:highlight w:val="none"/>
        </w:rPr>
        <w:t>施工图预算中的建安工程费预算价不得超过经发改部门审定的概算建安工程费</w:t>
      </w:r>
      <w:r>
        <w:rPr>
          <w:rFonts w:hint="eastAsia" w:ascii="宋体" w:hAnsi="宋体" w:eastAsia="宋体" w:cs="宋体"/>
          <w:color w:val="auto"/>
          <w:sz w:val="24"/>
          <w:szCs w:val="24"/>
          <w:highlight w:val="none"/>
        </w:rPr>
        <w:t>且不得超过建安工程费的中标价</w:t>
      </w:r>
      <w:r>
        <w:rPr>
          <w:rFonts w:hint="eastAsia" w:ascii="宋体" w:hAnsi="宋体" w:eastAsia="宋体" w:cs="宋体"/>
          <w:snapToGrid w:val="0"/>
          <w:color w:val="auto"/>
          <w:kern w:val="0"/>
          <w:sz w:val="24"/>
          <w:szCs w:val="24"/>
          <w:highlight w:val="none"/>
        </w:rPr>
        <w:t>。</w:t>
      </w:r>
    </w:p>
    <w:p w14:paraId="3510BB34">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5.7.2</w:t>
      </w:r>
      <w:r>
        <w:rPr>
          <w:rFonts w:hint="eastAsia" w:ascii="宋体" w:hAnsi="宋体" w:eastAsia="宋体" w:cs="宋体"/>
          <w:snapToGrid w:val="0"/>
          <w:color w:val="auto"/>
          <w:kern w:val="0"/>
          <w:sz w:val="24"/>
          <w:szCs w:val="24"/>
          <w:highlight w:val="none"/>
        </w:rPr>
        <w:t>若造价咨询单位按施工图编制或审核的建安工程费高于5.7.1条规定时，中标人必须无条件对施工图进行修改，直至满足限额设计要求，</w:t>
      </w:r>
      <w:r>
        <w:rPr>
          <w:rFonts w:hint="eastAsia" w:ascii="宋体" w:hAnsi="宋体" w:eastAsia="宋体" w:cs="宋体"/>
          <w:color w:val="auto"/>
          <w:sz w:val="24"/>
          <w:szCs w:val="24"/>
          <w:highlight w:val="none"/>
        </w:rPr>
        <w:t>不另行增加设计费</w:t>
      </w:r>
      <w:r>
        <w:rPr>
          <w:rFonts w:hint="eastAsia" w:ascii="宋体" w:hAnsi="宋体" w:eastAsia="宋体" w:cs="宋体"/>
          <w:snapToGrid w:val="0"/>
          <w:color w:val="auto"/>
          <w:kern w:val="0"/>
          <w:sz w:val="24"/>
          <w:szCs w:val="24"/>
          <w:highlight w:val="none"/>
        </w:rPr>
        <w:t>。由此造成造价咨询单位重复编制或审核施工图预算的费用由中标人承担，结算时在设计费中扣除。</w:t>
      </w:r>
    </w:p>
    <w:p w14:paraId="3B113B11">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5.7.3</w:t>
      </w:r>
      <w:r>
        <w:rPr>
          <w:rFonts w:hint="eastAsia" w:ascii="宋体" w:hAnsi="宋体" w:eastAsia="宋体" w:cs="宋体"/>
          <w:snapToGrid w:val="0"/>
          <w:color w:val="auto"/>
          <w:kern w:val="0"/>
          <w:sz w:val="24"/>
          <w:szCs w:val="24"/>
          <w:highlight w:val="none"/>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w:t>
      </w:r>
    </w:p>
    <w:p w14:paraId="22531BDA">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5.8</w:t>
      </w:r>
      <w:r>
        <w:rPr>
          <w:rFonts w:hint="eastAsia" w:ascii="宋体" w:hAnsi="宋体" w:eastAsia="宋体" w:cs="宋体"/>
          <w:snapToGrid w:val="0"/>
          <w:color w:val="auto"/>
          <w:kern w:val="0"/>
          <w:sz w:val="24"/>
          <w:szCs w:val="24"/>
          <w:highlight w:val="none"/>
        </w:rPr>
        <w:t>设计时需要考虑与周边环境相结合。</w:t>
      </w:r>
    </w:p>
    <w:p w14:paraId="1C73F06F">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5.9</w:t>
      </w:r>
      <w:r>
        <w:rPr>
          <w:rFonts w:hint="eastAsia" w:ascii="宋体" w:hAnsi="宋体" w:eastAsia="宋体" w:cs="宋体"/>
          <w:snapToGrid w:val="0"/>
          <w:color w:val="auto"/>
          <w:kern w:val="0"/>
          <w:sz w:val="24"/>
          <w:szCs w:val="24"/>
          <w:highlight w:val="none"/>
        </w:rPr>
        <w:t>凡参加本次招标的投标人被视为已充分认识和理解了任何与本工程有关的影响事项和困难等情况。</w:t>
      </w:r>
    </w:p>
    <w:p w14:paraId="28EDF66F">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5.10</w:t>
      </w:r>
      <w:r>
        <w:rPr>
          <w:rFonts w:hint="eastAsia" w:ascii="宋体" w:hAnsi="宋体" w:eastAsia="宋体" w:cs="宋体"/>
          <w:snapToGrid w:val="0"/>
          <w:color w:val="auto"/>
          <w:kern w:val="0"/>
          <w:sz w:val="24"/>
          <w:szCs w:val="24"/>
          <w:highlight w:val="none"/>
        </w:rPr>
        <w:t>工程技术要求：本工程须严格以国家和广东省的有关施工技术规范及现行标准为依据</w:t>
      </w:r>
      <w:bookmarkStart w:id="86" w:name="_Hlt74496021"/>
      <w:bookmarkEnd w:id="86"/>
      <w:r>
        <w:rPr>
          <w:rFonts w:hint="eastAsia" w:ascii="宋体" w:hAnsi="宋体" w:eastAsia="宋体" w:cs="宋体"/>
          <w:snapToGrid w:val="0"/>
          <w:color w:val="auto"/>
          <w:kern w:val="0"/>
          <w:sz w:val="24"/>
          <w:szCs w:val="24"/>
          <w:highlight w:val="none"/>
        </w:rPr>
        <w:t>，工程必须达到合格标准，如工程未达到合格标准，中标人则按合同价款的1%向招标人缴纳质量违约金，返修费用由中标人承担，同时，招标人有权就因此造成的损失向中标人索赔。招标人有权提请建设行政主管部门对其作不良行为记录，有权给予中标人履约评价为不合格，同时招标人有权拒绝中标人3年内参加招标人其它工程的投标。</w:t>
      </w:r>
    </w:p>
    <w:p w14:paraId="0A2AB5F7">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5.11</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中标人在施工中如果工程质量不符合设计要求和有关规定，招标人或监理单位要求停工和返工的必须立即执行，并由中标人承担由此产生的各种费用，工期不予顺延。</w:t>
      </w:r>
    </w:p>
    <w:p w14:paraId="4DD0A41F">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5.12 </w:t>
      </w:r>
      <w:r>
        <w:rPr>
          <w:rFonts w:hint="eastAsia" w:ascii="宋体" w:hAnsi="宋体" w:eastAsia="宋体" w:cs="宋体"/>
          <w:snapToGrid w:val="0"/>
          <w:color w:val="auto"/>
          <w:kern w:val="0"/>
          <w:sz w:val="24"/>
          <w:szCs w:val="24"/>
          <w:highlight w:val="none"/>
        </w:rPr>
        <w:t>保修期限按中华人民共和国国务院令第279号文《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631EB73">
      <w:pPr>
        <w:pageBreakBefore w:val="0"/>
        <w:kinsoku/>
        <w:overflowPunct/>
        <w:topLinePunct w:val="0"/>
        <w:bidi w:val="0"/>
        <w:adjustRightInd w:val="0"/>
        <w:snapToGrid w:val="0"/>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 xml:space="preserve">5.13 </w:t>
      </w:r>
      <w:r>
        <w:rPr>
          <w:rFonts w:hint="eastAsia" w:ascii="宋体" w:hAnsi="宋体" w:eastAsia="宋体" w:cs="宋体"/>
          <w:snapToGrid w:val="0"/>
          <w:color w:val="auto"/>
          <w:kern w:val="0"/>
          <w:sz w:val="24"/>
          <w:szCs w:val="24"/>
          <w:highlight w:val="none"/>
        </w:rPr>
        <w:t>工程使用的主要材料质量要求：不低于国家规范及强制标准所列的要求。主要材料必须先提供样板或相关资料给招标人、业主同意确定其规格、型号、颜色、等级等，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bookmarkStart w:id="87" w:name="_Hlt74496537"/>
      <w:bookmarkEnd w:id="87"/>
      <w:bookmarkStart w:id="88" w:name="_Hlt121563076"/>
      <w:bookmarkEnd w:id="88"/>
      <w:bookmarkStart w:id="89" w:name="_Hlt69699204"/>
      <w:bookmarkEnd w:id="89"/>
      <w:bookmarkStart w:id="90" w:name="_Hlt88974078"/>
      <w:bookmarkEnd w:id="90"/>
      <w:bookmarkStart w:id="91" w:name="_Hlt74493474"/>
      <w:bookmarkEnd w:id="91"/>
      <w:bookmarkStart w:id="92" w:name="_Hlt111690342"/>
      <w:bookmarkEnd w:id="92"/>
      <w:bookmarkStart w:id="93" w:name="_Hlt69356505"/>
      <w:bookmarkEnd w:id="93"/>
      <w:bookmarkStart w:id="94" w:name="_Hlt120502666"/>
      <w:bookmarkEnd w:id="94"/>
    </w:p>
    <w:p w14:paraId="682BC33B">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auto"/>
          <w:kern w:val="2"/>
          <w:sz w:val="24"/>
          <w:szCs w:val="24"/>
          <w:highlight w:val="none"/>
        </w:rPr>
      </w:pPr>
      <w:bookmarkStart w:id="95" w:name="_Toc12891"/>
      <w:bookmarkStart w:id="96" w:name="_Toc3193"/>
      <w:bookmarkStart w:id="97" w:name="_Toc11921"/>
      <w:bookmarkStart w:id="98" w:name="_Toc17958"/>
      <w:bookmarkStart w:id="99" w:name="_Toc10805"/>
      <w:bookmarkStart w:id="100" w:name="_Toc10812"/>
      <w:bookmarkStart w:id="101" w:name="_Toc19911"/>
      <w:bookmarkStart w:id="102" w:name="_Toc24793"/>
      <w:bookmarkStart w:id="103" w:name="_Toc2562"/>
      <w:bookmarkStart w:id="104" w:name="_Toc20827"/>
      <w:bookmarkStart w:id="105" w:name="_Toc16432"/>
      <w:bookmarkStart w:id="106" w:name="_Toc10410"/>
      <w:r>
        <w:rPr>
          <w:rFonts w:hint="eastAsia" w:ascii="宋体" w:hAnsi="宋体" w:eastAsia="宋体" w:cs="宋体"/>
          <w:b/>
          <w:color w:val="auto"/>
          <w:kern w:val="2"/>
          <w:sz w:val="24"/>
          <w:szCs w:val="24"/>
          <w:highlight w:val="none"/>
        </w:rPr>
        <w:t>6 、招标工程施工条件及现场踏勘</w:t>
      </w:r>
      <w:bookmarkEnd w:id="95"/>
      <w:bookmarkEnd w:id="96"/>
      <w:bookmarkEnd w:id="97"/>
      <w:bookmarkEnd w:id="98"/>
      <w:bookmarkEnd w:id="99"/>
      <w:bookmarkEnd w:id="100"/>
      <w:bookmarkEnd w:id="101"/>
      <w:bookmarkEnd w:id="102"/>
      <w:bookmarkEnd w:id="103"/>
      <w:bookmarkEnd w:id="104"/>
      <w:bookmarkEnd w:id="105"/>
      <w:bookmarkEnd w:id="106"/>
    </w:p>
    <w:p w14:paraId="66090643">
      <w:pPr>
        <w:pStyle w:val="37"/>
        <w:pageBreakBefore w:val="0"/>
        <w:kinsoku/>
        <w:overflowPunct/>
        <w:topLinePunct w:val="0"/>
        <w:bidi w:val="0"/>
        <w:spacing w:line="40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6.1本工程招标人仅在征地红线范围内提供场地，其他一切场地费用由中标人自行负责（含临时道路）。</w:t>
      </w:r>
    </w:p>
    <w:p w14:paraId="464677CE">
      <w:pPr>
        <w:pageBreakBefore w:val="0"/>
        <w:kinsoku/>
        <w:wordWrap w:val="0"/>
        <w:overflowPunct/>
        <w:topLinePunct w:val="0"/>
        <w:bidi w:val="0"/>
        <w:adjustRightInd w:val="0"/>
        <w:snapToGrid w:val="0"/>
        <w:spacing w:line="400" w:lineRule="exact"/>
        <w:ind w:firstLine="360" w:firstLineChars="15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highlight w:val="none"/>
        </w:rPr>
        <w:t xml:space="preserve"> 6.2 施工用水：</w:t>
      </w:r>
      <w:r>
        <w:rPr>
          <w:rFonts w:hint="eastAsia" w:ascii="宋体" w:hAnsi="宋体" w:eastAsia="宋体" w:cs="宋体"/>
          <w:color w:val="auto"/>
          <w:sz w:val="24"/>
          <w:szCs w:val="24"/>
          <w:highlight w:val="none"/>
          <w:u w:val="single"/>
        </w:rPr>
        <w:t>招标人协调，</w:t>
      </w:r>
      <w:r>
        <w:rPr>
          <w:rFonts w:hint="eastAsia" w:ascii="宋体" w:hAnsi="宋体" w:eastAsia="宋体" w:cs="宋体"/>
          <w:snapToGrid w:val="0"/>
          <w:color w:val="auto"/>
          <w:kern w:val="0"/>
          <w:sz w:val="24"/>
          <w:szCs w:val="24"/>
          <w:highlight w:val="none"/>
          <w:u w:val="single"/>
        </w:rPr>
        <w:t>施工用水及水源由中标人自行解决，费用含在投标报价中，不另计</w:t>
      </w:r>
      <w:r>
        <w:rPr>
          <w:rFonts w:hint="eastAsia" w:ascii="宋体" w:hAnsi="宋体" w:eastAsia="宋体" w:cs="宋体"/>
          <w:color w:val="auto"/>
          <w:kern w:val="0"/>
          <w:sz w:val="24"/>
          <w:szCs w:val="24"/>
          <w:highlight w:val="none"/>
          <w:u w:val="single"/>
        </w:rPr>
        <w:t>。</w:t>
      </w:r>
    </w:p>
    <w:p w14:paraId="01A9BE83">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highlight w:val="none"/>
        </w:rPr>
        <w:t>6.3 施工用电：</w:t>
      </w:r>
      <w:r>
        <w:rPr>
          <w:rFonts w:hint="eastAsia" w:ascii="宋体" w:hAnsi="宋体" w:eastAsia="宋体" w:cs="宋体"/>
          <w:color w:val="auto"/>
          <w:sz w:val="24"/>
          <w:szCs w:val="24"/>
          <w:highlight w:val="none"/>
          <w:u w:val="single"/>
        </w:rPr>
        <w:t>招标人协调，</w:t>
      </w:r>
      <w:r>
        <w:rPr>
          <w:rFonts w:hint="eastAsia" w:ascii="宋体" w:hAnsi="宋体" w:eastAsia="宋体" w:cs="宋体"/>
          <w:snapToGrid w:val="0"/>
          <w:color w:val="auto"/>
          <w:kern w:val="0"/>
          <w:sz w:val="24"/>
          <w:szCs w:val="24"/>
          <w:highlight w:val="none"/>
          <w:u w:val="single"/>
        </w:rPr>
        <w:t>施工用电及电源由中标人自行解决，费用含在投标报价中，不另计</w:t>
      </w:r>
      <w:r>
        <w:rPr>
          <w:rFonts w:hint="eastAsia" w:ascii="宋体" w:hAnsi="宋体" w:eastAsia="宋体" w:cs="宋体"/>
          <w:color w:val="auto"/>
          <w:kern w:val="0"/>
          <w:sz w:val="24"/>
          <w:szCs w:val="24"/>
          <w:highlight w:val="none"/>
          <w:u w:val="single"/>
        </w:rPr>
        <w:t>。</w:t>
      </w:r>
    </w:p>
    <w:p w14:paraId="40CEFA9D">
      <w:pPr>
        <w:pStyle w:val="27"/>
        <w:pageBreakBefore w:val="0"/>
        <w:kinsoku/>
        <w:overflowPunct/>
        <w:topLinePunct w:val="0"/>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6.4施工用水、用电由中标人负责报装并接入施工红线范围，并由中标人负责购置及安装满足施工所需的临时用电变压器、水表、电表，其水、电费按工程所在地</w:t>
      </w:r>
      <w:r>
        <w:rPr>
          <w:rFonts w:hint="eastAsia" w:ascii="宋体" w:hAnsi="宋体" w:eastAsia="宋体" w:cs="宋体"/>
          <w:color w:val="auto"/>
          <w:sz w:val="24"/>
          <w:szCs w:val="24"/>
          <w:highlight w:val="none"/>
          <w:u w:val="single"/>
          <w:lang w:val="en-US" w:eastAsia="zh-CN"/>
        </w:rPr>
        <w:t>始兴县</w:t>
      </w:r>
      <w:r>
        <w:rPr>
          <w:rFonts w:hint="eastAsia" w:ascii="宋体" w:hAnsi="宋体" w:eastAsia="宋体" w:cs="宋体"/>
          <w:color w:val="auto"/>
          <w:sz w:val="24"/>
          <w:szCs w:val="24"/>
          <w:highlight w:val="none"/>
        </w:rPr>
        <w:t>基建工程水、电计费标准计算并由中标人缴纳，相关线路、管路费用及安装费用以及购置及安装临时用电变压器的费用由中标人自行承担。</w:t>
      </w:r>
    </w:p>
    <w:p w14:paraId="55A7B82A">
      <w:pPr>
        <w:pStyle w:val="27"/>
        <w:pageBreakBefore w:val="0"/>
        <w:kinsoku/>
        <w:overflowPunct/>
        <w:topLinePunct w:val="0"/>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6.5招标人不集中现场踏勘，但会在招标文件及有关设计文件中明确告知招标工程的具体位置和周边环境，并在现场设置足以识别的标识或提供足以表明工程具体位置的文字或图片。投标人需要了解现场情况的，可自行进行现场踏勘。</w:t>
      </w:r>
    </w:p>
    <w:p w14:paraId="1028F019">
      <w:pPr>
        <w:pStyle w:val="27"/>
        <w:pageBreakBefore w:val="0"/>
        <w:kinsoku/>
        <w:overflowPunct/>
        <w:topLinePunct w:val="0"/>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6.6在现场踏勘过程中，投标人应确保自身安全，投标人如果发生人身伤亡、财物或其他损失，法律法规有规定的按有关规定处理，没有规定的由投标人自行负责。</w:t>
      </w:r>
    </w:p>
    <w:p w14:paraId="38239EEC">
      <w:pPr>
        <w:pStyle w:val="27"/>
        <w:pageBreakBefore w:val="0"/>
        <w:kinsoku/>
        <w:overflowPunct/>
        <w:topLinePunct w:val="0"/>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6.7现场踏勘期间的交通、食宿由投标人自行安排，费用自理。</w:t>
      </w:r>
    </w:p>
    <w:p w14:paraId="73E3869C">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bCs/>
          <w:color w:val="auto"/>
          <w:sz w:val="24"/>
          <w:szCs w:val="24"/>
          <w:highlight w:val="none"/>
        </w:rPr>
      </w:pPr>
      <w:bookmarkStart w:id="107" w:name="_Toc8518"/>
      <w:bookmarkStart w:id="108" w:name="_Toc13863"/>
      <w:bookmarkStart w:id="109" w:name="_Toc12999"/>
      <w:bookmarkStart w:id="110" w:name="_Toc22484"/>
      <w:bookmarkStart w:id="111" w:name="_Toc23962"/>
      <w:bookmarkStart w:id="112" w:name="_Toc5795"/>
      <w:bookmarkStart w:id="113" w:name="_Toc25942"/>
      <w:bookmarkStart w:id="114" w:name="_Toc31594"/>
      <w:bookmarkStart w:id="115" w:name="_Toc23555"/>
      <w:bookmarkStart w:id="116" w:name="_Toc27595"/>
      <w:bookmarkStart w:id="117" w:name="_Toc17548"/>
      <w:bookmarkStart w:id="118" w:name="_Toc3294"/>
      <w:r>
        <w:rPr>
          <w:rFonts w:hint="eastAsia" w:ascii="宋体" w:hAnsi="宋体" w:eastAsia="宋体" w:cs="宋体"/>
          <w:b/>
          <w:color w:val="auto"/>
          <w:kern w:val="2"/>
          <w:sz w:val="24"/>
          <w:szCs w:val="24"/>
          <w:highlight w:val="none"/>
        </w:rPr>
        <w:t xml:space="preserve">7 </w:t>
      </w:r>
      <w:bookmarkStart w:id="119" w:name="_Toc488220856"/>
      <w:bookmarkStart w:id="120" w:name="_Toc371968705"/>
      <w:r>
        <w:rPr>
          <w:rFonts w:hint="eastAsia" w:ascii="宋体" w:hAnsi="宋体" w:eastAsia="宋体" w:cs="宋体"/>
          <w:b/>
          <w:color w:val="auto"/>
          <w:kern w:val="2"/>
          <w:sz w:val="24"/>
          <w:szCs w:val="24"/>
          <w:highlight w:val="none"/>
        </w:rPr>
        <w:t>、其他招标说明</w:t>
      </w:r>
      <w:bookmarkEnd w:id="107"/>
      <w:bookmarkEnd w:id="108"/>
      <w:bookmarkEnd w:id="109"/>
      <w:bookmarkEnd w:id="110"/>
      <w:bookmarkEnd w:id="111"/>
      <w:bookmarkEnd w:id="112"/>
      <w:bookmarkEnd w:id="113"/>
      <w:bookmarkEnd w:id="114"/>
      <w:bookmarkEnd w:id="115"/>
      <w:bookmarkEnd w:id="116"/>
      <w:bookmarkEnd w:id="117"/>
      <w:bookmarkEnd w:id="118"/>
      <w:bookmarkEnd w:id="119"/>
    </w:p>
    <w:bookmarkEnd w:id="120"/>
    <w:p w14:paraId="7A30E6DF">
      <w:pPr>
        <w:pStyle w:val="4"/>
        <w:pageBreakBefore w:val="0"/>
        <w:kinsoku/>
        <w:wordWrap w:val="0"/>
        <w:overflowPunct/>
        <w:topLinePunct w:val="0"/>
        <w:autoSpaceDE/>
        <w:autoSpaceDN/>
        <w:bidi w:val="0"/>
        <w:snapToGrid w:val="0"/>
        <w:spacing w:line="400" w:lineRule="exact"/>
        <w:ind w:firstLine="480"/>
        <w:jc w:val="both"/>
        <w:textAlignment w:val="auto"/>
        <w:rPr>
          <w:rFonts w:hint="eastAsia" w:ascii="宋体" w:hAnsi="宋体" w:eastAsia="宋体" w:cs="宋体"/>
          <w:b/>
          <w:snapToGrid w:val="0"/>
          <w:color w:val="auto"/>
          <w:sz w:val="24"/>
          <w:szCs w:val="24"/>
          <w:highlight w:val="none"/>
        </w:rPr>
      </w:pPr>
      <w:bookmarkStart w:id="121" w:name="_Toc4289"/>
      <w:bookmarkStart w:id="122" w:name="_Toc10210"/>
      <w:bookmarkStart w:id="123" w:name="_Toc23837"/>
      <w:bookmarkStart w:id="124" w:name="_Toc18063"/>
      <w:bookmarkStart w:id="125" w:name="_Toc2094"/>
      <w:bookmarkStart w:id="126" w:name="_Toc28014"/>
      <w:r>
        <w:rPr>
          <w:rFonts w:hint="eastAsia" w:ascii="宋体" w:hAnsi="宋体" w:eastAsia="宋体" w:cs="宋体"/>
          <w:b/>
          <w:snapToGrid w:val="0"/>
          <w:color w:val="auto"/>
          <w:sz w:val="24"/>
          <w:szCs w:val="24"/>
          <w:highlight w:val="none"/>
        </w:rPr>
        <w:t>7.1．</w:t>
      </w:r>
      <w:r>
        <w:rPr>
          <w:rStyle w:val="24"/>
          <w:rFonts w:hint="eastAsia" w:ascii="宋体" w:hAnsi="宋体" w:eastAsia="宋体" w:cs="宋体"/>
          <w:color w:val="auto"/>
          <w:sz w:val="24"/>
          <w:szCs w:val="24"/>
          <w:highlight w:val="none"/>
          <w:shd w:val="clear" w:color="auto" w:fill="FFFFFF"/>
        </w:rPr>
        <w:t>获取招标文件</w:t>
      </w:r>
      <w:bookmarkEnd w:id="121"/>
      <w:bookmarkEnd w:id="122"/>
      <w:bookmarkEnd w:id="123"/>
      <w:bookmarkEnd w:id="124"/>
      <w:bookmarkEnd w:id="125"/>
      <w:bookmarkEnd w:id="126"/>
    </w:p>
    <w:p w14:paraId="36049DE7">
      <w:pPr>
        <w:pStyle w:val="20"/>
        <w:pageBreakBefore w:val="0"/>
        <w:widowControl w:val="0"/>
        <w:kinsoku/>
        <w:wordWrap w:val="0"/>
        <w:overflowPunct/>
        <w:topLinePunct w:val="0"/>
        <w:bidi w:val="0"/>
        <w:adjustRightInd w:val="0"/>
        <w:snapToGrid w:val="0"/>
        <w:spacing w:beforeAutospacing="0" w:afterAutospacing="0" w:line="400" w:lineRule="exact"/>
        <w:ind w:firstLine="482"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b/>
          <w:bCs/>
          <w:snapToGrid w:val="0"/>
          <w:color w:val="auto"/>
          <w:sz w:val="24"/>
          <w:szCs w:val="24"/>
          <w:highlight w:val="none"/>
        </w:rPr>
        <w:t>7.1.1</w:t>
      </w:r>
      <w:r>
        <w:rPr>
          <w:rFonts w:hint="eastAsia" w:ascii="宋体" w:hAnsi="宋体" w:eastAsia="宋体" w:cs="宋体"/>
          <w:snapToGrid w:val="0"/>
          <w:color w:val="auto"/>
          <w:sz w:val="24"/>
          <w:szCs w:val="24"/>
          <w:highlight w:val="none"/>
        </w:rPr>
        <w:t>本次招标实行电子投标。</w:t>
      </w:r>
      <w:r>
        <w:rPr>
          <w:rFonts w:hint="eastAsia" w:ascii="宋体" w:hAnsi="宋体" w:eastAsia="宋体" w:cs="宋体"/>
          <w:color w:val="auto"/>
          <w:sz w:val="24"/>
          <w:szCs w:val="24"/>
          <w:highlight w:val="none"/>
          <w:shd w:val="clear" w:color="auto" w:fill="FFFFFF"/>
        </w:rPr>
        <w:t>本项目招标文件随招标公告一并在</w:t>
      </w:r>
      <w:r>
        <w:rPr>
          <w:rFonts w:hint="eastAsia" w:ascii="宋体" w:hAnsi="宋体" w:eastAsia="宋体" w:cs="宋体"/>
          <w:bCs/>
          <w:snapToGrid w:val="0"/>
          <w:color w:val="auto"/>
          <w:sz w:val="24"/>
          <w:szCs w:val="24"/>
          <w:highlight w:val="none"/>
        </w:rPr>
        <w:t>广东省招标投标监管网(http://zbtb.gd.gov.cn)、</w:t>
      </w:r>
      <w:r>
        <w:rPr>
          <w:rFonts w:hint="eastAsia" w:ascii="宋体" w:hAnsi="宋体" w:eastAsia="宋体" w:cs="宋体"/>
          <w:color w:val="auto"/>
          <w:sz w:val="24"/>
          <w:szCs w:val="24"/>
          <w:highlight w:val="none"/>
          <w:shd w:val="clear" w:color="auto" w:fill="FFFFFF"/>
        </w:rPr>
        <w:t>全国公共资源交易平台（广东省·韶关市）（https://ygp.gdzwfw.gov.cn/ggzy-portal/#/440200/index）网站发布。招标文件一经在交易平台发布，视为发送投标人，招标文件及相关附件由投标人自行在交易平台网站下载。招标文件获取</w:t>
      </w:r>
      <w:r>
        <w:rPr>
          <w:rFonts w:hint="eastAsia" w:ascii="宋体" w:hAnsi="宋体" w:eastAsia="宋体" w:cs="宋体"/>
          <w:snapToGrid w:val="0"/>
          <w:color w:val="auto"/>
          <w:sz w:val="24"/>
          <w:szCs w:val="24"/>
          <w:highlight w:val="none"/>
        </w:rPr>
        <w:t>期间</w:t>
      </w:r>
      <w:r>
        <w:rPr>
          <w:rFonts w:hint="eastAsia" w:ascii="宋体" w:hAnsi="宋体" w:eastAsia="宋体" w:cs="宋体"/>
          <w:color w:val="auto"/>
          <w:sz w:val="24"/>
          <w:szCs w:val="24"/>
          <w:highlight w:val="none"/>
          <w:shd w:val="clear" w:color="auto" w:fill="FFFFFF"/>
        </w:rPr>
        <w:t>（</w:t>
      </w:r>
      <w:r>
        <w:rPr>
          <w:rFonts w:hint="eastAsia" w:ascii="宋体" w:hAnsi="宋体" w:eastAsia="宋体" w:cs="宋体"/>
          <w:snapToGrid w:val="0"/>
          <w:color w:val="auto"/>
          <w:sz w:val="24"/>
          <w:szCs w:val="24"/>
          <w:highlight w:val="none"/>
        </w:rPr>
        <w:t>见本章第二节“重要事项时间地点一览表”，招标文件获取期间与招标公告发布时间一致</w:t>
      </w:r>
      <w:r>
        <w:rPr>
          <w:rFonts w:hint="eastAsia" w:ascii="宋体" w:hAnsi="宋体" w:eastAsia="宋体" w:cs="宋体"/>
          <w:color w:val="auto"/>
          <w:sz w:val="24"/>
          <w:szCs w:val="24"/>
          <w:highlight w:val="none"/>
          <w:shd w:val="clear" w:color="auto" w:fill="FFFFFF"/>
        </w:rPr>
        <w:t>），投标人须登录全国公共资源交易平台（广东省·韶关市）（https://ygp.gdzwfw.gov.cn/ggzy-portal/#/440200/index）</w:t>
      </w:r>
      <w:r>
        <w:rPr>
          <w:rFonts w:hint="eastAsia" w:ascii="宋体" w:hAnsi="宋体" w:eastAsia="宋体" w:cs="宋体"/>
          <w:snapToGrid w:val="0"/>
          <w:color w:val="auto"/>
          <w:sz w:val="24"/>
          <w:szCs w:val="24"/>
          <w:highlight w:val="none"/>
        </w:rPr>
        <w:t>下载</w:t>
      </w:r>
      <w:r>
        <w:rPr>
          <w:rFonts w:hint="eastAsia" w:ascii="宋体" w:hAnsi="宋体" w:eastAsia="宋体" w:cs="宋体"/>
          <w:color w:val="auto"/>
          <w:sz w:val="24"/>
          <w:szCs w:val="24"/>
          <w:highlight w:val="none"/>
          <w:shd w:val="clear" w:color="auto" w:fill="FFFFFF"/>
        </w:rPr>
        <w:t>招标文件及相关附件，并于电子投标截止时间（</w:t>
      </w:r>
      <w:r>
        <w:rPr>
          <w:rFonts w:hint="eastAsia" w:ascii="宋体" w:hAnsi="宋体" w:eastAsia="宋体" w:cs="宋体"/>
          <w:snapToGrid w:val="0"/>
          <w:color w:val="auto"/>
          <w:sz w:val="24"/>
          <w:szCs w:val="24"/>
          <w:highlight w:val="none"/>
        </w:rPr>
        <w:t>见本章第二节“重要事项时间地点一览表”</w:t>
      </w:r>
      <w:r>
        <w:rPr>
          <w:rFonts w:hint="eastAsia" w:ascii="宋体" w:hAnsi="宋体" w:eastAsia="宋体" w:cs="宋体"/>
          <w:color w:val="auto"/>
          <w:sz w:val="24"/>
          <w:szCs w:val="24"/>
          <w:highlight w:val="none"/>
          <w:shd w:val="clear" w:color="auto" w:fill="FFFFFF"/>
        </w:rPr>
        <w:t>）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18819797080/0751-8379671 伍先生，业务咨询电话：0751-8633211、8633071。</w:t>
      </w:r>
    </w:p>
    <w:p w14:paraId="7D7750C9">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snapToGrid w:val="0"/>
          <w:color w:val="auto"/>
          <w:kern w:val="0"/>
          <w:sz w:val="24"/>
          <w:szCs w:val="24"/>
          <w:highlight w:val="none"/>
        </w:rPr>
        <w:t xml:space="preserve">7.1.2 </w:t>
      </w:r>
      <w:r>
        <w:rPr>
          <w:rFonts w:hint="eastAsia" w:ascii="宋体" w:hAnsi="宋体" w:eastAsia="宋体" w:cs="宋体"/>
          <w:color w:val="auto"/>
          <w:sz w:val="24"/>
          <w:szCs w:val="24"/>
          <w:highlight w:val="none"/>
          <w:shd w:val="clear" w:color="auto" w:fill="FFFFFF"/>
        </w:rPr>
        <w:t>只有申领了数字证书（CA）、“粤企签”或GDCA/SZCA/NETCA等符合法律法规规定的电子印章，并在交易平台中完成企业信息数据入库的投标人，方可在交易平台获取招标文件和电子投标。</w:t>
      </w:r>
    </w:p>
    <w:p w14:paraId="45E1DBDC">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7C1AB4E6">
      <w:pPr>
        <w:pStyle w:val="30"/>
        <w:pageBreakBefore w:val="0"/>
        <w:kinsoku/>
        <w:wordWrap w:val="0"/>
        <w:overflowPunct/>
        <w:topLinePunct w:val="0"/>
        <w:bidi w:val="0"/>
        <w:adjustRightInd w:val="0"/>
        <w:snapToGrid w:val="0"/>
        <w:spacing w:line="400" w:lineRule="exact"/>
        <w:ind w:firstLine="48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已入库企业有关信息（如单位名称、基本账号、资质、人员等）发生变化的，须及时在交易平台进行相应变更。投标人未及时变更信息而造成的损失和后果，由投标人自行承担。</w:t>
      </w:r>
    </w:p>
    <w:p w14:paraId="4668CA16">
      <w:pPr>
        <w:pageBreakBefore w:val="0"/>
        <w:tabs>
          <w:tab w:val="left" w:pos="7020"/>
        </w:tabs>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ascii="宋体" w:hAnsi="宋体" w:eastAsia="宋体" w:cs="宋体"/>
          <w:snapToGrid w:val="0"/>
          <w:color w:val="auto"/>
          <w:sz w:val="24"/>
          <w:szCs w:val="24"/>
          <w:highlight w:val="none"/>
        </w:rPr>
        <w:t>。</w:t>
      </w:r>
    </w:p>
    <w:p w14:paraId="0525EDED">
      <w:pPr>
        <w:pageBreakBefore w:val="0"/>
        <w:kinsoku/>
        <w:overflowPunct/>
        <w:topLinePunct w:val="0"/>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招标人（或招标代理机构）对投标人的失误不负任何责任，投标人应指定一名投标事务负责人（即授权委托人），专门负责跟踪、签收、阅读和理解招标文件及随后收到的有关资料，向招标人（或招标代理机构）发出疑问，检查投标文件，协助有关人员尽力克服各种投标失误。投标事务负责人（即授权委托人）如有更换，投标人应及时向招标人（或招标代理机构）提交授权委托书。</w:t>
      </w:r>
    </w:p>
    <w:p w14:paraId="02559B3F">
      <w:pPr>
        <w:pageBreakBefore w:val="0"/>
        <w:kinsoku/>
        <w:overflowPunct/>
        <w:topLinePunct w:val="0"/>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 招标人对招标文件所作的答疑（或修改）公告，构成招标文件的组成部分。</w:t>
      </w:r>
    </w:p>
    <w:p w14:paraId="7A615398">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auto"/>
          <w:kern w:val="2"/>
          <w:sz w:val="24"/>
          <w:szCs w:val="24"/>
          <w:highlight w:val="none"/>
        </w:rPr>
      </w:pPr>
      <w:bookmarkStart w:id="127" w:name="_Toc30148"/>
      <w:bookmarkStart w:id="128" w:name="_Toc545"/>
      <w:bookmarkStart w:id="129" w:name="_Toc20333"/>
      <w:bookmarkStart w:id="130" w:name="_Toc9449"/>
      <w:bookmarkStart w:id="131" w:name="_Toc687"/>
      <w:r>
        <w:rPr>
          <w:rFonts w:hint="eastAsia" w:ascii="宋体" w:hAnsi="宋体" w:eastAsia="宋体" w:cs="宋体"/>
          <w:b/>
          <w:color w:val="auto"/>
          <w:kern w:val="2"/>
          <w:sz w:val="24"/>
          <w:szCs w:val="24"/>
          <w:highlight w:val="none"/>
        </w:rPr>
        <w:t>8 、招标答疑</w:t>
      </w:r>
      <w:bookmarkEnd w:id="127"/>
      <w:bookmarkEnd w:id="128"/>
      <w:bookmarkEnd w:id="129"/>
      <w:bookmarkEnd w:id="130"/>
      <w:bookmarkEnd w:id="131"/>
      <w:bookmarkStart w:id="132" w:name="_Hlt74496410"/>
      <w:bookmarkEnd w:id="132"/>
    </w:p>
    <w:p w14:paraId="3D473E64">
      <w:pPr>
        <w:pStyle w:val="27"/>
        <w:pageBreakBefore w:val="0"/>
        <w:kinsoku/>
        <w:overflowPunct/>
        <w:topLinePunct w:val="0"/>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8.1招标人不集中组织答疑，实行网上答疑。</w:t>
      </w:r>
      <w:r>
        <w:rPr>
          <w:rFonts w:hint="eastAsia" w:ascii="宋体" w:hAnsi="宋体" w:eastAsia="宋体" w:cs="宋体"/>
          <w:snapToGrid w:val="0"/>
          <w:color w:val="auto"/>
          <w:kern w:val="0"/>
          <w:sz w:val="24"/>
          <w:szCs w:val="24"/>
          <w:highlight w:val="none"/>
        </w:rPr>
        <w:t>投标人若对招标文件有疑问</w:t>
      </w:r>
      <w:r>
        <w:rPr>
          <w:rFonts w:hint="eastAsia" w:ascii="宋体" w:hAnsi="宋体" w:eastAsia="宋体" w:cs="宋体"/>
          <w:color w:val="auto"/>
          <w:sz w:val="24"/>
          <w:szCs w:val="24"/>
          <w:highlight w:val="none"/>
        </w:rPr>
        <w:t>应在提问截止时间（</w:t>
      </w:r>
      <w:r>
        <w:rPr>
          <w:rFonts w:hint="eastAsia" w:ascii="宋体" w:hAnsi="宋体" w:eastAsia="宋体" w:cs="宋体"/>
          <w:snapToGrid w:val="0"/>
          <w:color w:val="auto"/>
          <w:kern w:val="0"/>
          <w:sz w:val="24"/>
          <w:szCs w:val="24"/>
          <w:highlight w:val="none"/>
        </w:rPr>
        <w:t>见本章第二节“重要事项时间地点一览表”</w:t>
      </w:r>
      <w:r>
        <w:rPr>
          <w:rFonts w:hint="eastAsia" w:ascii="宋体" w:hAnsi="宋体" w:eastAsia="宋体" w:cs="宋体"/>
          <w:color w:val="auto"/>
          <w:sz w:val="24"/>
          <w:szCs w:val="24"/>
          <w:highlight w:val="none"/>
        </w:rPr>
        <w:t>）前在交易平台提出问题。未在指定时间前、未采用指定方式提出的，招标人不予受理。</w:t>
      </w:r>
    </w:p>
    <w:p w14:paraId="26C36C16">
      <w:pPr>
        <w:pStyle w:val="27"/>
        <w:pageBreakBefore w:val="0"/>
        <w:kinsoku/>
        <w:overflowPunct/>
        <w:topLinePunct w:val="0"/>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A60FB07">
      <w:pPr>
        <w:pStyle w:val="27"/>
        <w:pageBreakBefore w:val="0"/>
        <w:kinsoku/>
        <w:overflowPunct/>
        <w:topLinePunct w:val="0"/>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答疑书（</w:t>
      </w:r>
      <w:r>
        <w:rPr>
          <w:rFonts w:hint="eastAsia" w:ascii="宋体" w:hAnsi="宋体" w:eastAsia="宋体" w:cs="宋体"/>
          <w:snapToGrid w:val="0"/>
          <w:color w:val="auto"/>
          <w:kern w:val="0"/>
          <w:sz w:val="24"/>
          <w:szCs w:val="24"/>
          <w:highlight w:val="none"/>
        </w:rPr>
        <w:t>或修改</w:t>
      </w:r>
      <w:r>
        <w:rPr>
          <w:rFonts w:hint="eastAsia" w:ascii="宋体" w:hAnsi="宋体" w:eastAsia="宋体" w:cs="宋体"/>
          <w:color w:val="auto"/>
          <w:sz w:val="24"/>
          <w:szCs w:val="24"/>
          <w:highlight w:val="none"/>
        </w:rPr>
        <w:t>）对招标文件的修改或补充内容作为招标文件的组成部分，具有约束作用。招标文件的澄清、修改、补充等内容均以答疑书（</w:t>
      </w:r>
      <w:r>
        <w:rPr>
          <w:rFonts w:hint="eastAsia" w:ascii="宋体" w:hAnsi="宋体" w:eastAsia="宋体" w:cs="宋体"/>
          <w:snapToGrid w:val="0"/>
          <w:color w:val="auto"/>
          <w:kern w:val="0"/>
          <w:sz w:val="24"/>
          <w:szCs w:val="24"/>
          <w:highlight w:val="none"/>
        </w:rPr>
        <w:t>或修改</w:t>
      </w:r>
      <w:r>
        <w:rPr>
          <w:rFonts w:hint="eastAsia" w:ascii="宋体" w:hAnsi="宋体" w:eastAsia="宋体" w:cs="宋体"/>
          <w:color w:val="auto"/>
          <w:sz w:val="24"/>
          <w:szCs w:val="24"/>
          <w:highlight w:val="none"/>
        </w:rPr>
        <w:t>）中明确的内容为准。当招标文件、招标文件的澄清、修改、补充等文件在同一内容的表述上不一致时，以最后发出的答疑书（</w:t>
      </w:r>
      <w:r>
        <w:rPr>
          <w:rFonts w:hint="eastAsia" w:ascii="宋体" w:hAnsi="宋体" w:eastAsia="宋体" w:cs="宋体"/>
          <w:snapToGrid w:val="0"/>
          <w:color w:val="auto"/>
          <w:kern w:val="0"/>
          <w:sz w:val="24"/>
          <w:szCs w:val="24"/>
          <w:highlight w:val="none"/>
        </w:rPr>
        <w:t>或修改</w:t>
      </w:r>
      <w:r>
        <w:rPr>
          <w:rFonts w:hint="eastAsia" w:ascii="宋体" w:hAnsi="宋体" w:eastAsia="宋体" w:cs="宋体"/>
          <w:color w:val="auto"/>
          <w:sz w:val="24"/>
          <w:szCs w:val="24"/>
          <w:highlight w:val="none"/>
        </w:rPr>
        <w:t>）为准。</w:t>
      </w:r>
    </w:p>
    <w:p w14:paraId="0E300C07">
      <w:pPr>
        <w:pStyle w:val="27"/>
        <w:pageBreakBefore w:val="0"/>
        <w:kinsoku/>
        <w:overflowPunct/>
        <w:topLinePunct w:val="0"/>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 投标人在规定的时间内未对招标文件提出澄清或疑问的，招标人将视其为无异议。对招标文件中描述有歧义或前后不一致的地方，评标委员会有权进行评判，但对同一条款的评判应适用于每个投标人。</w:t>
      </w:r>
    </w:p>
    <w:p w14:paraId="13E0C3B3">
      <w:pPr>
        <w:pStyle w:val="27"/>
        <w:pageBreakBefore w:val="0"/>
        <w:kinsoku/>
        <w:overflowPunct/>
        <w:topLinePunct w:val="0"/>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8.5 招标人向投标人提供的资料和数据，是招标人现有的能使投标人利用的资料。投标人对招标人提供的招标文件所作出的推论、解释和结论，招标人概不负责；投标人由于对招标文件的任何推论和误解以及招标人对有关问题的口头解释所造成的后果，均由投标人自行负责。</w:t>
      </w:r>
    </w:p>
    <w:p w14:paraId="50C4648C">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auto"/>
          <w:kern w:val="2"/>
          <w:sz w:val="24"/>
          <w:szCs w:val="24"/>
          <w:highlight w:val="none"/>
        </w:rPr>
      </w:pPr>
      <w:bookmarkStart w:id="133" w:name="_Hlt69699188"/>
      <w:bookmarkEnd w:id="133"/>
      <w:bookmarkStart w:id="134" w:name="_Hlt92513715"/>
      <w:bookmarkEnd w:id="134"/>
      <w:bookmarkStart w:id="135" w:name="_Hlt92513711"/>
      <w:bookmarkEnd w:id="135"/>
      <w:bookmarkStart w:id="136" w:name="_Toc30996"/>
      <w:bookmarkStart w:id="137" w:name="_Toc24814"/>
      <w:bookmarkStart w:id="138" w:name="_Toc11301"/>
      <w:bookmarkStart w:id="139" w:name="_Toc28777"/>
      <w:bookmarkStart w:id="140" w:name="_Toc8032"/>
      <w:bookmarkStart w:id="141" w:name="_Toc1991"/>
      <w:bookmarkStart w:id="142" w:name="_Toc25532"/>
      <w:bookmarkStart w:id="143" w:name="_Toc30627"/>
      <w:bookmarkStart w:id="144" w:name="_Toc20643"/>
      <w:bookmarkStart w:id="145" w:name="_Toc31064"/>
      <w:bookmarkStart w:id="146" w:name="_Toc15195"/>
      <w:bookmarkStart w:id="147" w:name="_Toc18198"/>
      <w:r>
        <w:rPr>
          <w:rFonts w:hint="eastAsia" w:ascii="宋体" w:hAnsi="宋体" w:eastAsia="宋体" w:cs="宋体"/>
          <w:b/>
          <w:color w:val="auto"/>
          <w:kern w:val="2"/>
          <w:sz w:val="24"/>
          <w:szCs w:val="24"/>
          <w:highlight w:val="none"/>
        </w:rPr>
        <w:t>9 、投标报价的编制</w:t>
      </w:r>
      <w:bookmarkEnd w:id="136"/>
      <w:bookmarkEnd w:id="137"/>
      <w:bookmarkEnd w:id="138"/>
      <w:bookmarkEnd w:id="139"/>
      <w:bookmarkEnd w:id="140"/>
      <w:bookmarkEnd w:id="141"/>
      <w:bookmarkEnd w:id="142"/>
      <w:bookmarkEnd w:id="143"/>
      <w:bookmarkEnd w:id="144"/>
      <w:bookmarkEnd w:id="145"/>
      <w:bookmarkEnd w:id="146"/>
      <w:bookmarkEnd w:id="147"/>
      <w:bookmarkStart w:id="148" w:name="_Hlt74498519"/>
      <w:bookmarkEnd w:id="148"/>
    </w:p>
    <w:p w14:paraId="27DFE181">
      <w:pPr>
        <w:pStyle w:val="27"/>
        <w:pageBreakBefore w:val="0"/>
        <w:kinsoku/>
        <w:overflowPunct/>
        <w:topLinePunct w:val="0"/>
        <w:bidi w:val="0"/>
        <w:spacing w:line="400" w:lineRule="exact"/>
        <w:ind w:firstLine="560"/>
        <w:textAlignment w:val="auto"/>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9.1 本招标项目按照以下依据编制最高投标限价：</w:t>
      </w:r>
    </w:p>
    <w:p w14:paraId="3D20E3A8">
      <w:pPr>
        <w:pStyle w:val="27"/>
        <w:pageBreakBefore w:val="0"/>
        <w:kinsoku/>
        <w:overflowPunct/>
        <w:topLinePunct w:val="0"/>
        <w:bidi w:val="0"/>
        <w:spacing w:line="400" w:lineRule="exact"/>
        <w:ind w:firstLine="560"/>
        <w:textAlignment w:val="auto"/>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（1）招标文件；</w:t>
      </w:r>
    </w:p>
    <w:p w14:paraId="13B8F0B6">
      <w:pPr>
        <w:pStyle w:val="27"/>
        <w:pageBreakBefore w:val="0"/>
        <w:kinsoku/>
        <w:overflowPunct/>
        <w:topLinePunct w:val="0"/>
        <w:bidi w:val="0"/>
        <w:spacing w:line="400" w:lineRule="exact"/>
        <w:ind w:firstLine="560"/>
        <w:textAlignment w:val="auto"/>
        <w:rPr>
          <w:rFonts w:hint="eastAsia" w:ascii="宋体" w:hAnsi="宋体" w:eastAsia="宋体" w:cs="宋体"/>
          <w:color w:val="auto"/>
          <w:spacing w:val="12"/>
          <w:sz w:val="24"/>
          <w:szCs w:val="24"/>
          <w:highlight w:val="none"/>
        </w:rPr>
      </w:pPr>
      <w:r>
        <w:rPr>
          <w:rFonts w:hint="eastAsia" w:ascii="宋体" w:hAnsi="宋体" w:eastAsia="宋体" w:cs="宋体"/>
          <w:color w:val="auto"/>
          <w:spacing w:val="12"/>
          <w:sz w:val="24"/>
          <w:szCs w:val="24"/>
          <w:highlight w:val="none"/>
        </w:rPr>
        <w:t>（2）施工现场情况、工程特点；</w:t>
      </w:r>
    </w:p>
    <w:p w14:paraId="6C6570FC">
      <w:pPr>
        <w:pStyle w:val="27"/>
        <w:pageBreakBefore w:val="0"/>
        <w:kinsoku/>
        <w:overflowPunct/>
        <w:topLinePunct w:val="0"/>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（3）与建设项目相关的标准、规范、技术资料。</w:t>
      </w:r>
    </w:p>
    <w:p w14:paraId="7018121A">
      <w:pPr>
        <w:pStyle w:val="27"/>
        <w:pageBreakBefore w:val="0"/>
        <w:kinsoku/>
        <w:overflowPunct/>
        <w:topLinePunct w:val="0"/>
        <w:bidi w:val="0"/>
        <w:spacing w:line="400" w:lineRule="exact"/>
        <w:ind w:firstLine="792"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9.2</w:t>
      </w:r>
      <w:r>
        <w:rPr>
          <w:rFonts w:hint="eastAsia" w:ascii="宋体" w:hAnsi="宋体" w:eastAsia="宋体" w:cs="宋体"/>
          <w:color w:val="auto"/>
          <w:sz w:val="24"/>
          <w:szCs w:val="24"/>
          <w:highlight w:val="none"/>
        </w:rPr>
        <w:t xml:space="preserve"> 本工程投标前，招标人及招标代理机构不集中组织现场踏勘，投标人需要了解现场情况的，可自行进行现场踏勘。各投标人应勘察施工现场及周围环境、地形、地貌、水文、交通等情况，以获得一切可能影响到投标的直</w:t>
      </w:r>
      <w:bookmarkStart w:id="149" w:name="_Hlt66509056"/>
      <w:bookmarkEnd w:id="149"/>
      <w:r>
        <w:rPr>
          <w:rFonts w:hint="eastAsia" w:ascii="宋体" w:hAnsi="宋体" w:eastAsia="宋体" w:cs="宋体"/>
          <w:color w:val="auto"/>
          <w:sz w:val="24"/>
          <w:szCs w:val="24"/>
          <w:highlight w:val="none"/>
        </w:rPr>
        <w:t>接资料。投标人应针对现场情况编制施工组织设计，并在写投标报价时考虑现场情况的影响。</w:t>
      </w:r>
    </w:p>
    <w:p w14:paraId="1B9CA575">
      <w:pPr>
        <w:pStyle w:val="38"/>
        <w:pageBreakBefore w:val="0"/>
        <w:kinsoku/>
        <w:overflowPunct/>
        <w:topLinePunct w:val="0"/>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9.</w:t>
      </w:r>
      <w:bookmarkStart w:id="150" w:name="_Hlt88974322"/>
      <w:r>
        <w:rPr>
          <w:rFonts w:hint="eastAsia" w:ascii="宋体" w:hAnsi="宋体" w:eastAsia="宋体" w:cs="宋体"/>
          <w:color w:val="auto"/>
          <w:spacing w:val="12"/>
          <w:sz w:val="24"/>
          <w:szCs w:val="24"/>
          <w:highlight w:val="none"/>
        </w:rPr>
        <w:t>3</w:t>
      </w:r>
      <w:r>
        <w:rPr>
          <w:rFonts w:hint="eastAsia" w:ascii="宋体" w:hAnsi="宋体" w:eastAsia="宋体" w:cs="宋体"/>
          <w:color w:val="auto"/>
          <w:sz w:val="24"/>
          <w:szCs w:val="24"/>
          <w:highlight w:val="none"/>
        </w:rPr>
        <w:t xml:space="preserve"> 现场踏勘费以及其它施工措施项目费，由投标人在投标报价中综合考虑，一次包定。无论投标人是否列出费用，招标人将一律视为已确认所有现场条件和可能发生的异常情况。</w:t>
      </w:r>
    </w:p>
    <w:bookmarkEnd w:id="150"/>
    <w:p w14:paraId="261F7E21">
      <w:pPr>
        <w:pStyle w:val="27"/>
        <w:pageBreakBefore w:val="0"/>
        <w:kinsoku/>
        <w:overflowPunct/>
        <w:topLinePunct w:val="0"/>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招标人向投标人提供的有关现场的数据和资料，是招标人现有的能被投标人利用的资料，招标人对投标人做出的任何推论、理解和结论均不负责任。</w:t>
      </w:r>
    </w:p>
    <w:p w14:paraId="070FE710">
      <w:pPr>
        <w:pageBreakBefore w:val="0"/>
        <w:kinsoku/>
        <w:overflowPunct/>
        <w:topLinePunct w:val="0"/>
        <w:bidi w:val="0"/>
        <w:spacing w:line="400" w:lineRule="exact"/>
        <w:ind w:firstLine="6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投标人负责协调处理因项目实施与周边企业和村民等关系并承担相关费用。</w:t>
      </w:r>
    </w:p>
    <w:p w14:paraId="510B8396">
      <w:pPr>
        <w:pageBreakBefore w:val="0"/>
        <w:kinsoku/>
        <w:overflowPunct/>
        <w:topLinePunct w:val="0"/>
        <w:bidi w:val="0"/>
        <w:spacing w:line="400" w:lineRule="exact"/>
        <w:ind w:firstLine="6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投标人应采取设计优化的方式，通过土方平衡方法解决弃土问题，若仍有弃土，按实结算。</w:t>
      </w:r>
    </w:p>
    <w:p w14:paraId="745DC98C">
      <w:pPr>
        <w:pageBreakBefore w:val="0"/>
        <w:kinsoku/>
        <w:overflowPunct/>
        <w:topLinePunct w:val="0"/>
        <w:bidi w:val="0"/>
        <w:spacing w:line="400" w:lineRule="exact"/>
        <w:ind w:firstLine="570"/>
        <w:textAlignment w:val="auto"/>
        <w:rPr>
          <w:rFonts w:hint="eastAsia" w:ascii="宋体" w:hAnsi="宋体" w:eastAsia="宋体" w:cs="宋体"/>
          <w:b/>
          <w:color w:val="auto"/>
          <w:sz w:val="24"/>
          <w:szCs w:val="24"/>
          <w:highlight w:val="none"/>
          <w:u w:val="doubl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bookmarkStart w:id="151" w:name="_Toc319917951"/>
      <w:r>
        <w:rPr>
          <w:rFonts w:hint="eastAsia" w:ascii="宋体" w:hAnsi="宋体" w:eastAsia="宋体" w:cs="宋体"/>
          <w:color w:val="auto"/>
          <w:sz w:val="24"/>
          <w:szCs w:val="24"/>
          <w:highlight w:val="none"/>
        </w:rPr>
        <w:t>7</w:t>
      </w:r>
      <w:r>
        <w:rPr>
          <w:rFonts w:hint="eastAsia" w:ascii="宋体" w:hAnsi="宋体" w:eastAsia="宋体" w:cs="宋体"/>
          <w:b/>
          <w:color w:val="auto"/>
          <w:sz w:val="24"/>
          <w:szCs w:val="24"/>
          <w:highlight w:val="none"/>
          <w:u w:val="double"/>
        </w:rPr>
        <w:t>投标人的投标报价不得超过招标人公布的最高投标限价。本项目为限额设计，工程结算总造价不得超过中标价。</w:t>
      </w:r>
    </w:p>
    <w:p w14:paraId="583FFEF8">
      <w:pPr>
        <w:pageBreakBefore w:val="0"/>
        <w:kinsoku/>
        <w:overflowPunct/>
        <w:topLinePunct w:val="0"/>
        <w:bidi w:val="0"/>
        <w:spacing w:line="400" w:lineRule="exact"/>
        <w:ind w:firstLine="57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9.8</w:t>
      </w:r>
      <w:r>
        <w:rPr>
          <w:rFonts w:hint="eastAsia" w:ascii="宋体" w:hAnsi="宋体" w:eastAsia="宋体" w:cs="宋体"/>
          <w:b/>
          <w:color w:val="auto"/>
          <w:sz w:val="24"/>
          <w:szCs w:val="24"/>
          <w:highlight w:val="none"/>
          <w:lang w:val="zh-CN"/>
        </w:rPr>
        <w:t>投标单位应充分考虑本招标文件“第二章 拟签订合同的主要条款”所列的结算原则进行投标及报价。</w:t>
      </w:r>
      <w:bookmarkEnd w:id="151"/>
    </w:p>
    <w:p w14:paraId="7B75097F">
      <w:pPr>
        <w:pageBreakBefore w:val="0"/>
        <w:kinsoku/>
        <w:overflowPunct/>
        <w:topLinePunct w:val="0"/>
        <w:bidi w:val="0"/>
        <w:spacing w:line="400" w:lineRule="exact"/>
        <w:ind w:firstLine="57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投标人的投标总报价应考虑完成招标文件中招标规模、内容所规定的所有工程及设备的费用，并承担结算原则中规定的一切风险，还应考虑报建和施工时应由施工单位承担的一切费用。各项费用的主要内容及其报价方式：</w:t>
      </w:r>
    </w:p>
    <w:p w14:paraId="50E9C017">
      <w:pPr>
        <w:pageBreakBefore w:val="0"/>
        <w:kinsoku/>
        <w:overflowPunct/>
        <w:topLinePunct w:val="0"/>
        <w:bidi w:val="0"/>
        <w:spacing w:line="400" w:lineRule="exact"/>
        <w:ind w:firstLine="57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.1设计费投标报价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在最高投标限价范围内，投标人自行报总价，结算按设计费的中标价包干不作任何调整。设计费的报价应包含各个不同专业的施工图设计费用、进行优化设计或修改设计所增加的设计费用、各项专家评审的专家费用，由投标人自行考虑所有设计工作的辅助费用。如其他专业需要分包的，需向招标人报备。另外，中标人需向招标人提供合格施工图一式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份。</w:t>
      </w:r>
    </w:p>
    <w:p w14:paraId="644234C5">
      <w:pPr>
        <w:pageBreakBefore w:val="0"/>
        <w:kinsoku/>
        <w:overflowPunct/>
        <w:topLinePunct w:val="0"/>
        <w:bidi w:val="0"/>
        <w:spacing w:line="400" w:lineRule="exact"/>
        <w:ind w:firstLine="570"/>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本项目在实施过程中可能出现设计成果已通过确认，仍需进行设计变更、修改、调整等情况，不另行增加设计费。</w:t>
      </w:r>
    </w:p>
    <w:p w14:paraId="2F6E7D7E">
      <w:pPr>
        <w:pageBreakBefore w:val="0"/>
        <w:kinsoku/>
        <w:overflowPunct/>
        <w:topLinePunct w:val="0"/>
        <w:bidi w:val="0"/>
        <w:spacing w:line="400" w:lineRule="exact"/>
        <w:ind w:firstLine="588" w:firstLineChars="2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建安</w:t>
      </w:r>
      <w:r>
        <w:rPr>
          <w:rFonts w:hint="eastAsia" w:ascii="宋体" w:hAnsi="宋体" w:eastAsia="宋体" w:cs="宋体"/>
          <w:color w:val="auto"/>
          <w:sz w:val="24"/>
          <w:szCs w:val="24"/>
          <w:highlight w:val="none"/>
        </w:rPr>
        <w:t>工程费用</w:t>
      </w:r>
      <w:r>
        <w:rPr>
          <w:rFonts w:hint="eastAsia" w:ascii="宋体" w:hAnsi="宋体" w:eastAsia="宋体" w:cs="宋体"/>
          <w:color w:val="auto"/>
          <w:sz w:val="24"/>
          <w:szCs w:val="24"/>
          <w:highlight w:val="none"/>
          <w:lang w:val="zh-CN"/>
        </w:rPr>
        <w:t>：采用下浮率的方式进行报价</w:t>
      </w:r>
      <w:r>
        <w:rPr>
          <w:rFonts w:hint="eastAsia" w:ascii="宋体" w:hAnsi="宋体" w:eastAsia="宋体" w:cs="宋体"/>
          <w:color w:val="auto"/>
          <w:sz w:val="24"/>
          <w:szCs w:val="24"/>
          <w:highlight w:val="none"/>
        </w:rPr>
        <w:t>，结算时按招标文件有关结算原则计算后再按报价</w:t>
      </w:r>
      <w:r>
        <w:rPr>
          <w:rFonts w:hint="eastAsia" w:ascii="宋体" w:hAnsi="宋体" w:eastAsia="宋体" w:cs="宋体"/>
          <w:color w:val="auto"/>
          <w:sz w:val="24"/>
          <w:szCs w:val="24"/>
          <w:highlight w:val="none"/>
          <w:lang w:val="zh-CN"/>
        </w:rPr>
        <w:t>下浮率</w:t>
      </w:r>
      <w:r>
        <w:rPr>
          <w:rFonts w:hint="eastAsia" w:ascii="宋体" w:hAnsi="宋体" w:eastAsia="宋体" w:cs="宋体"/>
          <w:color w:val="auto"/>
          <w:sz w:val="24"/>
          <w:szCs w:val="24"/>
          <w:highlight w:val="none"/>
        </w:rPr>
        <w:t>下浮。建安工程费投标报价=计算基数×（1-下浮率）。</w:t>
      </w:r>
    </w:p>
    <w:p w14:paraId="2292349F">
      <w:pPr>
        <w:pageBreakBefore w:val="0"/>
        <w:kinsoku/>
        <w:overflowPunct/>
        <w:topLinePunct w:val="0"/>
        <w:bidi w:val="0"/>
        <w:spacing w:line="400" w:lineRule="exact"/>
        <w:ind w:firstLine="588" w:firstLineChars="245"/>
        <w:textAlignment w:val="auto"/>
        <w:rPr>
          <w:rFonts w:hint="eastAsia" w:ascii="宋体" w:hAnsi="宋体" w:eastAsia="宋体" w:cs="宋体"/>
          <w:strike/>
          <w:color w:val="auto"/>
          <w:sz w:val="24"/>
          <w:szCs w:val="24"/>
          <w:highlight w:val="none"/>
        </w:rPr>
      </w:pPr>
      <w:r>
        <w:rPr>
          <w:rFonts w:hint="eastAsia" w:ascii="宋体" w:hAnsi="宋体" w:eastAsia="宋体" w:cs="宋体"/>
          <w:color w:val="auto"/>
          <w:sz w:val="24"/>
          <w:szCs w:val="24"/>
          <w:highlight w:val="none"/>
        </w:rPr>
        <w:t>如投标人的建安工程费用投标报价</w:t>
      </w:r>
      <w:r>
        <w:rPr>
          <w:rFonts w:hint="eastAsia" w:ascii="宋体" w:hAnsi="宋体" w:eastAsia="宋体" w:cs="宋体"/>
          <w:color w:val="auto"/>
          <w:sz w:val="24"/>
          <w:szCs w:val="24"/>
          <w:highlight w:val="none"/>
          <w:lang w:val="zh-CN"/>
        </w:rPr>
        <w:t>下浮率</w:t>
      </w:r>
      <w:r>
        <w:rPr>
          <w:rFonts w:hint="eastAsia" w:ascii="宋体" w:hAnsi="宋体" w:eastAsia="宋体" w:cs="宋体"/>
          <w:color w:val="auto"/>
          <w:sz w:val="24"/>
          <w:szCs w:val="24"/>
          <w:highlight w:val="none"/>
        </w:rPr>
        <w:t>高于15%时，投标人必须在投标报价书中另行作出详细合理的书面说明并提供相关证明材料供评标委员会评审，否则评标委员会将认定该投标人以低于成本报价竞标。</w:t>
      </w:r>
    </w:p>
    <w:p w14:paraId="30938B6A">
      <w:pPr>
        <w:pStyle w:val="33"/>
        <w:pageBreakBefore w:val="0"/>
        <w:kinsoku/>
        <w:overflowPunct/>
        <w:topLinePunct w:val="0"/>
        <w:bidi w:val="0"/>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bCs/>
          <w:snapToGrid w:val="0"/>
          <w:color w:val="auto"/>
          <w:kern w:val="0"/>
          <w:sz w:val="24"/>
          <w:szCs w:val="24"/>
          <w:highlight w:val="none"/>
        </w:rPr>
        <w:t xml:space="preserve">    建安工程费的报价应考虑完成招标文件中招标规模、内容所规定的所有工程的费用，并承担结算原则中规定的一切风险，还应包含工程报建和施工时应由施工单位承担的一切费用。</w:t>
      </w:r>
    </w:p>
    <w:p w14:paraId="7C1E4B52">
      <w:pPr>
        <w:pageBreakBefore w:val="0"/>
        <w:kinsoku/>
        <w:overflowPunct/>
        <w:topLinePunct w:val="0"/>
        <w:bidi w:val="0"/>
        <w:spacing w:line="400" w:lineRule="exact"/>
        <w:ind w:firstLine="588" w:firstLineChars="2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9.9.3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384FE37D">
      <w:pPr>
        <w:pageBreakBefore w:val="0"/>
        <w:kinsoku/>
        <w:overflowPunct/>
        <w:topLinePunct w:val="0"/>
        <w:bidi w:val="0"/>
        <w:spacing w:line="400" w:lineRule="exact"/>
        <w:ind w:firstLine="588" w:firstLineChars="24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9.9.4投标人在投标报价时，自行考虑高温补贴费、施工视频监控系统费用，专业分包的总包服务及配合费，预算（含工程量清单编制费）等，并承担相应风险，结算时不另行计取。</w:t>
      </w:r>
    </w:p>
    <w:p w14:paraId="11D1FF78">
      <w:pPr>
        <w:pageBreakBefore w:val="0"/>
        <w:kinsoku/>
        <w:overflowPunct/>
        <w:topLinePunct w:val="0"/>
        <w:bidi w:val="0"/>
        <w:spacing w:line="400" w:lineRule="exact"/>
        <w:ind w:firstLine="588" w:firstLineChars="245"/>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 xml:space="preserve">9.5 </w:t>
      </w:r>
      <w:r>
        <w:rPr>
          <w:rFonts w:hint="eastAsia" w:ascii="宋体" w:hAnsi="宋体" w:eastAsia="宋体" w:cs="宋体"/>
          <w:bCs/>
          <w:color w:val="auto"/>
          <w:sz w:val="24"/>
          <w:szCs w:val="24"/>
          <w:highlight w:val="none"/>
        </w:rPr>
        <w:t>招标人可根据本项目实际情况对规模及内容进行调整</w:t>
      </w:r>
      <w:r>
        <w:rPr>
          <w:rFonts w:hint="eastAsia" w:ascii="宋体" w:hAnsi="宋体" w:eastAsia="宋体" w:cs="宋体"/>
          <w:color w:val="auto"/>
          <w:sz w:val="24"/>
          <w:szCs w:val="24"/>
          <w:highlight w:val="none"/>
        </w:rPr>
        <w:t>或减少，投标人中标后不得因此调整或减少向招标人索赔，并且必须按调整或减少后的规模及内容完成工程建设。投标人在投标报价时需综合考虑该因素并报价</w:t>
      </w:r>
      <w:r>
        <w:rPr>
          <w:rFonts w:hint="eastAsia" w:ascii="宋体" w:hAnsi="宋体" w:eastAsia="宋体" w:cs="宋体"/>
          <w:bCs/>
          <w:color w:val="auto"/>
          <w:sz w:val="24"/>
          <w:szCs w:val="24"/>
          <w:highlight w:val="none"/>
        </w:rPr>
        <w:t>。</w:t>
      </w:r>
    </w:p>
    <w:p w14:paraId="070B1101">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auto"/>
          <w:sz w:val="24"/>
          <w:szCs w:val="24"/>
          <w:highlight w:val="none"/>
        </w:rPr>
      </w:pPr>
      <w:bookmarkStart w:id="152" w:name="_Toc22801"/>
      <w:bookmarkStart w:id="153" w:name="_Toc1483"/>
      <w:bookmarkStart w:id="154" w:name="_Toc15336"/>
      <w:bookmarkStart w:id="155" w:name="_Toc25388"/>
      <w:r>
        <w:rPr>
          <w:rFonts w:hint="eastAsia" w:ascii="宋体" w:hAnsi="宋体" w:eastAsia="宋体" w:cs="宋体"/>
          <w:b/>
          <w:color w:val="auto"/>
          <w:sz w:val="24"/>
          <w:szCs w:val="24"/>
          <w:highlight w:val="none"/>
        </w:rPr>
        <w:t>10、 最高</w:t>
      </w:r>
      <w:r>
        <w:rPr>
          <w:rFonts w:hint="eastAsia" w:ascii="宋体" w:hAnsi="宋体" w:eastAsia="宋体" w:cs="宋体"/>
          <w:b/>
          <w:color w:val="auto"/>
          <w:kern w:val="2"/>
          <w:sz w:val="24"/>
          <w:szCs w:val="24"/>
          <w:highlight w:val="none"/>
        </w:rPr>
        <w:t>投标</w:t>
      </w:r>
      <w:r>
        <w:rPr>
          <w:rFonts w:hint="eastAsia" w:ascii="宋体" w:hAnsi="宋体" w:eastAsia="宋体" w:cs="宋体"/>
          <w:b/>
          <w:color w:val="auto"/>
          <w:sz w:val="24"/>
          <w:szCs w:val="24"/>
          <w:highlight w:val="none"/>
        </w:rPr>
        <w:t>限价的确定</w:t>
      </w:r>
      <w:bookmarkEnd w:id="152"/>
      <w:bookmarkEnd w:id="153"/>
      <w:bookmarkEnd w:id="154"/>
      <w:bookmarkEnd w:id="155"/>
      <w:bookmarkStart w:id="156" w:name="_Hlt69335617"/>
      <w:bookmarkStart w:id="157" w:name="_Hlt121629839"/>
    </w:p>
    <w:p w14:paraId="493040E2">
      <w:pPr>
        <w:pageBreakBefore w:val="0"/>
        <w:widowControl/>
        <w:kinsoku/>
        <w:overflowPunct/>
        <w:topLinePunct w:val="0"/>
        <w:bidi w:val="0"/>
        <w:spacing w:line="240" w:lineRule="auto"/>
        <w:ind w:firstLine="0"/>
        <w:jc w:val="left"/>
        <w:textAlignment w:val="auto"/>
        <w:rPr>
          <w:rFonts w:hint="eastAsia" w:ascii="宋体" w:hAnsi="宋体" w:eastAsia="宋体" w:cs="宋体"/>
          <w:color w:val="auto"/>
          <w:sz w:val="24"/>
          <w:szCs w:val="24"/>
          <w:highlight w:val="none"/>
        </w:rPr>
      </w:pPr>
      <w:bookmarkStart w:id="158" w:name="_Toc7307"/>
      <w:bookmarkStart w:id="159" w:name="_Toc29734"/>
      <w:bookmarkStart w:id="160" w:name="_Toc5483"/>
      <w:bookmarkStart w:id="161" w:name="_Toc12443"/>
      <w:bookmarkStart w:id="162" w:name="_Toc4604"/>
      <w:bookmarkStart w:id="163" w:name="_Toc32578"/>
      <w:bookmarkStart w:id="164" w:name="_Toc24510"/>
      <w:bookmarkStart w:id="165" w:name="_Toc13350"/>
      <w:bookmarkStart w:id="166" w:name="_Toc15152"/>
      <w:r>
        <w:rPr>
          <w:rFonts w:hint="eastAsia" w:ascii="宋体" w:hAnsi="宋体" w:eastAsia="宋体" w:cs="宋体"/>
          <w:color w:val="auto"/>
          <w:sz w:val="24"/>
          <w:szCs w:val="24"/>
          <w:highlight w:val="none"/>
          <w:lang w:eastAsia="zh-CN"/>
        </w:rPr>
        <w:t>本项目最高投标限价为人民币（大写）：</w:t>
      </w:r>
      <w:r>
        <w:rPr>
          <w:rFonts w:hint="eastAsia" w:ascii="宋体" w:hAnsi="宋体" w:eastAsia="宋体" w:cs="宋体"/>
          <w:i w:val="0"/>
          <w:caps w:val="0"/>
          <w:color w:val="auto"/>
          <w:spacing w:val="0"/>
          <w:kern w:val="2"/>
          <w:sz w:val="24"/>
          <w:szCs w:val="24"/>
          <w:highlight w:val="none"/>
          <w:shd w:val="clear" w:fill="auto"/>
          <w:lang w:val="en-US" w:eastAsia="zh-CN" w:bidi="ar-SA"/>
        </w:rPr>
        <w:t>叁仟零肆拾陆万叁仟</w:t>
      </w:r>
      <w:r>
        <w:rPr>
          <w:rFonts w:hint="eastAsia" w:ascii="宋体" w:hAnsi="宋体" w:eastAsia="宋体" w:cs="宋体"/>
          <w:color w:val="auto"/>
          <w:sz w:val="24"/>
          <w:szCs w:val="24"/>
          <w:highlight w:val="none"/>
          <w:u w:val="single"/>
          <w:lang w:val="en-US" w:eastAsia="zh-CN"/>
        </w:rPr>
        <w:t>元（小写：</w:t>
      </w:r>
      <w:r>
        <w:rPr>
          <w:rFonts w:hint="eastAsia" w:hAnsi="宋体" w:cs="宋体"/>
          <w:color w:val="auto"/>
          <w:sz w:val="24"/>
          <w:szCs w:val="24"/>
          <w:highlight w:val="none"/>
          <w:u w:val="single"/>
          <w:lang w:val="en-US" w:eastAsia="zh-CN"/>
        </w:rPr>
        <w:t>30463000.00</w:t>
      </w:r>
      <w:r>
        <w:rPr>
          <w:rFonts w:hint="eastAsia" w:ascii="宋体" w:hAnsi="宋体" w:eastAsia="宋体" w:cs="宋体"/>
          <w:color w:val="auto"/>
          <w:sz w:val="24"/>
          <w:szCs w:val="24"/>
          <w:highlight w:val="none"/>
          <w:u w:val="single"/>
          <w:lang w:val="en-US" w:eastAsia="zh-CN"/>
        </w:rPr>
        <w:t>元）</w:t>
      </w:r>
      <w:r>
        <w:rPr>
          <w:rFonts w:hint="eastAsia" w:ascii="宋体" w:hAnsi="宋体" w:eastAsia="宋体" w:cs="宋体"/>
          <w:color w:val="auto"/>
          <w:kern w:val="1"/>
          <w:sz w:val="24"/>
          <w:szCs w:val="24"/>
          <w:highlight w:val="none"/>
          <w:u w:val="none"/>
          <w:lang w:val="en-US" w:eastAsia="zh-CN"/>
        </w:rPr>
        <w:t>。</w:t>
      </w:r>
      <w:r>
        <w:rPr>
          <w:rFonts w:hint="eastAsia" w:ascii="宋体" w:hAnsi="宋体" w:eastAsia="宋体" w:cs="宋体"/>
          <w:color w:val="auto"/>
          <w:sz w:val="24"/>
          <w:szCs w:val="24"/>
          <w:highlight w:val="none"/>
        </w:rPr>
        <w:t>具体详见下表：</w:t>
      </w:r>
    </w:p>
    <w:tbl>
      <w:tblPr>
        <w:tblStyle w:val="22"/>
        <w:tblW w:w="10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258"/>
        <w:gridCol w:w="1732"/>
        <w:gridCol w:w="1155"/>
        <w:gridCol w:w="1559"/>
        <w:gridCol w:w="3860"/>
      </w:tblGrid>
      <w:tr w14:paraId="403FD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8" w:hRule="atLeast"/>
          <w:jc w:val="center"/>
        </w:trPr>
        <w:tc>
          <w:tcPr>
            <w:tcW w:w="732" w:type="dxa"/>
            <w:noWrap/>
            <w:vAlign w:val="center"/>
          </w:tcPr>
          <w:p w14:paraId="09887C0E">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序号</w:t>
            </w:r>
          </w:p>
        </w:tc>
        <w:tc>
          <w:tcPr>
            <w:tcW w:w="1258" w:type="dxa"/>
            <w:noWrap/>
            <w:vAlign w:val="center"/>
          </w:tcPr>
          <w:p w14:paraId="1AC7A5DA">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项目名称</w:t>
            </w:r>
          </w:p>
        </w:tc>
        <w:tc>
          <w:tcPr>
            <w:tcW w:w="1732" w:type="dxa"/>
            <w:noWrap/>
            <w:vAlign w:val="center"/>
          </w:tcPr>
          <w:p w14:paraId="61DF790D">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1"/>
                <w:sz w:val="24"/>
                <w:szCs w:val="24"/>
                <w:highlight w:val="none"/>
                <w:lang w:val="en-US" w:eastAsia="zh-CN"/>
              </w:rPr>
              <w:t>报价基数（元）</w:t>
            </w:r>
          </w:p>
        </w:tc>
        <w:tc>
          <w:tcPr>
            <w:tcW w:w="1155" w:type="dxa"/>
            <w:noWrap/>
            <w:vAlign w:val="center"/>
          </w:tcPr>
          <w:p w14:paraId="4910273F">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sz w:val="24"/>
                <w:szCs w:val="24"/>
                <w:highlight w:val="none"/>
              </w:rPr>
              <w:t>投标下浮率（％)</w:t>
            </w:r>
          </w:p>
        </w:tc>
        <w:tc>
          <w:tcPr>
            <w:tcW w:w="1559" w:type="dxa"/>
            <w:noWrap/>
            <w:vAlign w:val="center"/>
          </w:tcPr>
          <w:p w14:paraId="76FCF89C">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最高</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限价</w:t>
            </w:r>
            <w:r>
              <w:rPr>
                <w:rFonts w:hint="eastAsia" w:ascii="宋体" w:hAnsi="宋体" w:eastAsia="宋体" w:cs="宋体"/>
                <w:color w:val="auto"/>
                <w:sz w:val="24"/>
                <w:szCs w:val="24"/>
                <w:highlight w:val="none"/>
              </w:rPr>
              <w:t>（元）</w:t>
            </w:r>
          </w:p>
        </w:tc>
        <w:tc>
          <w:tcPr>
            <w:tcW w:w="3860" w:type="dxa"/>
            <w:noWrap/>
            <w:vAlign w:val="center"/>
          </w:tcPr>
          <w:p w14:paraId="2CD17E8C">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rPr>
              <w:t>报价要求</w:t>
            </w:r>
          </w:p>
        </w:tc>
      </w:tr>
      <w:tr w14:paraId="25BEC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732" w:type="dxa"/>
            <w:shd w:val="clear" w:color="auto" w:fill="auto"/>
            <w:noWrap/>
            <w:vAlign w:val="center"/>
          </w:tcPr>
          <w:p w14:paraId="1C91F827">
            <w:pPr>
              <w:keepNext w:val="0"/>
              <w:keepLines w:val="0"/>
              <w:pageBreakBefore w:val="0"/>
              <w:suppressLineNumbers w:val="0"/>
              <w:kinsoku/>
              <w:overflowPunct/>
              <w:topLinePunct w:val="0"/>
              <w:bidi w:val="0"/>
              <w:spacing w:before="0" w:beforeAutospacing="0" w:after="0" w:afterAutospacing="0" w:line="400" w:lineRule="exact"/>
              <w:ind w:left="0" w:leftChars="0" w:right="0" w:rightChars="0"/>
              <w:jc w:val="center"/>
              <w:textAlignment w:val="auto"/>
              <w:rPr>
                <w:rFonts w:hint="eastAsia" w:ascii="宋体" w:hAnsi="宋体" w:eastAsia="宋体" w:cs="宋体"/>
                <w:color w:val="auto"/>
                <w:kern w:val="1"/>
                <w:sz w:val="24"/>
                <w:szCs w:val="24"/>
                <w:highlight w:val="none"/>
                <w:lang w:val="en-US" w:eastAsia="zh-CN" w:bidi="ar-SA"/>
              </w:rPr>
            </w:pPr>
            <w:r>
              <w:rPr>
                <w:rFonts w:hint="eastAsia" w:hAnsi="宋体" w:eastAsia="宋体" w:cs="宋体"/>
                <w:color w:val="auto"/>
                <w:kern w:val="1"/>
                <w:sz w:val="24"/>
                <w:szCs w:val="24"/>
                <w:highlight w:val="none"/>
                <w:lang w:val="en-US" w:eastAsia="zh-CN"/>
              </w:rPr>
              <w:t>1</w:t>
            </w:r>
          </w:p>
        </w:tc>
        <w:tc>
          <w:tcPr>
            <w:tcW w:w="1258" w:type="dxa"/>
            <w:noWrap/>
            <w:vAlign w:val="center"/>
          </w:tcPr>
          <w:p w14:paraId="615AFDE4">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kern w:val="1"/>
                <w:sz w:val="24"/>
                <w:szCs w:val="24"/>
                <w:highlight w:val="none"/>
                <w:lang w:eastAsia="zh-CN"/>
              </w:rPr>
            </w:pPr>
            <w:r>
              <w:rPr>
                <w:rFonts w:hint="eastAsia" w:ascii="宋体" w:hAnsi="宋体" w:eastAsia="宋体" w:cs="宋体"/>
                <w:color w:val="auto"/>
                <w:sz w:val="24"/>
                <w:szCs w:val="24"/>
                <w:highlight w:val="none"/>
                <w:lang w:eastAsia="zh-CN"/>
              </w:rPr>
              <w:t>勘察设计费</w:t>
            </w:r>
          </w:p>
        </w:tc>
        <w:tc>
          <w:tcPr>
            <w:tcW w:w="1732" w:type="dxa"/>
            <w:noWrap/>
            <w:vAlign w:val="center"/>
          </w:tcPr>
          <w:p w14:paraId="386CA2D6">
            <w:pPr>
              <w:keepNext w:val="0"/>
              <w:keepLines w:val="0"/>
              <w:pageBreakBefore w:val="0"/>
              <w:widowControl/>
              <w:suppressLineNumbers w:val="0"/>
              <w:kinsoku/>
              <w:overflowPunct/>
              <w:topLinePunct w:val="0"/>
              <w:bidi w:val="0"/>
              <w:spacing w:before="0" w:beforeAutospacing="0" w:after="0" w:afterAutospacing="0" w:line="400" w:lineRule="exact"/>
              <w:ind w:left="0" w:right="0"/>
              <w:jc w:val="center"/>
              <w:textAlignment w:val="auto"/>
              <w:rPr>
                <w:rFonts w:hint="default"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463000.00</w:t>
            </w:r>
          </w:p>
        </w:tc>
        <w:tc>
          <w:tcPr>
            <w:tcW w:w="1155" w:type="dxa"/>
            <w:noWrap/>
            <w:vAlign w:val="center"/>
          </w:tcPr>
          <w:p w14:paraId="6458527F">
            <w:pPr>
              <w:keepNext w:val="0"/>
              <w:keepLines w:val="0"/>
              <w:pageBreakBefore w:val="0"/>
              <w:suppressLineNumbers w:val="0"/>
              <w:kinsoku/>
              <w:wordWrap w:val="0"/>
              <w:overflowPunct/>
              <w:topLinePunct w:val="0"/>
              <w:bidi w:val="0"/>
              <w:adjustRightInd w:val="0"/>
              <w:snapToGrid w:val="0"/>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559" w:type="dxa"/>
            <w:noWrap/>
            <w:vAlign w:val="center"/>
          </w:tcPr>
          <w:p w14:paraId="7AD9DD89">
            <w:pPr>
              <w:keepNext w:val="0"/>
              <w:keepLines w:val="0"/>
              <w:pageBreakBefore w:val="0"/>
              <w:widowControl/>
              <w:suppressLineNumbers w:val="0"/>
              <w:kinsoku/>
              <w:overflowPunct/>
              <w:topLinePunct w:val="0"/>
              <w:bidi w:val="0"/>
              <w:spacing w:before="0" w:beforeAutospacing="0" w:after="0" w:afterAutospacing="0" w:line="40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463000.00</w:t>
            </w:r>
          </w:p>
        </w:tc>
        <w:tc>
          <w:tcPr>
            <w:tcW w:w="3860" w:type="dxa"/>
            <w:noWrap/>
            <w:vAlign w:val="center"/>
          </w:tcPr>
          <w:p w14:paraId="0E82767B">
            <w:pPr>
              <w:keepNext w:val="0"/>
              <w:keepLines w:val="0"/>
              <w:pageBreakBefore w:val="0"/>
              <w:suppressLineNumbers w:val="0"/>
              <w:kinsoku/>
              <w:wordWrap w:val="0"/>
              <w:overflowPunct/>
              <w:topLinePunct w:val="0"/>
              <w:bidi w:val="0"/>
              <w:adjustRightInd w:val="0"/>
              <w:snapToGrid w:val="0"/>
              <w:spacing w:before="0" w:beforeAutospacing="0" w:after="0" w:afterAutospacing="0" w:line="400" w:lineRule="exact"/>
              <w:ind w:left="0" w:righ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设计费自行报价，结算按设计费的中标价包干不作任何调整。设计费的报价应包含各个不同专业的设计费用、进行优化设计或修改设计所增加的设计费用、各项专家评审的专家费用等。</w:t>
            </w:r>
          </w:p>
        </w:tc>
      </w:tr>
      <w:tr w14:paraId="55F67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32" w:type="dxa"/>
            <w:shd w:val="clear" w:color="auto" w:fill="auto"/>
            <w:noWrap/>
            <w:vAlign w:val="center"/>
          </w:tcPr>
          <w:p w14:paraId="7CB0CF27">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default" w:ascii="宋体" w:hAnsi="宋体" w:eastAsia="宋体" w:cs="宋体"/>
                <w:color w:val="auto"/>
                <w:kern w:val="1"/>
                <w:sz w:val="24"/>
                <w:szCs w:val="24"/>
                <w:highlight w:val="none"/>
                <w:lang w:val="en-US" w:eastAsia="zh-CN" w:bidi="ar-SA"/>
              </w:rPr>
            </w:pPr>
            <w:r>
              <w:rPr>
                <w:rFonts w:hint="eastAsia" w:hAnsi="宋体" w:eastAsia="宋体" w:cs="宋体"/>
                <w:color w:val="auto"/>
                <w:kern w:val="1"/>
                <w:sz w:val="24"/>
                <w:szCs w:val="24"/>
                <w:highlight w:val="none"/>
                <w:lang w:val="en-US" w:eastAsia="zh-CN" w:bidi="ar-SA"/>
              </w:rPr>
              <w:t>2</w:t>
            </w:r>
          </w:p>
        </w:tc>
        <w:tc>
          <w:tcPr>
            <w:tcW w:w="1258" w:type="dxa"/>
            <w:noWrap/>
            <w:vAlign w:val="center"/>
          </w:tcPr>
          <w:p w14:paraId="34DCC431">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1"/>
                <w:sz w:val="24"/>
                <w:szCs w:val="24"/>
                <w:highlight w:val="none"/>
              </w:rPr>
              <w:t>建安工程费</w:t>
            </w:r>
          </w:p>
        </w:tc>
        <w:tc>
          <w:tcPr>
            <w:tcW w:w="1732" w:type="dxa"/>
            <w:noWrap/>
            <w:vAlign w:val="center"/>
          </w:tcPr>
          <w:p w14:paraId="3F7DFF59">
            <w:pPr>
              <w:keepNext w:val="0"/>
              <w:keepLines w:val="0"/>
              <w:pageBreakBefore w:val="0"/>
              <w:widowControl/>
              <w:suppressLineNumbers w:val="0"/>
              <w:kinsoku/>
              <w:overflowPunct/>
              <w:topLinePunct w:val="0"/>
              <w:bidi w:val="0"/>
              <w:spacing w:before="0" w:beforeAutospacing="0" w:after="0" w:afterAutospacing="0" w:line="400" w:lineRule="exact"/>
              <w:ind w:left="0" w:right="0"/>
              <w:jc w:val="center"/>
              <w:textAlignment w:val="auto"/>
              <w:rPr>
                <w:rFonts w:hint="default"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30000000.00</w:t>
            </w:r>
          </w:p>
        </w:tc>
        <w:tc>
          <w:tcPr>
            <w:tcW w:w="1155" w:type="dxa"/>
            <w:noWrap/>
            <w:vAlign w:val="center"/>
          </w:tcPr>
          <w:p w14:paraId="29C96F7D">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eastAsia="zh-CN"/>
              </w:rPr>
              <w:t>≧</w:t>
            </w:r>
            <w:r>
              <w:rPr>
                <w:rFonts w:hint="eastAsia" w:ascii="宋体" w:hAnsi="宋体" w:eastAsia="宋体" w:cs="宋体"/>
                <w:color w:val="auto"/>
                <w:kern w:val="1"/>
                <w:sz w:val="24"/>
                <w:szCs w:val="24"/>
                <w:highlight w:val="none"/>
                <w:lang w:val="en-US" w:eastAsia="zh-CN"/>
              </w:rPr>
              <w:t>0</w:t>
            </w:r>
            <w:r>
              <w:rPr>
                <w:rFonts w:hint="eastAsia" w:ascii="宋体" w:hAnsi="宋体" w:eastAsia="宋体" w:cs="宋体"/>
                <w:color w:val="auto"/>
                <w:kern w:val="1"/>
                <w:sz w:val="24"/>
                <w:szCs w:val="24"/>
                <w:highlight w:val="none"/>
                <w:lang w:eastAsia="zh-CN"/>
              </w:rPr>
              <w:t>.00%</w:t>
            </w:r>
          </w:p>
        </w:tc>
        <w:tc>
          <w:tcPr>
            <w:tcW w:w="1559" w:type="dxa"/>
            <w:noWrap/>
            <w:vAlign w:val="center"/>
          </w:tcPr>
          <w:p w14:paraId="4C9949ED">
            <w:pPr>
              <w:keepNext w:val="0"/>
              <w:keepLines w:val="0"/>
              <w:pageBreakBefore w:val="0"/>
              <w:widowControl/>
              <w:suppressLineNumbers w:val="0"/>
              <w:kinsoku/>
              <w:overflowPunct/>
              <w:topLinePunct w:val="0"/>
              <w:bidi w:val="0"/>
              <w:spacing w:before="0" w:beforeAutospacing="0" w:after="0" w:afterAutospacing="0" w:line="400" w:lineRule="exact"/>
              <w:ind w:left="0" w:leftChars="0" w:right="0" w:rightChars="0"/>
              <w:jc w:val="center"/>
              <w:textAlignment w:val="auto"/>
              <w:rPr>
                <w:rFonts w:hint="eastAsia"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30000000.00</w:t>
            </w:r>
          </w:p>
        </w:tc>
        <w:tc>
          <w:tcPr>
            <w:tcW w:w="3860" w:type="dxa"/>
            <w:noWrap/>
            <w:vAlign w:val="center"/>
          </w:tcPr>
          <w:p w14:paraId="4C19E886">
            <w:pPr>
              <w:pStyle w:val="2"/>
              <w:pageBreakBefore w:val="0"/>
              <w:suppressLineNumbers w:val="0"/>
              <w:kinsoku/>
              <w:overflowPunct/>
              <w:topLinePunct w:val="0"/>
              <w:bidi w:val="0"/>
              <w:spacing w:before="0" w:beforeAutospacing="0" w:after="0" w:afterAutospacing="0" w:line="400" w:lineRule="exact"/>
              <w:ind w:left="0" w:right="0"/>
              <w:textAlignment w:val="auto"/>
              <w:rPr>
                <w:rFonts w:hint="eastAsia" w:ascii="宋体" w:hAnsi="宋体" w:eastAsia="宋体" w:cs="宋体"/>
                <w:color w:val="auto"/>
                <w:sz w:val="24"/>
                <w:szCs w:val="24"/>
                <w:highlight w:val="none"/>
                <w:lang w:val="zh-CN"/>
              </w:rPr>
            </w:pPr>
            <w:r>
              <w:rPr>
                <w:rFonts w:hint="eastAsia" w:ascii="宋体" w:hAnsi="宋体" w:eastAsia="宋体" w:cs="宋体"/>
                <w:b w:val="0"/>
                <w:color w:val="auto"/>
                <w:kern w:val="2"/>
                <w:sz w:val="24"/>
                <w:szCs w:val="24"/>
                <w:highlight w:val="none"/>
                <w:lang w:val="en-US" w:eastAsia="zh-CN" w:bidi="ar-SA"/>
              </w:rPr>
              <w:t>报价基数以</w:t>
            </w:r>
            <w:r>
              <w:rPr>
                <w:rFonts w:hint="eastAsia" w:ascii="宋体" w:hAnsi="宋体" w:eastAsia="宋体" w:cs="宋体"/>
                <w:b w:val="0"/>
                <w:color w:val="auto"/>
                <w:kern w:val="2"/>
                <w:sz w:val="24"/>
                <w:szCs w:val="24"/>
                <w:highlight w:val="none"/>
                <w:lang w:val="en-US" w:eastAsia="zh-CN"/>
              </w:rPr>
              <w:t>30000000.00</w:t>
            </w:r>
            <w:r>
              <w:rPr>
                <w:rFonts w:hint="eastAsia" w:ascii="宋体" w:hAnsi="宋体" w:eastAsia="宋体" w:cs="宋体"/>
                <w:b w:val="0"/>
                <w:color w:val="auto"/>
                <w:kern w:val="2"/>
                <w:sz w:val="24"/>
                <w:szCs w:val="24"/>
                <w:highlight w:val="none"/>
                <w:lang w:val="en-US" w:eastAsia="zh-CN" w:bidi="ar-SA"/>
              </w:rPr>
              <w:t>元为暂定价，投标人按最高投标限价自行报总价及投标下浮率。</w:t>
            </w:r>
          </w:p>
        </w:tc>
      </w:tr>
      <w:tr w14:paraId="25371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990" w:type="dxa"/>
            <w:gridSpan w:val="2"/>
            <w:noWrap/>
            <w:vAlign w:val="center"/>
          </w:tcPr>
          <w:p w14:paraId="190B2A40">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1"/>
                <w:sz w:val="24"/>
                <w:szCs w:val="24"/>
                <w:highlight w:val="none"/>
              </w:rPr>
              <w:t>合计</w:t>
            </w:r>
          </w:p>
        </w:tc>
        <w:tc>
          <w:tcPr>
            <w:tcW w:w="1732" w:type="dxa"/>
            <w:noWrap/>
            <w:vAlign w:val="center"/>
          </w:tcPr>
          <w:p w14:paraId="07EE7F88">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w:t>
            </w:r>
          </w:p>
        </w:tc>
        <w:tc>
          <w:tcPr>
            <w:tcW w:w="1155" w:type="dxa"/>
            <w:noWrap/>
            <w:vAlign w:val="center"/>
          </w:tcPr>
          <w:p w14:paraId="21E1673A">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w:t>
            </w:r>
          </w:p>
        </w:tc>
        <w:tc>
          <w:tcPr>
            <w:tcW w:w="1559" w:type="dxa"/>
            <w:noWrap/>
            <w:vAlign w:val="center"/>
          </w:tcPr>
          <w:p w14:paraId="4E7B1304">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default" w:ascii="宋体" w:hAnsi="宋体" w:eastAsia="宋体" w:cs="宋体"/>
                <w:color w:val="auto"/>
                <w:sz w:val="24"/>
                <w:szCs w:val="24"/>
                <w:highlight w:val="none"/>
                <w:lang w:val="en-US" w:eastAsia="zh-CN"/>
              </w:rPr>
            </w:pPr>
            <w:r>
              <w:rPr>
                <w:rFonts w:hint="eastAsia" w:hAnsi="宋体" w:cs="宋体"/>
                <w:color w:val="auto"/>
                <w:sz w:val="24"/>
                <w:szCs w:val="24"/>
                <w:highlight w:val="none"/>
                <w:u w:val="single"/>
                <w:lang w:val="en-US" w:eastAsia="zh-CN"/>
              </w:rPr>
              <w:t>30463000.00</w:t>
            </w:r>
          </w:p>
        </w:tc>
        <w:tc>
          <w:tcPr>
            <w:tcW w:w="3860" w:type="dxa"/>
            <w:noWrap/>
            <w:vAlign w:val="center"/>
          </w:tcPr>
          <w:p w14:paraId="0FB79166">
            <w:pPr>
              <w:keepNext w:val="0"/>
              <w:keepLines w:val="0"/>
              <w:pageBreakBefore w:val="0"/>
              <w:suppressLineNumbers w:val="0"/>
              <w:kinsoku/>
              <w:overflowPunct/>
              <w:topLinePunct w:val="0"/>
              <w:bidi w:val="0"/>
              <w:spacing w:before="0" w:beforeAutospacing="0" w:after="0" w:afterAutospacing="0" w:line="400" w:lineRule="exact"/>
              <w:ind w:left="0" w:right="0"/>
              <w:jc w:val="center"/>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w:t>
            </w:r>
          </w:p>
        </w:tc>
      </w:tr>
    </w:tbl>
    <w:p w14:paraId="4E74D911">
      <w:pPr>
        <w:pageBreakBefore w:val="0"/>
        <w:kinsoku/>
        <w:wordWrap w:val="0"/>
        <w:overflowPunct/>
        <w:topLinePunct w:val="0"/>
        <w:bidi w:val="0"/>
        <w:adjustRightInd w:val="0"/>
        <w:snapToGrid w:val="0"/>
        <w:spacing w:line="400" w:lineRule="exact"/>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注：投标报价及</w:t>
      </w:r>
      <w:r>
        <w:rPr>
          <w:rFonts w:hint="eastAsia" w:hAnsi="宋体" w:eastAsia="宋体" w:cs="宋体"/>
          <w:snapToGrid w:val="0"/>
          <w:color w:val="auto"/>
          <w:sz w:val="24"/>
          <w:szCs w:val="24"/>
          <w:highlight w:val="none"/>
          <w:lang w:val="en-US" w:eastAsia="zh-CN"/>
        </w:rPr>
        <w:t>投标下浮</w:t>
      </w:r>
      <w:r>
        <w:rPr>
          <w:rFonts w:hint="eastAsia" w:ascii="宋体" w:hAnsi="宋体" w:eastAsia="宋体" w:cs="宋体"/>
          <w:snapToGrid w:val="0"/>
          <w:color w:val="auto"/>
          <w:sz w:val="24"/>
          <w:szCs w:val="24"/>
          <w:highlight w:val="none"/>
        </w:rPr>
        <w:t>率均按“四舍五入”原则精确到两位小数，建安工程费投标报价=计算基数×（1-下浮率）。</w:t>
      </w:r>
    </w:p>
    <w:p w14:paraId="65E63CB4">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auto"/>
          <w:sz w:val="24"/>
          <w:szCs w:val="24"/>
          <w:highlight w:val="none"/>
        </w:rPr>
      </w:pPr>
      <w:bookmarkStart w:id="167" w:name="_Toc15"/>
      <w:bookmarkStart w:id="168" w:name="_Toc22474"/>
      <w:bookmarkStart w:id="169" w:name="_Toc27432"/>
      <w:r>
        <w:rPr>
          <w:rFonts w:hint="eastAsia" w:ascii="宋体" w:hAnsi="宋体" w:eastAsia="宋体" w:cs="宋体"/>
          <w:b/>
          <w:color w:val="auto"/>
          <w:sz w:val="24"/>
          <w:szCs w:val="24"/>
          <w:highlight w:val="none"/>
        </w:rPr>
        <w:t xml:space="preserve">11 </w:t>
      </w:r>
      <w:r>
        <w:rPr>
          <w:rFonts w:hint="eastAsia" w:ascii="宋体" w:hAnsi="宋体" w:eastAsia="宋体" w:cs="宋体"/>
          <w:b/>
          <w:color w:val="auto"/>
          <w:kern w:val="2"/>
          <w:sz w:val="24"/>
          <w:szCs w:val="24"/>
          <w:highlight w:val="none"/>
        </w:rPr>
        <w:t>投标</w:t>
      </w:r>
      <w:r>
        <w:rPr>
          <w:rFonts w:hint="eastAsia" w:ascii="宋体" w:hAnsi="宋体" w:eastAsia="宋体" w:cs="宋体"/>
          <w:b/>
          <w:color w:val="auto"/>
          <w:sz w:val="24"/>
          <w:szCs w:val="24"/>
          <w:highlight w:val="none"/>
        </w:rPr>
        <w:t>文件的编制</w:t>
      </w:r>
      <w:bookmarkStart w:id="170" w:name="_Hlt69332370"/>
      <w:bookmarkEnd w:id="170"/>
      <w:bookmarkStart w:id="171" w:name="_Hlt69208262"/>
      <w:bookmarkEnd w:id="171"/>
      <w:r>
        <w:rPr>
          <w:rFonts w:hint="eastAsia" w:ascii="宋体" w:hAnsi="宋体" w:eastAsia="宋体" w:cs="宋体"/>
          <w:b/>
          <w:color w:val="auto"/>
          <w:sz w:val="24"/>
          <w:szCs w:val="24"/>
          <w:highlight w:val="none"/>
        </w:rPr>
        <w:t>要求</w:t>
      </w:r>
      <w:bookmarkEnd w:id="158"/>
      <w:bookmarkEnd w:id="159"/>
      <w:bookmarkEnd w:id="160"/>
      <w:bookmarkEnd w:id="161"/>
      <w:bookmarkEnd w:id="162"/>
      <w:bookmarkEnd w:id="163"/>
      <w:bookmarkEnd w:id="164"/>
      <w:bookmarkEnd w:id="165"/>
      <w:bookmarkEnd w:id="166"/>
      <w:bookmarkEnd w:id="167"/>
      <w:bookmarkEnd w:id="168"/>
      <w:bookmarkEnd w:id="169"/>
    </w:p>
    <w:p w14:paraId="20122444">
      <w:pPr>
        <w:pStyle w:val="39"/>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auto"/>
          <w:sz w:val="24"/>
          <w:szCs w:val="24"/>
          <w:highlight w:val="none"/>
        </w:rPr>
      </w:pPr>
      <w:bookmarkStart w:id="172" w:name="_Hlt74497202"/>
      <w:bookmarkEnd w:id="172"/>
      <w:bookmarkStart w:id="173" w:name="_Hlt78768224"/>
      <w:bookmarkEnd w:id="173"/>
      <w:bookmarkStart w:id="174" w:name="_Hlt74495594"/>
      <w:bookmarkEnd w:id="174"/>
      <w:bookmarkStart w:id="175" w:name="_Toc28825"/>
      <w:bookmarkStart w:id="176" w:name="_Toc9696"/>
      <w:bookmarkStart w:id="177" w:name="_Toc5812"/>
      <w:bookmarkStart w:id="178" w:name="_Toc25295"/>
      <w:bookmarkStart w:id="179" w:name="_Toc12050"/>
      <w:bookmarkStart w:id="180" w:name="_Toc17330"/>
      <w:bookmarkStart w:id="181" w:name="_Toc11027"/>
      <w:bookmarkStart w:id="182" w:name="_Toc32061"/>
      <w:bookmarkStart w:id="183" w:name="_Toc2841"/>
      <w:bookmarkStart w:id="184" w:name="_Toc25051"/>
      <w:bookmarkStart w:id="185" w:name="_Toc6695"/>
      <w:bookmarkStart w:id="186" w:name="_Toc29847"/>
      <w:bookmarkStart w:id="187" w:name="_Toc13462"/>
      <w:bookmarkStart w:id="188" w:name="_Toc1042"/>
      <w:bookmarkStart w:id="189" w:name="_Toc437"/>
      <w:bookmarkStart w:id="190" w:name="_Toc20541"/>
      <w:r>
        <w:rPr>
          <w:rFonts w:hint="eastAsia" w:ascii="宋体" w:hAnsi="宋体" w:eastAsia="宋体" w:cs="宋体"/>
          <w:b/>
          <w:color w:val="auto"/>
          <w:sz w:val="24"/>
          <w:szCs w:val="24"/>
          <w:highlight w:val="none"/>
        </w:rPr>
        <w:t>11.1 一般要求</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01511B2">
      <w:pPr>
        <w:pStyle w:val="37"/>
        <w:pageBreakBefore w:val="0"/>
        <w:kinsoku/>
        <w:overflowPunct/>
        <w:topLinePunct w:val="0"/>
        <w:bidi w:val="0"/>
        <w:spacing w:line="400" w:lineRule="exact"/>
        <w:ind w:firstLineChars="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投标文件应按第</w:t>
      </w:r>
      <w:r>
        <w:rPr>
          <w:rFonts w:hint="eastAsia" w:ascii="宋体" w:hAnsi="宋体" w:eastAsia="宋体" w:cs="宋体"/>
          <w:snapToGrid w:val="0"/>
          <w:color w:val="auto"/>
          <w:kern w:val="0"/>
          <w:sz w:val="24"/>
          <w:szCs w:val="24"/>
          <w:highlight w:val="none"/>
          <w:lang w:eastAsia="zh-CN"/>
        </w:rPr>
        <w:t>五</w:t>
      </w:r>
      <w:r>
        <w:rPr>
          <w:rFonts w:hint="eastAsia" w:ascii="宋体" w:hAnsi="宋体" w:eastAsia="宋体" w:cs="宋体"/>
          <w:snapToGrid w:val="0"/>
          <w:color w:val="auto"/>
          <w:kern w:val="0"/>
          <w:sz w:val="24"/>
          <w:szCs w:val="24"/>
          <w:highlight w:val="none"/>
        </w:rPr>
        <w:t>章投标文件格式规定的内容，投标人提交的投标文件应当使用招标文件所提供的投标文件全部格式。</w:t>
      </w:r>
    </w:p>
    <w:p w14:paraId="7444C6F1">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11.1.1</w:t>
      </w:r>
      <w:r>
        <w:rPr>
          <w:rFonts w:hint="eastAsia" w:ascii="宋体" w:hAnsi="宋体" w:eastAsia="宋体" w:cs="宋体"/>
          <w:snapToGrid w:val="0"/>
          <w:color w:val="auto"/>
          <w:kern w:val="0"/>
          <w:sz w:val="24"/>
          <w:szCs w:val="24"/>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6682D319">
      <w:pPr>
        <w:pStyle w:val="27"/>
        <w:pageBreakBefore w:val="0"/>
        <w:kinsoku/>
        <w:overflowPunct/>
        <w:topLinePunct w:val="0"/>
        <w:bidi w:val="0"/>
        <w:spacing w:line="400" w:lineRule="exact"/>
        <w:ind w:firstLine="56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w:t>
      </w:r>
      <w:r>
        <w:rPr>
          <w:rFonts w:hint="eastAsia" w:ascii="宋体" w:hAnsi="宋体" w:eastAsia="宋体" w:cs="宋体"/>
          <w:snapToGrid w:val="0"/>
          <w:color w:val="auto"/>
          <w:kern w:val="0"/>
          <w:sz w:val="24"/>
          <w:szCs w:val="24"/>
          <w:highlight w:val="none"/>
        </w:rPr>
        <w:t>投标文件在电子投标时全部采用电子文档，投标文件所附证书证件均为原件彩色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 （广东省· 韶关市）（https://ygp.gdzwfw.gov.cn/ggzy-portal/#/440200/index）交易指引。</w:t>
      </w:r>
      <w:r>
        <w:rPr>
          <w:rFonts w:hint="eastAsia" w:ascii="宋体" w:hAnsi="宋体" w:eastAsia="宋体" w:cs="宋体"/>
          <w:color w:val="auto"/>
          <w:sz w:val="24"/>
          <w:szCs w:val="24"/>
          <w:highlight w:val="none"/>
        </w:rPr>
        <w:t>（注：组成联合体时，只须加盖联合体牵头人的公章，联合体其它成员可不盖章）。</w:t>
      </w:r>
    </w:p>
    <w:p w14:paraId="3FF8D192">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11.1.3 投标文件需按以下要求签字、盖章：</w:t>
      </w:r>
    </w:p>
    <w:p w14:paraId="585C7BAA">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电子投标文件：</w:t>
      </w:r>
    </w:p>
    <w:p w14:paraId="21E099EE">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11.1.3.1 投标文件封面、组成内容中凡注明“签字”处由要求的人员签字或电子签章；凡注明“签字或盖章”处由要求的人员签字或盖其私章（电子印章）；凡注明“签字并盖执业印章”处由要求的人员签字并盖其执业印章。</w:t>
      </w:r>
    </w:p>
    <w:p w14:paraId="7FF96208">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11.1.3.2 投标文件封套、封面、组成内容中凡要求录入投标人名称且注明“盖单位章”处盖单位法人公章（电子印章）</w:t>
      </w:r>
    </w:p>
    <w:p w14:paraId="26134D33">
      <w:pPr>
        <w:pStyle w:val="27"/>
        <w:pageBreakBefore w:val="0"/>
        <w:kinsoku/>
        <w:overflowPunct/>
        <w:topLinePunct w:val="0"/>
        <w:bidi w:val="0"/>
        <w:spacing w:line="400" w:lineRule="exact"/>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11.1.3.3 投标文件的签字均为签字人本人亲笔署名或签章（电子印章），其余部分的彩色扫描件无须另行签字、盖章。</w:t>
      </w:r>
    </w:p>
    <w:p w14:paraId="0F1288D3">
      <w:pPr>
        <w:pStyle w:val="27"/>
        <w:pageBreakBefore w:val="0"/>
        <w:kinsoku/>
        <w:overflowPunct/>
        <w:topLinePunct w:val="0"/>
        <w:bidi w:val="0"/>
        <w:spacing w:line="400" w:lineRule="exact"/>
        <w:ind w:firstLine="560"/>
        <w:textAlignment w:val="auto"/>
        <w:rPr>
          <w:rFonts w:hint="eastAsia" w:ascii="宋体" w:hAnsi="宋体" w:eastAsia="宋体" w:cs="宋体"/>
          <w:b/>
          <w:color w:val="auto"/>
          <w:sz w:val="24"/>
          <w:szCs w:val="24"/>
          <w:highlight w:val="none"/>
        </w:rPr>
      </w:pPr>
      <w:r>
        <w:rPr>
          <w:rFonts w:hint="eastAsia" w:ascii="宋体" w:hAnsi="宋体" w:eastAsia="宋体" w:cs="宋体"/>
          <w:snapToGrid w:val="0"/>
          <w:color w:val="auto"/>
          <w:kern w:val="0"/>
          <w:sz w:val="24"/>
          <w:szCs w:val="24"/>
          <w:highlight w:val="none"/>
        </w:rPr>
        <w:t>11.1.3.4 联合体投标的，除《联合体协议书》外，由联合体牵头人按以上要求签字（电子印章）、盖章（电子印章）即可。</w:t>
      </w:r>
      <w:bookmarkStart w:id="191" w:name="_Toc274313880"/>
      <w:bookmarkStart w:id="192" w:name="_Toc257031159"/>
    </w:p>
    <w:p w14:paraId="25FCEBC0">
      <w:pPr>
        <w:pStyle w:val="39"/>
        <w:pageBreakBefore w:val="0"/>
        <w:kinsoku/>
        <w:overflowPunct/>
        <w:topLinePunct w:val="0"/>
        <w:bidi w:val="0"/>
        <w:spacing w:line="400" w:lineRule="exact"/>
        <w:ind w:firstLine="482" w:firstLineChars="200"/>
        <w:jc w:val="both"/>
        <w:textAlignment w:val="auto"/>
        <w:rPr>
          <w:rFonts w:hint="eastAsia" w:ascii="宋体" w:hAnsi="宋体" w:eastAsia="宋体" w:cs="宋体"/>
          <w:b/>
          <w:color w:val="auto"/>
          <w:sz w:val="24"/>
          <w:szCs w:val="24"/>
          <w:highlight w:val="none"/>
        </w:rPr>
      </w:pPr>
      <w:bookmarkStart w:id="193" w:name="_Toc16107"/>
      <w:bookmarkStart w:id="194" w:name="_Toc27670"/>
      <w:bookmarkStart w:id="195" w:name="_Toc27606"/>
      <w:bookmarkStart w:id="196" w:name="_Toc26859"/>
      <w:bookmarkStart w:id="197" w:name="_Toc6622"/>
      <w:bookmarkStart w:id="198" w:name="_Toc38"/>
      <w:bookmarkStart w:id="199" w:name="_Toc18076"/>
      <w:bookmarkStart w:id="200" w:name="_Toc8355"/>
      <w:bookmarkStart w:id="201" w:name="_Toc23484"/>
      <w:bookmarkStart w:id="202" w:name="_Toc29894"/>
      <w:bookmarkStart w:id="203" w:name="_Toc18670"/>
      <w:bookmarkStart w:id="204" w:name="_Toc8656"/>
      <w:bookmarkStart w:id="205" w:name="_Toc20402"/>
      <w:bookmarkStart w:id="206" w:name="_Toc4699"/>
      <w:bookmarkStart w:id="207" w:name="_Toc22254"/>
      <w:bookmarkStart w:id="208" w:name="_Toc11114"/>
      <w:r>
        <w:rPr>
          <w:rFonts w:hint="eastAsia" w:ascii="宋体" w:hAnsi="宋体" w:eastAsia="宋体" w:cs="宋体"/>
          <w:b/>
          <w:color w:val="auto"/>
          <w:sz w:val="24"/>
          <w:szCs w:val="24"/>
          <w:highlight w:val="none"/>
        </w:rPr>
        <w:t xml:space="preserve">11.2 </w:t>
      </w:r>
      <w:bookmarkEnd w:id="191"/>
      <w:bookmarkEnd w:id="192"/>
      <w:bookmarkEnd w:id="193"/>
      <w:bookmarkEnd w:id="194"/>
      <w:bookmarkEnd w:id="195"/>
      <w:bookmarkEnd w:id="196"/>
      <w:bookmarkEnd w:id="197"/>
      <w:bookmarkEnd w:id="198"/>
      <w:bookmarkEnd w:id="199"/>
      <w:bookmarkEnd w:id="200"/>
      <w:r>
        <w:rPr>
          <w:rFonts w:hint="eastAsia" w:ascii="宋体" w:hAnsi="宋体" w:eastAsia="宋体" w:cs="宋体"/>
          <w:b/>
          <w:color w:val="auto"/>
          <w:sz w:val="24"/>
          <w:szCs w:val="24"/>
          <w:highlight w:val="none"/>
        </w:rPr>
        <w:t>投标标书的编制要求</w:t>
      </w:r>
      <w:bookmarkEnd w:id="201"/>
      <w:bookmarkEnd w:id="202"/>
      <w:bookmarkEnd w:id="203"/>
      <w:bookmarkEnd w:id="204"/>
      <w:bookmarkEnd w:id="205"/>
      <w:bookmarkEnd w:id="206"/>
      <w:bookmarkEnd w:id="207"/>
      <w:bookmarkEnd w:id="208"/>
    </w:p>
    <w:p w14:paraId="131B41B9">
      <w:pPr>
        <w:pStyle w:val="27"/>
        <w:pageBreakBefore w:val="0"/>
        <w:kinsoku/>
        <w:overflowPunct/>
        <w:topLinePunct w:val="0"/>
        <w:bidi w:val="0"/>
        <w:spacing w:line="400" w:lineRule="exact"/>
        <w:ind w:firstLine="561"/>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11.2.1 投标标书包括但不限于以下内容：</w:t>
      </w:r>
    </w:p>
    <w:p w14:paraId="6869A34B">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5BA7C031">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5CB548B8">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（3）《投标函》及《工程项目总价表》（格式二）；</w:t>
      </w:r>
    </w:p>
    <w:p w14:paraId="6CE5EB42">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7DC57E72">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0B6222E9">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24BD7DF1">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6DDCA942">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和银行转账单彩色扫描件；采用投标保证担保的，附银行保函彩色扫描件；采用投标保证保险的，附电子保单打印件）。</w:t>
      </w:r>
    </w:p>
    <w:p w14:paraId="5DC799A5">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092032C6">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31AC6BC3">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6CDACFAB">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7297C3C6">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（13）《项目设计负责人简历表》（格式十一）及所附资料；</w:t>
      </w:r>
    </w:p>
    <w:p w14:paraId="199DD970">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（14）《项目管理机构组成表》（格式十二）及所附资料；</w:t>
      </w:r>
    </w:p>
    <w:p w14:paraId="087E4EB6">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（15）本章第14.2目“评标方法”要求提供的评审资料（如有）；</w:t>
      </w:r>
    </w:p>
    <w:p w14:paraId="46E6A7F5">
      <w:pPr>
        <w:pStyle w:val="27"/>
        <w:pageBreakBefore w:val="0"/>
        <w:kinsoku/>
        <w:overflowPunct/>
        <w:topLinePunct w:val="0"/>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16）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关于投标总价下浮率超过15%的书面说明和佐证材料）。</w:t>
      </w:r>
    </w:p>
    <w:p w14:paraId="67EF85D8">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11.2.</w:t>
      </w:r>
      <w:r>
        <w:rPr>
          <w:rFonts w:hint="eastAsia" w:ascii="宋体" w:hAnsi="宋体" w:eastAsia="宋体" w:cs="宋体"/>
          <w:snapToGrid w:val="0"/>
          <w:color w:val="auto"/>
          <w:kern w:val="0"/>
          <w:sz w:val="24"/>
          <w:szCs w:val="24"/>
          <w:highlight w:val="none"/>
        </w:rPr>
        <w:t>2 本章第</w:t>
      </w:r>
      <w:r>
        <w:rPr>
          <w:rFonts w:hint="eastAsia" w:ascii="宋体" w:hAnsi="宋体" w:eastAsia="宋体" w:cs="宋体"/>
          <w:b/>
          <w:bCs/>
          <w:snapToGrid w:val="0"/>
          <w:color w:val="auto"/>
          <w:kern w:val="0"/>
          <w:sz w:val="24"/>
          <w:szCs w:val="24"/>
          <w:highlight w:val="none"/>
        </w:rPr>
        <w:t>11.2.1</w:t>
      </w:r>
      <w:r>
        <w:rPr>
          <w:rFonts w:hint="eastAsia" w:ascii="宋体" w:hAnsi="宋体" w:eastAsia="宋体" w:cs="宋体"/>
          <w:snapToGrid w:val="0"/>
          <w:color w:val="auto"/>
          <w:kern w:val="0"/>
          <w:sz w:val="24"/>
          <w:szCs w:val="24"/>
          <w:highlight w:val="none"/>
        </w:rPr>
        <w:t>目中所列出的投标标书组成内容中，第（1）至第（1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6C1E6D00">
      <w:pPr>
        <w:pageBreakBefore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highlight w:val="none"/>
        </w:rPr>
        <w:t>11.2.</w:t>
      </w:r>
      <w:r>
        <w:rPr>
          <w:rFonts w:hint="eastAsia" w:ascii="宋体" w:hAnsi="宋体" w:eastAsia="宋体" w:cs="宋体"/>
          <w:snapToGrid w:val="0"/>
          <w:color w:val="auto"/>
          <w:kern w:val="0"/>
          <w:sz w:val="24"/>
          <w:szCs w:val="24"/>
          <w:highlight w:val="none"/>
        </w:rPr>
        <w:t>3 投标标书的组成内容按本章第</w:t>
      </w:r>
      <w:r>
        <w:rPr>
          <w:rFonts w:hint="eastAsia" w:ascii="宋体" w:hAnsi="宋体" w:eastAsia="宋体" w:cs="宋体"/>
          <w:b/>
          <w:bCs/>
          <w:snapToGrid w:val="0"/>
          <w:color w:val="auto"/>
          <w:kern w:val="0"/>
          <w:sz w:val="24"/>
          <w:szCs w:val="24"/>
          <w:highlight w:val="none"/>
        </w:rPr>
        <w:t>11.2.1</w:t>
      </w:r>
      <w:r>
        <w:rPr>
          <w:rFonts w:hint="eastAsia" w:ascii="宋体" w:hAnsi="宋体" w:eastAsia="宋体" w:cs="宋体"/>
          <w:snapToGrid w:val="0"/>
          <w:color w:val="auto"/>
          <w:kern w:val="0"/>
          <w:sz w:val="24"/>
          <w:szCs w:val="24"/>
          <w:highlight w:val="none"/>
        </w:rPr>
        <w:t>目规定的顺序整理、编排后，逐页连续标记页码。</w:t>
      </w:r>
    </w:p>
    <w:p w14:paraId="4B532BB5">
      <w:pPr>
        <w:pStyle w:val="42"/>
        <w:pageBreakBefore w:val="0"/>
        <w:kinsoku/>
        <w:overflowPunct/>
        <w:topLinePunct w:val="0"/>
        <w:bidi w:val="0"/>
        <w:spacing w:line="400" w:lineRule="exact"/>
        <w:ind w:firstLine="482" w:firstLineChars="200"/>
        <w:textAlignment w:val="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特别说明：</w:t>
      </w:r>
    </w:p>
    <w:p w14:paraId="03044CDD">
      <w:pPr>
        <w:pStyle w:val="42"/>
        <w:pageBreakBefore w:val="0"/>
        <w:kinsoku/>
        <w:overflowPunct/>
        <w:topLinePunct w:val="0"/>
        <w:bidi w:val="0"/>
        <w:spacing w:line="400" w:lineRule="exact"/>
        <w:ind w:firstLine="482" w:firstLineChars="200"/>
        <w:textAlignment w:val="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1、本次招标投标时不要求编制施工组织设计。中标人中标后先按有关规定及要求提供设计成果文件，中标人设计成果确认经有关部门的审查及经有资质的审图机构审查合格通过，中标人还应编制施工组织设计及专项施工方案报监理及招标人审批，然后依据审图合格后的设计施工图编写施工组织设计，报有关部门审查批准后方可实施；中标人须向招标人提供经批准的施工组织设计一式五份。</w:t>
      </w:r>
    </w:p>
    <w:p w14:paraId="5661D678">
      <w:pPr>
        <w:pStyle w:val="42"/>
        <w:pageBreakBefore w:val="0"/>
        <w:kinsoku/>
        <w:overflowPunct/>
        <w:topLinePunct w:val="0"/>
        <w:bidi w:val="0"/>
        <w:spacing w:line="400" w:lineRule="exact"/>
        <w:ind w:firstLine="482" w:firstLineChars="200"/>
        <w:textAlignment w:val="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2、本次招标投标时不要求按编制工程量清单计价模式进行投标报价。</w:t>
      </w:r>
      <w:bookmarkStart w:id="209" w:name="_Toc13003"/>
      <w:bookmarkStart w:id="210" w:name="_Toc27175"/>
      <w:bookmarkStart w:id="211" w:name="_Toc1583"/>
      <w:bookmarkStart w:id="212" w:name="_Toc11926"/>
      <w:bookmarkStart w:id="213" w:name="_Toc11313"/>
      <w:bookmarkStart w:id="214" w:name="_Toc17812"/>
      <w:bookmarkStart w:id="215" w:name="_Toc17459"/>
      <w:bookmarkStart w:id="216" w:name="_Toc14130"/>
    </w:p>
    <w:p w14:paraId="60453FCD">
      <w:pPr>
        <w:pStyle w:val="42"/>
        <w:pageBreakBefore w:val="0"/>
        <w:kinsoku/>
        <w:overflowPunct/>
        <w:topLinePunct w:val="0"/>
        <w:bidi w:val="0"/>
        <w:spacing w:line="400" w:lineRule="exact"/>
        <w:ind w:firstLine="482" w:firstLineChars="200"/>
        <w:textAlignment w:val="auto"/>
        <w:rPr>
          <w:rFonts w:hint="eastAsia" w:ascii="宋体" w:hAnsi="宋体" w:eastAsia="宋体" w:cs="宋体"/>
          <w:b/>
          <w:snapToGrid w:val="0"/>
          <w:color w:val="auto"/>
          <w:sz w:val="24"/>
          <w:szCs w:val="24"/>
          <w:highlight w:val="none"/>
        </w:rPr>
      </w:pPr>
      <w:r>
        <w:rPr>
          <w:rFonts w:hint="eastAsia" w:ascii="宋体" w:hAnsi="宋体" w:eastAsia="宋体" w:cs="宋体"/>
          <w:b/>
          <w:color w:val="auto"/>
          <w:sz w:val="24"/>
          <w:szCs w:val="24"/>
          <w:highlight w:val="none"/>
        </w:rPr>
        <w:t>11.3</w:t>
      </w:r>
      <w:bookmarkEnd w:id="209"/>
      <w:bookmarkEnd w:id="210"/>
      <w:bookmarkEnd w:id="211"/>
      <w:bookmarkEnd w:id="212"/>
      <w:bookmarkEnd w:id="213"/>
      <w:bookmarkEnd w:id="214"/>
      <w:bookmarkEnd w:id="215"/>
      <w:bookmarkEnd w:id="216"/>
      <w:r>
        <w:rPr>
          <w:rFonts w:hint="eastAsia" w:ascii="宋体" w:hAnsi="宋体" w:eastAsia="宋体" w:cs="宋体"/>
          <w:b/>
          <w:snapToGrid w:val="0"/>
          <w:color w:val="auto"/>
          <w:sz w:val="24"/>
          <w:szCs w:val="24"/>
          <w:highlight w:val="none"/>
        </w:rPr>
        <w:t>电子投标</w:t>
      </w:r>
      <w:bookmarkStart w:id="217" w:name="_Hlt66511038"/>
      <w:bookmarkEnd w:id="217"/>
      <w:bookmarkStart w:id="218" w:name="_Hlt88627590"/>
      <w:bookmarkEnd w:id="218"/>
      <w:bookmarkStart w:id="219" w:name="_Hlt66200498"/>
      <w:bookmarkEnd w:id="219"/>
      <w:bookmarkStart w:id="220" w:name="_Toc27961"/>
    </w:p>
    <w:p w14:paraId="0E8B5919">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11.3.1、在交易平台上传加盖了电子印章的投标文件、录入相关信息及标书页码信息，并提交投标标书（页码起始从封面开始）。提交标书为已加密投标文件。具体操作参照《韶关市公共资源建设工程交易系统-投标人操作指南（电子评标）》。</w:t>
      </w:r>
    </w:p>
    <w:p w14:paraId="7E45816A">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评标采用全流程电子化进行招标投标（投标人应在交易平台进行编辑投标相关内容、按招标文件电子投标要求上传已加盖电子印章的投标文件，否则将自行承担不利后果）。投标人在交易平台按要求上传加盖电子印章并经加密的电子投标文件，并在交易平台录入准确的页码信息即可完成在线投标。由于投标人原因导致未按投标截</w:t>
      </w:r>
      <w:r>
        <w:rPr>
          <w:rFonts w:hint="eastAsia" w:ascii="宋体" w:hAnsi="宋体" w:eastAsia="宋体" w:cs="宋体"/>
          <w:bCs/>
          <w:color w:val="auto"/>
          <w:sz w:val="24"/>
          <w:szCs w:val="24"/>
          <w:highlight w:val="none"/>
          <w:lang w:val="en-US" w:eastAsia="zh-CN"/>
        </w:rPr>
        <w:t>止</w:t>
      </w:r>
      <w:r>
        <w:rPr>
          <w:rFonts w:hint="eastAsia" w:ascii="宋体" w:hAnsi="宋体" w:eastAsia="宋体" w:cs="宋体"/>
          <w:bCs/>
          <w:color w:val="auto"/>
          <w:sz w:val="24"/>
          <w:szCs w:val="24"/>
          <w:highlight w:val="none"/>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65DD1A38">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投标文件完成上传后，投标人应使用 CA 数字证书对投标文件进行文件加密，形成加密的投标文件并提交标书。</w:t>
      </w:r>
    </w:p>
    <w:p w14:paraId="63DB1F6C">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11.3.2电子投标文件的修改、撤回：在提交投标文件截止时间前，投标人可以修改或撤回未解密的电子投标文件，并于提交投标文件截止时间前将重新上传修改后的电子投标文件至交易平台，到达投标文件提交截止时间后投标人不得撤回、补充、修改和更换投标文件。</w:t>
      </w:r>
    </w:p>
    <w:p w14:paraId="6E2437AE">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11.3.3电子投标及投标解密失败及突发情况的补救方案</w:t>
      </w:r>
    </w:p>
    <w:p w14:paraId="54B90BB5">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11.3.3.1按照交易平台关于全流程电子化项目的相关指南进行操作。详见：全国公共资源交易平台（广东省·韶关市）发布的最新版操作指南。</w:t>
      </w:r>
    </w:p>
    <w:p w14:paraId="11BD928D">
      <w:pPr>
        <w:pStyle w:val="42"/>
        <w:pageBreakBefore w:val="0"/>
        <w:kinsoku/>
        <w:overflowPunct/>
        <w:topLinePunct w:val="0"/>
        <w:bidi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11.3.3.2补救方案</w:t>
      </w:r>
    </w:p>
    <w:p w14:paraId="094E6B4D">
      <w:pPr>
        <w:pStyle w:val="42"/>
        <w:pageBreakBefore w:val="0"/>
        <w:numPr>
          <w:ilvl w:val="0"/>
          <w:numId w:val="1"/>
        </w:numPr>
        <w:kinsoku/>
        <w:overflowPunct/>
        <w:topLinePunct w:val="0"/>
        <w:bidi w:val="0"/>
        <w:spacing w:line="400" w:lineRule="exact"/>
        <w:ind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sz w:val="24"/>
          <w:szCs w:val="24"/>
          <w:highlight w:val="none"/>
        </w:rPr>
        <w:t>投标文件解密失败的补救方案：</w:t>
      </w:r>
      <w:bookmarkStart w:id="221" w:name="_Toc28927"/>
    </w:p>
    <w:p w14:paraId="09B2F52D">
      <w:pPr>
        <w:pStyle w:val="42"/>
        <w:pageBreakBefore w:val="0"/>
        <w:numPr>
          <w:ilvl w:val="0"/>
          <w:numId w:val="0"/>
        </w:numPr>
        <w:kinsoku/>
        <w:overflowPunct/>
        <w:topLinePunct w:val="0"/>
        <w:bidi w:val="0"/>
        <w:spacing w:line="400" w:lineRule="exact"/>
        <w:ind w:firstLine="720" w:firstLineChars="3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电子投标文件解密失败且未在规定的时限内按要求成功上传未加密的备用投标文件的，视为无效投标。</w:t>
      </w:r>
      <w:bookmarkEnd w:id="221"/>
      <w:bookmarkStart w:id="222" w:name="_Toc9612"/>
    </w:p>
    <w:p w14:paraId="24E2EF05">
      <w:pPr>
        <w:pStyle w:val="42"/>
        <w:pageBreakBefore w:val="0"/>
        <w:numPr>
          <w:ilvl w:val="0"/>
          <w:numId w:val="1"/>
        </w:numPr>
        <w:kinsoku/>
        <w:overflowPunct/>
        <w:topLinePunct w:val="0"/>
        <w:bidi w:val="0"/>
        <w:spacing w:line="400" w:lineRule="exact"/>
        <w:ind w:left="0" w:leftChars="0"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评标时突发情况的补救方案</w:t>
      </w:r>
      <w:bookmarkEnd w:id="222"/>
      <w:bookmarkStart w:id="223" w:name="_Toc6314"/>
      <w:r>
        <w:rPr>
          <w:rFonts w:hint="eastAsia" w:ascii="宋体" w:hAnsi="宋体" w:eastAsia="宋体" w:cs="宋体"/>
          <w:bCs/>
          <w:color w:val="auto"/>
          <w:kern w:val="2"/>
          <w:sz w:val="24"/>
          <w:szCs w:val="24"/>
          <w:highlight w:val="none"/>
          <w:lang w:eastAsia="zh-CN"/>
        </w:rPr>
        <w:t>：</w:t>
      </w:r>
    </w:p>
    <w:p w14:paraId="68107985">
      <w:pPr>
        <w:pStyle w:val="42"/>
        <w:pageBreakBefore w:val="0"/>
        <w:numPr>
          <w:ilvl w:val="0"/>
          <w:numId w:val="0"/>
        </w:numPr>
        <w:kinsoku/>
        <w:overflowPunct/>
        <w:topLinePunct w:val="0"/>
        <w:bidi w:val="0"/>
        <w:spacing w:line="400" w:lineRule="exact"/>
        <w:ind w:firstLine="960" w:firstLineChars="4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bookmarkEnd w:id="223"/>
      <w:bookmarkStart w:id="224" w:name="_Toc10157"/>
    </w:p>
    <w:p w14:paraId="549E2C0A">
      <w:pPr>
        <w:pStyle w:val="42"/>
        <w:pageBreakBefore w:val="0"/>
        <w:numPr>
          <w:ilvl w:val="0"/>
          <w:numId w:val="1"/>
        </w:numPr>
        <w:kinsoku/>
        <w:overflowPunct/>
        <w:topLinePunct w:val="0"/>
        <w:bidi w:val="0"/>
        <w:spacing w:line="400" w:lineRule="exact"/>
        <w:ind w:left="0" w:leftChars="0" w:firstLine="480" w:firstLine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除发生上述情况外，开标评标均以投标人通过交易平台网上递交的电子投标文件为准。</w:t>
      </w:r>
      <w:bookmarkEnd w:id="224"/>
      <w:bookmarkStart w:id="225" w:name="_Toc12675"/>
    </w:p>
    <w:p w14:paraId="24CCBEC6">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11.4 投标文件的提交、修改和撤回</w:t>
      </w:r>
      <w:bookmarkEnd w:id="220"/>
      <w:bookmarkEnd w:id="225"/>
      <w:bookmarkStart w:id="226" w:name="_Hlt69699424"/>
      <w:bookmarkEnd w:id="226"/>
      <w:bookmarkStart w:id="227" w:name="_Hlt75685366"/>
      <w:bookmarkEnd w:id="227"/>
      <w:bookmarkStart w:id="228" w:name="_Hlt92512875"/>
      <w:bookmarkEnd w:id="228"/>
      <w:bookmarkStart w:id="229" w:name="_Hlt74494779"/>
      <w:bookmarkEnd w:id="229"/>
      <w:bookmarkStart w:id="230" w:name="_Hlt66608380"/>
      <w:bookmarkEnd w:id="230"/>
      <w:bookmarkStart w:id="231" w:name="_Toc24469"/>
      <w:bookmarkStart w:id="232" w:name="_Toc22741"/>
      <w:bookmarkStart w:id="233" w:name="_Toc106418820"/>
      <w:bookmarkStart w:id="234" w:name="_Toc9838"/>
      <w:bookmarkStart w:id="235" w:name="_Toc7631"/>
      <w:bookmarkStart w:id="236" w:name="_Toc28454"/>
      <w:bookmarkStart w:id="237" w:name="_Toc4483"/>
      <w:bookmarkStart w:id="238" w:name="_Toc3050"/>
      <w:bookmarkStart w:id="239" w:name="_Toc24322"/>
      <w:bookmarkStart w:id="240" w:name="_Toc30635"/>
      <w:bookmarkStart w:id="241" w:name="_Toc104711075"/>
    </w:p>
    <w:p w14:paraId="692F1138">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11.4.1在投标文件提交截止时间前，投标人通过交易平台提交已加密投标文件。逾期提交的电子投标文件，交易平台将予以拒收。</w:t>
      </w:r>
      <w:bookmarkEnd w:id="231"/>
      <w:bookmarkStart w:id="242" w:name="_Toc25103"/>
    </w:p>
    <w:p w14:paraId="537ABAFF">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11.4.2提交时间：见本章第二节“重要事项时间地点一览表”。</w:t>
      </w:r>
      <w:bookmarkEnd w:id="242"/>
      <w:bookmarkStart w:id="243" w:name="_Toc9791"/>
    </w:p>
    <w:p w14:paraId="34C9D55A">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11.4.3投标人无须进行现场签到，如有招标文件要求提交的用于评审的证书、证件、证明原件等投标相关资料，投标人可在规定的地点、时间内递交至开标现场（附一式两份清单），无原件的不作要求。</w:t>
      </w:r>
      <w:bookmarkEnd w:id="243"/>
      <w:bookmarkStart w:id="244" w:name="_Toc25029"/>
    </w:p>
    <w:p w14:paraId="515FBD08">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11.4.4 递交时间和地点：见本章第二节“重要事项时间地点一览表”。</w:t>
      </w:r>
      <w:bookmarkEnd w:id="244"/>
      <w:bookmarkStart w:id="245" w:name="_Toc5665"/>
    </w:p>
    <w:p w14:paraId="5F53F24F">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11.4.5 投标人代表到达现场后，应出示以下身份证明材料：</w:t>
      </w:r>
      <w:bookmarkEnd w:id="245"/>
      <w:bookmarkStart w:id="246" w:name="_Toc1714"/>
    </w:p>
    <w:p w14:paraId="28DB9F63">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（1）本人有效的第二代居民身份证；</w:t>
      </w:r>
      <w:bookmarkEnd w:id="246"/>
      <w:bookmarkStart w:id="247" w:name="_Toc30085"/>
      <w:bookmarkStart w:id="248" w:name="_Toc1212"/>
    </w:p>
    <w:p w14:paraId="551DC1C2">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（2）法定代表人到场的，出示《法定代表人身份证明》（格式五）；委托代理人到场的，应同时出示《授权委托书》（格式四）和《法定代表人身份证明》。</w:t>
      </w:r>
      <w:bookmarkEnd w:id="247"/>
      <w:bookmarkEnd w:id="248"/>
      <w:bookmarkStart w:id="249" w:name="_Toc29016"/>
      <w:bookmarkStart w:id="250" w:name="_Toc21384"/>
      <w:r>
        <w:rPr>
          <w:rFonts w:hint="eastAsia" w:ascii="宋体" w:hAnsi="宋体" w:eastAsia="宋体" w:cs="宋体"/>
          <w:bCs/>
          <w:color w:val="auto"/>
          <w:kern w:val="2"/>
          <w:sz w:val="24"/>
          <w:szCs w:val="24"/>
          <w:highlight w:val="none"/>
        </w:rPr>
        <w:t>11.4.6联合体投标的，由联合体牵头人按以上要求递交投标相关资料。</w:t>
      </w:r>
      <w:bookmarkEnd w:id="249"/>
      <w:bookmarkEnd w:id="250"/>
      <w:bookmarkStart w:id="251" w:name="_Toc13703"/>
      <w:bookmarkStart w:id="252" w:name="_Toc16520"/>
    </w:p>
    <w:p w14:paraId="16F4B2F4">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11.4.7招标人或其授权的招标代理机构核对、接收投标人递交的投标相关资料后，应并妥善保管。</w:t>
      </w:r>
      <w:bookmarkEnd w:id="251"/>
      <w:bookmarkEnd w:id="252"/>
      <w:bookmarkStart w:id="253" w:name="_Toc20579"/>
      <w:bookmarkStart w:id="254" w:name="_Toc27930"/>
    </w:p>
    <w:p w14:paraId="64652B49">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11.4.8 投标人发生以下情形的，其投标相关资料招标人不予接收：</w:t>
      </w:r>
      <w:bookmarkEnd w:id="253"/>
      <w:bookmarkEnd w:id="254"/>
      <w:bookmarkStart w:id="255" w:name="_Toc12964"/>
      <w:bookmarkStart w:id="256" w:name="_Toc31045"/>
    </w:p>
    <w:p w14:paraId="075591FF">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（1）未在指定的时间和地点递交的；</w:t>
      </w:r>
      <w:bookmarkEnd w:id="255"/>
      <w:bookmarkEnd w:id="256"/>
      <w:bookmarkStart w:id="257" w:name="_Toc17194"/>
      <w:bookmarkStart w:id="258" w:name="_Toc20092"/>
    </w:p>
    <w:p w14:paraId="3519E4B4">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（2）到场人员未出示身份证明材料的。</w:t>
      </w:r>
      <w:bookmarkEnd w:id="257"/>
      <w:bookmarkEnd w:id="258"/>
      <w:bookmarkStart w:id="259" w:name="_Toc17679"/>
      <w:bookmarkStart w:id="260" w:name="_Toc2815"/>
    </w:p>
    <w:p w14:paraId="0CDA17DD">
      <w:pPr>
        <w:pStyle w:val="42"/>
        <w:pageBreakBefore w:val="0"/>
        <w:numPr>
          <w:ilvl w:val="0"/>
          <w:numId w:val="0"/>
        </w:numPr>
        <w:kinsoku/>
        <w:overflowPunct/>
        <w:topLinePunct w:val="0"/>
        <w:bidi w:val="0"/>
        <w:spacing w:line="400" w:lineRule="exact"/>
        <w:ind w:leftChars="200"/>
        <w:textAlignment w:val="auto"/>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rPr>
        <w:t>11.4..9出现下述情形之一，属于未成功提交投标文件，按无效投标处理：</w:t>
      </w:r>
      <w:bookmarkEnd w:id="259"/>
      <w:bookmarkEnd w:id="260"/>
    </w:p>
    <w:p w14:paraId="3E3F86FC">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auto"/>
          <w:kern w:val="2"/>
          <w:sz w:val="24"/>
          <w:szCs w:val="24"/>
          <w:highlight w:val="none"/>
        </w:rPr>
      </w:pPr>
      <w:bookmarkStart w:id="261" w:name="_Toc21228"/>
      <w:bookmarkStart w:id="262" w:name="_Toc17300"/>
      <w:bookmarkStart w:id="263" w:name="_Toc22805"/>
      <w:bookmarkStart w:id="264" w:name="_Toc24038"/>
      <w:bookmarkStart w:id="265" w:name="_Toc25857"/>
      <w:r>
        <w:rPr>
          <w:rFonts w:hint="eastAsia" w:ascii="宋体" w:hAnsi="宋体" w:eastAsia="宋体" w:cs="宋体"/>
          <w:bCs/>
          <w:color w:val="auto"/>
          <w:kern w:val="2"/>
          <w:sz w:val="24"/>
          <w:szCs w:val="24"/>
          <w:highlight w:val="none"/>
        </w:rPr>
        <w:t>（1）至提交投标文件截止时，投标文件未完整上传或未提交投标；</w:t>
      </w:r>
      <w:bookmarkEnd w:id="261"/>
      <w:bookmarkEnd w:id="262"/>
      <w:bookmarkEnd w:id="263"/>
      <w:bookmarkEnd w:id="264"/>
      <w:bookmarkEnd w:id="265"/>
    </w:p>
    <w:p w14:paraId="56A87CB6">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auto"/>
          <w:kern w:val="2"/>
          <w:sz w:val="24"/>
          <w:szCs w:val="24"/>
          <w:highlight w:val="none"/>
        </w:rPr>
      </w:pPr>
      <w:bookmarkStart w:id="266" w:name="_Toc901"/>
      <w:bookmarkStart w:id="267" w:name="_Toc26257"/>
      <w:bookmarkStart w:id="268" w:name="_Toc18677"/>
      <w:bookmarkStart w:id="269" w:name="_Toc10568"/>
      <w:bookmarkStart w:id="270" w:name="_Toc7365"/>
      <w:r>
        <w:rPr>
          <w:rFonts w:hint="eastAsia" w:ascii="宋体" w:hAnsi="宋体" w:eastAsia="宋体" w:cs="宋体"/>
          <w:bCs/>
          <w:color w:val="auto"/>
          <w:kern w:val="2"/>
          <w:sz w:val="24"/>
          <w:szCs w:val="24"/>
          <w:highlight w:val="none"/>
        </w:rPr>
        <w:t>（2）投标文件未按投标格式中注明需签字盖章的要求进行签名（含电子签名）和加盖电子印章，或签名（含电子签名）或电子印章不完整的；</w:t>
      </w:r>
      <w:bookmarkEnd w:id="266"/>
      <w:bookmarkEnd w:id="267"/>
      <w:bookmarkEnd w:id="268"/>
      <w:bookmarkEnd w:id="269"/>
      <w:bookmarkEnd w:id="270"/>
    </w:p>
    <w:p w14:paraId="318CCCC7">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auto"/>
          <w:kern w:val="2"/>
          <w:sz w:val="24"/>
          <w:szCs w:val="24"/>
          <w:highlight w:val="none"/>
        </w:rPr>
      </w:pPr>
      <w:bookmarkStart w:id="271" w:name="_Toc30634"/>
      <w:bookmarkStart w:id="272" w:name="_Toc8891"/>
      <w:bookmarkStart w:id="273" w:name="_Toc2567"/>
      <w:bookmarkStart w:id="274" w:name="_Toc4175"/>
      <w:bookmarkStart w:id="275" w:name="_Toc23907"/>
      <w:r>
        <w:rPr>
          <w:rFonts w:hint="eastAsia" w:ascii="宋体" w:hAnsi="宋体" w:eastAsia="宋体" w:cs="宋体"/>
          <w:bCs/>
          <w:color w:val="auto"/>
          <w:kern w:val="2"/>
          <w:sz w:val="24"/>
          <w:szCs w:val="24"/>
          <w:highlight w:val="none"/>
        </w:rPr>
        <w:t>（3）解密失败且在规定时间内未重新提交投标文件的；</w:t>
      </w:r>
      <w:bookmarkEnd w:id="271"/>
      <w:bookmarkEnd w:id="272"/>
      <w:bookmarkEnd w:id="273"/>
      <w:bookmarkEnd w:id="274"/>
      <w:bookmarkEnd w:id="275"/>
    </w:p>
    <w:p w14:paraId="2F788BCE">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Cs/>
          <w:color w:val="auto"/>
          <w:kern w:val="2"/>
          <w:sz w:val="24"/>
          <w:szCs w:val="24"/>
          <w:highlight w:val="none"/>
        </w:rPr>
      </w:pPr>
      <w:bookmarkStart w:id="276" w:name="_Toc31134"/>
      <w:bookmarkStart w:id="277" w:name="_Toc26444"/>
      <w:bookmarkStart w:id="278" w:name="_Toc11040"/>
      <w:bookmarkStart w:id="279" w:name="_Toc27644"/>
      <w:bookmarkStart w:id="280" w:name="_Toc8466"/>
      <w:r>
        <w:rPr>
          <w:rFonts w:hint="eastAsia" w:ascii="宋体" w:hAnsi="宋体" w:eastAsia="宋体" w:cs="宋体"/>
          <w:bCs/>
          <w:color w:val="auto"/>
          <w:kern w:val="2"/>
          <w:sz w:val="24"/>
          <w:szCs w:val="24"/>
          <w:highlight w:val="none"/>
        </w:rPr>
        <w:t>（4）投标文件损坏或格式不正确的。</w:t>
      </w:r>
      <w:bookmarkEnd w:id="276"/>
      <w:bookmarkEnd w:id="277"/>
      <w:bookmarkEnd w:id="278"/>
      <w:bookmarkEnd w:id="279"/>
      <w:bookmarkEnd w:id="280"/>
    </w:p>
    <w:p w14:paraId="098B7254">
      <w:pPr>
        <w:pStyle w:val="29"/>
        <w:keepNext/>
        <w:keepLines/>
        <w:pageBreakBefore w:val="0"/>
        <w:kinsoku/>
        <w:overflowPunct/>
        <w:topLinePunct w:val="0"/>
        <w:bidi w:val="0"/>
        <w:spacing w:line="400" w:lineRule="exact"/>
        <w:ind w:firstLine="480"/>
        <w:jc w:val="both"/>
        <w:textAlignment w:val="auto"/>
        <w:rPr>
          <w:rFonts w:hint="eastAsia" w:ascii="宋体" w:hAnsi="宋体" w:eastAsia="宋体" w:cs="宋体"/>
          <w:b/>
          <w:color w:val="auto"/>
          <w:kern w:val="2"/>
          <w:sz w:val="24"/>
          <w:szCs w:val="24"/>
          <w:highlight w:val="none"/>
        </w:rPr>
      </w:pPr>
      <w:bookmarkStart w:id="281" w:name="_Toc5659"/>
      <w:bookmarkStart w:id="282" w:name="_Toc24359"/>
      <w:bookmarkStart w:id="283" w:name="_Toc22623"/>
      <w:bookmarkStart w:id="284" w:name="_Toc25658"/>
      <w:bookmarkStart w:id="285" w:name="_Toc23010"/>
      <w:r>
        <w:rPr>
          <w:rFonts w:hint="eastAsia" w:ascii="宋体" w:hAnsi="宋体" w:eastAsia="宋体" w:cs="宋体"/>
          <w:b/>
          <w:color w:val="auto"/>
          <w:kern w:val="2"/>
          <w:sz w:val="24"/>
          <w:szCs w:val="24"/>
          <w:highlight w:val="none"/>
        </w:rPr>
        <w:t>12、 投标有效期及对投标人的其他要求</w:t>
      </w:r>
      <w:bookmarkEnd w:id="232"/>
      <w:bookmarkEnd w:id="233"/>
      <w:bookmarkEnd w:id="234"/>
      <w:bookmarkEnd w:id="235"/>
      <w:bookmarkEnd w:id="236"/>
      <w:bookmarkEnd w:id="237"/>
      <w:bookmarkEnd w:id="238"/>
      <w:bookmarkEnd w:id="239"/>
      <w:bookmarkEnd w:id="240"/>
      <w:bookmarkEnd w:id="241"/>
      <w:bookmarkEnd w:id="281"/>
      <w:bookmarkEnd w:id="282"/>
      <w:bookmarkEnd w:id="283"/>
      <w:bookmarkEnd w:id="284"/>
      <w:bookmarkEnd w:id="285"/>
    </w:p>
    <w:p w14:paraId="034601C8">
      <w:pPr>
        <w:pStyle w:val="27"/>
        <w:pageBreakBefore w:val="0"/>
        <w:kinsoku/>
        <w:overflowPunct/>
        <w:topLinePunct w:val="0"/>
        <w:bidi w:val="0"/>
        <w:spacing w:line="4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本次招标投标有效期为</w:t>
      </w:r>
      <w:r>
        <w:rPr>
          <w:rFonts w:hint="eastAsia" w:ascii="宋体" w:hAnsi="宋体" w:eastAsia="宋体" w:cs="宋体"/>
          <w:snapToGrid w:val="0"/>
          <w:color w:val="auto"/>
          <w:kern w:val="0"/>
          <w:sz w:val="24"/>
          <w:szCs w:val="24"/>
          <w:highlight w:val="none"/>
          <w:u w:val="single"/>
        </w:rPr>
        <w:t xml:space="preserve"> 120 </w:t>
      </w:r>
      <w:r>
        <w:rPr>
          <w:rFonts w:hint="eastAsia" w:ascii="宋体" w:hAnsi="宋体" w:eastAsia="宋体" w:cs="宋体"/>
          <w:snapToGrid w:val="0"/>
          <w:color w:val="auto"/>
          <w:kern w:val="0"/>
          <w:sz w:val="24"/>
          <w:szCs w:val="24"/>
          <w:highlight w:val="none"/>
        </w:rPr>
        <w:t>个日历天，投标有效期从提交投标文件的截止之日起计算。在此期间，投标人不得撤销或修改其投标文件，否则其投标保证不予退还。</w:t>
      </w:r>
    </w:p>
    <w:bookmarkEnd w:id="156"/>
    <w:p w14:paraId="598A0257">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auto"/>
          <w:sz w:val="24"/>
          <w:szCs w:val="24"/>
          <w:highlight w:val="none"/>
        </w:rPr>
      </w:pPr>
      <w:bookmarkStart w:id="286" w:name="_Hlt111081624"/>
      <w:bookmarkEnd w:id="286"/>
      <w:r>
        <w:rPr>
          <w:rFonts w:hint="eastAsia" w:ascii="宋体" w:hAnsi="宋体" w:eastAsia="宋体" w:cs="宋体"/>
          <w:b/>
          <w:color w:val="auto"/>
          <w:sz w:val="24"/>
          <w:szCs w:val="24"/>
          <w:highlight w:val="none"/>
        </w:rPr>
        <w:t>13 开标</w:t>
      </w:r>
    </w:p>
    <w:p w14:paraId="66B89989">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 招标人邀请所有正确完成了网上获取招标文件、电子投标、缴纳投标保证、递交投标文件的投标人参加开标，投标人可自主决定是否参加。投标人不参加开标的，视其默认开标结果，以及放弃在开标期间见证、监督、投诉、申辩的权利。</w:t>
      </w:r>
    </w:p>
    <w:p w14:paraId="5CA73E2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13.1.1 开标时间和地点：见本章第二节“重要事项时间地点一览表”。</w:t>
      </w:r>
    </w:p>
    <w:p w14:paraId="57479EE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13.1.2 开标前24小时，若交易平台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74E99EA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13.1.3本项目实行全流程电子化招标投标，投标人在交易平台按要求上传加盖电子印章并经加密的电子投标文件，并在交易平台录入准确的页码信息即可完成在线投标。由于投标人原因导致未按投标截</w:t>
      </w:r>
      <w:r>
        <w:rPr>
          <w:rFonts w:hint="eastAsia" w:ascii="宋体" w:hAnsi="宋体" w:eastAsia="宋体" w:cs="宋体"/>
          <w:bCs/>
          <w:color w:val="auto"/>
          <w:sz w:val="24"/>
          <w:szCs w:val="24"/>
          <w:highlight w:val="none"/>
          <w:lang w:val="en-US" w:eastAsia="zh-CN"/>
        </w:rPr>
        <w:t>止</w:t>
      </w:r>
      <w:r>
        <w:rPr>
          <w:rFonts w:hint="eastAsia" w:ascii="宋体" w:hAnsi="宋体" w:eastAsia="宋体" w:cs="宋体"/>
          <w:bCs/>
          <w:color w:val="auto"/>
          <w:sz w:val="24"/>
          <w:szCs w:val="24"/>
          <w:highlight w:val="none"/>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7C56048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13.2 开标程序</w:t>
      </w:r>
    </w:p>
    <w:p w14:paraId="28D0E94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（1）主持人（招标人代表或招标人授权的招标代理机构人员）宣读开标纪律。</w:t>
      </w:r>
    </w:p>
    <w:p w14:paraId="6F455CE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（2）主持人宣布唱标人、记录人、见证人、监督人等有关人员姓名。</w:t>
      </w:r>
    </w:p>
    <w:p w14:paraId="57812DA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（3）唱标人公布在投标截止时间前进行投标文件的投标人数量和名称</w:t>
      </w:r>
      <w:r>
        <w:rPr>
          <w:rFonts w:hint="eastAsia" w:ascii="宋体" w:hAnsi="宋体" w:eastAsia="宋体" w:cs="宋体"/>
          <w:bCs/>
          <w:color w:val="auto"/>
          <w:sz w:val="24"/>
          <w:szCs w:val="24"/>
          <w:highlight w:val="none"/>
          <w:lang w:eastAsia="zh-CN"/>
        </w:rPr>
        <w:t>。</w:t>
      </w:r>
    </w:p>
    <w:p w14:paraId="19A16F3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（4）招标代理机构会同交易场所工作人员对投标人的电子投标信息进行解密，建设工程交易系统自动生成《投标保证缴纳情况表》和《开标一览表》。</w:t>
      </w:r>
    </w:p>
    <w:p w14:paraId="7DA409E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707A4C8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因本工程采用全流程电子招标投标方式进行招标，投标人在唱标环节为解密唱标时，以网上电子解密唱标信息为准。全流程电子招标投标采用线上评审，以电子投标文件为准。如果两者报价不一致的，视为报价不唯一，其响应性评审不通过。</w:t>
      </w:r>
    </w:p>
    <w:p w14:paraId="1DF471B7">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13.3 投标人对开标相关事项（如开标程序等）有异议的，必须在开标期间及时提出，招标人或其授权的招标代理机构应当场作出答复，并记录在案。对开标事项的异议未在开标期间及时提出的，招标人不予受理。</w:t>
      </w:r>
    </w:p>
    <w:p w14:paraId="78D8432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13.4 招标代理机构将资料原件（若有）、《开标一览表》以及其他有关资料移交评标委员会。</w:t>
      </w:r>
    </w:p>
    <w:p w14:paraId="1EFA04D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p>
    <w:p w14:paraId="2FED5B03">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Cs/>
          <w:color w:val="auto"/>
          <w:sz w:val="24"/>
          <w:szCs w:val="24"/>
          <w:highlight w:val="none"/>
        </w:rPr>
      </w:pPr>
      <w:bookmarkStart w:id="287" w:name="_Toc21041"/>
      <w:r>
        <w:rPr>
          <w:rFonts w:hint="eastAsia" w:ascii="宋体" w:hAnsi="宋体" w:eastAsia="宋体" w:cs="宋体"/>
          <w:b/>
          <w:color w:val="auto"/>
          <w:sz w:val="24"/>
          <w:szCs w:val="24"/>
          <w:highlight w:val="none"/>
        </w:rPr>
        <w:t xml:space="preserve">14 </w:t>
      </w:r>
      <w:bookmarkStart w:id="288" w:name="_Hlt127093805"/>
      <w:bookmarkEnd w:id="288"/>
      <w:r>
        <w:rPr>
          <w:rFonts w:hint="eastAsia" w:ascii="宋体" w:hAnsi="宋体" w:eastAsia="宋体" w:cs="宋体"/>
          <w:b/>
          <w:color w:val="auto"/>
          <w:sz w:val="24"/>
          <w:szCs w:val="24"/>
          <w:highlight w:val="none"/>
        </w:rPr>
        <w:t>评标的方法和标准</w:t>
      </w:r>
      <w:bookmarkEnd w:id="287"/>
    </w:p>
    <w:p w14:paraId="2AA665D9">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 3 个中标候选人，并向招标人提交由全体评标委员会成员签字的评标报告。</w:t>
      </w:r>
    </w:p>
    <w:p w14:paraId="4A8009ED">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Cs/>
          <w:color w:val="auto"/>
          <w:sz w:val="24"/>
          <w:szCs w:val="24"/>
          <w:highlight w:val="none"/>
        </w:rPr>
      </w:pPr>
      <w:bookmarkStart w:id="289" w:name="_Toc32313"/>
      <w:r>
        <w:rPr>
          <w:rFonts w:hint="eastAsia" w:ascii="宋体" w:hAnsi="宋体" w:eastAsia="宋体" w:cs="宋体"/>
          <w:b/>
          <w:color w:val="auto"/>
          <w:sz w:val="24"/>
          <w:szCs w:val="24"/>
          <w:highlight w:val="none"/>
        </w:rPr>
        <w:t>14.1 评标</w:t>
      </w:r>
      <w:bookmarkStart w:id="290" w:name="_Hlt69208274"/>
      <w:bookmarkEnd w:id="290"/>
      <w:r>
        <w:rPr>
          <w:rFonts w:hint="eastAsia" w:ascii="宋体" w:hAnsi="宋体" w:eastAsia="宋体" w:cs="宋体"/>
          <w:b/>
          <w:color w:val="auto"/>
          <w:sz w:val="24"/>
          <w:szCs w:val="24"/>
          <w:highlight w:val="none"/>
        </w:rPr>
        <w:t>委员会</w:t>
      </w:r>
      <w:bookmarkEnd w:id="289"/>
      <w:bookmarkStart w:id="291" w:name="_Hlt69338169"/>
      <w:bookmarkEnd w:id="291"/>
    </w:p>
    <w:p w14:paraId="35AC599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14.1.1 评标委员会由5 人组成。专家从广东省综合评标评审专家库-韶关区域中随机抽取，其中技术类专家3人，经济类专家2人。评标委员会的负责人在评委中民主选出，负责人的权力与评委成员相等。</w:t>
      </w:r>
    </w:p>
    <w:p w14:paraId="1C0FDF93">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14.1.2 评标委员会应认真、公正、诚实、廉洁地履行职责。有下列情形之一的，不得担任评标委员会成员：</w:t>
      </w:r>
    </w:p>
    <w:p w14:paraId="674810E9">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14.1.2.1 投标人或者投标人主要负责人的近亲属；</w:t>
      </w:r>
    </w:p>
    <w:p w14:paraId="34E3B70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14.1.2.2 项目主管部门或者行政监督部门的人员；</w:t>
      </w:r>
    </w:p>
    <w:p w14:paraId="470DED5B">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14.1.2.3 与投标人有经济利益关系，可能影响对投标公正评审的；</w:t>
      </w:r>
    </w:p>
    <w:p w14:paraId="5F708E4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14.1.2.4 曾因在</w:t>
      </w:r>
      <w:bookmarkStart w:id="292" w:name="_Hlt69700387"/>
      <w:bookmarkEnd w:id="292"/>
      <w:r>
        <w:rPr>
          <w:rFonts w:hint="eastAsia" w:ascii="宋体" w:hAnsi="宋体" w:eastAsia="宋体" w:cs="宋体"/>
          <w:bCs/>
          <w:color w:val="auto"/>
          <w:sz w:val="24"/>
          <w:szCs w:val="24"/>
          <w:highlight w:val="none"/>
        </w:rPr>
        <w:t>招标、评标以及其他与招标投标有关活动中从事违法行为而受过行政处罚或刑事处罚的。</w:t>
      </w:r>
    </w:p>
    <w:p w14:paraId="4AE4AA7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14.1.3 评标委员会成员有前款规定情形之一的，应主动提出回避。</w:t>
      </w:r>
    </w:p>
    <w:p w14:paraId="676BF2B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14.1.4 评标全过程实行封闭式管理，在中标结果公布前，禁止评标委员会成员以任何方式私下接触投标人。</w:t>
      </w:r>
    </w:p>
    <w:p w14:paraId="29206A3B">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14.1.5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5A61766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14.1.6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3C86C2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p>
    <w:p w14:paraId="5D422E70">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
          <w:color w:val="auto"/>
          <w:sz w:val="24"/>
          <w:szCs w:val="24"/>
          <w:highlight w:val="none"/>
        </w:rPr>
      </w:pPr>
      <w:bookmarkStart w:id="293" w:name="_Toc106418823"/>
      <w:bookmarkStart w:id="294" w:name="_Toc104711078"/>
      <w:bookmarkStart w:id="295" w:name="_Toc17385"/>
      <w:r>
        <w:rPr>
          <w:rFonts w:hint="eastAsia" w:ascii="宋体" w:hAnsi="宋体" w:eastAsia="宋体" w:cs="宋体"/>
          <w:b/>
          <w:color w:val="auto"/>
          <w:sz w:val="24"/>
          <w:szCs w:val="24"/>
          <w:highlight w:val="none"/>
        </w:rPr>
        <w:t>14.2</w:t>
      </w:r>
      <w:bookmarkEnd w:id="293"/>
      <w:bookmarkEnd w:id="294"/>
      <w:r>
        <w:rPr>
          <w:rFonts w:hint="eastAsia" w:ascii="宋体" w:hAnsi="宋体" w:eastAsia="宋体" w:cs="宋体"/>
          <w:b/>
          <w:color w:val="auto"/>
          <w:sz w:val="24"/>
          <w:szCs w:val="24"/>
          <w:highlight w:val="none"/>
        </w:rPr>
        <w:t>评标方法</w:t>
      </w:r>
      <w:bookmarkEnd w:id="295"/>
    </w:p>
    <w:p w14:paraId="5ECC615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bookmarkStart w:id="296" w:name="_Hlt66591657"/>
      <w:bookmarkEnd w:id="296"/>
      <w:r>
        <w:rPr>
          <w:rFonts w:hint="eastAsia" w:ascii="宋体" w:hAnsi="宋体" w:eastAsia="宋体" w:cs="宋体"/>
          <w:bCs/>
          <w:color w:val="auto"/>
          <w:sz w:val="24"/>
          <w:szCs w:val="24"/>
          <w:highlight w:val="none"/>
        </w:rPr>
        <w:t>根据有关法律、法规的相关规定，结合本招标项目资金来源和规模特点，本次招标采用综合评估法进行评标。</w:t>
      </w:r>
    </w:p>
    <w:p w14:paraId="5D509D31">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14.2.1评审范围：评标委员会应对所有投标人的投标文件进行评审。</w:t>
      </w:r>
    </w:p>
    <w:p w14:paraId="581B0B73">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14.2.2 初步评审阶段</w:t>
      </w:r>
    </w:p>
    <w:p w14:paraId="3B7D636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初步评审阶段分为资格评审、形式评审和响应性评审三个环节。</w:t>
      </w:r>
    </w:p>
    <w:p w14:paraId="1F7E9C5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14.2.3资格评审环节</w:t>
      </w:r>
    </w:p>
    <w:p w14:paraId="0A0952D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资格评审事项包括：</w:t>
      </w:r>
    </w:p>
    <w:p w14:paraId="3806AB41">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（1）投标人是否符合本章第三节第 4.4条“禁止投标条款”规定。</w:t>
      </w:r>
    </w:p>
    <w:p w14:paraId="486A09E8">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（2）投标人名称是否与营业执照、资质证书、安全生产许可证一致。</w:t>
      </w:r>
    </w:p>
    <w:p w14:paraId="40A01AF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（3）投标人的资质是否符合招标文件规定；其营业执照、资质证书、安全生产许可证是否合法、有效、准确。</w:t>
      </w:r>
    </w:p>
    <w:p w14:paraId="5D98427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（4）《项目经理简历表》中拟派项目经理是否与《开标一览表》一致。</w:t>
      </w:r>
    </w:p>
    <w:p w14:paraId="5C8138CE">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拟派项目经理、项目技术负责人、专职安全员、设计负责人的条件是否符合招标文件规定；项目管理机构组成人员的各类证书、证件、证明是否合法、有效、准确；是否擅自修改、遗漏《项目经理任职声明》的实质性内容。</w:t>
      </w:r>
    </w:p>
    <w:p w14:paraId="776C0D7B">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工程投标。</w:t>
      </w:r>
    </w:p>
    <w:p w14:paraId="6C9C559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（7）投标人为外省建筑企业的，是否按规定在“进粤企业和人员诚信信息登记平台”录入企业及其拟派人员有关信息并通过数据规范检查。</w:t>
      </w:r>
    </w:p>
    <w:p w14:paraId="2B111535">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74D320A7">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14.2.4 形式评审环节</w:t>
      </w:r>
    </w:p>
    <w:p w14:paraId="4C89CFA3">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形式评审事项包括：</w:t>
      </w:r>
    </w:p>
    <w:p w14:paraId="4AFF5FE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投标文件是否按招标文件规定加盖电子印章。</w:t>
      </w:r>
    </w:p>
    <w:p w14:paraId="68CEC08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本节第11.2.2目中规定的“所有投标人均应提供”的组成内容（包括该组成内容的所附资料）是否完整、齐全。</w:t>
      </w:r>
    </w:p>
    <w:p w14:paraId="5A1E9E2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（3）是否出现关键字迹模糊、无法辨认；是否出现手工涂改、行间插字或删除，但未加盖单位章或由投标人的法定代表人或其委托代理人签字确认的。</w:t>
      </w:r>
    </w:p>
    <w:p w14:paraId="7C765D3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（4）投标文件是否按招标文件规定签字、盖章。</w:t>
      </w:r>
    </w:p>
    <w:p w14:paraId="0AF2446F">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14.2.5 响应性评审环节</w:t>
      </w:r>
    </w:p>
    <w:p w14:paraId="1374C03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响应性评审事项包括：</w:t>
      </w:r>
    </w:p>
    <w:p w14:paraId="3FA42277">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（1）投标有效期、质量标准、工期等是否响应招标文件实质性要求；是否擅自修改、遗漏《投标函》《各项承诺一览表》的实质性内容。</w:t>
      </w:r>
    </w:p>
    <w:p w14:paraId="6E0ED1A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（2）编投标总价是否唯一；投标总价是否超出最高投标限价；投标人是否以低于成本的价格竞标。</w:t>
      </w:r>
    </w:p>
    <w:p w14:paraId="797D532B">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5DF2497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14.2.6 否决投标说明</w:t>
      </w:r>
    </w:p>
    <w:p w14:paraId="0253A7B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0879A81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p>
    <w:p w14:paraId="16A95B1C">
      <w:pPr>
        <w:pStyle w:val="27"/>
        <w:pageBreakBefore w:val="0"/>
        <w:kinsoku/>
        <w:overflowPunct/>
        <w:topLinePunct w:val="0"/>
        <w:autoSpaceDE w:val="0"/>
        <w:autoSpaceDN w:val="0"/>
        <w:bidi w:val="0"/>
        <w:adjustRightInd w:val="0"/>
        <w:spacing w:line="400" w:lineRule="exact"/>
        <w:ind w:firstLine="482" w:firstLineChars="200"/>
        <w:textAlignment w:val="auto"/>
        <w:rPr>
          <w:rFonts w:hint="eastAsia" w:ascii="宋体" w:hAnsi="宋体" w:eastAsia="宋体" w:cs="宋体"/>
          <w:bCs/>
          <w:color w:val="auto"/>
          <w:sz w:val="24"/>
          <w:szCs w:val="24"/>
          <w:highlight w:val="none"/>
        </w:rPr>
      </w:pPr>
      <w:bookmarkStart w:id="297" w:name="_Toc18413"/>
      <w:r>
        <w:rPr>
          <w:rFonts w:hint="eastAsia" w:ascii="宋体" w:hAnsi="宋体" w:eastAsia="宋体" w:cs="宋体"/>
          <w:b/>
          <w:color w:val="auto"/>
          <w:sz w:val="24"/>
          <w:szCs w:val="24"/>
          <w:highlight w:val="none"/>
        </w:rPr>
        <w:t>14.3 详细评审阶段</w:t>
      </w:r>
      <w:bookmarkEnd w:id="297"/>
    </w:p>
    <w:p w14:paraId="17A044E9">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14.3.1 “综合评估法”评审程序</w:t>
      </w:r>
    </w:p>
    <w:p w14:paraId="2CB0CFA0">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评审内容分为商务</w:t>
      </w:r>
      <w:r>
        <w:rPr>
          <w:rFonts w:hint="eastAsia" w:ascii="宋体" w:hAnsi="宋体" w:eastAsia="宋体" w:cs="宋体"/>
          <w:bCs/>
          <w:color w:val="auto"/>
          <w:sz w:val="24"/>
          <w:szCs w:val="24"/>
          <w:highlight w:val="none"/>
          <w:lang w:eastAsia="zh-CN"/>
        </w:rPr>
        <w:t>部分、技术</w:t>
      </w:r>
      <w:r>
        <w:rPr>
          <w:rFonts w:hint="eastAsia" w:ascii="宋体" w:hAnsi="宋体" w:eastAsia="宋体" w:cs="宋体"/>
          <w:bCs/>
          <w:color w:val="auto"/>
          <w:sz w:val="24"/>
          <w:szCs w:val="24"/>
          <w:highlight w:val="none"/>
        </w:rPr>
        <w:t>部分和经济部分</w:t>
      </w:r>
      <w:r>
        <w:rPr>
          <w:rFonts w:hint="eastAsia" w:hAnsi="宋体" w:cs="宋体"/>
          <w:bCs/>
          <w:color w:val="auto"/>
          <w:sz w:val="24"/>
          <w:szCs w:val="24"/>
          <w:highlight w:val="none"/>
          <w:lang w:eastAsia="zh-CN"/>
        </w:rPr>
        <w:t>三</w:t>
      </w:r>
      <w:r>
        <w:rPr>
          <w:rFonts w:hint="eastAsia" w:ascii="宋体" w:hAnsi="宋体" w:eastAsia="宋体" w:cs="宋体"/>
          <w:bCs/>
          <w:color w:val="auto"/>
          <w:sz w:val="24"/>
          <w:szCs w:val="24"/>
          <w:highlight w:val="none"/>
        </w:rPr>
        <w:t>大部分，实行分项计分，以100分为满分。具体分值详见《综合评分表》。</w:t>
      </w:r>
    </w:p>
    <w:p w14:paraId="60F8A86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除特别注明外，综合得分以及商务部分得分、</w:t>
      </w:r>
      <w:r>
        <w:rPr>
          <w:rFonts w:hint="eastAsia" w:ascii="宋体" w:hAnsi="宋体" w:eastAsia="宋体" w:cs="宋体"/>
          <w:bCs/>
          <w:color w:val="auto"/>
          <w:sz w:val="24"/>
          <w:szCs w:val="24"/>
          <w:highlight w:val="none"/>
          <w:lang w:eastAsia="zh-CN"/>
        </w:rPr>
        <w:t>技术部分得分和</w:t>
      </w:r>
      <w:r>
        <w:rPr>
          <w:rFonts w:hint="eastAsia" w:ascii="宋体" w:hAnsi="宋体" w:eastAsia="宋体" w:cs="宋体"/>
          <w:bCs/>
          <w:color w:val="auto"/>
          <w:sz w:val="24"/>
          <w:szCs w:val="24"/>
          <w:highlight w:val="none"/>
        </w:rPr>
        <w:t>经济部分得分的中间过程计算值和最终值，均按“四舍五入”原则精确到两位小数。</w:t>
      </w:r>
    </w:p>
    <w:p w14:paraId="545702FA">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（1）商务部分得分</w:t>
      </w:r>
    </w:p>
    <w:p w14:paraId="14580DE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①评标委员会各成员独立按照《综合评分表》商务部分指定的评分标准对各评分因素进行打分。各评分因素得分之和即为某投标人的商务部分得分。</w:t>
      </w:r>
    </w:p>
    <w:p w14:paraId="6FE72A2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②全体评委对该投标人的商务部分总评分取平均值，按“四舍五入”原则精确到两位小数即为该投标人商务部分的最终得分。</w:t>
      </w:r>
    </w:p>
    <w:p w14:paraId="6EB0226D">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技术</w:t>
      </w:r>
      <w:r>
        <w:rPr>
          <w:rFonts w:hint="eastAsia" w:ascii="宋体" w:hAnsi="宋体" w:eastAsia="宋体" w:cs="宋体"/>
          <w:bCs/>
          <w:color w:val="auto"/>
          <w:sz w:val="24"/>
          <w:szCs w:val="24"/>
          <w:highlight w:val="none"/>
        </w:rPr>
        <w:t>部分得分</w:t>
      </w:r>
    </w:p>
    <w:p w14:paraId="60B434A4">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评标委员会各成员独立按照《综合评分表》技术部分指定的评分标准对各评分因素进行打分，累加后得出技术评分。将评标委员会所有成员的技术评分去掉一个最高分和一个最低分后，取算术平均值，即为某投标人的技术得分</w:t>
      </w:r>
    </w:p>
    <w:p w14:paraId="592DF3CC">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②全体评委对该投标人的</w:t>
      </w:r>
      <w:r>
        <w:rPr>
          <w:rFonts w:hint="eastAsia" w:ascii="宋体" w:hAnsi="宋体" w:eastAsia="宋体" w:cs="宋体"/>
          <w:bCs/>
          <w:color w:val="auto"/>
          <w:sz w:val="24"/>
          <w:szCs w:val="24"/>
          <w:highlight w:val="none"/>
          <w:lang w:val="en-US" w:eastAsia="zh-CN"/>
        </w:rPr>
        <w:t>技术</w:t>
      </w:r>
      <w:r>
        <w:rPr>
          <w:rFonts w:hint="eastAsia" w:ascii="宋体" w:hAnsi="宋体" w:eastAsia="宋体" w:cs="宋体"/>
          <w:bCs/>
          <w:color w:val="auto"/>
          <w:sz w:val="24"/>
          <w:szCs w:val="24"/>
          <w:highlight w:val="none"/>
        </w:rPr>
        <w:t>部分总评分取平均值，按“四舍五入”原则精确到两位小数即为该投标人</w:t>
      </w:r>
      <w:r>
        <w:rPr>
          <w:rFonts w:hint="eastAsia" w:ascii="宋体" w:hAnsi="宋体" w:eastAsia="宋体" w:cs="宋体"/>
          <w:bCs/>
          <w:color w:val="auto"/>
          <w:sz w:val="24"/>
          <w:szCs w:val="24"/>
          <w:highlight w:val="none"/>
          <w:lang w:val="en-US" w:eastAsia="zh-CN"/>
        </w:rPr>
        <w:t>技术</w:t>
      </w:r>
      <w:r>
        <w:rPr>
          <w:rFonts w:hint="eastAsia" w:ascii="宋体" w:hAnsi="宋体" w:eastAsia="宋体" w:cs="宋体"/>
          <w:bCs/>
          <w:color w:val="auto"/>
          <w:sz w:val="24"/>
          <w:szCs w:val="24"/>
          <w:highlight w:val="none"/>
        </w:rPr>
        <w:t>部分的最终得分。</w:t>
      </w:r>
    </w:p>
    <w:p w14:paraId="4C1BDE0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）经济部分得分</w:t>
      </w:r>
    </w:p>
    <w:p w14:paraId="4A2F0DF2">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经济部分评分方法详见《综合评分表》。</w:t>
      </w:r>
    </w:p>
    <w:p w14:paraId="046D6FB7">
      <w:pPr>
        <w:pStyle w:val="27"/>
        <w:pageBreakBefore w:val="0"/>
        <w:kinsoku/>
        <w:overflowPunct/>
        <w:topLinePunct w:val="0"/>
        <w:autoSpaceDE w:val="0"/>
        <w:autoSpaceDN w:val="0"/>
        <w:bidi w:val="0"/>
        <w:adjustRightInd w:val="0"/>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（4）综合得分：</w:t>
      </w:r>
      <w:r>
        <w:rPr>
          <w:rFonts w:hint="eastAsia" w:ascii="宋体" w:hAnsi="宋体" w:eastAsia="宋体" w:cs="宋体"/>
          <w:color w:val="auto"/>
          <w:sz w:val="24"/>
          <w:szCs w:val="24"/>
          <w:highlight w:val="none"/>
          <w:lang w:val="en-US" w:eastAsia="zh-CN"/>
        </w:rPr>
        <w:t>综合得分=商务部分得分+技术部分得分+经济部分得分</w:t>
      </w:r>
    </w:p>
    <w:bookmarkEnd w:id="157"/>
    <w:p w14:paraId="7E6E45D2">
      <w:pPr>
        <w:pageBreakBefore w:val="0"/>
        <w:kinsoku/>
        <w:wordWrap w:val="0"/>
        <w:overflowPunct/>
        <w:topLinePunct w:val="0"/>
        <w:bidi w:val="0"/>
        <w:adjustRightInd w:val="0"/>
        <w:snapToGrid w:val="0"/>
        <w:spacing w:before="260" w:after="260" w:line="400" w:lineRule="exact"/>
        <w:ind w:firstLine="480"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Cs/>
          <w:color w:val="auto"/>
          <w:kern w:val="2"/>
          <w:sz w:val="24"/>
          <w:szCs w:val="24"/>
          <w:highlight w:val="none"/>
          <w:lang w:val="en-US" w:eastAsia="zh-CN" w:bidi="ar-SA"/>
        </w:rPr>
        <w:t>（5）评标委员会汇总、比较所有投标人的综合得分后，取</w:t>
      </w:r>
      <w:r>
        <w:rPr>
          <w:rFonts w:hint="eastAsia" w:ascii="宋体" w:hAnsi="宋体" w:eastAsia="宋体" w:cs="宋体"/>
          <w:bCs/>
          <w:color w:val="auto"/>
          <w:sz w:val="24"/>
          <w:szCs w:val="24"/>
          <w:highlight w:val="none"/>
        </w:rPr>
        <w:t>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取技术部分得分高者为第一中标候选人，并依此确定第二、第三中标候选人。如果最高综合得分相同，投标总价、技术部分得分也相同，由评标委员会随机抽取确定。</w:t>
      </w:r>
    </w:p>
    <w:p w14:paraId="3AD6FDD6">
      <w:pPr>
        <w:pStyle w:val="3"/>
        <w:spacing w:line="504" w:lineRule="atLeas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bookmarkStart w:id="298" w:name="_Toc21000"/>
      <w:bookmarkStart w:id="299" w:name="_Toc11018"/>
      <w:bookmarkStart w:id="300" w:name="_Toc27538"/>
      <w:bookmarkStart w:id="301" w:name="_Toc29931"/>
      <w:r>
        <w:rPr>
          <w:rFonts w:hint="eastAsia" w:asciiTheme="minorEastAsia" w:hAnsiTheme="minorEastAsia" w:eastAsiaTheme="minorEastAsia" w:cstheme="minorEastAsia"/>
          <w:b/>
          <w:color w:val="auto"/>
          <w:sz w:val="28"/>
          <w:szCs w:val="28"/>
          <w:highlight w:val="none"/>
        </w:rPr>
        <w:t>综合评分表</w:t>
      </w:r>
      <w:bookmarkEnd w:id="298"/>
      <w:bookmarkEnd w:id="299"/>
      <w:bookmarkEnd w:id="300"/>
      <w:bookmarkEnd w:id="301"/>
      <w:r>
        <w:rPr>
          <w:rFonts w:hint="eastAsia" w:asciiTheme="minorEastAsia" w:hAnsiTheme="minorEastAsia" w:eastAsiaTheme="minorEastAsia" w:cstheme="minorEastAsia"/>
          <w:b/>
          <w:color w:val="auto"/>
          <w:sz w:val="28"/>
          <w:szCs w:val="28"/>
          <w:highlight w:val="none"/>
        </w:rPr>
        <w:t xml:space="preserve">  </w:t>
      </w:r>
    </w:p>
    <w:tbl>
      <w:tblPr>
        <w:tblStyle w:val="22"/>
        <w:tblW w:w="53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771"/>
        <w:gridCol w:w="1043"/>
        <w:gridCol w:w="3282"/>
        <w:gridCol w:w="4170"/>
      </w:tblGrid>
      <w:tr w14:paraId="2A26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40" w:type="pct"/>
            <w:gridSpan w:val="3"/>
            <w:tcBorders>
              <w:top w:val="single" w:color="auto" w:sz="4" w:space="0"/>
              <w:left w:val="single" w:color="auto" w:sz="4" w:space="0"/>
              <w:bottom w:val="single" w:color="auto" w:sz="4" w:space="0"/>
              <w:right w:val="single" w:color="auto" w:sz="4" w:space="0"/>
            </w:tcBorders>
            <w:noWrap/>
            <w:vAlign w:val="center"/>
          </w:tcPr>
          <w:p w14:paraId="194FEE41">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评标内容</w:t>
            </w:r>
          </w:p>
        </w:tc>
        <w:tc>
          <w:tcPr>
            <w:tcW w:w="1611" w:type="pct"/>
            <w:tcBorders>
              <w:top w:val="single" w:color="auto" w:sz="4" w:space="0"/>
              <w:left w:val="single" w:color="auto" w:sz="4" w:space="0"/>
              <w:bottom w:val="single" w:color="auto" w:sz="4" w:space="0"/>
              <w:right w:val="single" w:color="auto" w:sz="4" w:space="0"/>
            </w:tcBorders>
            <w:noWrap/>
            <w:vAlign w:val="center"/>
          </w:tcPr>
          <w:p w14:paraId="5FD1634E">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说    明</w:t>
            </w:r>
          </w:p>
        </w:tc>
        <w:tc>
          <w:tcPr>
            <w:tcW w:w="2047" w:type="pct"/>
            <w:tcBorders>
              <w:top w:val="single" w:color="auto" w:sz="4" w:space="0"/>
              <w:left w:val="single" w:color="auto" w:sz="4" w:space="0"/>
              <w:bottom w:val="single" w:color="auto" w:sz="4" w:space="0"/>
              <w:right w:val="single" w:color="auto" w:sz="4" w:space="0"/>
            </w:tcBorders>
            <w:noWrap/>
            <w:vAlign w:val="center"/>
          </w:tcPr>
          <w:p w14:paraId="7DFE7367">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14:paraId="5E72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8" w:hRule="atLeast"/>
          <w:jc w:val="center"/>
        </w:trPr>
        <w:tc>
          <w:tcPr>
            <w:tcW w:w="449" w:type="pct"/>
            <w:vMerge w:val="restart"/>
            <w:tcBorders>
              <w:top w:val="single" w:color="auto" w:sz="4" w:space="0"/>
              <w:left w:val="single" w:color="auto" w:sz="4" w:space="0"/>
              <w:right w:val="single" w:color="auto" w:sz="4" w:space="0"/>
            </w:tcBorders>
            <w:noWrap/>
            <w:vAlign w:val="center"/>
          </w:tcPr>
          <w:p w14:paraId="6FB53DA7">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商务</w:t>
            </w:r>
          </w:p>
          <w:p w14:paraId="0811079E">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部分</w:t>
            </w:r>
          </w:p>
          <w:p w14:paraId="057FA5BD">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得分</w:t>
            </w:r>
          </w:p>
          <w:p w14:paraId="13C7B279">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leftChars="0" w:right="0" w:rightChars="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w:t>
            </w:r>
            <w:r>
              <w:rPr>
                <w:rFonts w:hint="eastAsia" w:ascii="宋体" w:hAnsi="宋体" w:eastAsia="宋体" w:cs="宋体"/>
                <w:bCs/>
                <w:color w:val="auto"/>
                <w:kern w:val="0"/>
                <w:sz w:val="24"/>
                <w:szCs w:val="24"/>
                <w:highlight w:val="none"/>
                <w:lang w:val="en-US" w:eastAsia="zh-CN"/>
              </w:rPr>
              <w:t>45</w:t>
            </w:r>
            <w:r>
              <w:rPr>
                <w:rFonts w:hint="eastAsia" w:ascii="宋体" w:hAnsi="宋体" w:eastAsia="宋体" w:cs="宋体"/>
                <w:bCs/>
                <w:color w:val="auto"/>
                <w:kern w:val="0"/>
                <w:sz w:val="24"/>
                <w:szCs w:val="24"/>
                <w:highlight w:val="none"/>
              </w:rPr>
              <w:t>分）</w:t>
            </w:r>
          </w:p>
        </w:tc>
        <w:tc>
          <w:tcPr>
            <w:tcW w:w="378" w:type="pct"/>
            <w:vMerge w:val="restart"/>
            <w:tcBorders>
              <w:top w:val="single" w:color="auto" w:sz="4" w:space="0"/>
              <w:left w:val="single" w:color="auto" w:sz="4" w:space="0"/>
              <w:right w:val="single" w:color="auto" w:sz="4" w:space="0"/>
            </w:tcBorders>
            <w:noWrap/>
            <w:vAlign w:val="center"/>
          </w:tcPr>
          <w:p w14:paraId="5ABD478E">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leftChars="0" w:right="0" w:rightChars="0"/>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施工企业（</w:t>
            </w:r>
            <w:r>
              <w:rPr>
                <w:rFonts w:hint="eastAsia" w:ascii="宋体" w:hAnsi="宋体" w:eastAsia="宋体" w:cs="宋体"/>
                <w:bCs/>
                <w:color w:val="auto"/>
                <w:kern w:val="0"/>
                <w:sz w:val="24"/>
                <w:szCs w:val="24"/>
                <w:highlight w:val="none"/>
                <w:lang w:val="en-US" w:eastAsia="zh-CN"/>
              </w:rPr>
              <w:t>25</w:t>
            </w:r>
            <w:r>
              <w:rPr>
                <w:rFonts w:hint="eastAsia" w:ascii="宋体" w:hAnsi="宋体" w:eastAsia="宋体" w:cs="宋体"/>
                <w:bCs/>
                <w:color w:val="auto"/>
                <w:kern w:val="0"/>
                <w:sz w:val="24"/>
                <w:szCs w:val="24"/>
                <w:highlight w:val="none"/>
              </w:rPr>
              <w:t>分）</w:t>
            </w:r>
          </w:p>
        </w:tc>
        <w:tc>
          <w:tcPr>
            <w:tcW w:w="512" w:type="pct"/>
            <w:tcBorders>
              <w:top w:val="single" w:color="auto" w:sz="4" w:space="0"/>
              <w:left w:val="single" w:color="auto" w:sz="4" w:space="0"/>
              <w:bottom w:val="single" w:color="auto" w:sz="4" w:space="0"/>
              <w:right w:val="single" w:color="auto" w:sz="4" w:space="0"/>
            </w:tcBorders>
            <w:noWrap/>
            <w:vAlign w:val="center"/>
          </w:tcPr>
          <w:p w14:paraId="2F438A8E">
            <w:pPr>
              <w:keepNext w:val="0"/>
              <w:keepLines w:val="0"/>
              <w:pageBreakBefore w:val="0"/>
              <w:widowControl w:val="0"/>
              <w:kinsoku/>
              <w:wordWrap w:val="0"/>
              <w:overflowPunct/>
              <w:topLinePunct w:val="0"/>
              <w:autoSpaceDE/>
              <w:autoSpaceDN/>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企业业绩</w:t>
            </w:r>
          </w:p>
          <w:p w14:paraId="6AB5ABB7">
            <w:pPr>
              <w:keepNext w:val="0"/>
              <w:keepLines w:val="0"/>
              <w:pageBreakBefore w:val="0"/>
              <w:widowControl w:val="0"/>
              <w:kinsoku/>
              <w:wordWrap w:val="0"/>
              <w:overflowPunct/>
              <w:topLinePunct w:val="0"/>
              <w:autoSpaceDE/>
              <w:autoSpaceDN/>
              <w:bidi w:val="0"/>
              <w:adjustRightInd w:val="0"/>
              <w:snapToGrid w:val="0"/>
              <w:spacing w:line="360" w:lineRule="exact"/>
              <w:jc w:val="both"/>
              <w:rPr>
                <w:rFonts w:hint="eastAsia" w:ascii="宋体" w:hAnsi="宋体" w:eastAsia="宋体" w:cs="宋体"/>
                <w:color w:val="auto"/>
                <w:sz w:val="24"/>
                <w:szCs w:val="24"/>
                <w:highlight w:val="none"/>
              </w:rPr>
            </w:pPr>
            <w:r>
              <w:rPr>
                <w:rFonts w:hint="eastAsia"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1611" w:type="pct"/>
            <w:tcBorders>
              <w:top w:val="single" w:color="auto" w:sz="4" w:space="0"/>
              <w:left w:val="single" w:color="auto" w:sz="4" w:space="0"/>
              <w:bottom w:val="single" w:color="auto" w:sz="4" w:space="0"/>
              <w:right w:val="single" w:color="auto" w:sz="4" w:space="0"/>
            </w:tcBorders>
            <w:noWrap/>
            <w:vAlign w:val="center"/>
          </w:tcPr>
          <w:p w14:paraId="472D24C4">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企业</w:t>
            </w:r>
            <w:r>
              <w:rPr>
                <w:rFonts w:hint="eastAsia" w:ascii="宋体" w:hAnsi="宋体" w:eastAsia="宋体" w:cs="宋体"/>
                <w:color w:val="auto"/>
                <w:kern w:val="0"/>
                <w:sz w:val="24"/>
                <w:szCs w:val="24"/>
                <w:highlight w:val="none"/>
              </w:rPr>
              <w:t>近年来（20</w:t>
            </w:r>
            <w:r>
              <w:rPr>
                <w:rFonts w:hint="eastAsia"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年1月1日至今）</w:t>
            </w:r>
            <w:r>
              <w:rPr>
                <w:rFonts w:hint="eastAsia" w:ascii="宋体" w:hAnsi="宋体" w:eastAsia="宋体" w:cs="宋体"/>
                <w:snapToGrid w:val="0"/>
                <w:color w:val="auto"/>
                <w:kern w:val="0"/>
                <w:sz w:val="24"/>
                <w:szCs w:val="24"/>
                <w:highlight w:val="none"/>
                <w:u w:val="single"/>
                <w:lang w:val="en-US" w:eastAsia="zh-CN"/>
              </w:rPr>
              <w:t>承接</w:t>
            </w:r>
            <w:r>
              <w:rPr>
                <w:rFonts w:hint="eastAsia" w:ascii="宋体" w:hAnsi="宋体" w:eastAsia="宋体" w:cs="宋体"/>
                <w:snapToGrid w:val="0"/>
                <w:color w:val="auto"/>
                <w:kern w:val="0"/>
                <w:sz w:val="24"/>
                <w:szCs w:val="24"/>
                <w:highlight w:val="none"/>
              </w:rPr>
              <w:t>过类似工程的，每个得</w:t>
            </w:r>
            <w:r>
              <w:rPr>
                <w:rFonts w:hint="eastAsia" w:hAnsi="宋体" w:eastAsia="宋体" w:cs="宋体"/>
                <w:snapToGrid w:val="0"/>
                <w:color w:val="auto"/>
                <w:kern w:val="0"/>
                <w:sz w:val="24"/>
                <w:szCs w:val="24"/>
                <w:highlight w:val="none"/>
                <w:u w:val="single"/>
                <w:lang w:val="en-US" w:eastAsia="zh-CN"/>
              </w:rPr>
              <w:t>2.5</w:t>
            </w:r>
            <w:r>
              <w:rPr>
                <w:rFonts w:hint="eastAsia" w:ascii="宋体" w:hAnsi="宋体" w:eastAsia="宋体" w:cs="宋体"/>
                <w:snapToGrid w:val="0"/>
                <w:color w:val="auto"/>
                <w:kern w:val="0"/>
                <w:sz w:val="24"/>
                <w:szCs w:val="24"/>
                <w:highlight w:val="none"/>
              </w:rPr>
              <w:t>分；本项最高得</w:t>
            </w:r>
            <w:r>
              <w:rPr>
                <w:rFonts w:hint="eastAsia"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2047" w:type="pct"/>
            <w:tcBorders>
              <w:top w:val="single" w:color="auto" w:sz="4" w:space="0"/>
              <w:left w:val="single" w:color="auto" w:sz="4" w:space="0"/>
              <w:bottom w:val="single" w:color="auto" w:sz="4" w:space="0"/>
              <w:right w:val="single" w:color="auto" w:sz="4" w:space="0"/>
            </w:tcBorders>
            <w:noWrap/>
            <w:vAlign w:val="center"/>
          </w:tcPr>
          <w:p w14:paraId="177DC9A0">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1．类似工程指：</w:t>
            </w:r>
            <w:r>
              <w:rPr>
                <w:rFonts w:hint="eastAsia" w:ascii="宋体" w:hAnsi="宋体" w:eastAsia="宋体" w:cs="宋体"/>
                <w:color w:val="auto"/>
                <w:kern w:val="0"/>
                <w:sz w:val="24"/>
                <w:szCs w:val="24"/>
                <w:highlight w:val="none"/>
                <w:lang w:val="en-US" w:eastAsia="zh-CN" w:bidi="ar"/>
              </w:rPr>
              <w:t>市政工程</w:t>
            </w:r>
            <w:r>
              <w:rPr>
                <w:rFonts w:hint="eastAsia" w:ascii="宋体" w:hAnsi="宋体" w:eastAsia="宋体" w:cs="宋体"/>
                <w:snapToGrid w:val="0"/>
                <w:color w:val="auto"/>
                <w:kern w:val="0"/>
                <w:sz w:val="24"/>
                <w:szCs w:val="24"/>
                <w:highlight w:val="none"/>
              </w:rPr>
              <w:t>。</w:t>
            </w:r>
          </w:p>
          <w:p w14:paraId="65CFBBF2">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2．需附有关业绩（仅限于以施工总承包单位/专业承包单位身份参建的项目）合同协议书彩色扫描件（或打印件）。</w:t>
            </w:r>
          </w:p>
          <w:p w14:paraId="48C56D32">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3．业绩时间以合同协议书日期为准。</w:t>
            </w:r>
          </w:p>
          <w:p w14:paraId="039F98E0">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4．任一业绩有以下情形之一的，该业绩视为无效，不予计分：</w:t>
            </w:r>
          </w:p>
          <w:p w14:paraId="238793BD">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①业绩不属于类似工程的；</w:t>
            </w:r>
          </w:p>
          <w:p w14:paraId="31CB4538">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②不是以指定身份参建的；</w:t>
            </w:r>
          </w:p>
          <w:p w14:paraId="3B6B7EDE">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③业绩时间不符合要求的</w:t>
            </w:r>
            <w:r>
              <w:rPr>
                <w:rFonts w:hint="eastAsia" w:ascii="宋体" w:hAnsi="宋体" w:eastAsia="宋体" w:cs="宋体"/>
                <w:snapToGrid w:val="0"/>
                <w:color w:val="auto"/>
                <w:kern w:val="0"/>
                <w:sz w:val="24"/>
                <w:szCs w:val="24"/>
                <w:highlight w:val="none"/>
                <w:lang w:eastAsia="zh-CN"/>
              </w:rPr>
              <w:t>。</w:t>
            </w:r>
          </w:p>
          <w:p w14:paraId="5CE76C49">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4"/>
                <w:szCs w:val="24"/>
                <w:highlight w:val="none"/>
                <w:lang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rPr>
              <w:t>5.</w:t>
            </w:r>
            <w:r>
              <w:rPr>
                <w:rFonts w:ascii="宋体" w:hAnsi="宋体" w:eastAsia="宋体" w:cs="宋体"/>
                <w:b/>
                <w:bCs/>
                <w:snapToGrid w:val="0"/>
                <w:color w:val="auto"/>
                <w:kern w:val="0"/>
                <w:sz w:val="24"/>
                <w:szCs w:val="24"/>
                <w:highlight w:val="none"/>
              </w:rPr>
              <w:t>组成联合体时由联合体任意一方提供。</w:t>
            </w:r>
          </w:p>
        </w:tc>
      </w:tr>
      <w:tr w14:paraId="4C50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449" w:type="pct"/>
            <w:vMerge w:val="continue"/>
            <w:tcBorders>
              <w:left w:val="single" w:color="auto" w:sz="4" w:space="0"/>
              <w:right w:val="single" w:color="auto" w:sz="4" w:space="0"/>
            </w:tcBorders>
            <w:noWrap/>
            <w:vAlign w:val="center"/>
          </w:tcPr>
          <w:p w14:paraId="5A5FB52C">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75B74247">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auto"/>
                <w:kern w:val="0"/>
                <w:sz w:val="24"/>
                <w:szCs w:val="24"/>
                <w:highlight w:val="none"/>
              </w:rPr>
            </w:pPr>
          </w:p>
        </w:tc>
        <w:tc>
          <w:tcPr>
            <w:tcW w:w="512" w:type="pct"/>
            <w:tcBorders>
              <w:top w:val="single" w:color="auto" w:sz="4" w:space="0"/>
              <w:left w:val="single" w:color="auto" w:sz="4" w:space="0"/>
              <w:bottom w:val="single" w:color="auto" w:sz="4" w:space="0"/>
              <w:right w:val="single" w:color="auto" w:sz="4" w:space="0"/>
            </w:tcBorders>
            <w:noWrap/>
            <w:vAlign w:val="center"/>
          </w:tcPr>
          <w:p w14:paraId="343BC8DD">
            <w:pPr>
              <w:keepNext w:val="0"/>
              <w:keepLines w:val="0"/>
              <w:pageBreakBefore w:val="0"/>
              <w:widowControl w:val="0"/>
              <w:kinsoku/>
              <w:wordWrap w:val="0"/>
              <w:overflowPunct/>
              <w:topLinePunct w:val="0"/>
              <w:autoSpaceDE/>
              <w:autoSpaceDN/>
              <w:bidi w:val="0"/>
              <w:adjustRightInd w:val="0"/>
              <w:snapToGri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企业社会荣誉</w:t>
            </w:r>
            <w:r>
              <w:rPr>
                <w:rFonts w:hint="eastAsia" w:hAnsi="宋体" w:eastAsia="宋体" w:cs="宋体"/>
                <w:color w:val="auto"/>
                <w:sz w:val="24"/>
                <w:szCs w:val="24"/>
                <w:highlight w:val="none"/>
                <w:lang w:eastAsia="zh-CN"/>
              </w:rPr>
              <w:t>（</w:t>
            </w:r>
            <w:r>
              <w:rPr>
                <w:rFonts w:hint="eastAsia" w:hAnsi="宋体" w:eastAsia="宋体" w:cs="宋体"/>
                <w:color w:val="auto"/>
                <w:sz w:val="24"/>
                <w:szCs w:val="24"/>
                <w:highlight w:val="none"/>
                <w:lang w:val="en-US" w:eastAsia="zh-CN"/>
              </w:rPr>
              <w:t>2分</w:t>
            </w:r>
            <w:r>
              <w:rPr>
                <w:rFonts w:hint="eastAsia" w:hAnsi="宋体" w:eastAsia="宋体" w:cs="宋体"/>
                <w:color w:val="auto"/>
                <w:sz w:val="24"/>
                <w:szCs w:val="24"/>
                <w:highlight w:val="none"/>
                <w:lang w:eastAsia="zh-CN"/>
              </w:rPr>
              <w:t>）</w:t>
            </w:r>
          </w:p>
        </w:tc>
        <w:tc>
          <w:tcPr>
            <w:tcW w:w="1611" w:type="pct"/>
            <w:tcBorders>
              <w:top w:val="single" w:color="auto" w:sz="4" w:space="0"/>
              <w:left w:val="single" w:color="auto" w:sz="4" w:space="0"/>
              <w:bottom w:val="single" w:color="auto" w:sz="4" w:space="0"/>
              <w:right w:val="single" w:color="auto" w:sz="4" w:space="0"/>
            </w:tcBorders>
            <w:noWrap/>
            <w:vAlign w:val="center"/>
          </w:tcPr>
          <w:p w14:paraId="73EFCA6B">
            <w:pPr>
              <w:keepNext w:val="0"/>
              <w:keepLines w:val="0"/>
              <w:pageBreakBefore w:val="0"/>
              <w:kinsoku/>
              <w:overflowPunct/>
              <w:topLinePunct w:val="0"/>
              <w:autoSpaceDE/>
              <w:autoSpaceDN/>
              <w:bidi w:val="0"/>
              <w:snapToGrid w:val="0"/>
              <w:spacing w:line="400" w:lineRule="exact"/>
              <w:textAlignment w:val="auto"/>
              <w:rPr>
                <w:rFonts w:hint="default" w:ascii="Times New Roman" w:hAnsi="宋体" w:eastAsia="宋体" w:cs="Times New Roman"/>
                <w:color w:val="auto"/>
                <w:kern w:val="0"/>
                <w:sz w:val="24"/>
                <w:szCs w:val="24"/>
                <w:highlight w:val="none"/>
                <w:lang w:val="en-US" w:eastAsia="zh-CN"/>
              </w:rPr>
            </w:pPr>
            <w:r>
              <w:rPr>
                <w:rFonts w:hint="eastAsia" w:ascii="Times New Roman" w:hAnsi="宋体" w:eastAsia="宋体" w:cs="Times New Roman"/>
                <w:color w:val="auto"/>
                <w:kern w:val="0"/>
                <w:sz w:val="24"/>
                <w:szCs w:val="24"/>
                <w:highlight w:val="none"/>
                <w:lang w:val="en-US" w:eastAsia="zh-CN"/>
              </w:rPr>
              <w:t>1.企业近年来（2020年1月1日至今）获得过</w:t>
            </w:r>
            <w:r>
              <w:rPr>
                <w:rFonts w:hint="eastAsia" w:hAnsi="宋体"/>
                <w:color w:val="auto"/>
                <w:kern w:val="0"/>
                <w:sz w:val="24"/>
                <w:szCs w:val="24"/>
                <w:highlight w:val="none"/>
              </w:rPr>
              <w:t>项目所在县级行政区域的人民政府</w:t>
            </w:r>
            <w:r>
              <w:rPr>
                <w:rFonts w:hint="eastAsia" w:hAnsi="宋体"/>
                <w:color w:val="auto"/>
                <w:kern w:val="0"/>
                <w:sz w:val="24"/>
                <w:szCs w:val="24"/>
                <w:highlight w:val="none"/>
                <w:lang w:val="en-US" w:eastAsia="zh-CN"/>
              </w:rPr>
              <w:t>或建设主管部门</w:t>
            </w:r>
            <w:r>
              <w:rPr>
                <w:rFonts w:hint="eastAsia" w:ascii="Times New Roman" w:hAnsi="宋体" w:eastAsia="宋体" w:cs="Times New Roman"/>
                <w:color w:val="auto"/>
                <w:kern w:val="0"/>
                <w:sz w:val="24"/>
                <w:szCs w:val="24"/>
                <w:highlight w:val="none"/>
                <w:lang w:val="en-US" w:eastAsia="zh-CN"/>
              </w:rPr>
              <w:t>颁发的城市“绿美”荣誉牌匾的得2分。</w:t>
            </w:r>
          </w:p>
          <w:p w14:paraId="6DAC0BEE">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color w:val="auto"/>
                <w:sz w:val="24"/>
                <w:szCs w:val="24"/>
                <w:highlight w:val="none"/>
              </w:rPr>
            </w:pPr>
            <w:r>
              <w:rPr>
                <w:rFonts w:hint="eastAsia" w:ascii="Times New Roman" w:hAnsi="宋体" w:eastAsia="宋体" w:cs="Times New Roman"/>
                <w:color w:val="auto"/>
                <w:kern w:val="0"/>
                <w:sz w:val="24"/>
                <w:szCs w:val="24"/>
                <w:highlight w:val="none"/>
                <w:lang w:val="en-US" w:eastAsia="zh-CN"/>
              </w:rPr>
              <w:t>2.其他情形的不予计分。</w:t>
            </w:r>
          </w:p>
        </w:tc>
        <w:tc>
          <w:tcPr>
            <w:tcW w:w="2047" w:type="pct"/>
            <w:tcBorders>
              <w:top w:val="single" w:color="auto" w:sz="4" w:space="0"/>
              <w:left w:val="single" w:color="auto" w:sz="4" w:space="0"/>
              <w:bottom w:val="single" w:color="auto" w:sz="4" w:space="0"/>
              <w:right w:val="single" w:color="auto" w:sz="4" w:space="0"/>
            </w:tcBorders>
            <w:noWrap/>
            <w:vAlign w:val="center"/>
          </w:tcPr>
          <w:p w14:paraId="3C5BA251">
            <w:pPr>
              <w:pStyle w:val="8"/>
              <w:wordWrap w:val="0"/>
              <w:spacing w:line="400" w:lineRule="exact"/>
              <w:rPr>
                <w:rFonts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eastAsia="zh-CN"/>
              </w:rPr>
              <w:t>1.需附相关证明彩色扫描件</w:t>
            </w:r>
            <w:r>
              <w:rPr>
                <w:rFonts w:hint="eastAsia" w:hAnsi="宋体" w:eastAsia="宋体" w:cs="宋体"/>
                <w:color w:val="auto"/>
                <w:sz w:val="24"/>
                <w:szCs w:val="24"/>
                <w:highlight w:val="none"/>
                <w:lang w:eastAsia="zh-CN"/>
              </w:rPr>
              <w:t>；</w:t>
            </w:r>
          </w:p>
          <w:p w14:paraId="56EA6AF5">
            <w:pPr>
              <w:pStyle w:val="8"/>
              <w:wordWrap w:val="0"/>
              <w:spacing w:line="400" w:lineRule="exact"/>
              <w:rPr>
                <w:rFonts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2.证明须由相应的建设行政主管部门或人民政府颁发</w:t>
            </w:r>
            <w:r>
              <w:rPr>
                <w:rFonts w:hint="eastAsia" w:hAnsi="宋体" w:eastAsia="宋体" w:cs="宋体"/>
                <w:color w:val="auto"/>
                <w:sz w:val="24"/>
                <w:szCs w:val="24"/>
                <w:highlight w:val="none"/>
                <w:lang w:eastAsia="zh-CN"/>
              </w:rPr>
              <w:t>；</w:t>
            </w:r>
          </w:p>
          <w:p w14:paraId="451DD28D">
            <w:pPr>
              <w:wordWrap w:val="0"/>
              <w:adjustRightInd w:val="0"/>
              <w:snapToGrid w:val="0"/>
              <w:spacing w:line="3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3.颁发机构、获奖时间不符合评分标准和备注规定的，不予计分。</w:t>
            </w:r>
          </w:p>
          <w:p w14:paraId="7D207EB7">
            <w:pPr>
              <w:pStyle w:val="8"/>
              <w:wordWrap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4.</w:t>
            </w:r>
            <w:r>
              <w:rPr>
                <w:rFonts w:ascii="宋体" w:hAnsi="宋体" w:eastAsia="宋体" w:cs="宋体"/>
                <w:b/>
                <w:bCs/>
                <w:snapToGrid w:val="0"/>
                <w:color w:val="auto"/>
                <w:kern w:val="0"/>
                <w:sz w:val="24"/>
                <w:szCs w:val="24"/>
                <w:highlight w:val="none"/>
              </w:rPr>
              <w:t>组成联合体时由联合体任意一方提供。</w:t>
            </w:r>
          </w:p>
        </w:tc>
      </w:tr>
      <w:tr w14:paraId="074D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pct"/>
            <w:vMerge w:val="continue"/>
            <w:tcBorders>
              <w:left w:val="single" w:color="auto" w:sz="4" w:space="0"/>
              <w:right w:val="single" w:color="auto" w:sz="4" w:space="0"/>
            </w:tcBorders>
            <w:noWrap/>
            <w:vAlign w:val="center"/>
          </w:tcPr>
          <w:p w14:paraId="384B49FF">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4210A9AB">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Cs/>
                <w:color w:val="auto"/>
                <w:kern w:val="0"/>
                <w:sz w:val="24"/>
                <w:szCs w:val="24"/>
                <w:highlight w:val="none"/>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D198CC">
            <w:pPr>
              <w:widowControl w:val="0"/>
              <w:wordWrap w:val="0"/>
              <w:adjustRightInd w:val="0"/>
              <w:snapToGrid w:val="0"/>
              <w:spacing w:line="36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bidi="ar"/>
              </w:rPr>
              <w:t>企业管理体系认证（</w:t>
            </w:r>
            <w:r>
              <w:rPr>
                <w:rFonts w:hint="eastAsia" w:hAnsi="宋体" w:eastAsia="宋体" w:cs="宋体"/>
                <w:snapToGrid w:val="0"/>
                <w:color w:val="auto"/>
                <w:kern w:val="0"/>
                <w:sz w:val="24"/>
                <w:szCs w:val="24"/>
                <w:highlight w:val="none"/>
                <w:lang w:val="en-US" w:eastAsia="zh-CN" w:bidi="ar"/>
              </w:rPr>
              <w:t>3</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bidi="ar"/>
              </w:rPr>
              <w:t>）</w:t>
            </w:r>
          </w:p>
        </w:tc>
        <w:tc>
          <w:tcPr>
            <w:tcW w:w="16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CE234A">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1．质量管理体系认证、职业健康安全管理体系认证、环境管理体系认证中，每获得1项认证得1分，最高得3分。</w:t>
            </w:r>
          </w:p>
          <w:p w14:paraId="66D9901E">
            <w:pPr>
              <w:widowControl w:val="0"/>
              <w:spacing w:line="36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2．未获得以上认证的，不予计分。</w:t>
            </w:r>
          </w:p>
        </w:tc>
        <w:tc>
          <w:tcPr>
            <w:tcW w:w="20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9754C4">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 xml:space="preserve">1．需附在有效期内的认证证书彩色扫描件。 </w:t>
            </w:r>
          </w:p>
          <w:p w14:paraId="47B3C2EA">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2．任一认证证书有以下情形之一的，该认证证书视为无效，不予计分：</w:t>
            </w:r>
          </w:p>
          <w:p w14:paraId="53E215E0">
            <w:pPr>
              <w:keepNext w:val="0"/>
              <w:keepLines w:val="0"/>
              <w:suppressLineNumbers w:val="0"/>
              <w:wordWrap w:val="0"/>
              <w:adjustRightInd w:val="0"/>
              <w:snapToGrid w:val="0"/>
              <w:spacing w:before="0" w:beforeAutospacing="0" w:after="0" w:afterAutospacing="0" w:line="360" w:lineRule="exact"/>
              <w:ind w:left="0" w:right="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①认证证书不在有效期内的。</w:t>
            </w:r>
          </w:p>
          <w:p w14:paraId="7B9041B3">
            <w:pPr>
              <w:keepNext w:val="0"/>
              <w:keepLines w:val="0"/>
              <w:suppressLineNumbers w:val="0"/>
              <w:wordWrap w:val="0"/>
              <w:adjustRightInd w:val="0"/>
              <w:snapToGrid w:val="0"/>
              <w:spacing w:before="0" w:beforeAutospacing="0" w:after="0" w:afterAutospacing="0" w:line="360" w:lineRule="exact"/>
              <w:ind w:left="0" w:leftChars="0" w:right="0" w:rightChars="0"/>
              <w:jc w:val="left"/>
              <w:rPr>
                <w:rFonts w:hint="eastAsia" w:ascii="宋体" w:hAnsi="宋体" w:eastAsia="宋体" w:cs="宋体"/>
                <w:snapToGrid w:val="0"/>
                <w:color w:val="auto"/>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3.</w:t>
            </w:r>
            <w:r>
              <w:rPr>
                <w:rFonts w:ascii="宋体" w:hAnsi="宋体" w:eastAsia="宋体" w:cs="宋体"/>
                <w:b/>
                <w:bCs/>
                <w:snapToGrid w:val="0"/>
                <w:color w:val="auto"/>
                <w:kern w:val="0"/>
                <w:sz w:val="24"/>
                <w:szCs w:val="24"/>
                <w:highlight w:val="none"/>
              </w:rPr>
              <w:t>组成联合体时由联合体任意一方提供。</w:t>
            </w:r>
          </w:p>
        </w:tc>
      </w:tr>
      <w:tr w14:paraId="4AC4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449" w:type="pct"/>
            <w:vMerge w:val="continue"/>
            <w:tcBorders>
              <w:left w:val="single" w:color="auto" w:sz="4" w:space="0"/>
              <w:right w:val="single" w:color="auto" w:sz="4" w:space="0"/>
            </w:tcBorders>
            <w:noWrap/>
            <w:vAlign w:val="center"/>
          </w:tcPr>
          <w:p w14:paraId="2088EF38">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386F60DB">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691CE6">
            <w:pPr>
              <w:pStyle w:val="8"/>
              <w:wordWrap w:val="0"/>
              <w:spacing w:line="400" w:lineRule="exact"/>
              <w:jc w:val="center"/>
              <w:rPr>
                <w:rFonts w:hint="default" w:ascii="宋体" w:hAnsi="宋体" w:eastAsia="宋体" w:cs="宋体"/>
                <w:color w:val="auto"/>
                <w:kern w:val="2"/>
                <w:sz w:val="24"/>
                <w:szCs w:val="24"/>
                <w:highlight w:val="none"/>
                <w:lang w:val="en-US" w:eastAsia="zh-CN" w:bidi="ar-SA"/>
              </w:rPr>
            </w:pPr>
            <w:r>
              <w:rPr>
                <w:rFonts w:hint="eastAsia" w:hAnsi="宋体" w:eastAsia="宋体" w:cs="宋体"/>
                <w:color w:val="auto"/>
                <w:sz w:val="24"/>
                <w:szCs w:val="24"/>
                <w:highlight w:val="none"/>
                <w:lang w:val="en-US" w:eastAsia="zh-CN"/>
              </w:rPr>
              <w:t>企业综合能力（4分)</w:t>
            </w:r>
          </w:p>
        </w:tc>
        <w:tc>
          <w:tcPr>
            <w:tcW w:w="16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4E3D3A">
            <w:pPr>
              <w:pStyle w:val="46"/>
              <w:numPr>
                <w:ilvl w:val="0"/>
                <w:numId w:val="0"/>
              </w:numPr>
              <w:wordWrap/>
              <w:adjustRightInd w:val="0"/>
              <w:snapToGrid w:val="0"/>
              <w:spacing w:line="240" w:lineRule="auto"/>
              <w:jc w:val="left"/>
              <w:rPr>
                <w:rFonts w:hint="eastAsia" w:hAnsi="宋体" w:eastAsia="宋体" w:cs="宋体"/>
                <w:snapToGrid w:val="0"/>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1.企业同时</w:t>
            </w:r>
            <w:r>
              <w:rPr>
                <w:rFonts w:hint="eastAsia" w:ascii="宋体" w:hAnsi="宋体" w:eastAsia="宋体" w:cs="宋体"/>
                <w:color w:val="auto"/>
                <w:sz w:val="24"/>
                <w:szCs w:val="24"/>
                <w:highlight w:val="none"/>
                <w:lang w:eastAsia="zh-CN"/>
              </w:rPr>
              <w:t>具有“诚信管理体系认证”、</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安全风险管理体系认证”、“建筑工程服务体系认证”</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项认证证书的，得</w:t>
            </w:r>
            <w:r>
              <w:rPr>
                <w:rFonts w:hint="eastAsia" w:hAnsi="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分；</w:t>
            </w:r>
            <w:r>
              <w:rPr>
                <w:rFonts w:hint="eastAsia" w:hAnsi="宋体" w:cs="宋体"/>
                <w:snapToGrid w:val="0"/>
                <w:color w:val="auto"/>
                <w:kern w:val="0"/>
                <w:sz w:val="24"/>
                <w:szCs w:val="24"/>
                <w:highlight w:val="none"/>
              </w:rPr>
              <w:t>具有以上任意2项认证证书的，得</w:t>
            </w:r>
            <w:r>
              <w:rPr>
                <w:rFonts w:hint="eastAsia" w:hAnsi="宋体" w:cs="宋体"/>
                <w:snapToGrid w:val="0"/>
                <w:color w:val="auto"/>
                <w:kern w:val="0"/>
                <w:sz w:val="24"/>
                <w:szCs w:val="24"/>
                <w:highlight w:val="none"/>
                <w:lang w:val="en-US" w:eastAsia="zh-CN"/>
              </w:rPr>
              <w:t>2</w:t>
            </w:r>
            <w:r>
              <w:rPr>
                <w:rFonts w:hint="eastAsia" w:hAnsi="宋体" w:cs="宋体"/>
                <w:snapToGrid w:val="0"/>
                <w:color w:val="auto"/>
                <w:kern w:val="0"/>
                <w:sz w:val="24"/>
                <w:szCs w:val="24"/>
                <w:highlight w:val="none"/>
              </w:rPr>
              <w:t>分</w:t>
            </w:r>
            <w:r>
              <w:rPr>
                <w:rFonts w:hint="eastAsia" w:hAnsi="宋体" w:cs="宋体"/>
                <w:snapToGrid w:val="0"/>
                <w:color w:val="auto"/>
                <w:kern w:val="0"/>
                <w:sz w:val="24"/>
                <w:szCs w:val="24"/>
                <w:highlight w:val="none"/>
                <w:lang w:eastAsia="zh-CN"/>
              </w:rPr>
              <w:t>。</w:t>
            </w:r>
          </w:p>
          <w:p w14:paraId="3901F364">
            <w:pPr>
              <w:pStyle w:val="46"/>
              <w:wordWrap w:val="0"/>
              <w:adjustRightInd w:val="0"/>
              <w:snapToGrid w:val="0"/>
              <w:spacing w:line="400" w:lineRule="exact"/>
              <w:jc w:val="left"/>
              <w:rPr>
                <w:rFonts w:hAnsi="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2</w:t>
            </w:r>
            <w:r>
              <w:rPr>
                <w:rFonts w:hint="eastAsia" w:hAnsi="宋体" w:cs="宋体"/>
                <w:snapToGrid w:val="0"/>
                <w:color w:val="auto"/>
                <w:kern w:val="0"/>
                <w:sz w:val="24"/>
                <w:szCs w:val="24"/>
                <w:highlight w:val="none"/>
              </w:rPr>
              <w:t>.其他情形不予计分。</w:t>
            </w:r>
          </w:p>
          <w:p w14:paraId="2C279E2A">
            <w:pPr>
              <w:pStyle w:val="46"/>
              <w:numPr>
                <w:ilvl w:val="0"/>
                <w:numId w:val="0"/>
              </w:numPr>
              <w:wordWrap w:val="0"/>
              <w:adjustRightInd w:val="0"/>
              <w:snapToGrid w:val="0"/>
              <w:spacing w:line="400" w:lineRule="exact"/>
              <w:ind w:left="0" w:leftChars="0" w:firstLine="0" w:firstLineChars="0"/>
              <w:jc w:val="left"/>
              <w:rPr>
                <w:rFonts w:hint="eastAsia" w:ascii="宋体" w:hAnsi="宋体" w:eastAsia="宋体" w:cs="宋体"/>
                <w:color w:val="auto"/>
                <w:kern w:val="2"/>
                <w:sz w:val="24"/>
                <w:szCs w:val="24"/>
                <w:highlight w:val="none"/>
                <w:lang w:val="en-US" w:eastAsia="zh-CN" w:bidi="ar-SA"/>
              </w:rPr>
            </w:pPr>
          </w:p>
        </w:tc>
        <w:tc>
          <w:tcPr>
            <w:tcW w:w="20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5B5472">
            <w:pPr>
              <w:pStyle w:val="8"/>
              <w:wordWrap w:val="0"/>
              <w:spacing w:line="400" w:lineRule="exact"/>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证书须在招标公告发布日前获得，提供有效期内的证书彩色扫描件</w:t>
            </w:r>
            <w:r>
              <w:rPr>
                <w:rFonts w:ascii="宋体" w:hAnsi="宋体" w:eastAsia="宋体" w:cs="宋体"/>
                <w:color w:val="auto"/>
                <w:sz w:val="24"/>
                <w:szCs w:val="24"/>
                <w:highlight w:val="none"/>
                <w:lang w:eastAsia="zh-CN"/>
              </w:rPr>
              <w:t>，同时</w:t>
            </w:r>
            <w:r>
              <w:rPr>
                <w:rFonts w:hint="eastAsia" w:ascii="宋体" w:hAnsi="宋体" w:eastAsia="宋体" w:cs="宋体"/>
                <w:color w:val="auto"/>
                <w:sz w:val="24"/>
                <w:szCs w:val="24"/>
                <w:highlight w:val="none"/>
                <w:lang w:eastAsia="zh-CN"/>
              </w:rPr>
              <w:t>需</w:t>
            </w:r>
            <w:r>
              <w:rPr>
                <w:rFonts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lang w:eastAsia="zh-CN"/>
              </w:rPr>
              <w:t>国家认证认可监督管理委员会官网网页截图，否则不得分；</w:t>
            </w:r>
          </w:p>
          <w:p w14:paraId="33021B2F">
            <w:pPr>
              <w:pStyle w:val="8"/>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2.证书有效性在国家认证认可监督管理委员会官网（http://www.cnca.gov.cn/)可查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且须符合下列要求：</w:t>
            </w:r>
          </w:p>
          <w:p w14:paraId="13FBE629">
            <w:pPr>
              <w:pStyle w:val="8"/>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“诚信管理体系认证”</w:t>
            </w:r>
            <w:r>
              <w:rPr>
                <w:rFonts w:hint="eastAsia" w:ascii="宋体" w:hAnsi="宋体" w:eastAsia="宋体" w:cs="宋体"/>
                <w:color w:val="auto"/>
                <w:sz w:val="24"/>
                <w:szCs w:val="24"/>
                <w:highlight w:val="none"/>
                <w:lang w:val="en-US" w:eastAsia="zh-CN"/>
              </w:rPr>
              <w:t>达到国家标准《企事诚信管理体系》GB/T31950-2023要求，不符合要求不得分。</w:t>
            </w:r>
          </w:p>
          <w:p w14:paraId="58ED3D24">
            <w:pPr>
              <w:pStyle w:val="8"/>
              <w:rPr>
                <w:rFonts w:hint="default" w:hAnsi="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安全风险管理体系认证”</w:t>
            </w:r>
            <w:r>
              <w:rPr>
                <w:rFonts w:hint="eastAsia" w:ascii="宋体" w:hAnsi="宋体" w:eastAsia="宋体" w:cs="宋体"/>
                <w:color w:val="auto"/>
                <w:sz w:val="24"/>
                <w:szCs w:val="24"/>
                <w:highlight w:val="none"/>
                <w:lang w:val="en-US" w:eastAsia="zh-CN"/>
              </w:rPr>
              <w:t>达到CTS  027-2021《安全风险管理体系认证技术规范》标准的要求，不符合要求不得分。</w:t>
            </w:r>
          </w:p>
          <w:p w14:paraId="2602E46A">
            <w:pPr>
              <w:pStyle w:val="8"/>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“建筑工程服务体系认证”，</w:t>
            </w:r>
            <w:r>
              <w:rPr>
                <w:rFonts w:hint="eastAsia" w:ascii="宋体" w:hAnsi="宋体" w:eastAsia="宋体" w:cs="宋体"/>
                <w:color w:val="auto"/>
                <w:sz w:val="24"/>
                <w:szCs w:val="24"/>
                <w:highlight w:val="none"/>
                <w:lang w:val="en-US" w:eastAsia="zh-CN"/>
              </w:rPr>
              <w:t>达到Q/GDZR 004-2019《建筑工程服务认证实施规则》标准的要求，不符合要求不得分。</w:t>
            </w:r>
          </w:p>
          <w:p w14:paraId="6CB22D72">
            <w:pPr>
              <w:pStyle w:val="8"/>
              <w:wordWrap w:val="0"/>
              <w:spacing w:line="400" w:lineRule="exact"/>
              <w:rPr>
                <w:rFonts w:hint="eastAsia" w:ascii="宋体" w:hAnsi="宋体" w:eastAsia="宋体" w:cs="宋体"/>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3.</w:t>
            </w:r>
            <w:r>
              <w:rPr>
                <w:rFonts w:ascii="宋体" w:hAnsi="宋体" w:eastAsia="宋体" w:cs="宋体"/>
                <w:b/>
                <w:bCs/>
                <w:snapToGrid w:val="0"/>
                <w:color w:val="auto"/>
                <w:kern w:val="0"/>
                <w:sz w:val="24"/>
                <w:szCs w:val="24"/>
                <w:highlight w:val="none"/>
              </w:rPr>
              <w:t>组成联合体时由联合体任意一方提供。</w:t>
            </w:r>
          </w:p>
        </w:tc>
      </w:tr>
      <w:tr w14:paraId="5807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49" w:type="pct"/>
            <w:vMerge w:val="continue"/>
            <w:tcBorders>
              <w:left w:val="single" w:color="auto" w:sz="4" w:space="0"/>
              <w:right w:val="single" w:color="auto" w:sz="4" w:space="0"/>
            </w:tcBorders>
            <w:noWrap/>
            <w:vAlign w:val="center"/>
          </w:tcPr>
          <w:p w14:paraId="49187B31">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378" w:type="pct"/>
            <w:vMerge w:val="continue"/>
            <w:tcBorders>
              <w:left w:val="single" w:color="auto" w:sz="4" w:space="0"/>
              <w:bottom w:val="single" w:color="auto" w:sz="4" w:space="0"/>
              <w:right w:val="single" w:color="auto" w:sz="4" w:space="0"/>
            </w:tcBorders>
            <w:noWrap/>
            <w:vAlign w:val="center"/>
          </w:tcPr>
          <w:p w14:paraId="3436CF0F">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512" w:type="pct"/>
            <w:tcBorders>
              <w:top w:val="single" w:color="auto" w:sz="4" w:space="0"/>
              <w:left w:val="single" w:color="auto" w:sz="4" w:space="0"/>
              <w:bottom w:val="single" w:color="auto" w:sz="4" w:space="0"/>
              <w:right w:val="single" w:color="auto" w:sz="4" w:space="0"/>
            </w:tcBorders>
            <w:noWrap/>
            <w:vAlign w:val="center"/>
          </w:tcPr>
          <w:p w14:paraId="71D987D7">
            <w:pPr>
              <w:keepNext w:val="0"/>
              <w:keepLines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安全生产情况（</w:t>
            </w:r>
            <w:r>
              <w:rPr>
                <w:rFonts w:hint="eastAsia"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分）</w:t>
            </w:r>
          </w:p>
        </w:tc>
        <w:tc>
          <w:tcPr>
            <w:tcW w:w="1611" w:type="pct"/>
            <w:tcBorders>
              <w:top w:val="single" w:color="auto" w:sz="4" w:space="0"/>
              <w:left w:val="single" w:color="auto" w:sz="4" w:space="0"/>
              <w:bottom w:val="single" w:color="auto" w:sz="4" w:space="0"/>
              <w:right w:val="single" w:color="auto" w:sz="4" w:space="0"/>
            </w:tcBorders>
            <w:noWrap/>
            <w:vAlign w:val="center"/>
          </w:tcPr>
          <w:p w14:paraId="1E645C98">
            <w:pPr>
              <w:pStyle w:val="8"/>
              <w:keepNext w:val="0"/>
              <w:keepLines w:val="0"/>
              <w:pageBreakBefore w:val="0"/>
              <w:kinsoku/>
              <w:wordWrap w:val="0"/>
              <w:overflowPunct/>
              <w:topLinePunct w:val="0"/>
              <w:autoSpaceDE/>
              <w:autoSpaceDN/>
              <w:bidi w:val="0"/>
              <w:adjustRightInd w:val="0"/>
              <w:snapToGrid w:val="0"/>
              <w:spacing w:after="0" w:afterLines="0" w:line="24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1.近年来（2020年1月1日至今）投标人未发生事故等级为一般事故及以上的生产安全事故、一般质量事故及以上的工程质量事故的，得</w:t>
            </w:r>
            <w:r>
              <w:rPr>
                <w:rFonts w:hint="eastAsia"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p w14:paraId="6D2B5A88">
            <w:pPr>
              <w:pStyle w:val="8"/>
              <w:keepNext w:val="0"/>
              <w:keepLines w:val="0"/>
              <w:pageBreakBefore w:val="0"/>
              <w:kinsoku/>
              <w:wordWrap w:val="0"/>
              <w:overflowPunct/>
              <w:topLinePunct w:val="0"/>
              <w:autoSpaceDE/>
              <w:autoSpaceDN/>
              <w:bidi w:val="0"/>
              <w:adjustRightInd w:val="0"/>
              <w:snapToGrid w:val="0"/>
              <w:spacing w:after="0" w:afterLines="0" w:line="24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2．其他情形的，不予计分。</w:t>
            </w:r>
          </w:p>
          <w:p w14:paraId="6A114E03">
            <w:pPr>
              <w:pStyle w:val="8"/>
              <w:keepNext w:val="0"/>
              <w:keepLines w:val="0"/>
              <w:pageBreakBefore w:val="0"/>
              <w:kinsoku/>
              <w:wordWrap w:val="0"/>
              <w:overflowPunct/>
              <w:topLinePunct w:val="0"/>
              <w:autoSpaceDE/>
              <w:autoSpaceDN/>
              <w:bidi w:val="0"/>
              <w:adjustRightInd w:val="0"/>
              <w:snapToGrid w:val="0"/>
              <w:spacing w:after="0" w:afterLines="0" w:line="24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本项最高得</w:t>
            </w:r>
            <w:r>
              <w:rPr>
                <w:rFonts w:hint="eastAsia"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tc>
        <w:tc>
          <w:tcPr>
            <w:tcW w:w="2047" w:type="pct"/>
            <w:tcBorders>
              <w:top w:val="single" w:color="auto" w:sz="4" w:space="0"/>
              <w:left w:val="single" w:color="auto" w:sz="4" w:space="0"/>
              <w:bottom w:val="single" w:color="auto" w:sz="4" w:space="0"/>
              <w:right w:val="single" w:color="auto" w:sz="4" w:space="0"/>
            </w:tcBorders>
            <w:noWrap/>
            <w:vAlign w:val="center"/>
          </w:tcPr>
          <w:p w14:paraId="3DC644BD">
            <w:pPr>
              <w:pStyle w:val="8"/>
              <w:keepNext w:val="0"/>
              <w:keepLines w:val="0"/>
              <w:pageBreakBefore w:val="0"/>
              <w:kinsoku/>
              <w:wordWrap w:val="0"/>
              <w:overflowPunct/>
              <w:topLinePunct w:val="0"/>
              <w:autoSpaceDE/>
              <w:autoSpaceDN/>
              <w:bidi w:val="0"/>
              <w:adjustRightInd w:val="0"/>
              <w:snapToGrid w:val="0"/>
              <w:spacing w:after="0" w:afterLines="0" w:line="24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1.需提供本单位承诺书（格式自定）并加盖本单位公章。</w:t>
            </w:r>
          </w:p>
          <w:p w14:paraId="4B3F0917">
            <w:pPr>
              <w:pStyle w:val="8"/>
              <w:keepNext w:val="0"/>
              <w:keepLines w:val="0"/>
              <w:pageBreakBefore w:val="0"/>
              <w:kinsoku/>
              <w:wordWrap w:val="0"/>
              <w:overflowPunct/>
              <w:topLinePunct w:val="0"/>
              <w:autoSpaceDE/>
              <w:autoSpaceDN/>
              <w:bidi w:val="0"/>
              <w:adjustRightInd w:val="0"/>
              <w:snapToGrid w:val="0"/>
              <w:spacing w:after="0" w:afterLines="0" w:line="24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2.未提供本单位承诺书并加盖本单位公章的，按第2项标准处理。</w:t>
            </w:r>
          </w:p>
          <w:p w14:paraId="66B3F3A6">
            <w:pPr>
              <w:pStyle w:val="19"/>
              <w:rPr>
                <w:rFonts w:hint="eastAsia" w:ascii="宋体" w:hAnsi="宋体" w:eastAsia="宋体" w:cs="宋体"/>
                <w:b/>
                <w:color w:val="auto"/>
                <w:sz w:val="24"/>
                <w:szCs w:val="24"/>
                <w:highlight w:val="none"/>
              </w:rPr>
            </w:pPr>
            <w:r>
              <w:rPr>
                <w:rFonts w:hint="eastAsia" w:hAnsi="宋体" w:eastAsia="宋体" w:cs="宋体"/>
                <w:b/>
                <w:bCs/>
                <w:snapToGrid w:val="0"/>
                <w:color w:val="auto"/>
                <w:kern w:val="0"/>
                <w:sz w:val="24"/>
                <w:szCs w:val="24"/>
                <w:highlight w:val="none"/>
                <w:lang w:val="en-US" w:eastAsia="zh-CN"/>
              </w:rPr>
              <w:t>3.</w:t>
            </w:r>
            <w:r>
              <w:rPr>
                <w:rFonts w:ascii="宋体" w:hAnsi="宋体" w:eastAsia="宋体" w:cs="宋体"/>
                <w:b/>
                <w:bCs/>
                <w:snapToGrid w:val="0"/>
                <w:color w:val="auto"/>
                <w:kern w:val="0"/>
                <w:sz w:val="24"/>
                <w:szCs w:val="24"/>
                <w:highlight w:val="none"/>
              </w:rPr>
              <w:t>组成联合体时由联合体任意一方提供。</w:t>
            </w:r>
          </w:p>
        </w:tc>
      </w:tr>
      <w:tr w14:paraId="2B71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49" w:type="pct"/>
            <w:vMerge w:val="continue"/>
            <w:tcBorders>
              <w:left w:val="single" w:color="auto" w:sz="4" w:space="0"/>
              <w:right w:val="single" w:color="auto" w:sz="4" w:space="0"/>
            </w:tcBorders>
            <w:noWrap/>
            <w:vAlign w:val="center"/>
          </w:tcPr>
          <w:p w14:paraId="31EC5CE4">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378" w:type="pct"/>
            <w:vMerge w:val="restart"/>
            <w:tcBorders>
              <w:top w:val="single" w:color="auto" w:sz="4" w:space="0"/>
              <w:left w:val="single" w:color="auto" w:sz="4" w:space="0"/>
              <w:right w:val="single" w:color="auto" w:sz="4" w:space="0"/>
            </w:tcBorders>
            <w:noWrap/>
            <w:vAlign w:val="center"/>
          </w:tcPr>
          <w:p w14:paraId="2E954F70">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设计企业（</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c>
          <w:tcPr>
            <w:tcW w:w="512" w:type="pct"/>
            <w:tcBorders>
              <w:top w:val="single" w:color="auto" w:sz="4" w:space="0"/>
              <w:left w:val="single" w:color="auto" w:sz="4" w:space="0"/>
              <w:right w:val="single" w:color="auto" w:sz="4" w:space="0"/>
            </w:tcBorders>
            <w:noWrap/>
            <w:vAlign w:val="center"/>
          </w:tcPr>
          <w:p w14:paraId="4FE57B8D">
            <w:pPr>
              <w:spacing w:line="34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设计企业业绩</w:t>
            </w:r>
          </w:p>
          <w:p w14:paraId="5A3DFBF1">
            <w:pPr>
              <w:spacing w:line="34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tc>
        <w:tc>
          <w:tcPr>
            <w:tcW w:w="1611" w:type="pct"/>
            <w:tcBorders>
              <w:top w:val="single" w:color="auto" w:sz="4" w:space="0"/>
              <w:left w:val="single" w:color="auto" w:sz="4" w:space="0"/>
              <w:bottom w:val="single" w:color="auto" w:sz="4" w:space="0"/>
              <w:right w:val="single" w:color="auto" w:sz="4" w:space="0"/>
            </w:tcBorders>
            <w:noWrap/>
            <w:vAlign w:val="center"/>
          </w:tcPr>
          <w:p w14:paraId="478162F8">
            <w:pPr>
              <w:keepNext w:val="0"/>
              <w:keepLines w:val="0"/>
              <w:suppressLineNumbers w:val="0"/>
              <w:wordWrap w:val="0"/>
              <w:spacing w:before="0" w:beforeAutospacing="0" w:after="0" w:afterAutospacing="0" w:line="360" w:lineRule="exact"/>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企业近年来（20</w:t>
            </w:r>
            <w:r>
              <w:rPr>
                <w:rFonts w:hint="eastAsia"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年1月1日至今）业绩情况：</w:t>
            </w:r>
          </w:p>
          <w:p w14:paraId="6E3A366C">
            <w:pPr>
              <w:keepNext w:val="0"/>
              <w:keepLines w:val="0"/>
              <w:suppressLineNumbers w:val="0"/>
              <w:wordWrap w:val="0"/>
              <w:spacing w:before="0" w:beforeAutospacing="0" w:after="0" w:afterAutospacing="0" w:line="360" w:lineRule="exact"/>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 xml:space="preserve"> 承接 </w:t>
            </w:r>
            <w:r>
              <w:rPr>
                <w:rFonts w:hint="eastAsia" w:ascii="宋体" w:hAnsi="宋体" w:eastAsia="宋体" w:cs="宋体"/>
                <w:color w:val="auto"/>
                <w:kern w:val="0"/>
                <w:sz w:val="24"/>
                <w:szCs w:val="24"/>
                <w:highlight w:val="none"/>
              </w:rPr>
              <w:t>过类似项目的，每个得</w:t>
            </w:r>
            <w:r>
              <w:rPr>
                <w:rFonts w:hint="eastAsia" w:ascii="宋体" w:hAnsi="宋体" w:eastAsia="宋体" w:cs="宋体"/>
                <w:color w:val="auto"/>
                <w:kern w:val="0"/>
                <w:sz w:val="24"/>
                <w:szCs w:val="24"/>
                <w:highlight w:val="none"/>
                <w:u w:val="single"/>
              </w:rPr>
              <w:t xml:space="preserve"> </w:t>
            </w:r>
            <w:r>
              <w:rPr>
                <w:rFonts w:hint="eastAsia" w:hAnsi="宋体" w:eastAsia="宋体" w:cs="宋体"/>
                <w:color w:val="auto"/>
                <w:kern w:val="0"/>
                <w:sz w:val="24"/>
                <w:szCs w:val="24"/>
                <w:highlight w:val="none"/>
                <w:u w:val="single"/>
                <w:lang w:val="en-US" w:eastAsia="zh-CN"/>
              </w:rPr>
              <w:t>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分。</w:t>
            </w:r>
          </w:p>
          <w:p w14:paraId="1831B518">
            <w:pPr>
              <w:keepNext w:val="0"/>
              <w:keepLines w:val="0"/>
              <w:suppressLineNumbers w:val="0"/>
              <w:wordWrap w:val="0"/>
              <w:spacing w:before="0" w:beforeAutospacing="0" w:after="0" w:afterAutospacing="0" w:line="360" w:lineRule="exact"/>
              <w:ind w:left="0" w:right="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u w:val="single"/>
              </w:rPr>
              <w:t>未承接</w:t>
            </w:r>
            <w:r>
              <w:rPr>
                <w:rFonts w:hint="eastAsia" w:ascii="宋体" w:hAnsi="宋体" w:eastAsia="宋体" w:cs="宋体"/>
                <w:color w:val="auto"/>
                <w:kern w:val="0"/>
                <w:sz w:val="24"/>
                <w:szCs w:val="24"/>
                <w:highlight w:val="none"/>
              </w:rPr>
              <w:t>过类似项目的，不予计分。</w:t>
            </w:r>
          </w:p>
          <w:p w14:paraId="01041459">
            <w:pPr>
              <w:keepNext w:val="0"/>
              <w:keepLines w:val="0"/>
              <w:wordWrap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注：本项最高得</w:t>
            </w:r>
            <w:r>
              <w:rPr>
                <w:rFonts w:hint="eastAsia"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c>
          <w:tcPr>
            <w:tcW w:w="2047" w:type="pct"/>
            <w:tcBorders>
              <w:top w:val="single" w:color="auto" w:sz="4" w:space="0"/>
              <w:left w:val="single" w:color="auto" w:sz="4" w:space="0"/>
              <w:bottom w:val="single" w:color="auto" w:sz="4" w:space="0"/>
              <w:right w:val="single" w:color="auto" w:sz="4" w:space="0"/>
            </w:tcBorders>
            <w:noWrap/>
            <w:vAlign w:val="center"/>
          </w:tcPr>
          <w:p w14:paraId="338EA541">
            <w:pPr>
              <w:keepNext w:val="0"/>
              <w:keepLines w:val="0"/>
              <w:widowControl/>
              <w:numPr>
                <w:ilvl w:val="-1"/>
                <w:numId w:val="0"/>
              </w:numPr>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类似项目指：</w:t>
            </w:r>
            <w:r>
              <w:rPr>
                <w:rFonts w:hint="eastAsia" w:ascii="宋体" w:hAnsi="宋体" w:eastAsia="宋体" w:cs="宋体"/>
                <w:color w:val="auto"/>
                <w:kern w:val="0"/>
                <w:sz w:val="24"/>
                <w:szCs w:val="24"/>
                <w:highlight w:val="none"/>
                <w:u w:val="single"/>
                <w:lang w:eastAsia="zh-CN"/>
              </w:rPr>
              <w:t>市政工程</w:t>
            </w:r>
            <w:r>
              <w:rPr>
                <w:rFonts w:hint="eastAsia" w:ascii="宋体" w:hAnsi="宋体" w:eastAsia="宋体" w:cs="宋体"/>
                <w:color w:val="auto"/>
                <w:kern w:val="0"/>
                <w:sz w:val="24"/>
                <w:szCs w:val="24"/>
                <w:highlight w:val="none"/>
              </w:rPr>
              <w:t>的设计项目（含设计，勘察设计，设计施工总承包，勘察设计施工总承包项目，EPC）</w:t>
            </w:r>
          </w:p>
          <w:p w14:paraId="01DF9F6A">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2．需附有关业绩合同协议书</w:t>
            </w:r>
            <w:r>
              <w:rPr>
                <w:rFonts w:hint="eastAsia" w:ascii="宋体" w:hAnsi="宋体" w:eastAsia="宋体" w:cs="宋体"/>
                <w:color w:val="auto"/>
                <w:kern w:val="0"/>
                <w:sz w:val="24"/>
                <w:szCs w:val="24"/>
                <w:highlight w:val="none"/>
                <w:lang w:eastAsia="zh-CN"/>
              </w:rPr>
              <w:t>彩色</w:t>
            </w:r>
            <w:r>
              <w:rPr>
                <w:rFonts w:hint="eastAsia" w:ascii="宋体" w:hAnsi="宋体" w:eastAsia="宋体" w:cs="宋体"/>
                <w:color w:val="auto"/>
                <w:kern w:val="0"/>
                <w:sz w:val="24"/>
                <w:szCs w:val="24"/>
                <w:highlight w:val="none"/>
              </w:rPr>
              <w:t>扫描件</w:t>
            </w:r>
            <w:r>
              <w:rPr>
                <w:rFonts w:hint="eastAsia" w:ascii="宋体" w:hAnsi="宋体" w:eastAsia="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eastAsia="zh-CN"/>
              </w:rPr>
              <w:t>或复印件</w:t>
            </w:r>
            <w:r>
              <w:rPr>
                <w:rFonts w:hint="eastAsia" w:ascii="宋体" w:hAnsi="宋体" w:eastAsia="宋体" w:cs="宋体"/>
                <w:snapToGrid w:val="0"/>
                <w:color w:val="auto"/>
                <w:kern w:val="0"/>
                <w:sz w:val="24"/>
                <w:szCs w:val="24"/>
                <w:highlight w:val="none"/>
              </w:rPr>
              <w:t>或打印件）。</w:t>
            </w:r>
          </w:p>
          <w:p w14:paraId="13BAB0AF">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3．业绩时间以合同协议书日期为准。</w:t>
            </w:r>
          </w:p>
          <w:p w14:paraId="26A7BBF4">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4．任一业绩有以下情形之一的，该业绩视为无效，不予计分：</w:t>
            </w:r>
          </w:p>
          <w:p w14:paraId="5175B310">
            <w:pPr>
              <w:keepNext w:val="0"/>
              <w:keepLines w:val="0"/>
              <w:widowControl/>
              <w:suppressLineNumbers w:val="0"/>
              <w:tabs>
                <w:tab w:val="left" w:pos="7020"/>
              </w:tabs>
              <w:spacing w:before="0" w:beforeAutospacing="0" w:after="0" w:afterAutospacing="0" w:line="360" w:lineRule="exact"/>
              <w:ind w:left="0" w:right="0"/>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①业绩不属于类似工程的；</w:t>
            </w:r>
          </w:p>
          <w:p w14:paraId="0DE53ECB">
            <w:pPr>
              <w:keepNext w:val="0"/>
              <w:keepLines w:val="0"/>
              <w:widowControl/>
              <w:suppressLineNumbers w:val="0"/>
              <w:tabs>
                <w:tab w:val="left" w:pos="7020"/>
              </w:tabs>
              <w:spacing w:before="0" w:beforeAutospacing="0" w:after="0" w:afterAutospacing="0" w:line="360" w:lineRule="exact"/>
              <w:ind w:left="0" w:leftChars="0" w:right="0" w:rightChars="0"/>
              <w:jc w:val="left"/>
              <w:textAlignment w:val="baseline"/>
              <w:rPr>
                <w:rFonts w:hint="eastAsia" w:ascii="宋体" w:hAnsi="宋体" w:eastAsia="宋体" w:cs="宋体"/>
                <w:b w:val="0"/>
                <w:bCs/>
                <w:snapToGrid w:val="0"/>
                <w:color w:val="auto"/>
                <w:kern w:val="0"/>
                <w:sz w:val="24"/>
                <w:szCs w:val="24"/>
                <w:highlight w:val="none"/>
                <w:lang w:eastAsia="zh-CN"/>
              </w:rPr>
            </w:pPr>
            <w:r>
              <w:rPr>
                <w:rFonts w:hint="eastAsia" w:ascii="宋体" w:hAnsi="宋体" w:eastAsia="宋体" w:cs="宋体"/>
                <w:color w:val="auto"/>
                <w:kern w:val="0"/>
                <w:sz w:val="24"/>
                <w:szCs w:val="24"/>
                <w:highlight w:val="none"/>
              </w:rPr>
              <w:t>②业绩时间不符合要求的</w:t>
            </w:r>
            <w:r>
              <w:rPr>
                <w:rFonts w:hint="eastAsia" w:ascii="宋体" w:hAnsi="宋体" w:eastAsia="宋体" w:cs="宋体"/>
                <w:b w:val="0"/>
                <w:bCs/>
                <w:snapToGrid w:val="0"/>
                <w:color w:val="auto"/>
                <w:kern w:val="0"/>
                <w:sz w:val="24"/>
                <w:szCs w:val="24"/>
                <w:highlight w:val="none"/>
              </w:rPr>
              <w:t>。</w:t>
            </w:r>
          </w:p>
        </w:tc>
      </w:tr>
      <w:tr w14:paraId="41AB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49" w:type="pct"/>
            <w:vMerge w:val="continue"/>
            <w:tcBorders>
              <w:left w:val="single" w:color="auto" w:sz="4" w:space="0"/>
              <w:right w:val="single" w:color="auto" w:sz="4" w:space="0"/>
            </w:tcBorders>
            <w:noWrap/>
            <w:vAlign w:val="center"/>
          </w:tcPr>
          <w:p w14:paraId="71591331">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6869AC9A">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auto"/>
                <w:sz w:val="24"/>
                <w:szCs w:val="24"/>
                <w:highlight w:val="none"/>
              </w:rPr>
            </w:pPr>
          </w:p>
        </w:tc>
        <w:tc>
          <w:tcPr>
            <w:tcW w:w="512" w:type="pct"/>
            <w:tcBorders>
              <w:top w:val="single" w:color="auto" w:sz="4" w:space="0"/>
              <w:left w:val="single" w:color="auto" w:sz="4" w:space="0"/>
              <w:right w:val="single" w:color="auto" w:sz="4" w:space="0"/>
            </w:tcBorders>
            <w:noWrap/>
            <w:vAlign w:val="center"/>
          </w:tcPr>
          <w:p w14:paraId="046B4664">
            <w:pPr>
              <w:spacing w:line="340" w:lineRule="exact"/>
              <w:jc w:val="left"/>
              <w:rPr>
                <w:rFonts w:hint="eastAsia" w:ascii="宋体" w:hAnsi="宋体" w:eastAsia="宋体" w:cs="宋体"/>
                <w:color w:val="auto"/>
                <w:sz w:val="24"/>
                <w:szCs w:val="24"/>
                <w:highlight w:val="none"/>
                <w:lang w:eastAsia="zh-CN"/>
              </w:rPr>
            </w:pPr>
            <w:r>
              <w:rPr>
                <w:rFonts w:hint="eastAsia" w:hAnsi="宋体" w:eastAsia="宋体" w:cs="宋体"/>
                <w:color w:val="auto"/>
                <w:kern w:val="0"/>
                <w:sz w:val="24"/>
                <w:szCs w:val="24"/>
                <w:highlight w:val="none"/>
                <w:lang w:val="en-US" w:eastAsia="zh-CN"/>
              </w:rPr>
              <w:t>设计企业荣誉（9分)</w:t>
            </w:r>
          </w:p>
        </w:tc>
        <w:tc>
          <w:tcPr>
            <w:tcW w:w="1611" w:type="pct"/>
            <w:tcBorders>
              <w:top w:val="single" w:color="auto" w:sz="4" w:space="0"/>
              <w:left w:val="single" w:color="auto" w:sz="4" w:space="0"/>
              <w:bottom w:val="single" w:color="auto" w:sz="4" w:space="0"/>
              <w:right w:val="single" w:color="auto" w:sz="4" w:space="0"/>
            </w:tcBorders>
            <w:noWrap/>
            <w:vAlign w:val="center"/>
          </w:tcPr>
          <w:p w14:paraId="763D8A30">
            <w:pPr>
              <w:pStyle w:val="11"/>
              <w:keepNext w:val="0"/>
              <w:keepLines w:val="0"/>
              <w:numPr>
                <w:ilvl w:val="-1"/>
                <w:numId w:val="0"/>
              </w:numPr>
              <w:suppressLineNumbers w:val="0"/>
              <w:spacing w:before="0" w:beforeAutospacing="0" w:after="0" w:afterAutospacing="0" w:line="360" w:lineRule="exact"/>
              <w:ind w:left="0" w:leftChars="0" w:right="0" w:rightChars="0" w:firstLine="0" w:firstLineChars="0"/>
              <w:rPr>
                <w:rFonts w:hint="eastAsia"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1.企业近3年（2021年至今）连续三年获得省级或以上优秀园林规划设计企业的，得4分；连续2年获得省级或以上优秀园林规划设计企业的，得2分；获得过省级或以上优秀园林规划设计企业的，得1分。</w:t>
            </w:r>
          </w:p>
          <w:p w14:paraId="2D320673">
            <w:pPr>
              <w:pStyle w:val="11"/>
              <w:keepNext w:val="0"/>
              <w:keepLines w:val="0"/>
              <w:numPr>
                <w:ilvl w:val="-1"/>
                <w:numId w:val="0"/>
              </w:numPr>
              <w:suppressLineNumbers w:val="0"/>
              <w:spacing w:before="0" w:beforeAutospacing="0" w:after="0" w:afterAutospacing="0" w:line="360" w:lineRule="exact"/>
              <w:ind w:left="0" w:leftChars="0" w:right="0" w:rightChars="0" w:firstLine="0" w:firstLineChars="0"/>
              <w:rPr>
                <w:rFonts w:hint="eastAsia"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2.企业近3年（2021年至今）连续三年获得省级或以上优秀建筑业企业的，得5分；连续二年获得省级或以上优秀建筑业企业的，得3分；获得过省级或以上优秀建筑业企业的，得1分</w:t>
            </w:r>
          </w:p>
        </w:tc>
        <w:tc>
          <w:tcPr>
            <w:tcW w:w="2047" w:type="pct"/>
            <w:tcBorders>
              <w:top w:val="single" w:color="auto" w:sz="4" w:space="0"/>
              <w:left w:val="single" w:color="auto" w:sz="4" w:space="0"/>
              <w:bottom w:val="single" w:color="auto" w:sz="4" w:space="0"/>
              <w:right w:val="single" w:color="auto" w:sz="4" w:space="0"/>
            </w:tcBorders>
            <w:noWrap/>
            <w:vAlign w:val="center"/>
          </w:tcPr>
          <w:p w14:paraId="36B0058E">
            <w:pPr>
              <w:pStyle w:val="11"/>
              <w:keepNext w:val="0"/>
              <w:keepLines w:val="0"/>
              <w:numPr>
                <w:ilvl w:val="0"/>
                <w:numId w:val="0"/>
              </w:numPr>
              <w:suppressLineNumbers w:val="0"/>
              <w:spacing w:before="0" w:beforeAutospacing="0" w:after="0" w:afterAutospacing="0" w:line="360" w:lineRule="exact"/>
              <w:ind w:left="0" w:leftChars="0" w:right="0" w:rightChars="0" w:firstLine="0" w:firstLineChars="0"/>
              <w:rPr>
                <w:rFonts w:hint="eastAsia" w:ascii="宋体" w:hAnsi="宋体" w:eastAsia="宋体" w:cs="宋体"/>
                <w:color w:val="auto"/>
                <w:sz w:val="24"/>
                <w:szCs w:val="24"/>
                <w:highlight w:val="none"/>
                <w:lang w:eastAsia="zh-CN"/>
              </w:rPr>
            </w:pP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sz w:val="24"/>
                <w:szCs w:val="24"/>
                <w:highlight w:val="none"/>
              </w:rPr>
              <w:t>提供相关证书</w:t>
            </w:r>
            <w:r>
              <w:rPr>
                <w:rFonts w:hint="eastAsia" w:ascii="宋体" w:hAnsi="宋体" w:eastAsia="宋体" w:cs="宋体"/>
                <w:color w:val="auto"/>
                <w:sz w:val="24"/>
                <w:szCs w:val="24"/>
                <w:highlight w:val="none"/>
                <w:lang w:val="en-US" w:eastAsia="zh-CN"/>
              </w:rPr>
              <w:t>彩色扫描件(</w:t>
            </w:r>
            <w:r>
              <w:rPr>
                <w:rFonts w:hint="eastAsia" w:ascii="宋体" w:hAnsi="宋体" w:eastAsia="宋体" w:cs="宋体"/>
                <w:color w:val="auto"/>
                <w:sz w:val="24"/>
                <w:szCs w:val="24"/>
                <w:highlight w:val="none"/>
                <w:lang w:eastAsia="zh-CN"/>
              </w:rPr>
              <w:t>或复印件</w:t>
            </w:r>
            <w:r>
              <w:rPr>
                <w:rFonts w:hint="eastAsia" w:ascii="宋体" w:hAnsi="宋体" w:eastAsia="宋体" w:cs="宋体"/>
                <w:color w:val="auto"/>
                <w:sz w:val="24"/>
                <w:szCs w:val="24"/>
                <w:highlight w:val="none"/>
              </w:rPr>
              <w:t>或打印件）</w:t>
            </w:r>
            <w:r>
              <w:rPr>
                <w:rFonts w:hint="eastAsia" w:ascii="宋体" w:hAnsi="宋体" w:eastAsia="宋体" w:cs="宋体"/>
                <w:color w:val="auto"/>
                <w:sz w:val="24"/>
                <w:szCs w:val="24"/>
                <w:highlight w:val="none"/>
                <w:lang w:eastAsia="zh-CN"/>
              </w:rPr>
              <w:t>。</w:t>
            </w:r>
          </w:p>
          <w:p w14:paraId="2DC5DFD3">
            <w:pPr>
              <w:pStyle w:val="11"/>
              <w:keepNext w:val="0"/>
              <w:keepLines w:val="0"/>
              <w:numPr>
                <w:ilvl w:val="0"/>
                <w:numId w:val="0"/>
              </w:numPr>
              <w:suppressLineNumbers w:val="0"/>
              <w:spacing w:before="0" w:beforeAutospacing="0" w:after="0" w:afterAutospacing="0" w:line="360" w:lineRule="exact"/>
              <w:ind w:left="0" w:leftChars="0" w:right="0" w:rightChars="0" w:firstLine="0" w:firstLineChars="0"/>
              <w:rPr>
                <w:rFonts w:hint="eastAsia" w:ascii="宋体" w:hAnsi="宋体" w:eastAsia="宋体" w:cs="宋体"/>
                <w:color w:val="auto"/>
                <w:kern w:val="0"/>
                <w:sz w:val="24"/>
                <w:szCs w:val="24"/>
                <w:highlight w:val="none"/>
                <w:lang w:val="en-US" w:eastAsia="zh-CN"/>
              </w:rPr>
            </w:pPr>
          </w:p>
        </w:tc>
      </w:tr>
      <w:tr w14:paraId="6960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449" w:type="pct"/>
            <w:vMerge w:val="continue"/>
            <w:tcBorders>
              <w:left w:val="single" w:color="auto" w:sz="4" w:space="0"/>
              <w:right w:val="single" w:color="auto" w:sz="4" w:space="0"/>
            </w:tcBorders>
            <w:noWrap/>
            <w:vAlign w:val="center"/>
          </w:tcPr>
          <w:p w14:paraId="3C582BF0">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700D7A49">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auto"/>
                <w:sz w:val="24"/>
                <w:szCs w:val="24"/>
                <w:highlight w:val="none"/>
              </w:rPr>
            </w:pPr>
          </w:p>
        </w:tc>
        <w:tc>
          <w:tcPr>
            <w:tcW w:w="512" w:type="pct"/>
            <w:tcBorders>
              <w:top w:val="single" w:color="auto" w:sz="4" w:space="0"/>
              <w:left w:val="single" w:color="auto" w:sz="4" w:space="0"/>
              <w:right w:val="single" w:color="auto" w:sz="4" w:space="0"/>
            </w:tcBorders>
            <w:noWrap/>
            <w:vAlign w:val="center"/>
          </w:tcPr>
          <w:p w14:paraId="520E6FFF">
            <w:pPr>
              <w:widowControl w:val="0"/>
              <w:wordWrap w:val="0"/>
              <w:adjustRightInd w:val="0"/>
              <w:snapToGrid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bidi="ar"/>
              </w:rPr>
              <w:t>企业管理体系认证（</w:t>
            </w:r>
            <w:r>
              <w:rPr>
                <w:rFonts w:hint="eastAsia" w:hAnsi="宋体" w:eastAsia="宋体" w:cs="宋体"/>
                <w:snapToGrid w:val="0"/>
                <w:color w:val="auto"/>
                <w:kern w:val="0"/>
                <w:sz w:val="24"/>
                <w:szCs w:val="24"/>
                <w:highlight w:val="none"/>
                <w:lang w:val="en-US" w:eastAsia="zh-CN" w:bidi="ar"/>
              </w:rPr>
              <w:t>3</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bidi="ar"/>
              </w:rPr>
              <w:t>）</w:t>
            </w:r>
          </w:p>
        </w:tc>
        <w:tc>
          <w:tcPr>
            <w:tcW w:w="1611" w:type="pct"/>
            <w:tcBorders>
              <w:top w:val="single" w:color="auto" w:sz="4" w:space="0"/>
              <w:left w:val="single" w:color="auto" w:sz="4" w:space="0"/>
              <w:bottom w:val="single" w:color="auto" w:sz="4" w:space="0"/>
              <w:right w:val="single" w:color="auto" w:sz="4" w:space="0"/>
            </w:tcBorders>
            <w:noWrap/>
            <w:vAlign w:val="center"/>
          </w:tcPr>
          <w:p w14:paraId="4E5577DF">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1．质量管理体系认证、职业健康安全管理体系认证、环境管理体系认证中，每获得1项认证得1分，最高得3分。</w:t>
            </w:r>
          </w:p>
          <w:p w14:paraId="4E9F9201">
            <w:pPr>
              <w:widowControl w:val="0"/>
              <w:spacing w:line="360" w:lineRule="exac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SA"/>
              </w:rPr>
              <w:t>2．未获得以上认证的，不予计分。</w:t>
            </w:r>
          </w:p>
        </w:tc>
        <w:tc>
          <w:tcPr>
            <w:tcW w:w="2047" w:type="pct"/>
            <w:tcBorders>
              <w:top w:val="single" w:color="auto" w:sz="4" w:space="0"/>
              <w:left w:val="single" w:color="auto" w:sz="4" w:space="0"/>
              <w:bottom w:val="single" w:color="auto" w:sz="4" w:space="0"/>
              <w:right w:val="single" w:color="auto" w:sz="4" w:space="0"/>
            </w:tcBorders>
            <w:noWrap/>
            <w:vAlign w:val="center"/>
          </w:tcPr>
          <w:p w14:paraId="662BBAEF">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 xml:space="preserve">1．需附在有效期内的认证证书彩色扫描件。 </w:t>
            </w:r>
          </w:p>
          <w:p w14:paraId="177A4133">
            <w:pPr>
              <w:keepNext w:val="0"/>
              <w:keepLines w:val="0"/>
              <w:pageBreakBefore w:val="0"/>
              <w:widowControl w:val="0"/>
              <w:kinsoku/>
              <w:wordWrap w:val="0"/>
              <w:overflowPunct/>
              <w:topLinePunct w:val="0"/>
              <w:autoSpaceDE/>
              <w:autoSpaceDN/>
              <w:bidi w:val="0"/>
              <w:adjustRightInd w:val="0"/>
              <w:snapToGrid w:val="0"/>
              <w:spacing w:line="36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2．任一认证证书有以下情形之一的，该认证证书视为无效，不予计分：</w:t>
            </w:r>
          </w:p>
          <w:p w14:paraId="56D8179A">
            <w:pPr>
              <w:keepNext w:val="0"/>
              <w:keepLines w:val="0"/>
              <w:suppressLineNumbers w:val="0"/>
              <w:wordWrap w:val="0"/>
              <w:adjustRightInd w:val="0"/>
              <w:snapToGrid w:val="0"/>
              <w:spacing w:before="0" w:beforeAutospacing="0" w:after="0" w:afterAutospacing="0" w:line="360" w:lineRule="exact"/>
              <w:ind w:left="0" w:leftChars="0" w:right="0" w:rightChars="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bidi="ar-SA"/>
              </w:rPr>
              <w:t>①认证证书不在有效期内的。</w:t>
            </w:r>
          </w:p>
        </w:tc>
      </w:tr>
      <w:tr w14:paraId="76B0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449" w:type="pct"/>
            <w:vMerge w:val="continue"/>
            <w:tcBorders>
              <w:left w:val="single" w:color="auto" w:sz="4" w:space="0"/>
              <w:right w:val="single" w:color="auto" w:sz="4" w:space="0"/>
            </w:tcBorders>
            <w:noWrap/>
            <w:vAlign w:val="center"/>
          </w:tcPr>
          <w:p w14:paraId="10EDBD97">
            <w:pPr>
              <w:keepNext w:val="0"/>
              <w:keepLines w:val="0"/>
              <w:widowControl/>
              <w:suppressLineNumbers w:val="0"/>
              <w:spacing w:before="0" w:beforeAutospacing="0" w:after="0" w:afterAutospacing="0" w:line="360" w:lineRule="exact"/>
              <w:ind w:left="0" w:right="0"/>
              <w:jc w:val="left"/>
              <w:rPr>
                <w:rFonts w:hint="eastAsia" w:ascii="宋体" w:hAnsi="宋体" w:eastAsia="宋体" w:cs="宋体"/>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34A56A4E">
            <w:pPr>
              <w:keepNext w:val="0"/>
              <w:keepLines w:val="0"/>
              <w:suppressLineNumbers w:val="0"/>
              <w:spacing w:before="0" w:beforeAutospacing="0" w:after="0" w:afterAutospacing="0" w:line="360" w:lineRule="exact"/>
              <w:ind w:left="0" w:right="0"/>
              <w:jc w:val="center"/>
              <w:textAlignment w:val="baseline"/>
              <w:rPr>
                <w:rFonts w:hint="eastAsia" w:ascii="宋体" w:hAnsi="宋体" w:eastAsia="宋体" w:cs="宋体"/>
                <w:color w:val="auto"/>
                <w:sz w:val="24"/>
                <w:szCs w:val="24"/>
                <w:highlight w:val="none"/>
              </w:rPr>
            </w:pPr>
          </w:p>
        </w:tc>
        <w:tc>
          <w:tcPr>
            <w:tcW w:w="512" w:type="pct"/>
            <w:tcBorders>
              <w:top w:val="single" w:color="auto" w:sz="4" w:space="0"/>
              <w:left w:val="single" w:color="auto" w:sz="4" w:space="0"/>
              <w:right w:val="single" w:color="auto" w:sz="4" w:space="0"/>
            </w:tcBorders>
            <w:noWrap/>
            <w:vAlign w:val="center"/>
          </w:tcPr>
          <w:p w14:paraId="3D60DDC9">
            <w:pPr>
              <w:keepNext w:val="0"/>
              <w:keepLines w:val="0"/>
              <w:suppressLineNumbers w:val="0"/>
              <w:wordWrap w:val="0"/>
              <w:adjustRightInd w:val="0"/>
              <w:snapToGrid w:val="0"/>
              <w:spacing w:before="0" w:beforeAutospacing="0" w:after="0" w:afterAutospacing="0" w:line="360" w:lineRule="exact"/>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拟派人员情况（</w:t>
            </w:r>
            <w:r>
              <w:rPr>
                <w:rFonts w:hint="eastAsia"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1611" w:type="pct"/>
            <w:tcBorders>
              <w:top w:val="single" w:color="auto" w:sz="4" w:space="0"/>
              <w:left w:val="single" w:color="auto" w:sz="4" w:space="0"/>
              <w:bottom w:val="single" w:color="auto" w:sz="4" w:space="0"/>
              <w:right w:val="single" w:color="auto" w:sz="4" w:space="0"/>
            </w:tcBorders>
            <w:noWrap/>
            <w:vAlign w:val="center"/>
          </w:tcPr>
          <w:p w14:paraId="5448F6EE">
            <w:pPr>
              <w:keepNext w:val="0"/>
              <w:keepLines w:val="0"/>
              <w:numPr>
                <w:ilvl w:val="0"/>
                <w:numId w:val="0"/>
              </w:numPr>
              <w:suppressLineNumbers w:val="0"/>
              <w:wordWrap w:val="0"/>
              <w:adjustRightInd w:val="0"/>
              <w:snapToGrid w:val="0"/>
              <w:spacing w:before="0" w:beforeAutospacing="0" w:after="0" w:afterAutospacing="0" w:line="360" w:lineRule="exact"/>
              <w:ind w:leftChars="0" w:right="0"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投标人拟派人员（项目设计负责人除外）：</w:t>
            </w:r>
          </w:p>
          <w:p w14:paraId="1C7D4D9E">
            <w:pPr>
              <w:pStyle w:val="8"/>
              <w:wordWrap w:val="0"/>
              <w:adjustRightInd w:val="0"/>
              <w:snapToGrid w:val="0"/>
              <w:spacing w:after="0" w:line="360" w:lineRule="exact"/>
              <w:rPr>
                <w:rFonts w:hint="eastAsia" w:ascii="宋体" w:hAnsi="宋体" w:eastAsia="宋体" w:cs="宋体"/>
                <w:color w:val="auto"/>
                <w:kern w:val="0"/>
                <w:sz w:val="24"/>
                <w:szCs w:val="24"/>
                <w:highlight w:val="none"/>
                <w:lang w:val="en-US" w:eastAsia="zh-CN" w:bidi="ar-SA"/>
              </w:rPr>
            </w:pP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.拟派结构专业负责人：同时具备高级工程师（或以上）职称、一级注册结构师资格的得</w:t>
            </w: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分，本小项最高得</w:t>
            </w: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分。</w:t>
            </w:r>
          </w:p>
          <w:p w14:paraId="6676F751">
            <w:pPr>
              <w:pStyle w:val="8"/>
              <w:wordWrap w:val="0"/>
              <w:adjustRightInd w:val="0"/>
              <w:snapToGrid w:val="0"/>
              <w:spacing w:after="0" w:line="360" w:lineRule="exact"/>
              <w:rPr>
                <w:rFonts w:hint="eastAsia" w:ascii="宋体" w:hAnsi="宋体" w:eastAsia="宋体" w:cs="宋体"/>
                <w:color w:val="auto"/>
                <w:kern w:val="0"/>
                <w:sz w:val="24"/>
                <w:szCs w:val="24"/>
                <w:highlight w:val="none"/>
                <w:lang w:val="en-US" w:eastAsia="zh-CN" w:bidi="ar-SA"/>
              </w:rPr>
            </w:pPr>
            <w:r>
              <w:rPr>
                <w:rFonts w:hint="eastAsia" w:hAnsi="宋体" w:eastAsia="宋体" w:cs="宋体"/>
                <w:color w:val="auto"/>
                <w:kern w:val="0"/>
                <w:sz w:val="24"/>
                <w:szCs w:val="24"/>
                <w:highlight w:val="none"/>
                <w:lang w:val="en-US" w:eastAsia="zh-CN" w:bidi="ar-SA"/>
              </w:rPr>
              <w:t>2</w:t>
            </w:r>
            <w:r>
              <w:rPr>
                <w:rFonts w:hint="eastAsia" w:ascii="宋体" w:hAnsi="宋体" w:eastAsia="宋体" w:cs="宋体"/>
                <w:color w:val="auto"/>
                <w:kern w:val="0"/>
                <w:sz w:val="24"/>
                <w:szCs w:val="24"/>
                <w:highlight w:val="none"/>
                <w:lang w:val="en-US" w:eastAsia="zh-CN" w:bidi="ar-SA"/>
              </w:rPr>
              <w:t>.拟派给排水专业负责人：同时具备高级工程师（或以上）职称、注册公用设备工程师(给水排水)的得</w:t>
            </w: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分，本小项最高得</w:t>
            </w: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分。</w:t>
            </w:r>
          </w:p>
          <w:p w14:paraId="1BC817FC">
            <w:pPr>
              <w:pStyle w:val="8"/>
              <w:wordWrap w:val="0"/>
              <w:adjustRightInd w:val="0"/>
              <w:snapToGrid w:val="0"/>
              <w:spacing w:after="0" w:line="360" w:lineRule="exact"/>
              <w:rPr>
                <w:rFonts w:hint="eastAsia" w:ascii="宋体" w:hAnsi="宋体" w:eastAsia="宋体" w:cs="宋体"/>
                <w:color w:val="auto"/>
                <w:sz w:val="24"/>
                <w:szCs w:val="24"/>
                <w:highlight w:val="none"/>
                <w:lang w:val="en-US" w:eastAsia="zh-CN"/>
              </w:rPr>
            </w:pPr>
            <w:r>
              <w:rPr>
                <w:rFonts w:hint="eastAsia" w:hAnsi="宋体" w:eastAsia="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.拟派造价专业负责人1名：同时具备高级工程师（或以上）职称、一级注册造价工程师的得</w:t>
            </w: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分，本小项最高得</w:t>
            </w:r>
            <w:r>
              <w:rPr>
                <w:rFonts w:hint="eastAsia"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lang w:val="en-US" w:eastAsia="zh-CN" w:bidi="ar-SA"/>
              </w:rPr>
              <w:t>分。</w:t>
            </w:r>
          </w:p>
          <w:p w14:paraId="61EAE54B">
            <w:pPr>
              <w:keepNext w:val="0"/>
              <w:keepLines w:val="0"/>
              <w:numPr>
                <w:ilvl w:val="0"/>
                <w:numId w:val="0"/>
              </w:numPr>
              <w:suppressLineNumbers w:val="0"/>
              <w:wordWrap w:val="0"/>
              <w:adjustRightInd w:val="0"/>
              <w:snapToGrid w:val="0"/>
              <w:spacing w:before="0" w:beforeAutospacing="0" w:after="0" w:afterAutospacing="0" w:line="360" w:lineRule="exact"/>
              <w:ind w:left="0" w:leftChars="0" w:right="0" w:rightChars="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注：本项最高得</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c>
          <w:tcPr>
            <w:tcW w:w="2047" w:type="pct"/>
            <w:tcBorders>
              <w:top w:val="single" w:color="auto" w:sz="4" w:space="0"/>
              <w:left w:val="single" w:color="auto" w:sz="4" w:space="0"/>
              <w:bottom w:val="single" w:color="auto" w:sz="4" w:space="0"/>
              <w:right w:val="single" w:color="auto" w:sz="4" w:space="0"/>
            </w:tcBorders>
            <w:noWrap/>
            <w:vAlign w:val="center"/>
          </w:tcPr>
          <w:p w14:paraId="18F085F6">
            <w:pPr>
              <w:keepNext w:val="0"/>
              <w:keepLines w:val="0"/>
              <w:numPr>
                <w:ilvl w:val="0"/>
                <w:numId w:val="2"/>
              </w:numPr>
              <w:wordWrap w:val="0"/>
              <w:adjustRightInd w:val="0"/>
              <w:snapToGrid w:val="0"/>
              <w:spacing w:line="360" w:lineRule="exact"/>
              <w:rPr>
                <w:rFonts w:hint="eastAsia" w:ascii="宋体" w:hAnsi="宋体" w:eastAsia="宋体" w:cs="宋体"/>
                <w:b w:val="0"/>
                <w:bCs/>
                <w:snapToGrid w:val="0"/>
                <w:color w:val="auto"/>
                <w:kern w:val="0"/>
                <w:sz w:val="24"/>
                <w:szCs w:val="24"/>
                <w:highlight w:val="none"/>
              </w:rPr>
            </w:pPr>
            <w:r>
              <w:rPr>
                <w:rFonts w:hint="eastAsia" w:ascii="宋体" w:hAnsi="宋体" w:eastAsia="宋体" w:cs="宋体"/>
                <w:color w:val="auto"/>
                <w:sz w:val="24"/>
                <w:szCs w:val="24"/>
                <w:highlight w:val="none"/>
                <w:lang w:val="en-US" w:eastAsia="zh-CN"/>
              </w:rPr>
              <w:t>需附</w:t>
            </w:r>
            <w:r>
              <w:rPr>
                <w:rFonts w:hint="eastAsia" w:ascii="宋体" w:hAnsi="宋体" w:eastAsia="宋体" w:cs="宋体"/>
                <w:color w:val="auto"/>
                <w:sz w:val="24"/>
                <w:szCs w:val="24"/>
                <w:highlight w:val="none"/>
              </w:rPr>
              <w:t>以上人员</w:t>
            </w:r>
            <w:r>
              <w:rPr>
                <w:rFonts w:hint="eastAsia" w:ascii="宋体" w:hAnsi="宋体" w:eastAsia="宋体" w:cs="宋体"/>
                <w:snapToGrid w:val="0"/>
                <w:color w:val="auto"/>
                <w:kern w:val="0"/>
                <w:sz w:val="24"/>
                <w:szCs w:val="24"/>
                <w:highlight w:val="none"/>
                <w:lang w:eastAsia="zh-CN"/>
              </w:rPr>
              <w:t>相关</w:t>
            </w:r>
            <w:r>
              <w:rPr>
                <w:rFonts w:hint="eastAsia" w:ascii="宋体" w:hAnsi="宋体" w:eastAsia="宋体" w:cs="宋体"/>
                <w:snapToGrid w:val="0"/>
                <w:color w:val="auto"/>
                <w:kern w:val="0"/>
                <w:sz w:val="24"/>
                <w:szCs w:val="24"/>
                <w:highlight w:val="none"/>
              </w:rPr>
              <w:t>证</w:t>
            </w:r>
            <w:r>
              <w:rPr>
                <w:rFonts w:hint="eastAsia" w:ascii="宋体" w:hAnsi="宋体" w:eastAsia="宋体" w:cs="宋体"/>
                <w:snapToGrid w:val="0"/>
                <w:color w:val="auto"/>
                <w:kern w:val="0"/>
                <w:sz w:val="24"/>
                <w:szCs w:val="24"/>
                <w:highlight w:val="none"/>
                <w:lang w:eastAsia="zh-CN"/>
              </w:rPr>
              <w:t>书</w:t>
            </w:r>
            <w:r>
              <w:rPr>
                <w:rFonts w:hint="eastAsia" w:ascii="宋体" w:hAnsi="宋体" w:eastAsia="宋体" w:cs="宋体"/>
                <w:snapToGrid w:val="0"/>
                <w:color w:val="auto"/>
                <w:kern w:val="0"/>
                <w:sz w:val="24"/>
                <w:szCs w:val="24"/>
                <w:highlight w:val="none"/>
              </w:rPr>
              <w:t>（或电子证</w:t>
            </w:r>
            <w:r>
              <w:rPr>
                <w:rFonts w:hint="eastAsia" w:hAnsi="宋体" w:eastAsia="宋体" w:cs="宋体"/>
                <w:snapToGrid w:val="0"/>
                <w:color w:val="auto"/>
                <w:kern w:val="0"/>
                <w:sz w:val="24"/>
                <w:szCs w:val="24"/>
                <w:highlight w:val="none"/>
                <w:lang w:eastAsia="zh-CN"/>
              </w:rPr>
              <w:t>书</w:t>
            </w:r>
            <w:r>
              <w:rPr>
                <w:rFonts w:hint="eastAsia" w:ascii="宋体" w:hAnsi="宋体" w:eastAsia="宋体" w:cs="宋体"/>
                <w:snapToGrid w:val="0"/>
                <w:color w:val="auto"/>
                <w:kern w:val="0"/>
                <w:sz w:val="24"/>
                <w:szCs w:val="24"/>
                <w:highlight w:val="none"/>
              </w:rPr>
              <w:t>）彩色扫描件（或复印件或打印件）</w:t>
            </w:r>
            <w:r>
              <w:rPr>
                <w:rFonts w:hint="eastAsia" w:ascii="宋体" w:hAnsi="宋体" w:eastAsia="宋体" w:cs="宋体"/>
                <w:snapToGrid w:val="0"/>
                <w:color w:val="auto"/>
                <w:kern w:val="0"/>
                <w:sz w:val="24"/>
                <w:szCs w:val="24"/>
                <w:highlight w:val="none"/>
                <w:lang w:eastAsia="zh-CN"/>
              </w:rPr>
              <w:t>及</w:t>
            </w:r>
            <w:r>
              <w:rPr>
                <w:rFonts w:hint="eastAsia" w:ascii="宋体" w:hAnsi="宋体" w:eastAsia="宋体" w:cs="宋体"/>
                <w:snapToGrid w:val="0"/>
                <w:color w:val="auto"/>
                <w:kern w:val="0"/>
                <w:sz w:val="24"/>
                <w:szCs w:val="24"/>
                <w:highlight w:val="none"/>
              </w:rPr>
              <w:t>在本单位缴纳近三个月社保的证明（</w:t>
            </w:r>
            <w:r>
              <w:rPr>
                <w:rFonts w:hint="eastAsia" w:hAnsi="宋体" w:eastAsia="宋体" w:cs="宋体"/>
                <w:snapToGrid w:val="0"/>
                <w:color w:val="auto"/>
                <w:kern w:val="0"/>
                <w:sz w:val="24"/>
                <w:szCs w:val="24"/>
                <w:highlight w:val="none"/>
                <w:lang w:eastAsia="zh-CN"/>
              </w:rPr>
              <w:t>其中必须有2025年</w:t>
            </w:r>
            <w:r>
              <w:rPr>
                <w:rFonts w:hint="eastAsia" w:hAnsi="宋体" w:eastAsia="宋体" w:cs="宋体"/>
                <w:snapToGrid w:val="0"/>
                <w:color w:val="auto"/>
                <w:kern w:val="0"/>
                <w:sz w:val="24"/>
                <w:szCs w:val="24"/>
                <w:highlight w:val="none"/>
                <w:lang w:val="en-US" w:eastAsia="zh-CN"/>
              </w:rPr>
              <w:t>6</w:t>
            </w:r>
            <w:r>
              <w:rPr>
                <w:rFonts w:hint="eastAsia" w:hAnsi="宋体" w:eastAsia="宋体" w:cs="宋体"/>
                <w:snapToGrid w:val="0"/>
                <w:color w:val="auto"/>
                <w:kern w:val="0"/>
                <w:sz w:val="24"/>
                <w:szCs w:val="24"/>
                <w:highlight w:val="none"/>
                <w:lang w:eastAsia="zh-CN"/>
              </w:rPr>
              <w:t>月</w:t>
            </w:r>
            <w:r>
              <w:rPr>
                <w:rFonts w:hint="eastAsia" w:ascii="宋体" w:hAnsi="宋体" w:eastAsia="宋体" w:cs="宋体"/>
                <w:snapToGrid w:val="0"/>
                <w:color w:val="auto"/>
                <w:kern w:val="0"/>
                <w:sz w:val="24"/>
                <w:szCs w:val="24"/>
                <w:highlight w:val="none"/>
              </w:rPr>
              <w:t>）若是退休人员需提供退休证和返聘合同（协议）彩色扫描件。</w:t>
            </w:r>
            <w:r>
              <w:rPr>
                <w:rFonts w:hint="eastAsia" w:ascii="宋体" w:hAnsi="宋体" w:eastAsia="宋体" w:cs="宋体"/>
                <w:b w:val="0"/>
                <w:bCs w:val="0"/>
                <w:snapToGrid w:val="0"/>
                <w:color w:val="auto"/>
                <w:kern w:val="0"/>
                <w:sz w:val="24"/>
                <w:szCs w:val="24"/>
                <w:highlight w:val="none"/>
              </w:rPr>
              <w:t>同一人多证的只算一个证，且同一人只能担任一个职位，否则不得分。</w:t>
            </w:r>
          </w:p>
        </w:tc>
      </w:tr>
      <w:tr w14:paraId="7A10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49" w:type="pct"/>
            <w:vMerge w:val="restart"/>
            <w:tcBorders>
              <w:left w:val="single" w:color="auto" w:sz="4" w:space="0"/>
              <w:right w:val="single" w:color="auto" w:sz="4" w:space="0"/>
            </w:tcBorders>
            <w:noWrap/>
            <w:vAlign w:val="center"/>
          </w:tcPr>
          <w:p w14:paraId="2BDED84A">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技术部分</w:t>
            </w:r>
            <w:r>
              <w:rPr>
                <w:rFonts w:hint="eastAsia" w:ascii="宋体" w:hAnsi="宋体" w:eastAsia="宋体" w:cs="宋体"/>
                <w:color w:val="auto"/>
                <w:kern w:val="0"/>
                <w:sz w:val="24"/>
                <w:szCs w:val="24"/>
                <w:highlight w:val="none"/>
                <w:lang w:val="en-US" w:eastAsia="zh-CN"/>
              </w:rPr>
              <w:t>得分</w:t>
            </w:r>
            <w:r>
              <w:rPr>
                <w:rFonts w:hint="eastAsia" w:ascii="宋体" w:hAnsi="宋体" w:eastAsia="宋体" w:cs="宋体"/>
                <w:bCs/>
                <w:color w:val="auto"/>
                <w:sz w:val="24"/>
                <w:szCs w:val="24"/>
                <w:highlight w:val="none"/>
              </w:rPr>
              <w:t>（5分）</w:t>
            </w:r>
          </w:p>
        </w:tc>
        <w:tc>
          <w:tcPr>
            <w:tcW w:w="378" w:type="pct"/>
            <w:vMerge w:val="restart"/>
            <w:tcBorders>
              <w:left w:val="single" w:color="auto" w:sz="4" w:space="0"/>
              <w:right w:val="single" w:color="auto" w:sz="4" w:space="0"/>
            </w:tcBorders>
            <w:noWrap/>
            <w:vAlign w:val="center"/>
          </w:tcPr>
          <w:p w14:paraId="590BF45C">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center"/>
              <w:textAlignment w:val="baseline"/>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技术建议书</w:t>
            </w:r>
          </w:p>
        </w:tc>
        <w:tc>
          <w:tcPr>
            <w:tcW w:w="512" w:type="pct"/>
            <w:tcBorders>
              <w:top w:val="single" w:color="auto" w:sz="4" w:space="0"/>
              <w:left w:val="single" w:color="auto" w:sz="4" w:space="0"/>
              <w:right w:val="single" w:color="auto" w:sz="4" w:space="0"/>
            </w:tcBorders>
            <w:noWrap/>
            <w:vAlign w:val="center"/>
          </w:tcPr>
          <w:p w14:paraId="5F666F32">
            <w:pPr>
              <w:keepNext w:val="0"/>
              <w:keepLines w:val="0"/>
              <w:pageBreakBefore w:val="0"/>
              <w:suppressLineNumbers w:val="0"/>
              <w:kinsoku/>
              <w:overflowPunct/>
              <w:topLinePunct w:val="0"/>
              <w:autoSpaceDE/>
              <w:autoSpaceDN/>
              <w:bidi w:val="0"/>
              <w:spacing w:before="0" w:beforeAutospacing="0" w:after="0" w:afterAutospacing="0" w:line="360" w:lineRule="exact"/>
              <w:ind w:left="0" w:leftChars="0" w:right="0" w:right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总体实施方案（2分）</w:t>
            </w:r>
          </w:p>
        </w:tc>
        <w:tc>
          <w:tcPr>
            <w:tcW w:w="3659" w:type="pct"/>
            <w:gridSpan w:val="2"/>
            <w:tcBorders>
              <w:top w:val="single" w:color="auto" w:sz="4" w:space="0"/>
              <w:left w:val="single" w:color="auto" w:sz="4" w:space="0"/>
              <w:bottom w:val="single" w:color="auto" w:sz="4" w:space="0"/>
              <w:right w:val="single" w:color="auto" w:sz="4" w:space="0"/>
            </w:tcBorders>
            <w:noWrap/>
            <w:vAlign w:val="center"/>
          </w:tcPr>
          <w:p w14:paraId="7E7AF54C">
            <w:pPr>
              <w:pStyle w:val="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投标人根据项目实际情况提供实施方案：</w:t>
            </w:r>
          </w:p>
          <w:p w14:paraId="692EB7B9">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【优】有明确的质量目标、工期目标，项目各阶段划分及项目工作任务分配合理、工作内容阐述全面、清晰，实施方案切实可行，得2分。</w:t>
            </w:r>
          </w:p>
          <w:p w14:paraId="12167606">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【良】质量目标、工期目标，项目各阶段划分及项目工作任务分配较合理、工作内容阐述较全面、清晰，实施方案切实较可行，得1.5分；</w:t>
            </w:r>
          </w:p>
          <w:p w14:paraId="274D9E72">
            <w:pPr>
              <w:pStyle w:val="8"/>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right="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【合格】质量目标比较明确、工期目标、项目各阶段划分及项目工作任务分配具有一定的合理性、工作内容阐述基本完整、但实施方案可行性一般.得1分；</w:t>
            </w:r>
          </w:p>
          <w:p w14:paraId="5EDFA54E">
            <w:pPr>
              <w:keepNext w:val="0"/>
              <w:keepLines w:val="0"/>
              <w:pageBreakBefore w:val="0"/>
              <w:kinsoku/>
              <w:overflowPunct/>
              <w:topLinePunct w:val="0"/>
              <w:autoSpaceDE/>
              <w:autoSpaceDN/>
              <w:bidi w:val="0"/>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无该项描述得0分。</w:t>
            </w:r>
          </w:p>
        </w:tc>
      </w:tr>
      <w:tr w14:paraId="4BE0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49" w:type="pct"/>
            <w:vMerge w:val="continue"/>
            <w:tcBorders>
              <w:left w:val="single" w:color="auto" w:sz="4" w:space="0"/>
              <w:right w:val="single" w:color="auto" w:sz="4" w:space="0"/>
            </w:tcBorders>
            <w:noWrap/>
            <w:vAlign w:val="center"/>
          </w:tcPr>
          <w:p w14:paraId="16D827D5">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59DEE363">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auto"/>
                <w:sz w:val="24"/>
                <w:szCs w:val="24"/>
                <w:highlight w:val="none"/>
              </w:rPr>
            </w:pPr>
          </w:p>
        </w:tc>
        <w:tc>
          <w:tcPr>
            <w:tcW w:w="512" w:type="pct"/>
            <w:tcBorders>
              <w:top w:val="single" w:color="auto" w:sz="4" w:space="0"/>
              <w:left w:val="single" w:color="auto" w:sz="4" w:space="0"/>
              <w:right w:val="single" w:color="auto" w:sz="4" w:space="0"/>
            </w:tcBorders>
            <w:noWrap/>
            <w:vAlign w:val="center"/>
          </w:tcPr>
          <w:p w14:paraId="5B5AA102">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总体设计方案（</w:t>
            </w:r>
            <w:r>
              <w:rPr>
                <w:rFonts w:hint="eastAsia" w:ascii="宋体" w:hAnsi="宋体" w:eastAsia="宋体" w:cs="宋体"/>
                <w:snapToGrid w:val="0"/>
                <w:color w:val="auto"/>
                <w:kern w:val="0"/>
                <w:sz w:val="24"/>
                <w:szCs w:val="24"/>
                <w:highlight w:val="none"/>
                <w:lang w:val="en-US" w:eastAsia="zh-CN"/>
              </w:rPr>
              <w:t>2分）</w:t>
            </w:r>
          </w:p>
        </w:tc>
        <w:tc>
          <w:tcPr>
            <w:tcW w:w="3659" w:type="pct"/>
            <w:gridSpan w:val="2"/>
            <w:tcBorders>
              <w:top w:val="single" w:color="auto" w:sz="4" w:space="0"/>
              <w:left w:val="single" w:color="auto" w:sz="4" w:space="0"/>
              <w:bottom w:val="single" w:color="auto" w:sz="4" w:space="0"/>
              <w:right w:val="single" w:color="auto" w:sz="4" w:space="0"/>
            </w:tcBorders>
            <w:noWrap/>
            <w:vAlign w:val="center"/>
          </w:tcPr>
          <w:p w14:paraId="06C8948D">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投标人结合现场目的情况开展设计并提供对应符合客观情况的设计方案</w:t>
            </w:r>
            <w:r>
              <w:rPr>
                <w:rFonts w:hint="eastAsia" w:ascii="宋体" w:hAnsi="宋体" w:eastAsia="宋体" w:cs="宋体"/>
                <w:color w:val="auto"/>
                <w:spacing w:val="-2"/>
                <w:sz w:val="24"/>
                <w:szCs w:val="24"/>
                <w:highlight w:val="none"/>
              </w:rPr>
              <w:t>（包含对本项目功能定位的理解，以及对项目建设条件、规模、主要控制因素及技术标准的认识）</w:t>
            </w:r>
            <w:r>
              <w:rPr>
                <w:rFonts w:hint="eastAsia" w:ascii="宋体" w:hAnsi="宋体" w:eastAsia="宋体" w:cs="宋体"/>
                <w:color w:val="auto"/>
                <w:sz w:val="24"/>
                <w:szCs w:val="24"/>
                <w:highlight w:val="none"/>
              </w:rPr>
              <w:t>：</w:t>
            </w:r>
          </w:p>
          <w:p w14:paraId="38DB044B">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w:t>
            </w:r>
            <w:r>
              <w:rPr>
                <w:rFonts w:hint="eastAsia" w:ascii="宋体" w:hAnsi="宋体" w:eastAsia="宋体" w:cs="宋体"/>
                <w:color w:val="auto"/>
                <w:spacing w:val="-2"/>
                <w:sz w:val="24"/>
                <w:szCs w:val="24"/>
                <w:highlight w:val="none"/>
              </w:rPr>
              <w:t>设计思路清晰全面，描述准确详实，方案合理可行</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得2分</w:t>
            </w:r>
            <w:r>
              <w:rPr>
                <w:rFonts w:hint="eastAsia" w:ascii="宋体" w:hAnsi="宋体" w:eastAsia="宋体" w:cs="宋体"/>
                <w:color w:val="auto"/>
                <w:sz w:val="24"/>
                <w:szCs w:val="24"/>
                <w:highlight w:val="none"/>
              </w:rPr>
              <w:t>；</w:t>
            </w:r>
          </w:p>
          <w:p w14:paraId="6C74E287">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w:t>
            </w:r>
            <w:r>
              <w:rPr>
                <w:rFonts w:hint="eastAsia" w:ascii="宋体" w:hAnsi="宋体" w:eastAsia="宋体" w:cs="宋体"/>
                <w:color w:val="auto"/>
                <w:spacing w:val="-2"/>
                <w:sz w:val="24"/>
                <w:szCs w:val="24"/>
                <w:highlight w:val="none"/>
              </w:rPr>
              <w:t>设计思路清晰全面，描述准确</w:t>
            </w:r>
            <w:r>
              <w:rPr>
                <w:rFonts w:hint="eastAsia" w:ascii="宋体" w:hAnsi="宋体" w:eastAsia="宋体" w:cs="宋体"/>
                <w:color w:val="auto"/>
                <w:spacing w:val="-2"/>
                <w:sz w:val="24"/>
                <w:szCs w:val="24"/>
                <w:highlight w:val="none"/>
                <w:lang w:val="en-US" w:eastAsia="zh-CN"/>
              </w:rPr>
              <w:t>较</w:t>
            </w:r>
            <w:r>
              <w:rPr>
                <w:rFonts w:hint="eastAsia" w:ascii="宋体" w:hAnsi="宋体" w:eastAsia="宋体" w:cs="宋体"/>
                <w:color w:val="auto"/>
                <w:spacing w:val="-2"/>
                <w:sz w:val="24"/>
                <w:szCs w:val="24"/>
                <w:highlight w:val="none"/>
              </w:rPr>
              <w:t>详实，方案合理</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p w14:paraId="79CA00F9">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w:t>
            </w:r>
            <w:r>
              <w:rPr>
                <w:rFonts w:hint="eastAsia" w:ascii="宋体" w:hAnsi="宋体" w:eastAsia="宋体" w:cs="宋体"/>
                <w:color w:val="auto"/>
                <w:spacing w:val="-2"/>
                <w:sz w:val="24"/>
                <w:szCs w:val="24"/>
                <w:highlight w:val="none"/>
              </w:rPr>
              <w:t>设计思路清晰全面，描述准确</w:t>
            </w:r>
            <w:r>
              <w:rPr>
                <w:rFonts w:hint="eastAsia" w:ascii="宋体" w:hAnsi="宋体" w:eastAsia="宋体" w:cs="宋体"/>
                <w:color w:val="auto"/>
                <w:spacing w:val="-2"/>
                <w:sz w:val="24"/>
                <w:szCs w:val="24"/>
                <w:highlight w:val="none"/>
                <w:lang w:val="en-US" w:eastAsia="zh-CN"/>
              </w:rPr>
              <w:t>不够</w:t>
            </w:r>
            <w:r>
              <w:rPr>
                <w:rFonts w:hint="eastAsia" w:ascii="宋体" w:hAnsi="宋体" w:eastAsia="宋体" w:cs="宋体"/>
                <w:color w:val="auto"/>
                <w:spacing w:val="-2"/>
                <w:sz w:val="24"/>
                <w:szCs w:val="24"/>
                <w:highlight w:val="none"/>
              </w:rPr>
              <w:t>详实</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合理</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p w14:paraId="7DC0EC37">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无该项描述得0分。</w:t>
            </w:r>
          </w:p>
        </w:tc>
      </w:tr>
      <w:tr w14:paraId="0CAF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49" w:type="pct"/>
            <w:vMerge w:val="continue"/>
            <w:tcBorders>
              <w:left w:val="single" w:color="auto" w:sz="4" w:space="0"/>
              <w:right w:val="single" w:color="auto" w:sz="4" w:space="0"/>
            </w:tcBorders>
            <w:noWrap/>
            <w:vAlign w:val="center"/>
          </w:tcPr>
          <w:p w14:paraId="3B613871">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auto"/>
                <w:kern w:val="0"/>
                <w:sz w:val="24"/>
                <w:szCs w:val="24"/>
                <w:highlight w:val="none"/>
              </w:rPr>
            </w:pPr>
          </w:p>
        </w:tc>
        <w:tc>
          <w:tcPr>
            <w:tcW w:w="378" w:type="pct"/>
            <w:vMerge w:val="continue"/>
            <w:tcBorders>
              <w:left w:val="single" w:color="auto" w:sz="4" w:space="0"/>
              <w:right w:val="single" w:color="auto" w:sz="4" w:space="0"/>
            </w:tcBorders>
            <w:noWrap/>
            <w:vAlign w:val="center"/>
          </w:tcPr>
          <w:p w14:paraId="1C2AAB6C">
            <w:pPr>
              <w:pStyle w:val="8"/>
              <w:keepNext w:val="0"/>
              <w:keepLines w:val="0"/>
              <w:pageBreakBefore w:val="0"/>
              <w:suppressLineNumbers w:val="0"/>
              <w:kinsoku/>
              <w:wordWrap w:val="0"/>
              <w:overflowPunct/>
              <w:topLinePunct w:val="0"/>
              <w:autoSpaceDN/>
              <w:bidi w:val="0"/>
              <w:adjustRightInd w:val="0"/>
              <w:snapToGrid w:val="0"/>
              <w:spacing w:before="0" w:beforeAutospacing="0" w:after="0" w:afterAutospacing="0" w:line="360" w:lineRule="exact"/>
              <w:ind w:left="0" w:leftChars="0" w:right="0" w:rightChars="0"/>
              <w:textAlignment w:val="auto"/>
              <w:rPr>
                <w:rFonts w:hint="eastAsia" w:ascii="宋体" w:hAnsi="宋体" w:eastAsia="宋体" w:cs="宋体"/>
                <w:color w:val="auto"/>
                <w:sz w:val="24"/>
                <w:szCs w:val="24"/>
                <w:highlight w:val="none"/>
              </w:rPr>
            </w:pPr>
          </w:p>
        </w:tc>
        <w:tc>
          <w:tcPr>
            <w:tcW w:w="512" w:type="pct"/>
            <w:tcBorders>
              <w:top w:val="single" w:color="auto" w:sz="4" w:space="0"/>
              <w:left w:val="single" w:color="auto" w:sz="4" w:space="0"/>
              <w:right w:val="single" w:color="auto" w:sz="4" w:space="0"/>
            </w:tcBorders>
            <w:noWrap/>
            <w:vAlign w:val="center"/>
          </w:tcPr>
          <w:p w14:paraId="5C7AD064">
            <w:pPr>
              <w:keepNext w:val="0"/>
              <w:keepLines w:val="0"/>
              <w:suppressLineNumbers w:val="0"/>
              <w:bidi w:val="0"/>
              <w:spacing w:before="0" w:beforeAutospacing="0" w:after="0" w:afterAutospacing="0" w:line="360" w:lineRule="exact"/>
              <w:ind w:left="0" w:leftChars="0" w:right="0" w:right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质量和进度保证措施（</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tc>
        <w:tc>
          <w:tcPr>
            <w:tcW w:w="3659" w:type="pct"/>
            <w:gridSpan w:val="2"/>
            <w:tcBorders>
              <w:top w:val="single" w:color="auto" w:sz="4" w:space="0"/>
              <w:left w:val="single" w:color="auto" w:sz="4" w:space="0"/>
              <w:bottom w:val="single" w:color="auto" w:sz="4" w:space="0"/>
              <w:right w:val="single" w:color="auto" w:sz="4" w:space="0"/>
            </w:tcBorders>
            <w:noWrap/>
            <w:vAlign w:val="center"/>
          </w:tcPr>
          <w:p w14:paraId="58981089">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根据投标人对质量和进度的保证措施及承诺进行评分：</w:t>
            </w:r>
          </w:p>
          <w:p w14:paraId="08ABC345">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【优】质量、工期及安全保证措施，质量及安全管理体系健全，措施针对性</w:t>
            </w:r>
            <w:r>
              <w:rPr>
                <w:rFonts w:hint="eastAsia" w:ascii="宋体" w:hAnsi="宋体" w:eastAsia="宋体" w:cs="宋体"/>
                <w:color w:val="auto"/>
                <w:spacing w:val="-2"/>
                <w:sz w:val="24"/>
                <w:szCs w:val="24"/>
                <w:highlight w:val="none"/>
                <w:lang w:val="en-US" w:eastAsia="zh-CN"/>
              </w:rPr>
              <w:t>强</w:t>
            </w:r>
            <w:r>
              <w:rPr>
                <w:rFonts w:hint="eastAsia" w:ascii="宋体" w:hAnsi="宋体" w:eastAsia="宋体" w:cs="宋体"/>
                <w:color w:val="auto"/>
                <w:spacing w:val="-2"/>
                <w:sz w:val="24"/>
                <w:szCs w:val="24"/>
                <w:highlight w:val="none"/>
              </w:rPr>
              <w:t>，符合国家及地方规定的得</w:t>
            </w:r>
            <w:r>
              <w:rPr>
                <w:rFonts w:hint="eastAsia" w:ascii="宋体" w:hAnsi="宋体" w:eastAsia="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rPr>
              <w:t>分；</w:t>
            </w:r>
          </w:p>
          <w:p w14:paraId="50C20A9F">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【良】质量、工期及安全保证措施，质量及安全管理体系健全，措施有针对性，符合国家及地方规定的得</w:t>
            </w:r>
            <w:r>
              <w:rPr>
                <w:rFonts w:hint="eastAsia" w:ascii="宋体" w:hAnsi="宋体" w:eastAsia="宋体" w:cs="宋体"/>
                <w:color w:val="auto"/>
                <w:spacing w:val="-2"/>
                <w:sz w:val="24"/>
                <w:szCs w:val="24"/>
                <w:highlight w:val="none"/>
                <w:lang w:val="en-US" w:eastAsia="zh-CN"/>
              </w:rPr>
              <w:t>0.7</w:t>
            </w:r>
            <w:r>
              <w:rPr>
                <w:rFonts w:hint="eastAsia" w:ascii="宋体" w:hAnsi="宋体" w:eastAsia="宋体" w:cs="宋体"/>
                <w:color w:val="auto"/>
                <w:spacing w:val="-2"/>
                <w:sz w:val="24"/>
                <w:szCs w:val="24"/>
                <w:highlight w:val="none"/>
              </w:rPr>
              <w:t>分；</w:t>
            </w:r>
          </w:p>
          <w:p w14:paraId="1FA86365">
            <w:pPr>
              <w:keepNext w:val="0"/>
              <w:keepLines w:val="0"/>
              <w:suppressLineNumbers w:val="0"/>
              <w:bidi w:val="0"/>
              <w:spacing w:before="0" w:beforeAutospacing="0" w:after="0" w:afterAutospacing="0" w:line="360" w:lineRule="exact"/>
              <w:ind w:left="0" w:right="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【合格】质量、工期及安全保证措施，质量及安全管理体系</w:t>
            </w:r>
            <w:r>
              <w:rPr>
                <w:rFonts w:hint="eastAsia" w:ascii="宋体" w:hAnsi="宋体" w:eastAsia="宋体" w:cs="宋体"/>
                <w:color w:val="auto"/>
                <w:spacing w:val="-2"/>
                <w:sz w:val="24"/>
                <w:szCs w:val="24"/>
                <w:highlight w:val="none"/>
                <w:lang w:val="en-US" w:eastAsia="zh-CN"/>
              </w:rPr>
              <w:t>不够</w:t>
            </w:r>
            <w:r>
              <w:rPr>
                <w:rFonts w:hint="eastAsia" w:ascii="宋体" w:hAnsi="宋体" w:eastAsia="宋体" w:cs="宋体"/>
                <w:color w:val="auto"/>
                <w:spacing w:val="-2"/>
                <w:sz w:val="24"/>
                <w:szCs w:val="24"/>
                <w:highlight w:val="none"/>
              </w:rPr>
              <w:t>健全，措施针对性</w:t>
            </w:r>
            <w:r>
              <w:rPr>
                <w:rFonts w:hint="eastAsia" w:ascii="宋体" w:hAnsi="宋体" w:eastAsia="宋体" w:cs="宋体"/>
                <w:color w:val="auto"/>
                <w:spacing w:val="-2"/>
                <w:sz w:val="24"/>
                <w:szCs w:val="24"/>
                <w:highlight w:val="none"/>
                <w:lang w:val="en-US" w:eastAsia="zh-CN"/>
              </w:rPr>
              <w:t>较弱</w:t>
            </w:r>
            <w:r>
              <w:rPr>
                <w:rFonts w:hint="eastAsia" w:ascii="宋体" w:hAnsi="宋体" w:eastAsia="宋体" w:cs="宋体"/>
                <w:color w:val="auto"/>
                <w:spacing w:val="-2"/>
                <w:sz w:val="24"/>
                <w:szCs w:val="24"/>
                <w:highlight w:val="none"/>
              </w:rPr>
              <w:t>，符合国家及地方规定的</w:t>
            </w:r>
            <w:r>
              <w:rPr>
                <w:rFonts w:hint="eastAsia" w:ascii="宋体" w:hAnsi="宋体" w:eastAsia="宋体" w:cs="宋体"/>
                <w:color w:val="auto"/>
                <w:spacing w:val="-2"/>
                <w:sz w:val="24"/>
                <w:szCs w:val="24"/>
                <w:highlight w:val="none"/>
                <w:lang w:val="en-US" w:eastAsia="zh-CN"/>
              </w:rPr>
              <w:t>得0.4分</w:t>
            </w:r>
            <w:r>
              <w:rPr>
                <w:rFonts w:hint="eastAsia" w:ascii="宋体" w:hAnsi="宋体" w:eastAsia="宋体" w:cs="宋体"/>
                <w:color w:val="auto"/>
                <w:spacing w:val="-2"/>
                <w:sz w:val="24"/>
                <w:szCs w:val="24"/>
                <w:highlight w:val="none"/>
              </w:rPr>
              <w:t>；</w:t>
            </w:r>
          </w:p>
          <w:p w14:paraId="0475EB15">
            <w:pPr>
              <w:spacing w:line="3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无该项描述得0分。</w:t>
            </w:r>
          </w:p>
        </w:tc>
      </w:tr>
      <w:tr w14:paraId="5920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restart"/>
            <w:tcBorders>
              <w:top w:val="single" w:color="auto" w:sz="4" w:space="0"/>
              <w:left w:val="single" w:color="auto" w:sz="4" w:space="0"/>
              <w:right w:val="single" w:color="auto" w:sz="4" w:space="0"/>
            </w:tcBorders>
            <w:noWrap/>
            <w:vAlign w:val="center"/>
          </w:tcPr>
          <w:p w14:paraId="36A8798A">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经济部分得分</w:t>
            </w:r>
          </w:p>
          <w:p w14:paraId="743CCFF1">
            <w:pPr>
              <w:keepNext w:val="0"/>
              <w:keepLines w:val="0"/>
              <w:pageBreakBefore w:val="0"/>
              <w:widowControl/>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szCs w:val="24"/>
                <w:highlight w:val="none"/>
              </w:rPr>
              <w:t>（50分）</w:t>
            </w:r>
          </w:p>
        </w:tc>
        <w:tc>
          <w:tcPr>
            <w:tcW w:w="378" w:type="pct"/>
            <w:tcBorders>
              <w:top w:val="single" w:color="auto" w:sz="4" w:space="0"/>
              <w:left w:val="single" w:color="auto" w:sz="4" w:space="0"/>
              <w:bottom w:val="single" w:color="auto" w:sz="4" w:space="0"/>
              <w:right w:val="single" w:color="auto" w:sz="4" w:space="0"/>
            </w:tcBorders>
            <w:noWrap/>
            <w:vAlign w:val="center"/>
          </w:tcPr>
          <w:p w14:paraId="14839210">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评标基准价D</w:t>
            </w:r>
          </w:p>
        </w:tc>
        <w:tc>
          <w:tcPr>
            <w:tcW w:w="4171" w:type="pct"/>
            <w:gridSpan w:val="3"/>
            <w:tcBorders>
              <w:top w:val="single" w:color="auto" w:sz="4" w:space="0"/>
              <w:left w:val="single" w:color="auto" w:sz="4" w:space="0"/>
              <w:bottom w:val="single" w:color="auto" w:sz="4" w:space="0"/>
              <w:right w:val="single" w:color="auto" w:sz="4" w:space="0"/>
            </w:tcBorders>
            <w:noWrap/>
            <w:vAlign w:val="center"/>
          </w:tcPr>
          <w:p w14:paraId="75A151C3">
            <w:pPr>
              <w:keepNext w:val="0"/>
              <w:keepLines w:val="0"/>
              <w:pageBreakBefore w:val="0"/>
              <w:numPr>
                <w:ilvl w:val="0"/>
                <w:numId w:val="3"/>
              </w:numPr>
              <w:suppressLineNumbers w:val="0"/>
              <w:kinsoku/>
              <w:overflowPunct/>
              <w:topLinePunct w:val="0"/>
              <w:autoSpaceDE/>
              <w:autoSpaceDN/>
              <w:bidi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招标控制价下浮系数n：用1～21号球分别代表一个下浮系数，由评委代表从这21个号码中随机抽取3次，每次抽取1个号码，抽出的号球不参与下次抽取。所抽取的3个号码对应下浮系数的算术平均值作为招标控制价下浮系数n。具体号码对应的下浮系数可参考下表。</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89"/>
              <w:gridCol w:w="813"/>
              <w:gridCol w:w="850"/>
              <w:gridCol w:w="884"/>
              <w:gridCol w:w="868"/>
              <w:gridCol w:w="904"/>
              <w:gridCol w:w="849"/>
              <w:gridCol w:w="838"/>
            </w:tblGrid>
            <w:tr w14:paraId="19F50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7"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3322197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b/>
                      <w:bCs w:val="0"/>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号球</w:t>
                  </w:r>
                </w:p>
              </w:tc>
              <w:tc>
                <w:tcPr>
                  <w:tcW w:w="813" w:type="dxa"/>
                  <w:tcBorders>
                    <w:top w:val="single" w:color="000000" w:sz="4" w:space="0"/>
                    <w:left w:val="nil"/>
                    <w:bottom w:val="single" w:color="000000" w:sz="4" w:space="0"/>
                    <w:right w:val="single" w:color="000000" w:sz="4" w:space="0"/>
                  </w:tcBorders>
                  <w:shd w:val="clear" w:color="auto" w:fill="D7D7D7"/>
                  <w:vAlign w:val="center"/>
                </w:tcPr>
                <w:p w14:paraId="7252380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p>
              </w:tc>
              <w:tc>
                <w:tcPr>
                  <w:tcW w:w="850" w:type="dxa"/>
                  <w:tcBorders>
                    <w:top w:val="single" w:color="000000" w:sz="4" w:space="0"/>
                    <w:left w:val="nil"/>
                    <w:bottom w:val="single" w:color="000000" w:sz="4" w:space="0"/>
                    <w:right w:val="single" w:color="000000" w:sz="4" w:space="0"/>
                  </w:tcBorders>
                  <w:shd w:val="clear" w:color="auto" w:fill="D7D7D7"/>
                  <w:vAlign w:val="center"/>
                </w:tcPr>
                <w:p w14:paraId="785DEEF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p>
              </w:tc>
              <w:tc>
                <w:tcPr>
                  <w:tcW w:w="884" w:type="dxa"/>
                  <w:tcBorders>
                    <w:top w:val="single" w:color="000000" w:sz="4" w:space="0"/>
                    <w:left w:val="nil"/>
                    <w:bottom w:val="single" w:color="000000" w:sz="4" w:space="0"/>
                    <w:right w:val="single" w:color="000000" w:sz="4" w:space="0"/>
                  </w:tcBorders>
                  <w:shd w:val="clear" w:color="auto" w:fill="D7D7D7"/>
                  <w:vAlign w:val="center"/>
                </w:tcPr>
                <w:p w14:paraId="45CB530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p>
              </w:tc>
              <w:tc>
                <w:tcPr>
                  <w:tcW w:w="868" w:type="dxa"/>
                  <w:tcBorders>
                    <w:top w:val="single" w:color="000000" w:sz="4" w:space="0"/>
                    <w:left w:val="nil"/>
                    <w:bottom w:val="single" w:color="000000" w:sz="4" w:space="0"/>
                    <w:right w:val="single" w:color="000000" w:sz="4" w:space="0"/>
                  </w:tcBorders>
                  <w:shd w:val="clear" w:color="auto" w:fill="D7D7D7"/>
                  <w:vAlign w:val="center"/>
                </w:tcPr>
                <w:p w14:paraId="1C689F3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w:t>
                  </w:r>
                </w:p>
              </w:tc>
              <w:tc>
                <w:tcPr>
                  <w:tcW w:w="904" w:type="dxa"/>
                  <w:tcBorders>
                    <w:top w:val="single" w:color="000000" w:sz="4" w:space="0"/>
                    <w:left w:val="nil"/>
                    <w:bottom w:val="single" w:color="000000" w:sz="4" w:space="0"/>
                    <w:right w:val="single" w:color="000000" w:sz="4" w:space="0"/>
                  </w:tcBorders>
                  <w:shd w:val="clear" w:color="auto" w:fill="D7D7D7"/>
                  <w:vAlign w:val="center"/>
                </w:tcPr>
                <w:p w14:paraId="17FAC64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w:t>
                  </w:r>
                </w:p>
              </w:tc>
              <w:tc>
                <w:tcPr>
                  <w:tcW w:w="849" w:type="dxa"/>
                  <w:tcBorders>
                    <w:top w:val="single" w:color="000000" w:sz="4" w:space="0"/>
                    <w:left w:val="nil"/>
                    <w:bottom w:val="single" w:color="000000" w:sz="4" w:space="0"/>
                    <w:right w:val="single" w:color="000000" w:sz="4" w:space="0"/>
                  </w:tcBorders>
                  <w:shd w:val="clear" w:color="auto" w:fill="D7D7D7"/>
                  <w:vAlign w:val="center"/>
                </w:tcPr>
                <w:p w14:paraId="5D168EC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w:t>
                  </w:r>
                </w:p>
              </w:tc>
              <w:tc>
                <w:tcPr>
                  <w:tcW w:w="838" w:type="dxa"/>
                  <w:tcBorders>
                    <w:top w:val="single" w:color="000000" w:sz="4" w:space="0"/>
                    <w:left w:val="nil"/>
                    <w:bottom w:val="single" w:color="000000" w:sz="4" w:space="0"/>
                    <w:right w:val="single" w:color="000000" w:sz="4" w:space="0"/>
                  </w:tcBorders>
                  <w:shd w:val="clear" w:color="auto" w:fill="D7D7D7"/>
                  <w:vAlign w:val="center"/>
                </w:tcPr>
                <w:p w14:paraId="35EC2F9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7</w:t>
                  </w:r>
                </w:p>
              </w:tc>
            </w:tr>
            <w:tr w14:paraId="02D8F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278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下浮系数（%）</w:t>
                  </w:r>
                </w:p>
              </w:tc>
              <w:tc>
                <w:tcPr>
                  <w:tcW w:w="813" w:type="dxa"/>
                  <w:tcBorders>
                    <w:top w:val="single" w:color="000000" w:sz="4" w:space="0"/>
                    <w:left w:val="nil"/>
                    <w:bottom w:val="single" w:color="000000" w:sz="4" w:space="0"/>
                    <w:right w:val="single" w:color="000000" w:sz="4" w:space="0"/>
                  </w:tcBorders>
                  <w:shd w:val="clear" w:color="auto" w:fill="auto"/>
                  <w:vAlign w:val="center"/>
                </w:tcPr>
                <w:p w14:paraId="21B2452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1.0</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489B894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w:t>
                  </w:r>
                </w:p>
              </w:tc>
              <w:tc>
                <w:tcPr>
                  <w:tcW w:w="884" w:type="dxa"/>
                  <w:tcBorders>
                    <w:top w:val="single" w:color="000000" w:sz="4" w:space="0"/>
                    <w:left w:val="nil"/>
                    <w:bottom w:val="single" w:color="000000" w:sz="4" w:space="0"/>
                    <w:right w:val="single" w:color="000000" w:sz="4" w:space="0"/>
                  </w:tcBorders>
                  <w:shd w:val="clear" w:color="auto" w:fill="auto"/>
                  <w:vAlign w:val="center"/>
                </w:tcPr>
                <w:p w14:paraId="4C2C485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1.2</w:t>
                  </w:r>
                </w:p>
              </w:tc>
              <w:tc>
                <w:tcPr>
                  <w:tcW w:w="868" w:type="dxa"/>
                  <w:tcBorders>
                    <w:top w:val="single" w:color="000000" w:sz="4" w:space="0"/>
                    <w:left w:val="nil"/>
                    <w:bottom w:val="single" w:color="000000" w:sz="4" w:space="0"/>
                    <w:right w:val="single" w:color="000000" w:sz="4" w:space="0"/>
                  </w:tcBorders>
                  <w:shd w:val="clear" w:color="auto" w:fill="auto"/>
                  <w:vAlign w:val="center"/>
                </w:tcPr>
                <w:p w14:paraId="4547A34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1.3</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5D776A6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1.4</w:t>
                  </w:r>
                </w:p>
              </w:tc>
              <w:tc>
                <w:tcPr>
                  <w:tcW w:w="849" w:type="dxa"/>
                  <w:tcBorders>
                    <w:top w:val="single" w:color="000000" w:sz="4" w:space="0"/>
                    <w:left w:val="nil"/>
                    <w:bottom w:val="single" w:color="000000" w:sz="4" w:space="0"/>
                    <w:right w:val="single" w:color="000000" w:sz="4" w:space="0"/>
                  </w:tcBorders>
                  <w:shd w:val="clear" w:color="auto" w:fill="auto"/>
                  <w:vAlign w:val="center"/>
                </w:tcPr>
                <w:p w14:paraId="39E7D5E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1.5</w:t>
                  </w:r>
                </w:p>
              </w:tc>
              <w:tc>
                <w:tcPr>
                  <w:tcW w:w="838" w:type="dxa"/>
                  <w:tcBorders>
                    <w:top w:val="single" w:color="000000" w:sz="4" w:space="0"/>
                    <w:left w:val="nil"/>
                    <w:bottom w:val="single" w:color="000000" w:sz="4" w:space="0"/>
                    <w:right w:val="single" w:color="000000" w:sz="4" w:space="0"/>
                  </w:tcBorders>
                  <w:shd w:val="clear" w:color="auto" w:fill="auto"/>
                  <w:vAlign w:val="center"/>
                </w:tcPr>
                <w:p w14:paraId="7790139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w:t>
                  </w:r>
                </w:p>
              </w:tc>
            </w:tr>
            <w:tr w14:paraId="20D6F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59AEE18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b/>
                      <w:bCs w:val="0"/>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号球</w:t>
                  </w:r>
                </w:p>
              </w:tc>
              <w:tc>
                <w:tcPr>
                  <w:tcW w:w="813" w:type="dxa"/>
                  <w:tcBorders>
                    <w:top w:val="single" w:color="000000" w:sz="4" w:space="0"/>
                    <w:left w:val="nil"/>
                    <w:bottom w:val="single" w:color="000000" w:sz="4" w:space="0"/>
                    <w:right w:val="single" w:color="000000" w:sz="4" w:space="0"/>
                  </w:tcBorders>
                  <w:shd w:val="clear" w:color="auto" w:fill="D7D7D7"/>
                  <w:vAlign w:val="center"/>
                </w:tcPr>
                <w:p w14:paraId="598AD38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w:t>
                  </w:r>
                </w:p>
              </w:tc>
              <w:tc>
                <w:tcPr>
                  <w:tcW w:w="850" w:type="dxa"/>
                  <w:tcBorders>
                    <w:top w:val="single" w:color="000000" w:sz="4" w:space="0"/>
                    <w:left w:val="nil"/>
                    <w:bottom w:val="single" w:color="000000" w:sz="4" w:space="0"/>
                    <w:right w:val="single" w:color="000000" w:sz="4" w:space="0"/>
                  </w:tcBorders>
                  <w:shd w:val="clear" w:color="auto" w:fill="D7D7D7"/>
                  <w:vAlign w:val="center"/>
                </w:tcPr>
                <w:p w14:paraId="3A323C7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9</w:t>
                  </w:r>
                </w:p>
              </w:tc>
              <w:tc>
                <w:tcPr>
                  <w:tcW w:w="884" w:type="dxa"/>
                  <w:tcBorders>
                    <w:top w:val="single" w:color="000000" w:sz="4" w:space="0"/>
                    <w:left w:val="nil"/>
                    <w:bottom w:val="single" w:color="000000" w:sz="4" w:space="0"/>
                    <w:right w:val="single" w:color="000000" w:sz="4" w:space="0"/>
                  </w:tcBorders>
                  <w:shd w:val="clear" w:color="auto" w:fill="D7D7D7"/>
                  <w:vAlign w:val="center"/>
                </w:tcPr>
                <w:p w14:paraId="119202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10</w:t>
                  </w:r>
                </w:p>
              </w:tc>
              <w:tc>
                <w:tcPr>
                  <w:tcW w:w="868" w:type="dxa"/>
                  <w:tcBorders>
                    <w:top w:val="single" w:color="000000" w:sz="4" w:space="0"/>
                    <w:left w:val="nil"/>
                    <w:bottom w:val="single" w:color="000000" w:sz="4" w:space="0"/>
                    <w:right w:val="single" w:color="000000" w:sz="4" w:space="0"/>
                  </w:tcBorders>
                  <w:shd w:val="clear" w:color="auto" w:fill="D7D7D7"/>
                  <w:vAlign w:val="center"/>
                </w:tcPr>
                <w:p w14:paraId="641FCC3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w:t>
                  </w:r>
                </w:p>
              </w:tc>
              <w:tc>
                <w:tcPr>
                  <w:tcW w:w="904" w:type="dxa"/>
                  <w:tcBorders>
                    <w:top w:val="single" w:color="000000" w:sz="4" w:space="0"/>
                    <w:left w:val="nil"/>
                    <w:bottom w:val="single" w:color="000000" w:sz="4" w:space="0"/>
                    <w:right w:val="single" w:color="000000" w:sz="4" w:space="0"/>
                  </w:tcBorders>
                  <w:shd w:val="clear" w:color="auto" w:fill="D7D7D7"/>
                  <w:vAlign w:val="center"/>
                </w:tcPr>
                <w:p w14:paraId="08CCF84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12</w:t>
                  </w:r>
                </w:p>
              </w:tc>
              <w:tc>
                <w:tcPr>
                  <w:tcW w:w="849" w:type="dxa"/>
                  <w:tcBorders>
                    <w:top w:val="single" w:color="000000" w:sz="4" w:space="0"/>
                    <w:left w:val="nil"/>
                    <w:bottom w:val="single" w:color="000000" w:sz="4" w:space="0"/>
                    <w:right w:val="single" w:color="000000" w:sz="4" w:space="0"/>
                  </w:tcBorders>
                  <w:shd w:val="clear" w:color="auto" w:fill="D7D7D7"/>
                  <w:vAlign w:val="center"/>
                </w:tcPr>
                <w:p w14:paraId="29B30E0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13</w:t>
                  </w:r>
                </w:p>
              </w:tc>
              <w:tc>
                <w:tcPr>
                  <w:tcW w:w="838" w:type="dxa"/>
                  <w:tcBorders>
                    <w:top w:val="single" w:color="000000" w:sz="4" w:space="0"/>
                    <w:left w:val="nil"/>
                    <w:bottom w:val="single" w:color="000000" w:sz="4" w:space="0"/>
                    <w:right w:val="single" w:color="000000" w:sz="4" w:space="0"/>
                  </w:tcBorders>
                  <w:shd w:val="clear" w:color="auto" w:fill="D7D7D7"/>
                  <w:vAlign w:val="center"/>
                </w:tcPr>
                <w:p w14:paraId="32F7BC6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14</w:t>
                  </w:r>
                </w:p>
              </w:tc>
            </w:tr>
            <w:tr w14:paraId="015DA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147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下浮系数（%）</w:t>
                  </w:r>
                </w:p>
              </w:tc>
              <w:tc>
                <w:tcPr>
                  <w:tcW w:w="813" w:type="dxa"/>
                  <w:tcBorders>
                    <w:top w:val="single" w:color="000000" w:sz="4" w:space="0"/>
                    <w:left w:val="nil"/>
                    <w:bottom w:val="single" w:color="000000" w:sz="4" w:space="0"/>
                    <w:right w:val="single" w:color="000000" w:sz="4" w:space="0"/>
                  </w:tcBorders>
                  <w:shd w:val="clear" w:color="auto" w:fill="auto"/>
                  <w:vAlign w:val="center"/>
                </w:tcPr>
                <w:p w14:paraId="51504F4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1.7</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1910870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1.8</w:t>
                  </w:r>
                </w:p>
              </w:tc>
              <w:tc>
                <w:tcPr>
                  <w:tcW w:w="884" w:type="dxa"/>
                  <w:tcBorders>
                    <w:top w:val="single" w:color="000000" w:sz="4" w:space="0"/>
                    <w:left w:val="nil"/>
                    <w:bottom w:val="single" w:color="000000" w:sz="4" w:space="0"/>
                    <w:right w:val="single" w:color="000000" w:sz="4" w:space="0"/>
                  </w:tcBorders>
                  <w:shd w:val="clear" w:color="auto" w:fill="auto"/>
                  <w:vAlign w:val="center"/>
                </w:tcPr>
                <w:p w14:paraId="06AE17C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1.9</w:t>
                  </w:r>
                </w:p>
              </w:tc>
              <w:tc>
                <w:tcPr>
                  <w:tcW w:w="868" w:type="dxa"/>
                  <w:tcBorders>
                    <w:top w:val="single" w:color="000000" w:sz="4" w:space="0"/>
                    <w:left w:val="nil"/>
                    <w:bottom w:val="single" w:color="000000" w:sz="4" w:space="0"/>
                    <w:right w:val="single" w:color="000000" w:sz="4" w:space="0"/>
                  </w:tcBorders>
                  <w:shd w:val="clear" w:color="auto" w:fill="auto"/>
                  <w:vAlign w:val="center"/>
                </w:tcPr>
                <w:p w14:paraId="3ABAB8A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2.0</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573A678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2.1</w:t>
                  </w:r>
                </w:p>
              </w:tc>
              <w:tc>
                <w:tcPr>
                  <w:tcW w:w="849" w:type="dxa"/>
                  <w:tcBorders>
                    <w:top w:val="single" w:color="000000" w:sz="4" w:space="0"/>
                    <w:left w:val="nil"/>
                    <w:bottom w:val="single" w:color="000000" w:sz="4" w:space="0"/>
                    <w:right w:val="single" w:color="000000" w:sz="4" w:space="0"/>
                  </w:tcBorders>
                  <w:shd w:val="clear" w:color="auto" w:fill="auto"/>
                  <w:vAlign w:val="center"/>
                </w:tcPr>
                <w:p w14:paraId="2899924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2.2</w:t>
                  </w:r>
                </w:p>
              </w:tc>
              <w:tc>
                <w:tcPr>
                  <w:tcW w:w="838" w:type="dxa"/>
                  <w:tcBorders>
                    <w:top w:val="single" w:color="000000" w:sz="4" w:space="0"/>
                    <w:left w:val="nil"/>
                    <w:bottom w:val="single" w:color="000000" w:sz="4" w:space="0"/>
                    <w:right w:val="single" w:color="000000" w:sz="4" w:space="0"/>
                  </w:tcBorders>
                  <w:shd w:val="clear" w:color="auto" w:fill="auto"/>
                  <w:vAlign w:val="center"/>
                </w:tcPr>
                <w:p w14:paraId="3602655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2.3</w:t>
                  </w:r>
                </w:p>
              </w:tc>
            </w:tr>
            <w:tr w14:paraId="1C3C6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689"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0FC65AF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b/>
                      <w:bCs w:val="0"/>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号球</w:t>
                  </w:r>
                </w:p>
              </w:tc>
              <w:tc>
                <w:tcPr>
                  <w:tcW w:w="813" w:type="dxa"/>
                  <w:tcBorders>
                    <w:top w:val="single" w:color="000000" w:sz="4" w:space="0"/>
                    <w:left w:val="nil"/>
                    <w:bottom w:val="single" w:color="000000" w:sz="4" w:space="0"/>
                    <w:right w:val="single" w:color="000000" w:sz="4" w:space="0"/>
                  </w:tcBorders>
                  <w:shd w:val="clear" w:color="auto" w:fill="D7D7D7"/>
                  <w:vAlign w:val="center"/>
                </w:tcPr>
                <w:p w14:paraId="068328D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15</w:t>
                  </w:r>
                </w:p>
              </w:tc>
              <w:tc>
                <w:tcPr>
                  <w:tcW w:w="850" w:type="dxa"/>
                  <w:tcBorders>
                    <w:top w:val="single" w:color="000000" w:sz="4" w:space="0"/>
                    <w:left w:val="nil"/>
                    <w:bottom w:val="single" w:color="000000" w:sz="4" w:space="0"/>
                    <w:right w:val="single" w:color="000000" w:sz="4" w:space="0"/>
                  </w:tcBorders>
                  <w:shd w:val="clear" w:color="auto" w:fill="D7D7D7"/>
                  <w:vAlign w:val="center"/>
                </w:tcPr>
                <w:p w14:paraId="044C7F1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w:t>
                  </w:r>
                </w:p>
              </w:tc>
              <w:tc>
                <w:tcPr>
                  <w:tcW w:w="884" w:type="dxa"/>
                  <w:tcBorders>
                    <w:top w:val="single" w:color="000000" w:sz="4" w:space="0"/>
                    <w:left w:val="nil"/>
                    <w:bottom w:val="single" w:color="000000" w:sz="4" w:space="0"/>
                    <w:right w:val="single" w:color="000000" w:sz="4" w:space="0"/>
                  </w:tcBorders>
                  <w:shd w:val="clear" w:color="auto" w:fill="D7D7D7"/>
                  <w:vAlign w:val="center"/>
                </w:tcPr>
                <w:p w14:paraId="407A525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17</w:t>
                  </w:r>
                </w:p>
              </w:tc>
              <w:tc>
                <w:tcPr>
                  <w:tcW w:w="868" w:type="dxa"/>
                  <w:tcBorders>
                    <w:top w:val="single" w:color="000000" w:sz="4" w:space="0"/>
                    <w:left w:val="nil"/>
                    <w:bottom w:val="single" w:color="000000" w:sz="4" w:space="0"/>
                    <w:right w:val="single" w:color="000000" w:sz="4" w:space="0"/>
                  </w:tcBorders>
                  <w:shd w:val="clear" w:color="auto" w:fill="D7D7D7"/>
                  <w:vAlign w:val="center"/>
                </w:tcPr>
                <w:p w14:paraId="0E081E3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18</w:t>
                  </w:r>
                </w:p>
              </w:tc>
              <w:tc>
                <w:tcPr>
                  <w:tcW w:w="904" w:type="dxa"/>
                  <w:tcBorders>
                    <w:top w:val="single" w:color="000000" w:sz="4" w:space="0"/>
                    <w:left w:val="nil"/>
                    <w:bottom w:val="single" w:color="000000" w:sz="4" w:space="0"/>
                    <w:right w:val="single" w:color="000000" w:sz="4" w:space="0"/>
                  </w:tcBorders>
                  <w:shd w:val="clear" w:color="auto" w:fill="D7D7D7"/>
                  <w:vAlign w:val="center"/>
                </w:tcPr>
                <w:p w14:paraId="6E15BCF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19</w:t>
                  </w:r>
                </w:p>
              </w:tc>
              <w:tc>
                <w:tcPr>
                  <w:tcW w:w="849" w:type="dxa"/>
                  <w:tcBorders>
                    <w:top w:val="single" w:color="000000" w:sz="4" w:space="0"/>
                    <w:left w:val="nil"/>
                    <w:bottom w:val="single" w:color="000000" w:sz="4" w:space="0"/>
                    <w:right w:val="single" w:color="000000" w:sz="4" w:space="0"/>
                  </w:tcBorders>
                  <w:shd w:val="clear" w:color="auto" w:fill="D7D7D7"/>
                  <w:vAlign w:val="center"/>
                </w:tcPr>
                <w:p w14:paraId="0BEBFEE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20</w:t>
                  </w:r>
                </w:p>
              </w:tc>
              <w:tc>
                <w:tcPr>
                  <w:tcW w:w="838" w:type="dxa"/>
                  <w:tcBorders>
                    <w:top w:val="single" w:color="000000" w:sz="4" w:space="0"/>
                    <w:left w:val="nil"/>
                    <w:bottom w:val="single" w:color="000000" w:sz="4" w:space="0"/>
                    <w:right w:val="single" w:color="000000" w:sz="4" w:space="0"/>
                  </w:tcBorders>
                  <w:shd w:val="clear" w:color="auto" w:fill="D7D7D7"/>
                  <w:vAlign w:val="center"/>
                </w:tcPr>
                <w:p w14:paraId="1AE4B95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21</w:t>
                  </w:r>
                </w:p>
              </w:tc>
            </w:tr>
            <w:tr w14:paraId="1B5D1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1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03E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下浮系数（%）</w:t>
                  </w:r>
                </w:p>
              </w:tc>
              <w:tc>
                <w:tcPr>
                  <w:tcW w:w="813" w:type="dxa"/>
                  <w:tcBorders>
                    <w:top w:val="single" w:color="000000" w:sz="4" w:space="0"/>
                    <w:left w:val="nil"/>
                    <w:bottom w:val="single" w:color="000000" w:sz="4" w:space="0"/>
                    <w:right w:val="single" w:color="000000" w:sz="4" w:space="0"/>
                  </w:tcBorders>
                  <w:shd w:val="clear" w:color="auto" w:fill="auto"/>
                  <w:vAlign w:val="center"/>
                </w:tcPr>
                <w:p w14:paraId="00720A4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2.4</w:t>
                  </w:r>
                </w:p>
              </w:tc>
              <w:tc>
                <w:tcPr>
                  <w:tcW w:w="850" w:type="dxa"/>
                  <w:tcBorders>
                    <w:top w:val="single" w:color="000000" w:sz="4" w:space="0"/>
                    <w:left w:val="nil"/>
                    <w:bottom w:val="single" w:color="000000" w:sz="4" w:space="0"/>
                    <w:right w:val="single" w:color="000000" w:sz="4" w:space="0"/>
                  </w:tcBorders>
                  <w:shd w:val="clear" w:color="auto" w:fill="auto"/>
                  <w:vAlign w:val="center"/>
                </w:tcPr>
                <w:p w14:paraId="5D92D48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2.5</w:t>
                  </w:r>
                </w:p>
              </w:tc>
              <w:tc>
                <w:tcPr>
                  <w:tcW w:w="884" w:type="dxa"/>
                  <w:tcBorders>
                    <w:top w:val="single" w:color="000000" w:sz="4" w:space="0"/>
                    <w:left w:val="nil"/>
                    <w:bottom w:val="single" w:color="000000" w:sz="4" w:space="0"/>
                    <w:right w:val="single" w:color="000000" w:sz="4" w:space="0"/>
                  </w:tcBorders>
                  <w:shd w:val="clear" w:color="auto" w:fill="auto"/>
                  <w:vAlign w:val="center"/>
                </w:tcPr>
                <w:p w14:paraId="3A7B11D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2.6</w:t>
                  </w:r>
                </w:p>
              </w:tc>
              <w:tc>
                <w:tcPr>
                  <w:tcW w:w="868" w:type="dxa"/>
                  <w:tcBorders>
                    <w:top w:val="single" w:color="000000" w:sz="4" w:space="0"/>
                    <w:left w:val="nil"/>
                    <w:bottom w:val="single" w:color="000000" w:sz="4" w:space="0"/>
                    <w:right w:val="single" w:color="000000" w:sz="4" w:space="0"/>
                  </w:tcBorders>
                  <w:shd w:val="clear" w:color="auto" w:fill="auto"/>
                  <w:vAlign w:val="center"/>
                </w:tcPr>
                <w:p w14:paraId="6BC11CD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2.7</w:t>
                  </w:r>
                </w:p>
              </w:tc>
              <w:tc>
                <w:tcPr>
                  <w:tcW w:w="904" w:type="dxa"/>
                  <w:tcBorders>
                    <w:top w:val="single" w:color="000000" w:sz="4" w:space="0"/>
                    <w:left w:val="nil"/>
                    <w:bottom w:val="single" w:color="000000" w:sz="4" w:space="0"/>
                    <w:right w:val="single" w:color="000000" w:sz="4" w:space="0"/>
                  </w:tcBorders>
                  <w:shd w:val="clear" w:color="auto" w:fill="auto"/>
                  <w:vAlign w:val="center"/>
                </w:tcPr>
                <w:p w14:paraId="6A1AE72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2.8</w:t>
                  </w:r>
                </w:p>
              </w:tc>
              <w:tc>
                <w:tcPr>
                  <w:tcW w:w="849" w:type="dxa"/>
                  <w:tcBorders>
                    <w:top w:val="single" w:color="000000" w:sz="4" w:space="0"/>
                    <w:left w:val="nil"/>
                    <w:bottom w:val="single" w:color="000000" w:sz="4" w:space="0"/>
                    <w:right w:val="single" w:color="000000" w:sz="4" w:space="0"/>
                  </w:tcBorders>
                  <w:shd w:val="clear" w:color="auto" w:fill="auto"/>
                  <w:vAlign w:val="center"/>
                </w:tcPr>
                <w:p w14:paraId="6A3AFA5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2.9</w:t>
                  </w:r>
                </w:p>
              </w:tc>
              <w:tc>
                <w:tcPr>
                  <w:tcW w:w="838" w:type="dxa"/>
                  <w:tcBorders>
                    <w:top w:val="single" w:color="000000" w:sz="4" w:space="0"/>
                    <w:left w:val="nil"/>
                    <w:bottom w:val="single" w:color="000000" w:sz="4" w:space="0"/>
                    <w:right w:val="single" w:color="000000" w:sz="4" w:space="0"/>
                  </w:tcBorders>
                  <w:shd w:val="clear" w:color="auto" w:fill="auto"/>
                  <w:vAlign w:val="center"/>
                </w:tcPr>
                <w:p w14:paraId="5944886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3.0</w:t>
                  </w:r>
                </w:p>
              </w:tc>
            </w:tr>
          </w:tbl>
          <w:p w14:paraId="49661E9F">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（2）评标基准价D＝招标控制价×（1－n）</w:t>
            </w:r>
          </w:p>
        </w:tc>
      </w:tr>
      <w:tr w14:paraId="7DEC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continue"/>
            <w:tcBorders>
              <w:left w:val="single" w:color="auto" w:sz="4" w:space="0"/>
              <w:bottom w:val="single" w:color="auto" w:sz="4" w:space="0"/>
              <w:right w:val="single" w:color="auto" w:sz="4" w:space="0"/>
            </w:tcBorders>
            <w:noWrap/>
            <w:vAlign w:val="center"/>
          </w:tcPr>
          <w:p w14:paraId="1F0901BB">
            <w:pPr>
              <w:keepNext w:val="0"/>
              <w:keepLines w:val="0"/>
              <w:widowControl/>
              <w:suppressLineNumbers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378" w:type="pct"/>
            <w:tcBorders>
              <w:top w:val="single" w:color="auto" w:sz="4" w:space="0"/>
              <w:left w:val="single" w:color="auto" w:sz="4" w:space="0"/>
              <w:bottom w:val="single" w:color="auto" w:sz="4" w:space="0"/>
              <w:right w:val="single" w:color="auto" w:sz="4" w:space="0"/>
            </w:tcBorders>
            <w:noWrap/>
            <w:vAlign w:val="center"/>
          </w:tcPr>
          <w:p w14:paraId="297FE374">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投标报价得分</w:t>
            </w:r>
            <w:r>
              <w:rPr>
                <w:rFonts w:hint="eastAsia" w:ascii="宋体" w:hAnsi="宋体" w:eastAsia="宋体" w:cs="宋体"/>
                <w:color w:val="auto"/>
                <w:sz w:val="24"/>
                <w:szCs w:val="24"/>
                <w:highlight w:val="none"/>
                <w:lang w:val="en-US" w:eastAsia="zh-CN"/>
              </w:rPr>
              <w:t>N</w:t>
            </w:r>
          </w:p>
        </w:tc>
        <w:tc>
          <w:tcPr>
            <w:tcW w:w="4171" w:type="pct"/>
            <w:gridSpan w:val="3"/>
            <w:tcBorders>
              <w:top w:val="single" w:color="auto" w:sz="4" w:space="0"/>
              <w:left w:val="single" w:color="auto" w:sz="4" w:space="0"/>
              <w:bottom w:val="single" w:color="auto" w:sz="4" w:space="0"/>
              <w:right w:val="single" w:color="auto" w:sz="4" w:space="0"/>
            </w:tcBorders>
            <w:noWrap/>
            <w:vAlign w:val="center"/>
          </w:tcPr>
          <w:p w14:paraId="6B6B38E5">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z w:val="24"/>
                <w:szCs w:val="24"/>
                <w:highlight w:val="none"/>
                <w:lang w:val="en-US" w:eastAsia="zh-CN"/>
              </w:rPr>
              <w:t>N</w:t>
            </w:r>
            <w:r>
              <w:rPr>
                <w:rFonts w:hint="eastAsia" w:ascii="宋体" w:hAnsi="宋体" w:eastAsia="宋体" w:cs="宋体"/>
                <w:color w:val="auto"/>
                <w:sz w:val="24"/>
                <w:szCs w:val="24"/>
                <w:highlight w:val="none"/>
              </w:rPr>
              <w:t>，即当投标人的投标总价等于评标基准价时得50分，每高于评标基准价一个百分点扣1分， 每低于评标基准价一个百分点扣0.5分，扣完为止。公式如下：</w:t>
            </w:r>
          </w:p>
          <w:p w14:paraId="78C0B312">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N</w:t>
            </w:r>
            <w:r>
              <w:rPr>
                <w:rFonts w:hint="eastAsia" w:ascii="宋体" w:hAnsi="宋体" w:eastAsia="宋体" w:cs="宋体"/>
                <w:color w:val="auto"/>
                <w:sz w:val="24"/>
                <w:szCs w:val="24"/>
                <w:highlight w:val="none"/>
              </w:rPr>
              <w:t>＝50－（| Di－D | ÷D）×100×E</w:t>
            </w:r>
          </w:p>
          <w:p w14:paraId="5167AC97">
            <w:pPr>
              <w:keepNext w:val="0"/>
              <w:keepLines w:val="0"/>
              <w:pageBreakBefore w:val="0"/>
              <w:suppressLineNumbers w:val="0"/>
              <w:kinsoku/>
              <w:overflowPunct/>
              <w:topLinePunct w:val="0"/>
              <w:autoSpaceDE/>
              <w:autoSpaceDN/>
              <w:bidi w:val="0"/>
              <w:spacing w:before="0" w:beforeAutospacing="0" w:after="0" w:afterAutospacing="0" w:line="36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式中：D为评标基准价；Di为某投标人的投标总价；E为扣分因子，当Di＞D时，E＝1；当Di＜D时，E＝0.5。</w:t>
            </w:r>
          </w:p>
        </w:tc>
      </w:tr>
    </w:tbl>
    <w:p w14:paraId="553512DA">
      <w:pPr>
        <w:spacing w:line="440" w:lineRule="exact"/>
        <w:rPr>
          <w:rFonts w:hint="eastAsia" w:asciiTheme="minorEastAsia" w:hAnsiTheme="minorEastAsia" w:eastAsiaTheme="minorEastAsia" w:cstheme="minorEastAsia"/>
          <w:color w:val="auto"/>
          <w:spacing w:val="10"/>
          <w:kern w:val="0"/>
          <w:szCs w:val="24"/>
          <w:highlight w:val="none"/>
        </w:rPr>
      </w:pPr>
      <w:r>
        <w:rPr>
          <w:rFonts w:hint="eastAsia" w:asciiTheme="minorEastAsia" w:hAnsiTheme="minorEastAsia" w:eastAsiaTheme="minorEastAsia" w:cstheme="minorEastAsia"/>
          <w:color w:val="auto"/>
          <w:spacing w:val="10"/>
          <w:kern w:val="0"/>
          <w:szCs w:val="24"/>
          <w:highlight w:val="none"/>
        </w:rPr>
        <w:t>备注：</w:t>
      </w:r>
    </w:p>
    <w:p w14:paraId="19724250">
      <w:pPr>
        <w:spacing w:line="440" w:lineRule="exact"/>
        <w:ind w:firstLine="482" w:firstLineChars="200"/>
        <w:rPr>
          <w:rFonts w:hint="eastAsia" w:asciiTheme="minorEastAsia" w:hAnsiTheme="minorEastAsia" w:eastAsiaTheme="minorEastAsia" w:cstheme="minorEastAsia"/>
          <w:b/>
          <w:bCs/>
          <w:color w:val="auto"/>
          <w:szCs w:val="24"/>
          <w:highlight w:val="none"/>
          <w:u w:val="double"/>
        </w:rPr>
      </w:pPr>
      <w:r>
        <w:rPr>
          <w:rFonts w:hint="eastAsia" w:asciiTheme="minorEastAsia" w:hAnsiTheme="minorEastAsia" w:eastAsiaTheme="minorEastAsia" w:cstheme="minorEastAsia"/>
          <w:b/>
          <w:bCs/>
          <w:color w:val="auto"/>
          <w:szCs w:val="24"/>
          <w:highlight w:val="none"/>
        </w:rPr>
        <w:t>1、</w:t>
      </w:r>
      <w:r>
        <w:rPr>
          <w:rFonts w:hint="eastAsia" w:asciiTheme="minorEastAsia" w:hAnsiTheme="minorEastAsia" w:eastAsiaTheme="minorEastAsia" w:cstheme="minorEastAsia"/>
          <w:b/>
          <w:bCs/>
          <w:color w:val="auto"/>
          <w:szCs w:val="24"/>
          <w:highlight w:val="none"/>
          <w:u w:val="double"/>
        </w:rPr>
        <w:t>评分如出现小数点，则保留小数点后两位，第三位四舍五入。</w:t>
      </w:r>
    </w:p>
    <w:p w14:paraId="230ABDBA">
      <w:pPr>
        <w:spacing w:line="440" w:lineRule="exact"/>
        <w:ind w:firstLine="482" w:firstLineChars="200"/>
        <w:rPr>
          <w:rFonts w:hint="eastAsia" w:asciiTheme="minorEastAsia" w:hAnsiTheme="minorEastAsia" w:eastAsiaTheme="minorEastAsia" w:cstheme="minorEastAsia"/>
          <w:b/>
          <w:bCs/>
          <w:color w:val="auto"/>
          <w:szCs w:val="24"/>
          <w:highlight w:val="none"/>
          <w:u w:val="double"/>
        </w:rPr>
      </w:pPr>
      <w:r>
        <w:rPr>
          <w:rFonts w:hint="eastAsia" w:asciiTheme="minorEastAsia" w:hAnsiTheme="minorEastAsia" w:eastAsiaTheme="minorEastAsia" w:cstheme="minorEastAsia"/>
          <w:b/>
          <w:bCs/>
          <w:color w:val="auto"/>
          <w:szCs w:val="24"/>
          <w:highlight w:val="none"/>
        </w:rPr>
        <w:t>3、</w:t>
      </w:r>
      <w:r>
        <w:rPr>
          <w:rFonts w:hint="eastAsia" w:asciiTheme="minorEastAsia" w:hAnsiTheme="minorEastAsia" w:eastAsiaTheme="minorEastAsia" w:cstheme="minorEastAsia"/>
          <w:b/>
          <w:bCs/>
          <w:color w:val="auto"/>
          <w:szCs w:val="24"/>
          <w:highlight w:val="none"/>
          <w:u w:val="double"/>
        </w:rPr>
        <w:t>如果某投标人的建安工程费下浮率高于15%时，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1D02A323">
      <w:pPr>
        <w:spacing w:line="440" w:lineRule="exact"/>
        <w:ind w:firstLine="482" w:firstLineChars="200"/>
        <w:rPr>
          <w:rFonts w:hint="eastAsia" w:asciiTheme="minorEastAsia" w:hAnsiTheme="minorEastAsia" w:eastAsiaTheme="minorEastAsia" w:cstheme="minorEastAsia"/>
          <w:b/>
          <w:bCs/>
          <w:color w:val="auto"/>
          <w:szCs w:val="24"/>
          <w:highlight w:val="none"/>
          <w:u w:val="double"/>
        </w:rPr>
      </w:pPr>
    </w:p>
    <w:p w14:paraId="3D032AE8">
      <w:pPr>
        <w:pageBreakBefore w:val="0"/>
        <w:kinsoku/>
        <w:wordWrap w:val="0"/>
        <w:overflowPunct/>
        <w:topLinePunct w:val="0"/>
        <w:autoSpaceDE/>
        <w:autoSpaceDN/>
        <w:bidi w:val="0"/>
        <w:adjustRightInd w:val="0"/>
        <w:snapToGrid w:val="0"/>
        <w:spacing w:line="400" w:lineRule="exact"/>
        <w:ind w:firstLine="520" w:firstLineChars="200"/>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Cs/>
          <w:color w:val="auto"/>
          <w:spacing w:val="10"/>
          <w:kern w:val="0"/>
          <w:szCs w:val="24"/>
          <w:highlight w:val="none"/>
        </w:rPr>
        <w:t>14.3.2</w:t>
      </w:r>
      <w:r>
        <w:rPr>
          <w:rFonts w:hint="eastAsia" w:asciiTheme="minorEastAsia" w:hAnsiTheme="minorEastAsia" w:eastAsiaTheme="minorEastAsia" w:cstheme="minorEastAsia"/>
          <w:snapToGrid w:val="0"/>
          <w:color w:val="auto"/>
          <w:kern w:val="0"/>
          <w:szCs w:val="24"/>
          <w:highlight w:val="none"/>
        </w:rPr>
        <w:t>否决投标说明</w:t>
      </w:r>
    </w:p>
    <w:p w14:paraId="4EAB64C4">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详细评审阶段否决投标的全部条件，在本章第</w:t>
      </w:r>
      <w:r>
        <w:rPr>
          <w:rFonts w:hint="eastAsia" w:asciiTheme="minorEastAsia" w:hAnsiTheme="minorEastAsia" w:eastAsiaTheme="minorEastAsia" w:cstheme="minorEastAsia"/>
          <w:b/>
          <w:snapToGrid w:val="0"/>
          <w:color w:val="auto"/>
          <w:kern w:val="0"/>
          <w:szCs w:val="24"/>
          <w:highlight w:val="none"/>
          <w:lang w:eastAsia="zh-CN"/>
        </w:rPr>
        <w:t>四节</w:t>
      </w:r>
      <w:r>
        <w:rPr>
          <w:rFonts w:hint="eastAsia" w:asciiTheme="minorEastAsia" w:hAnsiTheme="minorEastAsia" w:eastAsiaTheme="minorEastAsia" w:cstheme="minorEastAsia"/>
          <w:snapToGrid w:val="0"/>
          <w:color w:val="auto"/>
          <w:kern w:val="0"/>
          <w:szCs w:val="24"/>
          <w:highlight w:val="none"/>
        </w:rPr>
        <w:t>“否决投标条件”中集中列示。投标人有其中所列任何一种情形的，由评标委员会否决其投标。经详细评审后，有效投标人数量不足3个时，招标人应依法重新组织招标。</w:t>
      </w:r>
    </w:p>
    <w:p w14:paraId="122739DE">
      <w:pPr>
        <w:pStyle w:val="27"/>
        <w:pageBreakBefore w:val="0"/>
        <w:kinsoku/>
        <w:overflowPunct/>
        <w:topLinePunct w:val="0"/>
        <w:autoSpaceDE/>
        <w:autoSpaceDN/>
        <w:bidi w:val="0"/>
        <w:spacing w:line="400" w:lineRule="exac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bCs/>
          <w:snapToGrid w:val="0"/>
          <w:color w:val="auto"/>
          <w:kern w:val="0"/>
          <w:szCs w:val="24"/>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090C0CE8">
      <w:pPr>
        <w:pStyle w:val="39"/>
        <w:pageBreakBefore w:val="0"/>
        <w:kinsoku/>
        <w:overflowPunct/>
        <w:topLinePunct w:val="0"/>
        <w:autoSpaceDE/>
        <w:autoSpaceDN/>
        <w:bidi w:val="0"/>
        <w:spacing w:line="400" w:lineRule="exact"/>
        <w:ind w:firstLine="482" w:firstLineChars="200"/>
        <w:jc w:val="both"/>
        <w:textAlignment w:val="auto"/>
        <w:rPr>
          <w:rFonts w:hint="eastAsia" w:asciiTheme="minorEastAsia" w:hAnsiTheme="minorEastAsia" w:eastAsiaTheme="minorEastAsia" w:cstheme="minorEastAsia"/>
          <w:b/>
          <w:color w:val="auto"/>
          <w:highlight w:val="none"/>
        </w:rPr>
      </w:pPr>
    </w:p>
    <w:p w14:paraId="54FEA0D7">
      <w:pPr>
        <w:pStyle w:val="39"/>
        <w:pageBreakBefore w:val="0"/>
        <w:kinsoku/>
        <w:overflowPunct/>
        <w:topLinePunct w:val="0"/>
        <w:autoSpaceDE/>
        <w:autoSpaceDN/>
        <w:bidi w:val="0"/>
        <w:spacing w:line="400" w:lineRule="exact"/>
        <w:ind w:firstLine="482" w:firstLineChars="200"/>
        <w:jc w:val="both"/>
        <w:textAlignment w:val="auto"/>
        <w:rPr>
          <w:rFonts w:hint="eastAsia" w:asciiTheme="minorEastAsia" w:hAnsiTheme="minorEastAsia" w:eastAsiaTheme="minorEastAsia" w:cstheme="minorEastAsia"/>
          <w:b/>
          <w:color w:val="auto"/>
          <w:highlight w:val="none"/>
        </w:rPr>
      </w:pPr>
      <w:bookmarkStart w:id="302" w:name="_Toc19348"/>
      <w:bookmarkStart w:id="303" w:name="_Toc32481"/>
      <w:bookmarkStart w:id="304" w:name="_Toc11147"/>
      <w:bookmarkStart w:id="305" w:name="_Toc5121"/>
      <w:bookmarkStart w:id="306" w:name="_Toc16748"/>
      <w:r>
        <w:rPr>
          <w:rFonts w:hint="eastAsia" w:asciiTheme="minorEastAsia" w:hAnsiTheme="minorEastAsia" w:eastAsiaTheme="minorEastAsia" w:cstheme="minorEastAsia"/>
          <w:b/>
          <w:color w:val="auto"/>
          <w:highlight w:val="none"/>
        </w:rPr>
        <w:t>15.5</w:t>
      </w:r>
      <w:r>
        <w:rPr>
          <w:rFonts w:hint="eastAsia" w:asciiTheme="minorEastAsia" w:hAnsiTheme="minorEastAsia" w:eastAsiaTheme="minorEastAsia" w:cstheme="minorEastAsia"/>
          <w:b/>
          <w:snapToGrid w:val="0"/>
          <w:color w:val="auto"/>
          <w:highlight w:val="none"/>
        </w:rPr>
        <w:t>中标</w:t>
      </w:r>
      <w:r>
        <w:rPr>
          <w:rFonts w:hint="eastAsia" w:asciiTheme="minorEastAsia" w:hAnsiTheme="minorEastAsia" w:eastAsiaTheme="minorEastAsia" w:cstheme="minorEastAsia"/>
          <w:b/>
          <w:color w:val="auto"/>
          <w:highlight w:val="none"/>
        </w:rPr>
        <w:t>候选人公示</w:t>
      </w:r>
      <w:bookmarkEnd w:id="302"/>
      <w:bookmarkEnd w:id="303"/>
      <w:bookmarkEnd w:id="304"/>
      <w:bookmarkEnd w:id="305"/>
      <w:bookmarkEnd w:id="306"/>
    </w:p>
    <w:p w14:paraId="5DAE9778">
      <w:pPr>
        <w:pStyle w:val="27"/>
        <w:pageBreakBefore w:val="0"/>
        <w:kinsoku/>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Cs/>
          <w:snapToGrid w:val="0"/>
          <w:color w:val="auto"/>
          <w:kern w:val="0"/>
          <w:highlight w:val="none"/>
        </w:rPr>
      </w:pPr>
      <w:r>
        <w:rPr>
          <w:rFonts w:hint="eastAsia" w:asciiTheme="minorEastAsia" w:hAnsiTheme="minorEastAsia" w:eastAsiaTheme="minorEastAsia" w:cstheme="minorEastAsia"/>
          <w:bCs/>
          <w:color w:val="auto"/>
          <w:highlight w:val="none"/>
        </w:rPr>
        <w:t>15.5.1</w:t>
      </w:r>
      <w:r>
        <w:rPr>
          <w:rFonts w:hint="eastAsia" w:asciiTheme="minorEastAsia" w:hAnsiTheme="minorEastAsia" w:eastAsiaTheme="minorEastAsia" w:cstheme="minorEastAsia"/>
          <w:bCs/>
          <w:snapToGrid w:val="0"/>
          <w:color w:val="auto"/>
          <w:kern w:val="0"/>
          <w:highlight w:val="none"/>
        </w:rPr>
        <w:t>招标人自收到评标委员会提交的书面评标报告和中标候选人名单之日起3日内，将评标结果（即中标候选人名单）、中标候选人投标文件、评标过程（评标专家姓名用代码标记）一并在广东省招标投标监管网（http://zbtb.gd.gov.cn）、全国公共资源交易平台（广东省·韶关市）（https://ygp.gdzwfw.gov.cn/ggzy-portal/#/440200/index）进行公示，公示期不得少于3天。</w:t>
      </w:r>
    </w:p>
    <w:p w14:paraId="4CDFD7DC">
      <w:pPr>
        <w:pStyle w:val="27"/>
        <w:pageBreakBefore w:val="0"/>
        <w:kinsoku/>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15.5.2</w:t>
      </w:r>
      <w:r>
        <w:rPr>
          <w:rFonts w:hint="eastAsia" w:asciiTheme="minorEastAsia" w:hAnsiTheme="minorEastAsia" w:eastAsiaTheme="minorEastAsia" w:cstheme="minorEastAsia"/>
          <w:bCs/>
          <w:snapToGrid w:val="0"/>
          <w:color w:val="auto"/>
          <w:kern w:val="0"/>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w:t>
      </w:r>
      <w:r>
        <w:rPr>
          <w:rFonts w:hint="eastAsia" w:asciiTheme="minorEastAsia" w:hAnsiTheme="minorEastAsia" w:eastAsiaTheme="minorEastAsia" w:cstheme="minorEastAsia"/>
          <w:bCs/>
          <w:snapToGrid w:val="0"/>
          <w:color w:val="auto"/>
          <w:kern w:val="0"/>
          <w:highlight w:val="none"/>
          <w:lang w:val="en-US" w:eastAsia="zh-CN"/>
        </w:rPr>
        <w:t>1</w:t>
      </w:r>
      <w:r>
        <w:rPr>
          <w:rFonts w:hint="eastAsia" w:asciiTheme="minorEastAsia" w:hAnsiTheme="minorEastAsia" w:eastAsiaTheme="minorEastAsia" w:cstheme="minorEastAsia"/>
          <w:bCs/>
          <w:snapToGrid w:val="0"/>
          <w:color w:val="auto"/>
          <w:kern w:val="0"/>
          <w:highlight w:val="none"/>
        </w:rPr>
        <w:t>〕</w:t>
      </w:r>
      <w:r>
        <w:rPr>
          <w:rFonts w:hint="eastAsia" w:asciiTheme="minorEastAsia" w:hAnsiTheme="minorEastAsia" w:eastAsiaTheme="minorEastAsia" w:cstheme="minorEastAsia"/>
          <w:bCs/>
          <w:snapToGrid w:val="0"/>
          <w:color w:val="auto"/>
          <w:kern w:val="0"/>
          <w:highlight w:val="none"/>
          <w:lang w:val="en-US" w:eastAsia="zh-CN"/>
        </w:rPr>
        <w:t>44</w:t>
      </w:r>
      <w:r>
        <w:rPr>
          <w:rFonts w:hint="eastAsia" w:asciiTheme="minorEastAsia" w:hAnsiTheme="minorEastAsia" w:eastAsiaTheme="minorEastAsia" w:cstheme="minorEastAsia"/>
          <w:bCs/>
          <w:snapToGrid w:val="0"/>
          <w:color w:val="auto"/>
          <w:kern w:val="0"/>
          <w:highlight w:val="none"/>
        </w:rPr>
        <w:t>号）执行。</w:t>
      </w:r>
    </w:p>
    <w:p w14:paraId="29734D57">
      <w:pPr>
        <w:pStyle w:val="27"/>
        <w:pageBreakBefore w:val="0"/>
        <w:kinsoku/>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Cs/>
          <w:snapToGrid w:val="0"/>
          <w:color w:val="auto"/>
          <w:kern w:val="0"/>
          <w:highlight w:val="none"/>
        </w:rPr>
      </w:pPr>
      <w:r>
        <w:rPr>
          <w:rFonts w:hint="eastAsia" w:asciiTheme="minorEastAsia" w:hAnsiTheme="minorEastAsia" w:eastAsiaTheme="minorEastAsia" w:cstheme="minorEastAsia"/>
          <w:bCs/>
          <w:snapToGrid w:val="0"/>
          <w:color w:val="auto"/>
          <w:kern w:val="0"/>
          <w:highlight w:val="none"/>
        </w:rPr>
        <w:t>15.5.3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35650572">
      <w:pPr>
        <w:pStyle w:val="29"/>
        <w:keepNext/>
        <w:keepLines/>
        <w:autoSpaceDE/>
        <w:autoSpaceDN/>
        <w:adjustRightInd/>
        <w:spacing w:before="260" w:after="260" w:line="360" w:lineRule="exact"/>
        <w:ind w:firstLine="562" w:firstLineChars="200"/>
        <w:jc w:val="center"/>
        <w:rPr>
          <w:rFonts w:hint="eastAsia" w:asciiTheme="minorEastAsia" w:hAnsiTheme="minorEastAsia" w:eastAsiaTheme="minorEastAsia" w:cstheme="minorEastAsia"/>
          <w:b/>
          <w:color w:val="auto"/>
          <w:kern w:val="2"/>
          <w:sz w:val="28"/>
          <w:szCs w:val="28"/>
          <w:highlight w:val="none"/>
        </w:rPr>
      </w:pPr>
      <w:bookmarkStart w:id="307" w:name="_Hlt112206772"/>
      <w:bookmarkEnd w:id="307"/>
      <w:bookmarkStart w:id="308" w:name="_Hlt69669771"/>
      <w:bookmarkEnd w:id="308"/>
      <w:bookmarkStart w:id="309" w:name="_Toc14214"/>
      <w:bookmarkStart w:id="310" w:name="_Toc24184"/>
      <w:bookmarkStart w:id="311" w:name="_Toc11519"/>
      <w:bookmarkStart w:id="312" w:name="_Toc13416"/>
      <w:bookmarkStart w:id="313" w:name="_Toc9083"/>
      <w:bookmarkStart w:id="314" w:name="_Hlt69698713"/>
      <w:bookmarkStart w:id="315" w:name="_Hlt69698765"/>
      <w:bookmarkStart w:id="316" w:name="_Toc21045"/>
      <w:bookmarkStart w:id="317" w:name="_Toc16300"/>
      <w:bookmarkStart w:id="318" w:name="_Toc16203"/>
      <w:bookmarkStart w:id="319" w:name="_Toc16649"/>
      <w:r>
        <w:rPr>
          <w:rFonts w:hint="eastAsia" w:asciiTheme="minorEastAsia" w:hAnsiTheme="minorEastAsia" w:eastAsiaTheme="minorEastAsia" w:cstheme="minorEastAsia"/>
          <w:b/>
          <w:color w:val="auto"/>
          <w:kern w:val="2"/>
          <w:sz w:val="28"/>
          <w:szCs w:val="28"/>
          <w:highlight w:val="none"/>
        </w:rPr>
        <w:t>第四节 否决投标条件</w:t>
      </w:r>
      <w:bookmarkEnd w:id="309"/>
    </w:p>
    <w:p w14:paraId="6AE82EC4">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highlight w:val="none"/>
        </w:rPr>
        <w:t>　　</w:t>
      </w:r>
      <w:r>
        <w:rPr>
          <w:rFonts w:hint="eastAsia" w:asciiTheme="minorEastAsia" w:hAnsiTheme="minorEastAsia" w:eastAsiaTheme="minorEastAsia" w:cstheme="minorEastAsia"/>
          <w:snapToGrid w:val="0"/>
          <w:color w:val="auto"/>
          <w:kern w:val="0"/>
          <w:szCs w:val="24"/>
          <w:highlight w:val="none"/>
        </w:rPr>
        <w:t xml:space="preserve">  本节所集中列示的否决投标条件，是本章第三节“投标人须知正文”的组成部分，是对本章第三节所规定的否决投标条件的总结和补充。投标人未有列入本节情形的，评标时一律不得否决其投标。本节所称“规定”均指招标文件的规定。</w:t>
      </w:r>
    </w:p>
    <w:p w14:paraId="3137FDF5">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auto"/>
          <w:kern w:val="0"/>
          <w:szCs w:val="24"/>
          <w:highlight w:val="none"/>
        </w:rPr>
      </w:pPr>
      <w:bookmarkStart w:id="320" w:name="_Toc25868"/>
      <w:r>
        <w:rPr>
          <w:rFonts w:hint="eastAsia" w:asciiTheme="minorEastAsia" w:hAnsiTheme="minorEastAsia" w:eastAsiaTheme="minorEastAsia" w:cstheme="minorEastAsia"/>
          <w:b/>
          <w:bCs/>
          <w:snapToGrid w:val="0"/>
          <w:color w:val="auto"/>
          <w:kern w:val="0"/>
          <w:szCs w:val="24"/>
          <w:highlight w:val="none"/>
        </w:rPr>
        <w:t>1．资格评审环节</w:t>
      </w:r>
      <w:bookmarkEnd w:id="320"/>
    </w:p>
    <w:p w14:paraId="71860D7D">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投标人有下列情形之一的，评标委员会应否决其投标。被否决的投标人，不进入形式评审环节。</w:t>
      </w:r>
    </w:p>
    <w:p w14:paraId="3C47399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（1）有本章第三节第4.4条“禁止投标条款”规定的任何一种情形；</w:t>
      </w:r>
    </w:p>
    <w:p w14:paraId="6D2C7D3D">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（2）投标人资质不符合规定的；</w:t>
      </w:r>
    </w:p>
    <w:p w14:paraId="2C1760F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68E981E7">
      <w:pPr>
        <w:keepNext w:val="0"/>
        <w:keepLines w:val="0"/>
        <w:pageBreakBefore w:val="0"/>
        <w:widowControl w:val="0"/>
        <w:kinsoku/>
        <w:wordWrap w:val="0"/>
        <w:overflowPunct/>
        <w:topLinePunct w:val="0"/>
        <w:autoSpaceDE/>
        <w:autoSpaceDN/>
        <w:bidi w:val="0"/>
        <w:adjustRightInd w:val="0"/>
        <w:snapToGrid w:val="0"/>
        <w:spacing w:line="400" w:lineRule="exact"/>
        <w:ind w:firstLine="723" w:firstLineChars="300"/>
        <w:textAlignment w:val="auto"/>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137B8A7E">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根据有关文件精神，投标人的企业相关证书到期的，均按该证书的发证机构相关行政主管部门最新文件执行（如自动顺延或推迟办理延期业务的通知等）投标人须提供相关证明材料附在该证书后面，证明在开标日继续有效的。</w:t>
      </w:r>
    </w:p>
    <w:p w14:paraId="49232FAB">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（4）拟派项目经理、项目技术负责人、专职安全员、设计负责人的条件不符合规定的；拟派专职安全员数量不符合规定的；</w:t>
      </w:r>
    </w:p>
    <w:p w14:paraId="17B5AAA3">
      <w:pPr>
        <w:keepNext w:val="0"/>
        <w:keepLines w:val="0"/>
        <w:pageBreakBefore w:val="0"/>
        <w:widowControl w:val="0"/>
        <w:kinsoku/>
        <w:wordWrap w:val="0"/>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项目经理简历表》中拟派项目经理与《开标一览表》不一致的；建造师的注册证书不是住建部门颁发的；建造师的注册单位与投标人不一致的；项目管理班子组成人员的各类证书、证件、证明不在有效期内的（建造师注册证书不在使用有效期内的）；擅自修改、遗漏《项目经理任职声明》实质性内容的；</w:t>
      </w:r>
    </w:p>
    <w:p w14:paraId="1C155B95">
      <w:pPr>
        <w:keepNext w:val="0"/>
        <w:keepLines w:val="0"/>
        <w:pageBreakBefore w:val="0"/>
        <w:widowControl w:val="0"/>
        <w:kinsoku/>
        <w:wordWrap w:val="0"/>
        <w:overflowPunct/>
        <w:topLinePunct w:val="0"/>
        <w:autoSpaceDE/>
        <w:autoSpaceDN/>
        <w:bidi w:val="0"/>
        <w:adjustRightInd w:val="0"/>
        <w:snapToGrid w:val="0"/>
        <w:spacing w:line="400" w:lineRule="exact"/>
        <w:ind w:firstLine="723" w:firstLineChars="300"/>
        <w:textAlignment w:val="auto"/>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注：投标人已经工商变更，但其员工执业资格注册证书的注册单位名称未完成变更的，不得否决其投标。</w:t>
      </w:r>
    </w:p>
    <w:p w14:paraId="40F49493">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（6）联合体投标，未提交《联合体协议书》的；擅自修改、遗漏《联合体协议书》实质性内容的；联合体成员的数量、资质不符合规定的；联合体成员同时以自己名义单独投标或者参加其他联合体投标的；</w:t>
      </w:r>
    </w:p>
    <w:p w14:paraId="6331C47A">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（7）投标人为外省建筑企业，但未提供“进粤企业和人员诚信信息登记平台”企业和拟派人员信息情况打印页或网页截图的。</w:t>
      </w:r>
    </w:p>
    <w:p w14:paraId="2D38E445">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auto"/>
          <w:kern w:val="0"/>
          <w:szCs w:val="24"/>
          <w:highlight w:val="none"/>
        </w:rPr>
      </w:pPr>
      <w:bookmarkStart w:id="321" w:name="_Toc16862"/>
      <w:r>
        <w:rPr>
          <w:rFonts w:hint="eastAsia" w:asciiTheme="minorEastAsia" w:hAnsiTheme="minorEastAsia" w:eastAsiaTheme="minorEastAsia" w:cstheme="minorEastAsia"/>
          <w:b/>
          <w:bCs/>
          <w:snapToGrid w:val="0"/>
          <w:color w:val="auto"/>
          <w:kern w:val="0"/>
          <w:szCs w:val="24"/>
          <w:highlight w:val="none"/>
        </w:rPr>
        <w:t>2．形式评审环节</w:t>
      </w:r>
      <w:bookmarkEnd w:id="321"/>
    </w:p>
    <w:p w14:paraId="784AAF1A">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投标人有下列情形之一的，评标委员会应否决其投标。被否决的投标人，不进入响应性评审环节。</w:t>
      </w:r>
    </w:p>
    <w:p w14:paraId="739ABD49">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8</w:t>
      </w:r>
      <w:r>
        <w:rPr>
          <w:rFonts w:hint="eastAsia" w:asciiTheme="minorEastAsia" w:hAnsiTheme="minorEastAsia" w:eastAsiaTheme="minorEastAsia" w:cstheme="minorEastAsia"/>
          <w:snapToGrid w:val="0"/>
          <w:color w:val="auto"/>
          <w:kern w:val="0"/>
          <w:szCs w:val="24"/>
          <w:highlight w:val="none"/>
        </w:rPr>
        <w:t>）本章第三节第11.2.2目中规定的“所有投标人均应提供”的组成内容（包括该组成内容的所附资料）中，任何一项有缺漏的；</w:t>
      </w:r>
    </w:p>
    <w:p w14:paraId="27DF69E7">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9</w:t>
      </w:r>
      <w:r>
        <w:rPr>
          <w:rFonts w:hint="eastAsia" w:asciiTheme="minorEastAsia" w:hAnsiTheme="minorEastAsia" w:eastAsiaTheme="minorEastAsia" w:cstheme="minorEastAsia"/>
          <w:snapToGrid w:val="0"/>
          <w:color w:val="auto"/>
          <w:kern w:val="0"/>
          <w:szCs w:val="24"/>
          <w:highlight w:val="none"/>
        </w:rPr>
        <w:t>）关键字迹模糊、无法辨认，且该种过错将导致评标委员会无法判断投标文件是否响应招标文件实质性要求的；出现手工涂改、行间插字或删除，但未加盖单位章或由投标人的法定代表人或其委托代理人签字确认的；</w:t>
      </w:r>
    </w:p>
    <w:p w14:paraId="4AF61BED">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r>
        <w:rPr>
          <w:rFonts w:hint="eastAsia" w:asciiTheme="minorEastAsia" w:hAnsiTheme="minorEastAsia" w:eastAsiaTheme="minorEastAsia" w:cstheme="minorEastAsia"/>
          <w:snapToGrid w:val="0"/>
          <w:color w:val="auto"/>
          <w:kern w:val="0"/>
          <w:szCs w:val="24"/>
          <w:highlight w:val="none"/>
          <w:lang w:val="en-US" w:eastAsia="zh-CN"/>
        </w:rPr>
        <w:t>0</w:t>
      </w:r>
      <w:r>
        <w:rPr>
          <w:rFonts w:hint="eastAsia" w:asciiTheme="minorEastAsia" w:hAnsiTheme="minorEastAsia" w:eastAsiaTheme="minorEastAsia" w:cstheme="minorEastAsia"/>
          <w:snapToGrid w:val="0"/>
          <w:color w:val="auto"/>
          <w:kern w:val="0"/>
          <w:szCs w:val="24"/>
          <w:highlight w:val="none"/>
        </w:rPr>
        <w:t>）投标文件未按规定签字、盖章的；</w:t>
      </w:r>
    </w:p>
    <w:p w14:paraId="01701C0B">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auto"/>
          <w:kern w:val="0"/>
          <w:szCs w:val="24"/>
          <w:highlight w:val="none"/>
        </w:rPr>
      </w:pPr>
      <w:bookmarkStart w:id="322" w:name="_Toc11607"/>
      <w:r>
        <w:rPr>
          <w:rFonts w:hint="eastAsia" w:asciiTheme="minorEastAsia" w:hAnsiTheme="minorEastAsia" w:eastAsiaTheme="minorEastAsia" w:cstheme="minorEastAsia"/>
          <w:b/>
          <w:bCs/>
          <w:snapToGrid w:val="0"/>
          <w:color w:val="auto"/>
          <w:kern w:val="0"/>
          <w:szCs w:val="24"/>
          <w:highlight w:val="none"/>
        </w:rPr>
        <w:t>3．响应性评审环节</w:t>
      </w:r>
      <w:bookmarkEnd w:id="322"/>
    </w:p>
    <w:p w14:paraId="1545624A">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投标人有下列情形之一的，评标委员会应否决其投标。被否决的投标人，不进入详细评审阶段。</w:t>
      </w:r>
    </w:p>
    <w:p w14:paraId="21BB9786">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r>
        <w:rPr>
          <w:rFonts w:hint="eastAsia" w:asciiTheme="minorEastAsia" w:hAnsiTheme="minorEastAsia" w:eastAsiaTheme="minorEastAsia" w:cstheme="minorEastAsia"/>
          <w:snapToGrid w:val="0"/>
          <w:color w:val="auto"/>
          <w:kern w:val="0"/>
          <w:szCs w:val="24"/>
          <w:highlight w:val="none"/>
          <w:lang w:val="en-US" w:eastAsia="zh-CN"/>
        </w:rPr>
        <w:t>1</w:t>
      </w:r>
      <w:r>
        <w:rPr>
          <w:rFonts w:hint="eastAsia" w:asciiTheme="minorEastAsia" w:hAnsiTheme="minorEastAsia" w:eastAsiaTheme="minorEastAsia" w:cstheme="minorEastAsia"/>
          <w:snapToGrid w:val="0"/>
          <w:color w:val="auto"/>
          <w:kern w:val="0"/>
          <w:szCs w:val="24"/>
          <w:highlight w:val="none"/>
        </w:rPr>
        <w:t>）承诺的投标有效期短于规定的；工期超出规定的；擅自修改、遗漏《投标函》《各项承诺一览表》实质性内容的；</w:t>
      </w:r>
    </w:p>
    <w:p w14:paraId="4E5DF9C1">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r>
        <w:rPr>
          <w:rFonts w:hint="eastAsia" w:asciiTheme="minorEastAsia" w:hAnsiTheme="minorEastAsia" w:eastAsiaTheme="minorEastAsia" w:cstheme="minorEastAsia"/>
          <w:snapToGrid w:val="0"/>
          <w:color w:val="auto"/>
          <w:kern w:val="0"/>
          <w:szCs w:val="24"/>
          <w:highlight w:val="none"/>
          <w:lang w:val="en-US" w:eastAsia="zh-CN"/>
        </w:rPr>
        <w:t>2</w:t>
      </w:r>
      <w:r>
        <w:rPr>
          <w:rFonts w:hint="eastAsia" w:asciiTheme="minorEastAsia" w:hAnsiTheme="minorEastAsia" w:eastAsiaTheme="minorEastAsia" w:cstheme="minorEastAsia"/>
          <w:snapToGrid w:val="0"/>
          <w:color w:val="auto"/>
          <w:kern w:val="0"/>
          <w:szCs w:val="24"/>
          <w:highlight w:val="none"/>
        </w:rPr>
        <w:t>）两个或两个以上投标总价的（同一个投标总价大、小写不一致的除外）；投标总价超出出现最高投标限价的；投标总价下浮率超过15%，又未提供相应书面说明和佐证材料或提供的书面说明和佐证材料不能令人信服，被评标委员会认定以低于成本报价竞标的；</w:t>
      </w:r>
    </w:p>
    <w:p w14:paraId="2F645306">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p>
    <w:p w14:paraId="64AE7F69">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snapToGrid w:val="0"/>
          <w:color w:val="auto"/>
          <w:kern w:val="0"/>
          <w:szCs w:val="24"/>
          <w:highlight w:val="none"/>
        </w:rPr>
      </w:pPr>
      <w:bookmarkStart w:id="323" w:name="_Toc29578"/>
      <w:r>
        <w:rPr>
          <w:rFonts w:hint="eastAsia" w:asciiTheme="minorEastAsia" w:hAnsiTheme="minorEastAsia" w:eastAsiaTheme="minorEastAsia" w:cstheme="minorEastAsia"/>
          <w:b/>
          <w:bCs/>
          <w:snapToGrid w:val="0"/>
          <w:color w:val="auto"/>
          <w:kern w:val="0"/>
          <w:szCs w:val="24"/>
          <w:highlight w:val="none"/>
        </w:rPr>
        <w:t>4．其他</w:t>
      </w:r>
      <w:bookmarkEnd w:id="323"/>
    </w:p>
    <w:p w14:paraId="673C46DE">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在任何评标环节（或阶段），投标人有下列情形之一的，评标委员会应否决其投标。被否决的投标人，不进入下一环节（或阶段）。</w:t>
      </w:r>
    </w:p>
    <w:p w14:paraId="4D10384B">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（14）不按评标委员会要求澄清、说明或补正的；</w:t>
      </w:r>
    </w:p>
    <w:p w14:paraId="2AEF9A84">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（15）有下列情形之一，被评标委员会认定属于串通投标的：</w:t>
      </w:r>
    </w:p>
    <w:p w14:paraId="52F0B461">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①不同投标人的投标文件两处以上（含两处）错、漏一致；</w:t>
      </w:r>
    </w:p>
    <w:p w14:paraId="0B721C20">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20C45B5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③不同投标人的投标各项报价存在异常一致或者呈规律性变化；</w:t>
      </w:r>
    </w:p>
    <w:p w14:paraId="2278B77B">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④不同投标人的投标文件由同一单位或者同一个人编制；</w:t>
      </w:r>
    </w:p>
    <w:p w14:paraId="1C11AF89">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⑤不同投标人的投标文件中投标资料（包括电子资料）相互混装或项目班子成员出现同一人；</w:t>
      </w:r>
    </w:p>
    <w:p w14:paraId="5FCB94AC">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⑥不同投标人的投标文件由同一电脑编制或同一台附属设备打印，或投标报价用同一个预算编制软件密码锁制作或出自同一电子文档；</w:t>
      </w:r>
    </w:p>
    <w:p w14:paraId="16EA7005">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⑦不同投标人的投标保证由同一企业或同一账户资金缴纳；</w:t>
      </w:r>
    </w:p>
    <w:p w14:paraId="018430BD">
      <w:pPr>
        <w:keepNext w:val="0"/>
        <w:keepLines w:val="0"/>
        <w:pageBreakBefore w:val="0"/>
        <w:widowControl w:val="0"/>
        <w:kinsoku/>
        <w:wordWrap w:val="0"/>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napToGrid w:val="0"/>
          <w:color w:val="auto"/>
          <w:kern w:val="0"/>
          <w:szCs w:val="24"/>
          <w:highlight w:val="none"/>
        </w:rPr>
        <w:sectPr>
          <w:footerReference r:id="rId4" w:type="default"/>
          <w:endnotePr>
            <w:numFmt w:val="decimal"/>
          </w:endnotePr>
          <w:pgSz w:w="11905" w:h="16838"/>
          <w:pgMar w:top="1134" w:right="1134" w:bottom="1134" w:left="1417" w:header="850" w:footer="992" w:gutter="0"/>
          <w:pgNumType w:fmt="decimal" w:start="1"/>
          <w:cols w:space="0" w:num="1"/>
          <w:rtlGutter w:val="0"/>
          <w:docGrid w:linePitch="327" w:charSpace="0"/>
        </w:sectPr>
      </w:pPr>
      <w:r>
        <w:rPr>
          <w:rFonts w:hint="eastAsia" w:asciiTheme="minorEastAsia" w:hAnsiTheme="minorEastAsia" w:eastAsiaTheme="minorEastAsia" w:cstheme="minorEastAsia"/>
          <w:snapToGrid w:val="0"/>
          <w:color w:val="auto"/>
          <w:kern w:val="0"/>
          <w:szCs w:val="24"/>
          <w:highlight w:val="none"/>
        </w:rPr>
        <w:t>⑧不同投标人委托同一个人或注册在同一家企业的注册人员或同一家企业为其投标提供投标咨询、商务报价、技术咨询（招标工程本身要求采用专有技术的除外）等服务。</w:t>
      </w:r>
    </w:p>
    <w:bookmarkEnd w:id="310"/>
    <w:bookmarkEnd w:id="311"/>
    <w:bookmarkEnd w:id="312"/>
    <w:bookmarkEnd w:id="313"/>
    <w:bookmarkEnd w:id="314"/>
    <w:bookmarkEnd w:id="315"/>
    <w:bookmarkEnd w:id="316"/>
    <w:bookmarkEnd w:id="317"/>
    <w:bookmarkEnd w:id="318"/>
    <w:bookmarkEnd w:id="319"/>
    <w:p w14:paraId="4E3BB223">
      <w:pPr>
        <w:keepNext w:val="0"/>
        <w:keepLines w:val="0"/>
        <w:pageBreakBefore w:val="0"/>
        <w:widowControl w:val="0"/>
        <w:kinsoku/>
        <w:wordWrap w:val="0"/>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color w:val="auto"/>
          <w:sz w:val="24"/>
          <w:szCs w:val="24"/>
          <w:highlight w:val="none"/>
        </w:rPr>
      </w:pPr>
      <w:bookmarkStart w:id="324" w:name="_Toc466640610"/>
    </w:p>
    <w:p w14:paraId="5C2846C6">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bookmarkStart w:id="325" w:name="_Toc1587"/>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eastAsia="zh-CN"/>
        </w:rPr>
        <w:t>二</w:t>
      </w:r>
      <w:r>
        <w:rPr>
          <w:rFonts w:hint="eastAsia" w:asciiTheme="minorEastAsia" w:hAnsiTheme="minorEastAsia" w:eastAsiaTheme="minorEastAsia" w:cstheme="minorEastAsia"/>
          <w:b/>
          <w:color w:val="auto"/>
          <w:kern w:val="44"/>
          <w:sz w:val="36"/>
          <w:szCs w:val="36"/>
          <w:highlight w:val="none"/>
        </w:rPr>
        <w:t>章 拟签订合同的主要条款</w:t>
      </w:r>
      <w:bookmarkEnd w:id="325"/>
    </w:p>
    <w:p w14:paraId="577A89B7">
      <w:pPr>
        <w:pStyle w:val="27"/>
        <w:rPr>
          <w:rFonts w:hint="eastAsia" w:asciiTheme="minorEastAsia" w:hAnsiTheme="minorEastAsia" w:eastAsiaTheme="minorEastAsia" w:cstheme="minorEastAsia"/>
          <w:color w:val="auto"/>
          <w:highlight w:val="none"/>
        </w:rPr>
      </w:pPr>
    </w:p>
    <w:p w14:paraId="084BE38F">
      <w:pPr>
        <w:pStyle w:val="29"/>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auto"/>
          <w:kern w:val="2"/>
          <w:highlight w:val="none"/>
        </w:rPr>
      </w:pPr>
      <w:bookmarkStart w:id="326" w:name="_Toc31677"/>
      <w:r>
        <w:rPr>
          <w:rFonts w:hint="eastAsia" w:ascii="宋体" w:hAnsi="宋体" w:eastAsia="宋体" w:cs="宋体"/>
          <w:b/>
          <w:color w:val="auto"/>
          <w:kern w:val="2"/>
          <w:highlight w:val="none"/>
        </w:rPr>
        <w:t>1 工程承包方式</w:t>
      </w:r>
      <w:bookmarkEnd w:id="326"/>
    </w:p>
    <w:p w14:paraId="5754A69D">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承包人按中标价以总承包方式在规定的期限内对设计、施工（包工包料、包质量、包机械、包绿色安全文明施工、包工期等）进行总承包，不允许转包和违法分包，如承包人无相应专业资质，确需分包须与发包人协商并得到发包人和监理人同意并报工程主管部门备案。</w:t>
      </w:r>
    </w:p>
    <w:p w14:paraId="575C8EFF">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1.1.1 包工包料：材料符合招标文件要求</w:t>
      </w:r>
      <w:r>
        <w:rPr>
          <w:rFonts w:hint="eastAsia" w:ascii="宋体" w:hAnsi="宋体" w:eastAsia="宋体" w:cs="宋体"/>
          <w:snapToGrid w:val="0"/>
          <w:color w:val="auto"/>
          <w:kern w:val="0"/>
          <w:highlight w:val="none"/>
        </w:rPr>
        <w:t>及合同的相关约定</w:t>
      </w:r>
      <w:r>
        <w:rPr>
          <w:rFonts w:hint="eastAsia" w:ascii="宋体" w:hAnsi="宋体" w:eastAsia="宋体" w:cs="宋体"/>
          <w:color w:val="auto"/>
          <w:highlight w:val="none"/>
        </w:rPr>
        <w:t>，报验使用；办理用工保险。</w:t>
      </w:r>
    </w:p>
    <w:p w14:paraId="0E9D3F45">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1.1.2 包质量：符合招标文件要求</w:t>
      </w:r>
      <w:r>
        <w:rPr>
          <w:rFonts w:hint="eastAsia" w:ascii="宋体" w:hAnsi="宋体" w:eastAsia="宋体" w:cs="宋体"/>
          <w:color w:val="auto"/>
          <w:szCs w:val="24"/>
          <w:highlight w:val="none"/>
        </w:rPr>
        <w:t>及合同有关质量的相关约定</w:t>
      </w:r>
      <w:r>
        <w:rPr>
          <w:rFonts w:hint="eastAsia" w:ascii="宋体" w:hAnsi="宋体" w:eastAsia="宋体" w:cs="宋体"/>
          <w:color w:val="auto"/>
          <w:highlight w:val="none"/>
        </w:rPr>
        <w:t>。</w:t>
      </w:r>
    </w:p>
    <w:p w14:paraId="30C5864E">
      <w:pPr>
        <w:pageBreakBefore w:val="0"/>
        <w:widowControl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1.1.3 包安全包文明施工：符合国家及省、市的相关规定及招标文件、合同的相关约定要求。</w:t>
      </w:r>
    </w:p>
    <w:p w14:paraId="6E248B00">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1.1.4 包工期：本工程项目施工必须在规定的期限内完成。</w:t>
      </w:r>
    </w:p>
    <w:p w14:paraId="40FDBAD5">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2"/>
          <w:highlight w:val="none"/>
        </w:rPr>
        <w:t xml:space="preserve">1.2 </w:t>
      </w:r>
      <w:r>
        <w:rPr>
          <w:rFonts w:hint="eastAsia" w:ascii="宋体" w:hAnsi="宋体" w:eastAsia="宋体" w:cs="宋体"/>
          <w:color w:val="auto"/>
          <w:szCs w:val="24"/>
          <w:highlight w:val="none"/>
        </w:rPr>
        <w:t>限额设计要求：</w:t>
      </w:r>
    </w:p>
    <w:p w14:paraId="7447A09F">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1.2.1施工图预算中的建安工程费不得超过初步设计概算中的建安工程费且不得超过建安工程费的中标价。</w:t>
      </w:r>
    </w:p>
    <w:p w14:paraId="089CF4F1">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1.2.2 承包人在提交设计施工图时必须同时提交施工图预算。施工图预算作为承包人自我核算是否符合限额设计要求的依据。若造价咨询单位按施工图编制或审核的建安工程费高于前条1.2.1条规定时，承包人必须无条件对施工图进行修改，直至满足限额设计要求，不另行增加设计费，且由此造成发包人委托的造价咨询单位重复编制或审核施工图预算的费用由承包人承担，结算时在设计费中扣除。</w:t>
      </w:r>
    </w:p>
    <w:p w14:paraId="57F75BD0">
      <w:pPr>
        <w:pStyle w:val="45"/>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auto"/>
          <w:highlight w:val="none"/>
        </w:rPr>
      </w:pPr>
      <w:bookmarkStart w:id="327" w:name="_Toc2587"/>
      <w:r>
        <w:rPr>
          <w:rFonts w:hint="eastAsia" w:ascii="宋体" w:hAnsi="宋体" w:eastAsia="宋体" w:cs="宋体"/>
          <w:b/>
          <w:color w:val="auto"/>
          <w:highlight w:val="none"/>
        </w:rPr>
        <w:t>2 施工图工程量清单预算的编制原则</w:t>
      </w:r>
      <w:bookmarkEnd w:id="327"/>
    </w:p>
    <w:p w14:paraId="6079E78F">
      <w:pPr>
        <w:pStyle w:val="46"/>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color w:val="auto"/>
          <w:kern w:val="0"/>
          <w:highlight w:val="none"/>
        </w:rPr>
      </w:pPr>
      <w:r>
        <w:rPr>
          <w:rFonts w:hint="eastAsia" w:ascii="宋体" w:hAnsi="宋体" w:eastAsia="宋体" w:cs="宋体"/>
          <w:color w:val="auto"/>
          <w:kern w:val="0"/>
          <w:highlight w:val="none"/>
        </w:rPr>
        <w:t>2.1 施工图设计必须符合本项目限额设计要求。本项目的建安工程费预算价不得超过已批复概算中相应的建安工程费</w:t>
      </w:r>
      <w:r>
        <w:rPr>
          <w:rFonts w:hint="eastAsia" w:ascii="宋体" w:hAnsi="宋体" w:eastAsia="宋体" w:cs="宋体"/>
          <w:color w:val="auto"/>
          <w:szCs w:val="24"/>
          <w:highlight w:val="none"/>
        </w:rPr>
        <w:t>且不得超过建安工程费的中标价</w:t>
      </w:r>
      <w:r>
        <w:rPr>
          <w:rFonts w:hint="eastAsia" w:ascii="宋体" w:hAnsi="宋体" w:eastAsia="宋体" w:cs="宋体"/>
          <w:color w:val="auto"/>
          <w:kern w:val="0"/>
          <w:highlight w:val="none"/>
        </w:rPr>
        <w:t>。否则，承包人必须进行调整，直至符合限额设计要求为止。</w:t>
      </w:r>
    </w:p>
    <w:p w14:paraId="22700364">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i/>
          <w:strike/>
          <w:color w:val="auto"/>
          <w:szCs w:val="24"/>
          <w:highlight w:val="none"/>
        </w:rPr>
      </w:pPr>
      <w:r>
        <w:rPr>
          <w:rFonts w:hint="eastAsia" w:ascii="宋体" w:hAnsi="宋体" w:eastAsia="宋体" w:cs="宋体"/>
          <w:color w:val="auto"/>
          <w:kern w:val="0"/>
          <w:highlight w:val="none"/>
        </w:rPr>
        <w:t>2.2</w:t>
      </w:r>
      <w:r>
        <w:rPr>
          <w:rFonts w:hint="eastAsia" w:ascii="宋体" w:hAnsi="宋体" w:eastAsia="宋体" w:cs="宋体"/>
          <w:color w:val="auto"/>
          <w:szCs w:val="24"/>
          <w:highlight w:val="none"/>
        </w:rPr>
        <w:t xml:space="preserve"> 施工图工程量清单预算价的编制：承包人根据招标文件初步设计等相关的文件完成本项目的设计工作，承包人设计的施工图经发包人确认后由发包人委托有资质的审图公司审查，施工图经审查合格后，由承包人编制的施工图工程量清单预算</w:t>
      </w:r>
      <w:r>
        <w:rPr>
          <w:rFonts w:hint="eastAsia" w:ascii="宋体" w:hAnsi="宋体" w:eastAsia="宋体" w:cs="宋体"/>
          <w:color w:val="auto"/>
          <w:kern w:val="0"/>
          <w:szCs w:val="24"/>
          <w:highlight w:val="none"/>
        </w:rPr>
        <w:t>需经过发包人委托的第三方</w:t>
      </w:r>
      <w:r>
        <w:rPr>
          <w:rFonts w:hint="eastAsia" w:ascii="宋体" w:hAnsi="宋体" w:eastAsia="宋体" w:cs="宋体"/>
          <w:color w:val="auto"/>
          <w:szCs w:val="24"/>
          <w:highlight w:val="none"/>
        </w:rPr>
        <w:t>造价咨询单位审核</w:t>
      </w:r>
      <w:r>
        <w:rPr>
          <w:rFonts w:hint="eastAsia" w:ascii="宋体" w:hAnsi="宋体" w:eastAsia="宋体" w:cs="宋体"/>
          <w:color w:val="auto"/>
          <w:kern w:val="0"/>
          <w:szCs w:val="24"/>
          <w:highlight w:val="none"/>
        </w:rPr>
        <w:t>通过后，并报</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财政局投资评审中心</w:t>
      </w:r>
      <w:r>
        <w:rPr>
          <w:rFonts w:hint="eastAsia" w:ascii="宋体" w:hAnsi="宋体" w:eastAsia="宋体" w:cs="宋体"/>
          <w:color w:val="auto"/>
          <w:kern w:val="0"/>
          <w:szCs w:val="24"/>
          <w:highlight w:val="none"/>
        </w:rPr>
        <w:t>审核</w:t>
      </w:r>
      <w:r>
        <w:rPr>
          <w:rFonts w:hint="eastAsia" w:ascii="宋体" w:hAnsi="宋体" w:eastAsia="宋体" w:cs="宋体"/>
          <w:color w:val="auto"/>
          <w:szCs w:val="24"/>
          <w:highlight w:val="none"/>
        </w:rPr>
        <w:t>。施工图工程量清单预算的编制依据为：（1）《建设工程工程量清单计价规范》（GB50500—2013）；（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r>
        <w:rPr>
          <w:rFonts w:hint="eastAsia" w:ascii="宋体" w:hAnsi="宋体" w:eastAsia="宋体" w:cs="宋体"/>
          <w:color w:val="auto"/>
          <w:kern w:val="0"/>
          <w:szCs w:val="24"/>
          <w:highlight w:val="none"/>
        </w:rPr>
        <w:t>工程量按施工图计算，主要材料价格按预算编制时（招标文件所规定的设计预算编制工期内）当季</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kern w:val="0"/>
          <w:szCs w:val="24"/>
          <w:highlight w:val="none"/>
        </w:rPr>
        <w:t>工程造价管理机构发布的人工、材料、机械台班综合单价（若</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kern w:val="0"/>
          <w:szCs w:val="24"/>
          <w:highlight w:val="none"/>
        </w:rPr>
        <w:t>未发布信息则依次参照广东省韶关市、广东省清远市、广东省肇庆市、广东省佛山市、广东省东莞市、广东省广州市，若以上城市均没有信息价则按市场询价，市场询价方式优先从京东、国美、苏宁等大型电商平台查询）执行、经发包人确认的材料价格或暂定材料价格计算，规费、税金等其它费用则按有关规定计算（费率有上、下限的按平均值计算），预算包干费按2018年广东省计价办法的规定计算，赶工措施费不另行计算。</w:t>
      </w:r>
    </w:p>
    <w:p w14:paraId="476C6C0D">
      <w:pPr>
        <w:pStyle w:val="4"/>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auto"/>
          <w:kern w:val="2"/>
          <w:szCs w:val="24"/>
          <w:highlight w:val="none"/>
        </w:rPr>
      </w:pPr>
      <w:bookmarkStart w:id="328" w:name="_Toc5884"/>
      <w:r>
        <w:rPr>
          <w:rFonts w:hint="eastAsia" w:ascii="宋体" w:hAnsi="宋体" w:eastAsia="宋体" w:cs="宋体"/>
          <w:b/>
          <w:color w:val="auto"/>
          <w:kern w:val="2"/>
          <w:szCs w:val="24"/>
          <w:highlight w:val="none"/>
        </w:rPr>
        <w:t>3 工程结算原则</w:t>
      </w:r>
      <w:bookmarkEnd w:id="328"/>
    </w:p>
    <w:p w14:paraId="661F4C6A">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3.1设计费结算原则：设计费按中标价包干，结算时不作任何调整</w:t>
      </w:r>
      <w:r>
        <w:rPr>
          <w:rFonts w:hint="eastAsia" w:ascii="宋体" w:hAnsi="宋体" w:eastAsia="宋体" w:cs="宋体"/>
          <w:color w:val="auto"/>
          <w:kern w:val="1"/>
          <w:szCs w:val="24"/>
          <w:highlight w:val="none"/>
        </w:rPr>
        <w:t>。</w:t>
      </w:r>
    </w:p>
    <w:p w14:paraId="27D90C5B">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strike/>
          <w:color w:val="auto"/>
          <w:szCs w:val="24"/>
          <w:highlight w:val="none"/>
        </w:rPr>
      </w:pPr>
      <w:r>
        <w:rPr>
          <w:rFonts w:hint="eastAsia" w:ascii="宋体" w:hAnsi="宋体" w:eastAsia="宋体" w:cs="宋体"/>
          <w:color w:val="auto"/>
          <w:szCs w:val="24"/>
          <w:highlight w:val="none"/>
        </w:rPr>
        <w:t>3.2工程费用结算基准价的确定：以第2</w:t>
      </w:r>
      <w:r>
        <w:rPr>
          <w:rFonts w:hint="eastAsia" w:ascii="宋体" w:hAnsi="宋体" w:eastAsia="宋体" w:cs="宋体"/>
          <w:b/>
          <w:color w:val="auto"/>
          <w:highlight w:val="none"/>
          <w:lang w:val="en-US" w:eastAsia="zh-CN"/>
        </w:rPr>
        <w:t>.</w:t>
      </w:r>
      <w:r>
        <w:rPr>
          <w:rFonts w:hint="eastAsia" w:ascii="宋体" w:hAnsi="宋体" w:eastAsia="宋体" w:cs="宋体"/>
          <w:color w:val="auto"/>
          <w:szCs w:val="24"/>
          <w:highlight w:val="none"/>
        </w:rPr>
        <w:t>2条工程预算价编制原则编制的经审核后的预算价乘以（1－承包人中标下浮率）作为此工程项目的建安工程结算基准价（不含预备费）。</w:t>
      </w:r>
    </w:p>
    <w:p w14:paraId="19B46A63">
      <w:pPr>
        <w:pageBreakBefore w:val="0"/>
        <w:widowControl w:val="0"/>
        <w:kinsoku/>
        <w:overflowPunct/>
        <w:topLinePunct w:val="0"/>
        <w:bidi w:val="0"/>
        <w:spacing w:line="400" w:lineRule="exact"/>
        <w:ind w:firstLine="480" w:firstLineChars="200"/>
        <w:jc w:val="left"/>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3.3</w:t>
      </w:r>
      <w:r>
        <w:rPr>
          <w:rFonts w:hint="eastAsia" w:ascii="宋体" w:hAnsi="宋体" w:eastAsia="宋体" w:cs="宋体"/>
          <w:color w:val="auto"/>
          <w:szCs w:val="24"/>
          <w:highlight w:val="none"/>
        </w:rPr>
        <w:t>工程</w:t>
      </w:r>
      <w:r>
        <w:rPr>
          <w:rFonts w:hint="eastAsia" w:ascii="宋体" w:hAnsi="宋体" w:eastAsia="宋体" w:cs="宋体"/>
          <w:color w:val="auto"/>
          <w:kern w:val="0"/>
          <w:szCs w:val="24"/>
          <w:highlight w:val="none"/>
        </w:rPr>
        <w:t>费用结算原则：发包人在不增减建设规模的情况下，结算价即为</w:t>
      </w:r>
      <w:r>
        <w:rPr>
          <w:rFonts w:hint="eastAsia" w:ascii="宋体" w:hAnsi="宋体" w:eastAsia="宋体" w:cs="宋体"/>
          <w:color w:val="auto"/>
          <w:szCs w:val="24"/>
          <w:highlight w:val="none"/>
        </w:rPr>
        <w:t>结算基准价</w:t>
      </w:r>
      <w:r>
        <w:rPr>
          <w:rFonts w:hint="eastAsia" w:ascii="宋体" w:hAnsi="宋体" w:eastAsia="宋体" w:cs="宋体"/>
          <w:color w:val="auto"/>
          <w:kern w:val="0"/>
          <w:szCs w:val="24"/>
          <w:highlight w:val="none"/>
        </w:rPr>
        <w:t>，但下列情形除外：</w:t>
      </w:r>
    </w:p>
    <w:p w14:paraId="7923E0CC">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3.3.1 国家政策性人工价差调整：</w:t>
      </w:r>
      <w:r>
        <w:rPr>
          <w:rFonts w:hint="eastAsia" w:ascii="宋体" w:hAnsi="宋体" w:eastAsia="宋体" w:cs="宋体"/>
          <w:color w:val="auto"/>
          <w:kern w:val="0"/>
          <w:szCs w:val="24"/>
          <w:highlight w:val="none"/>
        </w:rPr>
        <w:t>调整方式按省、市有关规定调整。</w:t>
      </w:r>
    </w:p>
    <w:p w14:paraId="385F71CD">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3.3.2 当后继相关法律、法规、规章和政策引起安全文明施工费发生变化时，应当按照省建设行政主管部门或省、韶关市、</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工程造价管理机构据此发布的规定调整；</w:t>
      </w:r>
    </w:p>
    <w:p w14:paraId="0A0AB9BD">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3.3.3 当后继相关法律、法规、规章和政策引起规费、税金等发生变化时，应当按照省政府或省、韶关市、</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有关主管部门据此发布的规定调整；</w:t>
      </w:r>
    </w:p>
    <w:p w14:paraId="2546CCEB">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3.3.4 当施工期间市场物价发生涨落，引起工程所在地工程造价管理机构发布的价格信息中材料价格变化，主要建筑材料价格浮动超过±5%（指钢材、商品砼、商品砂浆、水泥、砂、石等主要材料），则双方同意调整5％以外部分价差；</w:t>
      </w:r>
      <w:r>
        <w:rPr>
          <w:rFonts w:hint="eastAsia" w:ascii="宋体" w:hAnsi="宋体" w:eastAsia="宋体" w:cs="宋体"/>
          <w:color w:val="auto"/>
          <w:kern w:val="0"/>
          <w:szCs w:val="24"/>
          <w:highlight w:val="none"/>
        </w:rPr>
        <w:t>人工费</w:t>
      </w:r>
      <w:r>
        <w:rPr>
          <w:rFonts w:hint="eastAsia" w:ascii="宋体" w:hAnsi="宋体" w:eastAsia="宋体" w:cs="宋体"/>
          <w:color w:val="auto"/>
          <w:szCs w:val="24"/>
          <w:highlight w:val="none"/>
        </w:rPr>
        <w:t>根据国家政策按实调整；机械费浮动超过±10%，双方同意调整10％以外部分价差。其工、料、机消耗量以发包人确认的</w:t>
      </w:r>
      <w:r>
        <w:rPr>
          <w:rFonts w:hint="eastAsia" w:ascii="宋体" w:hAnsi="宋体" w:eastAsia="宋体" w:cs="宋体"/>
          <w:color w:val="auto"/>
          <w:kern w:val="0"/>
          <w:szCs w:val="24"/>
          <w:highlight w:val="none"/>
        </w:rPr>
        <w:t>施工图工程量清单预算</w:t>
      </w:r>
      <w:r>
        <w:rPr>
          <w:rFonts w:hint="eastAsia" w:ascii="宋体" w:hAnsi="宋体" w:eastAsia="宋体" w:cs="宋体"/>
          <w:color w:val="auto"/>
          <w:szCs w:val="24"/>
          <w:highlight w:val="none"/>
        </w:rPr>
        <w:t>及进度中的消耗量为准。</w:t>
      </w:r>
    </w:p>
    <w:p w14:paraId="0B292779">
      <w:pPr>
        <w:pageBreakBefore w:val="0"/>
        <w:widowControl w:val="0"/>
        <w:kinsoku/>
        <w:overflowPunct/>
        <w:topLinePunct w:val="0"/>
        <w:bidi w:val="0"/>
        <w:spacing w:line="400" w:lineRule="exact"/>
        <w:ind w:firstLine="482" w:firstLineChars="200"/>
        <w:textAlignment w:val="auto"/>
        <w:rPr>
          <w:rFonts w:hint="eastAsia" w:ascii="宋体" w:hAnsi="宋体" w:eastAsia="宋体" w:cs="宋体"/>
          <w:b/>
          <w:bCs/>
          <w:color w:val="auto"/>
          <w:kern w:val="0"/>
          <w:szCs w:val="24"/>
          <w:highlight w:val="none"/>
          <w:u w:val="single"/>
        </w:rPr>
      </w:pPr>
      <w:r>
        <w:rPr>
          <w:rFonts w:hint="eastAsia" w:ascii="宋体" w:hAnsi="宋体" w:eastAsia="宋体" w:cs="宋体"/>
          <w:b/>
          <w:bCs/>
          <w:color w:val="auto"/>
          <w:kern w:val="0"/>
          <w:szCs w:val="24"/>
          <w:highlight w:val="none"/>
          <w:u w:val="single"/>
        </w:rPr>
        <w:t>注：人工费、材料单价、机械台班的价差调整基数是以施工当季《</w:t>
      </w:r>
      <w:r>
        <w:rPr>
          <w:rFonts w:hint="eastAsia" w:ascii="宋体" w:hAnsi="宋体" w:eastAsia="宋体" w:cs="宋体"/>
          <w:b/>
          <w:bCs/>
          <w:color w:val="auto"/>
          <w:kern w:val="0"/>
          <w:szCs w:val="24"/>
          <w:highlight w:val="none"/>
          <w:u w:val="single"/>
          <w:lang w:val="en-US" w:eastAsia="zh-CN"/>
        </w:rPr>
        <w:t>始兴县</w:t>
      </w:r>
      <w:r>
        <w:rPr>
          <w:rFonts w:hint="eastAsia" w:ascii="宋体" w:hAnsi="宋体" w:eastAsia="宋体" w:cs="宋体"/>
          <w:b/>
          <w:bCs/>
          <w:color w:val="auto"/>
          <w:kern w:val="0"/>
          <w:szCs w:val="24"/>
          <w:highlight w:val="none"/>
          <w:u w:val="single"/>
        </w:rPr>
        <w:t>建筑工程造价信息》</w:t>
      </w:r>
      <w:r>
        <w:rPr>
          <w:rFonts w:hint="eastAsia" w:ascii="宋体" w:hAnsi="宋体" w:eastAsia="宋体" w:cs="宋体"/>
          <w:b/>
          <w:bCs/>
          <w:color w:val="auto"/>
          <w:szCs w:val="24"/>
          <w:highlight w:val="none"/>
          <w:u w:val="single"/>
        </w:rPr>
        <w:t>（如信息价没有时参考施工当月&lt;韶关建筑工程造价信息&gt;）</w:t>
      </w:r>
      <w:r>
        <w:rPr>
          <w:rFonts w:hint="eastAsia" w:ascii="宋体" w:hAnsi="宋体" w:eastAsia="宋体" w:cs="宋体"/>
          <w:b/>
          <w:bCs/>
          <w:color w:val="auto"/>
          <w:kern w:val="0"/>
          <w:szCs w:val="24"/>
          <w:highlight w:val="none"/>
          <w:u w:val="single"/>
        </w:rPr>
        <w:t>公布的信息价（包括人工费、材料单价、机械台班）为F1与编制施工图工程量清单预算当季</w:t>
      </w:r>
      <w:r>
        <w:rPr>
          <w:rFonts w:hint="eastAsia" w:ascii="宋体" w:hAnsi="宋体" w:eastAsia="宋体" w:cs="宋体"/>
          <w:b/>
          <w:color w:val="auto"/>
          <w:kern w:val="0"/>
          <w:szCs w:val="24"/>
          <w:highlight w:val="none"/>
          <w:u w:val="single"/>
        </w:rPr>
        <w:t>（招标文件所规定的设计预算编制工期内）</w:t>
      </w:r>
      <w:r>
        <w:rPr>
          <w:rFonts w:hint="eastAsia" w:ascii="宋体" w:hAnsi="宋体" w:eastAsia="宋体" w:cs="宋体"/>
          <w:b/>
          <w:bCs/>
          <w:color w:val="auto"/>
          <w:kern w:val="0"/>
          <w:szCs w:val="24"/>
          <w:highlight w:val="none"/>
          <w:u w:val="single"/>
        </w:rPr>
        <w:t>《</w:t>
      </w:r>
      <w:r>
        <w:rPr>
          <w:rFonts w:hint="eastAsia" w:ascii="宋体" w:hAnsi="宋体" w:eastAsia="宋体" w:cs="宋体"/>
          <w:b/>
          <w:bCs/>
          <w:color w:val="auto"/>
          <w:kern w:val="0"/>
          <w:szCs w:val="24"/>
          <w:highlight w:val="none"/>
          <w:u w:val="single"/>
          <w:lang w:val="en-US" w:eastAsia="zh-CN"/>
        </w:rPr>
        <w:t>始兴县</w:t>
      </w:r>
      <w:r>
        <w:rPr>
          <w:rFonts w:hint="eastAsia" w:ascii="宋体" w:hAnsi="宋体" w:eastAsia="宋体" w:cs="宋体"/>
          <w:b/>
          <w:bCs/>
          <w:color w:val="auto"/>
          <w:kern w:val="0"/>
          <w:szCs w:val="24"/>
          <w:highlight w:val="none"/>
          <w:u w:val="single"/>
        </w:rPr>
        <w:t>建筑工程造价信息》</w:t>
      </w:r>
      <w:r>
        <w:rPr>
          <w:rFonts w:hint="eastAsia" w:ascii="宋体" w:hAnsi="宋体" w:eastAsia="宋体" w:cs="宋体"/>
          <w:b/>
          <w:bCs/>
          <w:color w:val="auto"/>
          <w:szCs w:val="24"/>
          <w:highlight w:val="none"/>
          <w:u w:val="single"/>
        </w:rPr>
        <w:t>（如信息价没有时参考预算编制当月</w:t>
      </w:r>
      <w:r>
        <w:rPr>
          <w:rFonts w:hint="eastAsia" w:ascii="宋体" w:hAnsi="宋体" w:eastAsia="宋体" w:cs="宋体"/>
          <w:b/>
          <w:color w:val="auto"/>
          <w:kern w:val="0"/>
          <w:szCs w:val="24"/>
          <w:highlight w:val="none"/>
          <w:u w:val="single"/>
        </w:rPr>
        <w:t>（招标文件所规定的设计预算编制工期内）</w:t>
      </w:r>
      <w:r>
        <w:rPr>
          <w:rFonts w:hint="eastAsia" w:ascii="宋体" w:hAnsi="宋体" w:eastAsia="宋体" w:cs="宋体"/>
          <w:b/>
          <w:bCs/>
          <w:color w:val="auto"/>
          <w:szCs w:val="24"/>
          <w:highlight w:val="none"/>
          <w:u w:val="single"/>
        </w:rPr>
        <w:t>&lt;韶关建筑工程造价信息&gt;）</w:t>
      </w:r>
      <w:r>
        <w:rPr>
          <w:rFonts w:hint="eastAsia" w:ascii="宋体" w:hAnsi="宋体" w:eastAsia="宋体" w:cs="宋体"/>
          <w:b/>
          <w:bCs/>
          <w:color w:val="auto"/>
          <w:kern w:val="0"/>
          <w:szCs w:val="24"/>
          <w:highlight w:val="none"/>
          <w:u w:val="single"/>
        </w:rPr>
        <w:t>公布的信息价（包括人工费、材料单价、机械台班）F0比较。</w:t>
      </w:r>
    </w:p>
    <w:p w14:paraId="470CE3DD">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1）人工费调整方式：按省、市有关规定调整。</w:t>
      </w:r>
    </w:p>
    <w:p w14:paraId="0603D400">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2）材料补差方式：</w:t>
      </w:r>
    </w:p>
    <w:p w14:paraId="427E12F4">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调价系数A=（F1-F0）÷F0×100%</w:t>
      </w:r>
    </w:p>
    <w:p w14:paraId="19D3AA5A">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当材料涨价时，材料补差= F0×（A-5%），当材料跌价时，材料补差= F0×（A+5%），材料补差只计算相应的规费和税金。</w:t>
      </w:r>
    </w:p>
    <w:p w14:paraId="76F28D7D">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3）施工机械使用费补差方式：</w:t>
      </w:r>
    </w:p>
    <w:p w14:paraId="492ECB7C">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调价系数A=（F1-F0）÷F0×100%</w:t>
      </w:r>
    </w:p>
    <w:p w14:paraId="01A878C9">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当施工机械台班费涨价时，机械台班补差= F0×（A-10%），当施工机械台班费跌价时，机械台班补差= F0×（A+10%）， 施工机械使用费补差只计算相应的规费和税金。</w:t>
      </w:r>
    </w:p>
    <w:p w14:paraId="1DBA1F04">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4）若项目规模、建设标准等发生变化，因变化而发生的措施项目费结算时进行相应增减。</w:t>
      </w:r>
    </w:p>
    <w:p w14:paraId="519D555F">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5）施工合同履行期间，由于非承包人原因导致工程变更的，发、承包双方应当按照GB50500-2013年《建设工程工程量清单计价规范》和省的有关规定，依据实际变更项目调整工程价款。工程变更引起工程量发生变化，出现本合同价款调整方式第3.3.5款情形的，应当按照其规定调整；其他情形的，按照以下规定调整：</w:t>
      </w:r>
    </w:p>
    <w:p w14:paraId="28490480">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①结算基准价中有适用于变更工程项目的，按照该项目的单价或合价调整；</w:t>
      </w:r>
    </w:p>
    <w:p w14:paraId="7707EDBB">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②结算基准价中没有适用、只有类似于变更工程项目的，可在合理范围内参照类似项目的单价或合价调整；</w:t>
      </w:r>
    </w:p>
    <w:p w14:paraId="019CD194">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③结算基准价中没有适用也没有类似于变更工程项目的，根据变更工程资料、计量规则和计价办法、施工期间工程造价管理机构发布的价格信息，按本结算原则第3.3.5款重新确定综合单价后，相应调整工程价款；</w:t>
      </w:r>
    </w:p>
    <w:p w14:paraId="5605FA43">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④结算基准价中没有适用也没有类似于变更工程项目，且施工期间工程造价管理机构发布的价格信息缺项的，根据变更工程资料、计量规则、计价办法和通过市场调查等的有合法依据的市场价格，按本原则第3.3.5条提出变更工程项目的单价或合价，经发、承包双方确认后调整；</w:t>
      </w:r>
    </w:p>
    <w:p w14:paraId="417BEF50">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⑤如发包人只调整材料的等级、规格或品牌，则其综合单价按结算基准价中单价＋该项材料的价差（经发包人审定后的材料单价-结算基准价中的材料单价）进行调整，规费、税金按有关规定调整。</w:t>
      </w:r>
    </w:p>
    <w:p w14:paraId="39EECDA6">
      <w:pPr>
        <w:pageBreakBefore w:val="0"/>
        <w:widowControl w:val="0"/>
        <w:kinsoku/>
        <w:overflowPunct/>
        <w:topLinePunct w:val="0"/>
        <w:bidi w:val="0"/>
        <w:spacing w:line="400" w:lineRule="exact"/>
        <w:textAlignment w:val="auto"/>
        <w:rPr>
          <w:rFonts w:hint="eastAsia" w:ascii="宋体" w:hAnsi="宋体" w:eastAsia="宋体" w:cs="宋体"/>
          <w:color w:val="auto"/>
          <w:kern w:val="0"/>
          <w:szCs w:val="24"/>
          <w:highlight w:val="none"/>
        </w:rPr>
      </w:pPr>
      <w:r>
        <w:rPr>
          <w:rFonts w:hint="eastAsia" w:ascii="宋体" w:hAnsi="宋体" w:eastAsia="宋体" w:cs="宋体"/>
          <w:color w:val="auto"/>
          <w:szCs w:val="24"/>
          <w:highlight w:val="none"/>
        </w:rPr>
        <w:t xml:space="preserve">    6）建设工程完工后，发、承包双方和受其委托具有相应资质的工程造价咨询企业必须按照GB50500-2013年《建设工程工程量清单计价规范》和省的有关规定办理竣工结算。</w:t>
      </w:r>
    </w:p>
    <w:p w14:paraId="18B78422">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3.3.5 工程造价调整项目若是结算基准价中没有的项目，其造价调整如下：</w:t>
      </w:r>
    </w:p>
    <w:p w14:paraId="02934706">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按（1）GB50500-2013年《建设工程工程量清单计价规范》、（2）2018年广东省建设工程计价依据（包括2018年《广东省市政工程综合定额》、2018年《广东省房屋建筑与装饰工程综合定额》、2018年《广东省通用安装工程综合定额》、2018年《广东省园林绿化工程综合定额》、2018年《广东省建设工程施工机具台班费用编制规则》），工程量按发、承包双方签证确认的、应予计量的实际完成的工程量计算，主要材料价格按施工同期工程所在地工程造价管理机构发布的价格信息中的综合单价计算，工程所在地工程造价管理机构发布的价格信息中参考价没有的材料价由发、承包双方市场询价确定，规费、税金等其它费用则按有关规定计算（费率有上、下限的以下限计算），预算包干费及赶工措施费不予计算。经发包人或其指定的有关单位审核，经审核后的造价按承包人的建安工程费中标下浮率下浮后作为工程结算价。</w:t>
      </w:r>
    </w:p>
    <w:p w14:paraId="0175B6F7">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清单项目如只单独调整人工、材料、机械台班价差的，其人工、材料、机械台班消耗量均以审定施工图预算中的该清单项目的人工、材料、机械台班消耗量为准。</w:t>
      </w:r>
    </w:p>
    <w:p w14:paraId="645F8DDE">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承包人不得以不完全了解现场情况为理由，提出额外付款或延长工期等要求。对此类要求，发包人不作任何考虑及答复。</w:t>
      </w:r>
    </w:p>
    <w:p w14:paraId="327D11D7">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合同履行期间，由于承包人原因导致发生设计变更或现场签证的，由此增加的工程造价费用，由承包人自行承担，发包人不予以考虑和补偿，同时按相关违约条款处罚。</w:t>
      </w:r>
    </w:p>
    <w:p w14:paraId="3D798728">
      <w:pPr>
        <w:pageBreakBefore w:val="0"/>
        <w:widowControl w:val="0"/>
        <w:kinsoku/>
        <w:overflowPunct/>
        <w:topLinePunct w:val="0"/>
        <w:bidi w:val="0"/>
        <w:spacing w:line="400" w:lineRule="exact"/>
        <w:textAlignment w:val="auto"/>
        <w:rPr>
          <w:rFonts w:hint="eastAsia" w:ascii="宋体" w:hAnsi="宋体" w:eastAsia="宋体" w:cs="宋体"/>
          <w:color w:val="auto"/>
          <w:szCs w:val="24"/>
          <w:highlight w:val="none"/>
        </w:rPr>
      </w:pPr>
      <w:r>
        <w:rPr>
          <w:rFonts w:hint="eastAsia" w:ascii="宋体" w:hAnsi="宋体" w:eastAsia="宋体" w:cs="宋体"/>
          <w:color w:val="auto"/>
          <w:kern w:val="0"/>
          <w:szCs w:val="24"/>
          <w:highlight w:val="none"/>
        </w:rPr>
        <w:t xml:space="preserve">    3.4 如发包人减少建设规模，则</w:t>
      </w:r>
      <w:r>
        <w:rPr>
          <w:rFonts w:hint="eastAsia" w:ascii="宋体" w:hAnsi="宋体" w:eastAsia="宋体" w:cs="宋体"/>
          <w:color w:val="auto"/>
          <w:szCs w:val="24"/>
          <w:highlight w:val="none"/>
        </w:rPr>
        <w:t>根据</w:t>
      </w:r>
      <w:r>
        <w:rPr>
          <w:rFonts w:hint="eastAsia" w:ascii="宋体" w:hAnsi="宋体" w:eastAsia="宋体" w:cs="宋体"/>
          <w:color w:val="auto"/>
          <w:kern w:val="0"/>
          <w:szCs w:val="24"/>
          <w:highlight w:val="none"/>
        </w:rPr>
        <w:t>经发包人确认的预算书</w:t>
      </w:r>
      <w:r>
        <w:rPr>
          <w:rFonts w:hint="eastAsia" w:ascii="宋体" w:hAnsi="宋体" w:eastAsia="宋体" w:cs="宋体"/>
          <w:color w:val="auto"/>
          <w:szCs w:val="24"/>
          <w:highlight w:val="none"/>
        </w:rPr>
        <w:t>扣减减少</w:t>
      </w:r>
      <w:r>
        <w:rPr>
          <w:rFonts w:hint="eastAsia" w:ascii="宋体" w:hAnsi="宋体" w:eastAsia="宋体" w:cs="宋体"/>
          <w:color w:val="auto"/>
          <w:kern w:val="0"/>
          <w:szCs w:val="24"/>
          <w:highlight w:val="none"/>
        </w:rPr>
        <w:t>部分工程造价。</w:t>
      </w:r>
      <w:r>
        <w:rPr>
          <w:rFonts w:hint="eastAsia" w:ascii="宋体" w:hAnsi="宋体" w:eastAsia="宋体" w:cs="宋体"/>
          <w:color w:val="auto"/>
          <w:szCs w:val="24"/>
          <w:highlight w:val="none"/>
        </w:rPr>
        <w:t>最终结算价由</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财政局投资评审中心审定为准</w:t>
      </w:r>
      <w:r>
        <w:rPr>
          <w:rFonts w:hint="eastAsia" w:ascii="宋体" w:hAnsi="宋体" w:eastAsia="宋体" w:cs="宋体"/>
          <w:color w:val="auto"/>
          <w:kern w:val="0"/>
          <w:szCs w:val="24"/>
          <w:highlight w:val="none"/>
        </w:rPr>
        <w:t xml:space="preserve">。 </w:t>
      </w:r>
    </w:p>
    <w:p w14:paraId="0AADA921">
      <w:pPr>
        <w:pageBreakBefore w:val="0"/>
        <w:widowControl w:val="0"/>
        <w:kinsoku/>
        <w:overflowPunct/>
        <w:topLinePunct w:val="0"/>
        <w:bidi w:val="0"/>
        <w:spacing w:line="400" w:lineRule="exact"/>
        <w:textAlignment w:val="auto"/>
        <w:rPr>
          <w:rFonts w:hint="eastAsia" w:ascii="宋体" w:hAnsi="宋体" w:eastAsia="宋体" w:cs="宋体"/>
          <w:strike/>
          <w:color w:val="auto"/>
          <w:szCs w:val="24"/>
          <w:highlight w:val="none"/>
        </w:rPr>
      </w:pPr>
      <w:r>
        <w:rPr>
          <w:rFonts w:hint="eastAsia" w:ascii="宋体" w:hAnsi="宋体" w:eastAsia="宋体" w:cs="宋体"/>
          <w:color w:val="auto"/>
          <w:szCs w:val="24"/>
          <w:highlight w:val="none"/>
        </w:rPr>
        <w:t xml:space="preserve">    3.5 预备费：</w:t>
      </w:r>
      <w:r>
        <w:rPr>
          <w:rFonts w:hint="eastAsia" w:ascii="宋体" w:hAnsi="宋体" w:eastAsia="宋体" w:cs="宋体"/>
          <w:b/>
          <w:color w:val="auto"/>
          <w:szCs w:val="24"/>
          <w:highlight w:val="none"/>
        </w:rPr>
        <w:t>由发包人掌握使用，不发生时不计入结算总价。</w:t>
      </w:r>
      <w:r>
        <w:rPr>
          <w:rFonts w:hint="eastAsia" w:ascii="宋体" w:hAnsi="宋体" w:eastAsia="宋体" w:cs="宋体"/>
          <w:b/>
          <w:color w:val="auto"/>
          <w:szCs w:val="24"/>
          <w:highlight w:val="none"/>
          <w:lang w:val="en-US" w:eastAsia="zh-CN"/>
        </w:rPr>
        <w:t>适</w:t>
      </w:r>
      <w:r>
        <w:rPr>
          <w:rFonts w:hint="eastAsia" w:ascii="宋体" w:hAnsi="宋体" w:eastAsia="宋体" w:cs="宋体"/>
          <w:b/>
          <w:color w:val="auto"/>
          <w:szCs w:val="24"/>
          <w:highlight w:val="none"/>
        </w:rPr>
        <w:t>用范围用于以下情形：</w:t>
      </w:r>
    </w:p>
    <w:p w14:paraId="733FC190">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（1）由于发包人的要求导致发生设计变更或合同约定调整因素出现时的工程价款调整以及发生的索赔、现场签证等，其工程量按实调整，结算时按实际施工工作量及招标文件、合同约定进行结算，</w:t>
      </w:r>
      <w:r>
        <w:rPr>
          <w:rFonts w:hint="eastAsia" w:ascii="宋体" w:hAnsi="宋体" w:eastAsia="宋体" w:cs="宋体"/>
          <w:b/>
          <w:color w:val="auto"/>
          <w:szCs w:val="24"/>
          <w:highlight w:val="none"/>
        </w:rPr>
        <w:t>不发生时不计入结算总价</w:t>
      </w:r>
      <w:r>
        <w:rPr>
          <w:rFonts w:hint="eastAsia" w:ascii="宋体" w:hAnsi="宋体" w:eastAsia="宋体" w:cs="宋体"/>
          <w:color w:val="auto"/>
          <w:szCs w:val="24"/>
          <w:highlight w:val="none"/>
        </w:rPr>
        <w:t>。</w:t>
      </w:r>
    </w:p>
    <w:p w14:paraId="3305F48A">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（2）国家政策变化导致的调整。</w:t>
      </w:r>
    </w:p>
    <w:p w14:paraId="0A657DE9">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（3）施工期间市场物价涨落，引起工程所在地工程造价管理机构发布的价格信息中材料价格变化，主要建筑材料（具体参照第3.3.4条款）价格浮动超过+5%的。</w:t>
      </w:r>
    </w:p>
    <w:p w14:paraId="5EDD9174">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（4）施工合同签订时尚未确定或者不可预见的所需材料、设备、服务的采购。结算时按实际发生根据本招标文件的工程结算原则第3.3.5款进行结算。</w:t>
      </w:r>
    </w:p>
    <w:p w14:paraId="79E4AB31">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（5）因不可预见的原因施工局部调整或施工技术工艺调整或应急工作需要发生的工程量。</w:t>
      </w:r>
    </w:p>
    <w:p w14:paraId="54AA5787">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（6）土石方工程等相应的投资概算范围之外的及因地质情况引起的基础变更的工程价款调整：其工程量按实调整，结算时按实际施工工作量及招标文件、合同约定进行结算。</w:t>
      </w:r>
    </w:p>
    <w:p w14:paraId="1E2B619D">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3.6 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6D9797A6">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3.7本工程结算不另行计取高温补贴费用、预算编制费、专业分包总包服务及配合费、设计优化及修改增加的费用。</w:t>
      </w:r>
    </w:p>
    <w:p w14:paraId="794ABCFA">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3.8 本工程暂估价（若有）为发包人用于支付必然发生但暂时不能确定价格的材料、工程设备的单价以及专业工程的金额，其结算原则按本章“2～3 工程结算原则”有关条款进行结算，结算时不得超过预算中所列相应的暂估价。</w:t>
      </w:r>
    </w:p>
    <w:p w14:paraId="725C7C43">
      <w:pPr>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3.9 因本项目为设计、施工总承包，如果设计图纸、施工图预算由于设计深度原因导致的设计变更，不另行增加费用。</w:t>
      </w:r>
    </w:p>
    <w:p w14:paraId="0F3A44F3">
      <w:pPr>
        <w:pageBreakBefore w:val="0"/>
        <w:widowControl w:val="0"/>
        <w:kinsoku/>
        <w:overflowPunct/>
        <w:topLinePunct w:val="0"/>
        <w:bidi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3.10 项目工程费用最终结算价以</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财政局投资评审中心的审定意见为准：若最终结算价超过中标价，则按中标价结算；若最终结算价未超过中标价，则按</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财政局投资评审中心审定的结算价进行结算。</w:t>
      </w:r>
    </w:p>
    <w:p w14:paraId="1DC6635E">
      <w:pPr>
        <w:pStyle w:val="29"/>
        <w:keepNext/>
        <w:keepLines/>
        <w:pageBreakBefore w:val="0"/>
        <w:widowControl w:val="0"/>
        <w:kinsoku/>
        <w:overflowPunct/>
        <w:topLinePunct w:val="0"/>
        <w:bidi w:val="0"/>
        <w:spacing w:line="400" w:lineRule="exact"/>
        <w:ind w:firstLine="480"/>
        <w:jc w:val="both"/>
        <w:textAlignment w:val="auto"/>
        <w:rPr>
          <w:rFonts w:hint="eastAsia" w:ascii="宋体" w:hAnsi="宋体" w:eastAsia="宋体" w:cs="宋体"/>
          <w:b/>
          <w:color w:val="auto"/>
          <w:kern w:val="2"/>
          <w:szCs w:val="24"/>
          <w:highlight w:val="none"/>
        </w:rPr>
      </w:pPr>
      <w:bookmarkStart w:id="329" w:name="_Toc31129"/>
      <w:r>
        <w:rPr>
          <w:rFonts w:hint="eastAsia" w:ascii="宋体" w:hAnsi="宋体" w:eastAsia="宋体" w:cs="宋体"/>
          <w:b/>
          <w:color w:val="auto"/>
          <w:kern w:val="2"/>
          <w:szCs w:val="24"/>
          <w:highlight w:val="none"/>
        </w:rPr>
        <w:t>4 工程付款办法</w:t>
      </w:r>
      <w:bookmarkEnd w:id="329"/>
    </w:p>
    <w:p w14:paraId="4CF2D9A7">
      <w:pPr>
        <w:pStyle w:val="27"/>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2"/>
          <w:highlight w:val="none"/>
        </w:rPr>
      </w:pPr>
      <w:r>
        <w:rPr>
          <w:rFonts w:hint="eastAsia" w:ascii="宋体" w:hAnsi="宋体" w:eastAsia="宋体" w:cs="宋体"/>
          <w:b/>
          <w:bCs/>
          <w:color w:val="auto"/>
          <w:szCs w:val="22"/>
          <w:highlight w:val="none"/>
        </w:rPr>
        <w:t>4.1</w:t>
      </w:r>
      <w:r>
        <w:rPr>
          <w:rFonts w:hint="eastAsia" w:ascii="宋体" w:hAnsi="宋体" w:eastAsia="宋体" w:cs="宋体"/>
          <w:b/>
          <w:bCs/>
          <w:color w:val="auto"/>
          <w:szCs w:val="21"/>
          <w:highlight w:val="none"/>
        </w:rPr>
        <w:t>设计费的支付</w:t>
      </w:r>
      <w:r>
        <w:rPr>
          <w:rFonts w:hint="eastAsia" w:ascii="宋体" w:hAnsi="宋体" w:eastAsia="宋体" w:cs="宋体"/>
          <w:color w:val="auto"/>
          <w:szCs w:val="22"/>
          <w:highlight w:val="none"/>
        </w:rPr>
        <w:t>：</w:t>
      </w:r>
    </w:p>
    <w:p w14:paraId="02E6A14A">
      <w:pPr>
        <w:pStyle w:val="27"/>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rPr>
        <w:t>4.1.</w:t>
      </w:r>
      <w:r>
        <w:rPr>
          <w:rFonts w:hint="eastAsia" w:ascii="宋体" w:hAnsi="宋体" w:eastAsia="宋体" w:cs="宋体"/>
          <w:color w:val="auto"/>
          <w:szCs w:val="24"/>
          <w:highlight w:val="none"/>
          <w:lang w:val="en-US" w:eastAsia="zh-CN"/>
        </w:rPr>
        <w:t>1</w:t>
      </w:r>
      <w:r>
        <w:rPr>
          <w:rFonts w:hint="eastAsia" w:hAnsi="宋体" w:cs="宋体"/>
          <w:color w:val="auto"/>
          <w:szCs w:val="24"/>
          <w:highlight w:val="none"/>
          <w:lang w:val="en-US" w:eastAsia="zh-CN"/>
        </w:rPr>
        <w:t>设计</w:t>
      </w:r>
      <w:r>
        <w:rPr>
          <w:rFonts w:hint="eastAsia" w:asciiTheme="minorEastAsia" w:hAnsiTheme="minorEastAsia" w:eastAsiaTheme="minorEastAsia" w:cstheme="minorEastAsia"/>
          <w:color w:val="auto"/>
          <w:highlight w:val="none"/>
          <w:lang w:val="en-US" w:eastAsia="zh-CN"/>
        </w:rPr>
        <w:t>合同签定后</w:t>
      </w:r>
      <w:r>
        <w:rPr>
          <w:rFonts w:hint="eastAsia" w:asciiTheme="minorEastAsia" w:hAnsiTheme="minorEastAsia" w:eastAsiaTheme="minorEastAsia" w:cstheme="minorEastAsia"/>
          <w:color w:val="auto"/>
          <w:highlight w:val="none"/>
        </w:rPr>
        <w:t>相关请款资料经</w:t>
      </w:r>
      <w:r>
        <w:rPr>
          <w:rFonts w:hint="eastAsia" w:asciiTheme="minorEastAsia" w:hAnsiTheme="minorEastAsia" w:eastAsiaTheme="minorEastAsia" w:cstheme="minorEastAsia"/>
          <w:color w:val="auto"/>
          <w:highlight w:val="none"/>
          <w:lang w:eastAsia="zh-CN"/>
        </w:rPr>
        <w:t>始兴县</w:t>
      </w:r>
      <w:r>
        <w:rPr>
          <w:rFonts w:hint="eastAsia" w:asciiTheme="minorEastAsia" w:hAnsiTheme="minorEastAsia" w:eastAsiaTheme="minorEastAsia" w:cstheme="minorEastAsia"/>
          <w:color w:val="auto"/>
          <w:highlight w:val="none"/>
        </w:rPr>
        <w:t>财政局审批后10个工作日内，支付设计费合同价款的30%</w:t>
      </w:r>
      <w:r>
        <w:rPr>
          <w:rFonts w:hint="eastAsia" w:asciiTheme="minorEastAsia" w:hAnsiTheme="minorEastAsia" w:eastAsiaTheme="minorEastAsia" w:cstheme="minorEastAsia"/>
          <w:color w:val="auto"/>
          <w:highlight w:val="none"/>
          <w:lang w:val="en-US" w:eastAsia="zh-CN"/>
        </w:rPr>
        <w:t>；</w:t>
      </w:r>
    </w:p>
    <w:p w14:paraId="76F0408F">
      <w:pPr>
        <w:pStyle w:val="27"/>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hAnsi="宋体" w:cs="宋体"/>
          <w:color w:val="auto"/>
          <w:szCs w:val="24"/>
          <w:highlight w:val="none"/>
          <w:lang w:val="en-US" w:eastAsia="zh-CN"/>
        </w:rPr>
        <w:t>4.1.2</w:t>
      </w:r>
      <w:r>
        <w:rPr>
          <w:rFonts w:hint="eastAsia" w:ascii="宋体" w:hAnsi="宋体" w:eastAsia="宋体" w:cs="宋体"/>
          <w:color w:val="auto"/>
          <w:szCs w:val="24"/>
          <w:highlight w:val="none"/>
        </w:rPr>
        <w:t>本项目工程施工图设计经委托具有资质的第三方审图机构审查合格并提交合格的完整施工图设计成果文件后，</w:t>
      </w:r>
      <w:r>
        <w:rPr>
          <w:rFonts w:hint="eastAsia" w:asciiTheme="minorEastAsia" w:hAnsiTheme="minorEastAsia" w:eastAsiaTheme="minorEastAsia" w:cstheme="minorEastAsia"/>
          <w:color w:val="auto"/>
          <w:highlight w:val="none"/>
        </w:rPr>
        <w:t>相关请款资料经</w:t>
      </w:r>
      <w:r>
        <w:rPr>
          <w:rFonts w:hint="eastAsia" w:asciiTheme="minorEastAsia" w:hAnsiTheme="minorEastAsia" w:eastAsiaTheme="minorEastAsia" w:cstheme="minorEastAsia"/>
          <w:color w:val="auto"/>
          <w:highlight w:val="none"/>
          <w:lang w:eastAsia="zh-CN"/>
        </w:rPr>
        <w:t>始兴县</w:t>
      </w:r>
      <w:r>
        <w:rPr>
          <w:rFonts w:hint="eastAsia" w:asciiTheme="minorEastAsia" w:hAnsiTheme="minorEastAsia" w:eastAsiaTheme="minorEastAsia" w:cstheme="minorEastAsia"/>
          <w:color w:val="auto"/>
          <w:highlight w:val="none"/>
        </w:rPr>
        <w:t>财政局审批后10个工作日内，</w:t>
      </w:r>
      <w:r>
        <w:rPr>
          <w:rFonts w:hint="eastAsia" w:ascii="宋体" w:hAnsi="宋体" w:eastAsia="宋体" w:cs="宋体"/>
          <w:color w:val="auto"/>
          <w:szCs w:val="24"/>
          <w:highlight w:val="none"/>
        </w:rPr>
        <w:t>支付至设计费合同价款的</w:t>
      </w:r>
      <w:r>
        <w:rPr>
          <w:rFonts w:hint="eastAsia" w:hAnsi="宋体" w:cs="宋体"/>
          <w:color w:val="auto"/>
          <w:szCs w:val="24"/>
          <w:highlight w:val="none"/>
          <w:lang w:val="en-US" w:eastAsia="zh-CN"/>
        </w:rPr>
        <w:t>5</w:t>
      </w:r>
      <w:r>
        <w:rPr>
          <w:rFonts w:hint="eastAsia" w:ascii="宋体" w:hAnsi="宋体" w:eastAsia="宋体" w:cs="宋体"/>
          <w:color w:val="auto"/>
          <w:szCs w:val="24"/>
          <w:highlight w:val="none"/>
        </w:rPr>
        <w:t>0%。</w:t>
      </w:r>
    </w:p>
    <w:p w14:paraId="20893271">
      <w:pPr>
        <w:pStyle w:val="27"/>
        <w:pageBreakBefore w:val="0"/>
        <w:widowControl w:val="0"/>
        <w:kinsoku/>
        <w:overflowPunct/>
        <w:topLinePunct w:val="0"/>
        <w:bidi w:val="0"/>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4.1.</w:t>
      </w:r>
      <w:r>
        <w:rPr>
          <w:rFonts w:hint="eastAsia" w:hAnsi="宋体" w:cs="宋体"/>
          <w:color w:val="auto"/>
          <w:szCs w:val="24"/>
          <w:highlight w:val="none"/>
          <w:lang w:val="en-US" w:eastAsia="zh-CN"/>
        </w:rPr>
        <w:t>3</w:t>
      </w:r>
      <w:r>
        <w:rPr>
          <w:rFonts w:hint="eastAsia" w:ascii="宋体" w:hAnsi="宋体" w:eastAsia="宋体" w:cs="宋体"/>
          <w:color w:val="auto"/>
          <w:szCs w:val="24"/>
          <w:highlight w:val="none"/>
        </w:rPr>
        <w:t>工程竣工验收合格后，相关请款资料经</w:t>
      </w:r>
      <w:r>
        <w:rPr>
          <w:rFonts w:hint="eastAsia" w:ascii="宋体" w:hAnsi="宋体" w:eastAsia="宋体" w:cs="宋体"/>
          <w:color w:val="auto"/>
          <w:szCs w:val="24"/>
          <w:highlight w:val="none"/>
          <w:lang w:val="en-US" w:eastAsia="zh-CN"/>
        </w:rPr>
        <w:t>始兴县</w:t>
      </w:r>
      <w:r>
        <w:rPr>
          <w:rFonts w:hint="eastAsia" w:ascii="宋体" w:hAnsi="宋体" w:eastAsia="宋体" w:cs="宋体"/>
          <w:color w:val="auto"/>
          <w:szCs w:val="24"/>
          <w:highlight w:val="none"/>
        </w:rPr>
        <w:t>财政局审批后10个工作日内支付剩余的设计费余额。</w:t>
      </w:r>
    </w:p>
    <w:p w14:paraId="0A509066">
      <w:pPr>
        <w:pStyle w:val="27"/>
        <w:pageBreakBefore w:val="0"/>
        <w:widowControl w:val="0"/>
        <w:kinsoku/>
        <w:overflowPunct/>
        <w:topLinePunct w:val="0"/>
        <w:bidi w:val="0"/>
        <w:spacing w:line="40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 xml:space="preserve">4.2 </w:t>
      </w:r>
      <w:r>
        <w:rPr>
          <w:rFonts w:hint="eastAsia" w:ascii="宋体" w:hAnsi="宋体" w:eastAsia="宋体" w:cs="宋体"/>
          <w:b/>
          <w:bCs/>
          <w:color w:val="auto"/>
          <w:szCs w:val="21"/>
          <w:highlight w:val="none"/>
        </w:rPr>
        <w:t>建安工程款的支付</w:t>
      </w:r>
      <w:r>
        <w:rPr>
          <w:rFonts w:hint="eastAsia" w:ascii="宋体" w:hAnsi="宋体" w:eastAsia="宋体" w:cs="宋体"/>
          <w:color w:val="auto"/>
          <w:szCs w:val="22"/>
          <w:highlight w:val="none"/>
        </w:rPr>
        <w:t>：</w:t>
      </w:r>
    </w:p>
    <w:p w14:paraId="1C8F296B">
      <w:pPr>
        <w:pStyle w:val="27"/>
        <w:pageBreakBefore w:val="0"/>
        <w:widowControl w:val="0"/>
        <w:kinsoku/>
        <w:overflowPunct/>
        <w:topLinePunct w:val="0"/>
        <w:bidi w:val="0"/>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4.2.1 本工程</w:t>
      </w:r>
      <w:r>
        <w:rPr>
          <w:rFonts w:hint="eastAsia" w:ascii="宋体" w:hAnsi="宋体" w:eastAsia="宋体" w:cs="宋体"/>
          <w:color w:val="auto"/>
          <w:highlight w:val="none"/>
          <w:u w:val="single"/>
        </w:rPr>
        <w:t>支付</w:t>
      </w:r>
      <w:r>
        <w:rPr>
          <w:rFonts w:hint="eastAsia" w:ascii="宋体" w:hAnsi="宋体" w:eastAsia="宋体" w:cs="宋体"/>
          <w:color w:val="auto"/>
          <w:highlight w:val="none"/>
        </w:rPr>
        <w:t>施工预付款。</w:t>
      </w:r>
    </w:p>
    <w:p w14:paraId="24418734">
      <w:pPr>
        <w:pStyle w:val="27"/>
        <w:pageBreakBefore w:val="0"/>
        <w:widowControl w:val="0"/>
        <w:kinsoku/>
        <w:overflowPunct/>
        <w:topLinePunct w:val="0"/>
        <w:bidi w:val="0"/>
        <w:spacing w:line="400" w:lineRule="exact"/>
        <w:ind w:firstLine="480"/>
        <w:textAlignment w:val="auto"/>
        <w:rPr>
          <w:rFonts w:hint="eastAsia" w:ascii="宋体" w:hAnsi="宋体" w:eastAsia="宋体" w:cs="宋体"/>
          <w:i/>
          <w:snapToGrid w:val="0"/>
          <w:color w:val="auto"/>
          <w:kern w:val="0"/>
          <w:highlight w:val="none"/>
        </w:rPr>
      </w:pPr>
      <w:r>
        <w:rPr>
          <w:rFonts w:hint="eastAsia" w:ascii="宋体" w:hAnsi="宋体" w:eastAsia="宋体" w:cs="宋体"/>
          <w:color w:val="auto"/>
          <w:highlight w:val="none"/>
        </w:rPr>
        <w:t xml:space="preserve">4.2.2 </w:t>
      </w:r>
      <w:r>
        <w:rPr>
          <w:rFonts w:hint="eastAsia" w:ascii="宋体" w:hAnsi="宋体" w:eastAsia="宋体" w:cs="宋体"/>
          <w:snapToGrid w:val="0"/>
          <w:color w:val="auto"/>
          <w:kern w:val="0"/>
          <w:highlight w:val="none"/>
        </w:rPr>
        <w:t>施工预付款必须专用于合同工程，并按以下原则支付和抵扣：</w:t>
      </w:r>
    </w:p>
    <w:p w14:paraId="3160CAAE">
      <w:pPr>
        <w:pageBreakBefore w:val="0"/>
        <w:widowControl w:val="0"/>
        <w:kinsoku/>
        <w:overflowPunct/>
        <w:topLinePunct w:val="0"/>
        <w:bidi w:val="0"/>
        <w:adjustRightInd w:val="0"/>
        <w:snapToGrid w:val="0"/>
        <w:spacing w:line="4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 施工预付款支付比例为：按施工合同价（预备费除外）的</w:t>
      </w:r>
      <w:r>
        <w:rPr>
          <w:rFonts w:hint="eastAsia" w:ascii="宋体" w:hAnsi="宋体" w:eastAsia="宋体" w:cs="宋体"/>
          <w:snapToGrid w:val="0"/>
          <w:color w:val="auto"/>
          <w:kern w:val="0"/>
          <w:szCs w:val="24"/>
          <w:highlight w:val="none"/>
          <w:u w:val="single"/>
        </w:rPr>
        <w:t xml:space="preserve">30% </w:t>
      </w:r>
      <w:r>
        <w:rPr>
          <w:rFonts w:hint="eastAsia" w:ascii="宋体" w:hAnsi="宋体" w:eastAsia="宋体" w:cs="宋体"/>
          <w:snapToGrid w:val="0"/>
          <w:color w:val="auto"/>
          <w:kern w:val="0"/>
          <w:szCs w:val="24"/>
          <w:highlight w:val="none"/>
        </w:rPr>
        <w:t>支付。</w:t>
      </w:r>
    </w:p>
    <w:p w14:paraId="3B71867B">
      <w:pPr>
        <w:pageBreakBefore w:val="0"/>
        <w:widowControl w:val="0"/>
        <w:kinsoku/>
        <w:overflowPunct/>
        <w:topLinePunct w:val="0"/>
        <w:bidi w:val="0"/>
        <w:adjustRightInd w:val="0"/>
        <w:snapToGrid w:val="0"/>
        <w:spacing w:line="400" w:lineRule="exact"/>
        <w:ind w:firstLine="560"/>
        <w:textAlignment w:val="auto"/>
        <w:rPr>
          <w:rFonts w:hint="eastAsia" w:ascii="宋体" w:hAnsi="宋体" w:eastAsia="宋体" w:cs="宋体"/>
          <w:b/>
          <w:snapToGrid w:val="0"/>
          <w:color w:val="auto"/>
          <w:kern w:val="0"/>
          <w:szCs w:val="24"/>
          <w:highlight w:val="none"/>
        </w:rPr>
      </w:pPr>
      <w:r>
        <w:rPr>
          <w:rFonts w:hint="eastAsia" w:ascii="宋体" w:hAnsi="宋体" w:eastAsia="宋体" w:cs="宋体"/>
          <w:snapToGrid w:val="0"/>
          <w:color w:val="auto"/>
          <w:kern w:val="0"/>
          <w:szCs w:val="24"/>
          <w:highlight w:val="none"/>
        </w:rPr>
        <w:t>（2）本工程要求承包人提供与预付款等额的预付款银行保函（预付款保函可采用银行保函或商业保函或担保公司出具的书函；预付款保函按发包人提供的格式，详见招标文件第八章：预付款保函），</w:t>
      </w:r>
      <w:r>
        <w:rPr>
          <w:rFonts w:hint="eastAsia" w:ascii="宋体" w:hAnsi="宋体" w:eastAsia="宋体" w:cs="宋体"/>
          <w:b/>
          <w:snapToGrid w:val="0"/>
          <w:color w:val="auto"/>
          <w:kern w:val="0"/>
          <w:szCs w:val="24"/>
          <w:highlight w:val="none"/>
        </w:rPr>
        <w:t>且本工程预付款保函期限原则上不少于6个月，承包人的预付款保函有效期应保证在扣回预付款前有效，未扣回预付款但保函过期的，承包人应重新开具预付款保函。</w:t>
      </w:r>
    </w:p>
    <w:p w14:paraId="4EB7A5BC">
      <w:pPr>
        <w:pStyle w:val="27"/>
        <w:pageBreakBefore w:val="0"/>
        <w:widowControl w:val="0"/>
        <w:kinsoku/>
        <w:overflowPunct/>
        <w:topLinePunct w:val="0"/>
        <w:bidi w:val="0"/>
        <w:spacing w:line="4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4"/>
          <w:highlight w:val="none"/>
        </w:rPr>
        <w:t>（3）承包人应在签订施工合同后，在提供等额的预付款保函及具备施工条件的前提下（如承包人主要人员及主要机械进场到位），向发包人提交预付款支付申请。</w:t>
      </w:r>
    </w:p>
    <w:p w14:paraId="4D106C82">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发包人在收到支付申请的7天内进行核实后，按程序向财政部门申请一次性支付预付款（工人工资预付款单独支付至工人工资专用账户）。</w:t>
      </w:r>
      <w:r>
        <w:rPr>
          <w:rFonts w:hint="eastAsia" w:ascii="宋体" w:hAnsi="宋体" w:eastAsia="宋体" w:cs="宋体"/>
          <w:b/>
          <w:snapToGrid w:val="0"/>
          <w:color w:val="auto"/>
          <w:kern w:val="0"/>
          <w:highlight w:val="none"/>
        </w:rPr>
        <w:t>凡未签订合同、未提供预付款保函或不具备施工条件的工程，发包人不预付工程款。</w:t>
      </w:r>
    </w:p>
    <w:p w14:paraId="22B870D1">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（4）预付款应从每支付期应支付给承包人的工程进度款中扣回，扣回比例为每支付期的工程进度款的</w:t>
      </w:r>
      <w:r>
        <w:rPr>
          <w:rFonts w:hint="eastAsia" w:hAnsi="宋体" w:cs="宋体"/>
          <w:bCs/>
          <w:snapToGrid w:val="0"/>
          <w:color w:val="auto"/>
          <w:kern w:val="0"/>
          <w:highlight w:val="none"/>
          <w:lang w:val="en-US" w:eastAsia="zh-CN"/>
        </w:rPr>
        <w:t>4</w:t>
      </w:r>
      <w:r>
        <w:rPr>
          <w:rFonts w:hint="eastAsia" w:ascii="宋体" w:hAnsi="宋体" w:eastAsia="宋体" w:cs="宋体"/>
          <w:bCs/>
          <w:snapToGrid w:val="0"/>
          <w:color w:val="auto"/>
          <w:kern w:val="0"/>
          <w:highlight w:val="none"/>
        </w:rPr>
        <w:t>0%，直到扣回的金额达到合同约定的预付款金额为止。</w:t>
      </w:r>
    </w:p>
    <w:p w14:paraId="74D2096C">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color w:val="auto"/>
          <w:highlight w:val="none"/>
        </w:rPr>
        <w:t xml:space="preserve"> 4.2.3工程进度款支付条件：承包人必须提供的施工图预算报</w:t>
      </w:r>
      <w:r>
        <w:rPr>
          <w:rFonts w:hint="eastAsia" w:ascii="宋体" w:hAnsi="宋体" w:eastAsia="宋体" w:cs="宋体"/>
          <w:color w:val="auto"/>
          <w:highlight w:val="none"/>
          <w:lang w:eastAsia="zh-CN"/>
        </w:rPr>
        <w:t>发包人</w:t>
      </w:r>
      <w:r>
        <w:rPr>
          <w:rFonts w:hint="eastAsia" w:ascii="宋体" w:hAnsi="宋体" w:eastAsia="宋体" w:cs="宋体"/>
          <w:color w:val="auto"/>
          <w:highlight w:val="none"/>
        </w:rPr>
        <w:t>方可支付工程进度款。</w:t>
      </w:r>
    </w:p>
    <w:p w14:paraId="37983A3A">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strike/>
          <w:color w:val="auto"/>
          <w:highlight w:val="none"/>
        </w:rPr>
      </w:pPr>
      <w:r>
        <w:rPr>
          <w:rFonts w:hint="eastAsia" w:ascii="宋体" w:hAnsi="宋体" w:eastAsia="宋体" w:cs="宋体"/>
          <w:color w:val="auto"/>
          <w:szCs w:val="24"/>
          <w:highlight w:val="none"/>
        </w:rPr>
        <w:t xml:space="preserve"> 4.2.4</w:t>
      </w:r>
      <w:r>
        <w:rPr>
          <w:rFonts w:hint="eastAsia" w:ascii="宋体" w:hAnsi="宋体" w:eastAsia="宋体" w:cs="宋体"/>
          <w:color w:val="auto"/>
          <w:highlight w:val="none"/>
        </w:rPr>
        <w:t xml:space="preserve"> 施工过程中按月支付工程进度款：承包人每月按</w:t>
      </w:r>
      <w:r>
        <w:rPr>
          <w:rFonts w:hint="eastAsia" w:ascii="宋体" w:hAnsi="宋体" w:eastAsia="宋体" w:cs="宋体"/>
          <w:color w:val="auto"/>
          <w:szCs w:val="22"/>
          <w:highlight w:val="none"/>
        </w:rPr>
        <w:t>工程形象进度申</w:t>
      </w:r>
      <w:r>
        <w:rPr>
          <w:rFonts w:hint="eastAsia" w:ascii="宋体" w:hAnsi="宋体" w:eastAsia="宋体" w:cs="宋体"/>
          <w:color w:val="auto"/>
          <w:highlight w:val="none"/>
        </w:rPr>
        <w:t>报，截止日为当月26日，形象进度和</w:t>
      </w:r>
      <w:r>
        <w:rPr>
          <w:rFonts w:hint="eastAsia" w:ascii="宋体" w:hAnsi="宋体" w:eastAsia="宋体" w:cs="宋体"/>
          <w:snapToGrid w:val="0"/>
          <w:color w:val="auto"/>
          <w:kern w:val="0"/>
          <w:highlight w:val="none"/>
        </w:rPr>
        <w:t>《工程付款申请书》</w:t>
      </w:r>
      <w:r>
        <w:rPr>
          <w:rFonts w:hint="eastAsia" w:ascii="宋体" w:hAnsi="宋体" w:eastAsia="宋体" w:cs="宋体"/>
          <w:color w:val="auto"/>
          <w:highlight w:val="none"/>
        </w:rPr>
        <w:t>由监理单位核实确认，经</w:t>
      </w:r>
      <w:r>
        <w:rPr>
          <w:rFonts w:hint="eastAsia" w:ascii="宋体" w:hAnsi="宋体" w:eastAsia="宋体" w:cs="宋体"/>
          <w:snapToGrid w:val="0"/>
          <w:color w:val="auto"/>
          <w:kern w:val="0"/>
          <w:highlight w:val="none"/>
        </w:rPr>
        <w:t>造价咨询单位（如有造价单位）审核，</w:t>
      </w:r>
      <w:r>
        <w:rPr>
          <w:rFonts w:hint="eastAsia" w:ascii="宋体" w:hAnsi="宋体" w:eastAsia="宋体" w:cs="宋体"/>
          <w:color w:val="auto"/>
          <w:highlight w:val="none"/>
        </w:rPr>
        <w:t>再经发包人审核确认后于申报工程进度款的次月支付。</w:t>
      </w:r>
    </w:p>
    <w:p w14:paraId="719391A2">
      <w:pPr>
        <w:pageBreakBefore w:val="0"/>
        <w:widowControl w:val="0"/>
        <w:kinsoku/>
        <w:overflowPunct/>
        <w:topLinePunct w:val="0"/>
        <w:bidi w:val="0"/>
        <w:spacing w:line="400" w:lineRule="exact"/>
        <w:textAlignment w:val="auto"/>
        <w:rPr>
          <w:rFonts w:hint="eastAsia" w:ascii="宋体" w:hAnsi="宋体" w:eastAsia="宋体" w:cs="宋体"/>
          <w:snapToGrid w:val="0"/>
          <w:color w:val="auto"/>
          <w:kern w:val="0"/>
          <w:highlight w:val="none"/>
        </w:rPr>
      </w:pPr>
      <w:r>
        <w:rPr>
          <w:rFonts w:hint="eastAsia" w:ascii="宋体" w:hAnsi="宋体" w:eastAsia="宋体" w:cs="宋体"/>
          <w:color w:val="auto"/>
          <w:szCs w:val="24"/>
          <w:highlight w:val="none"/>
        </w:rPr>
        <w:t xml:space="preserve">     4.2.5</w:t>
      </w:r>
      <w:r>
        <w:rPr>
          <w:rFonts w:hint="eastAsia" w:ascii="宋体" w:hAnsi="宋体" w:eastAsia="宋体" w:cs="宋体"/>
          <w:snapToGrid w:val="0"/>
          <w:color w:val="auto"/>
          <w:kern w:val="0"/>
          <w:highlight w:val="none"/>
        </w:rPr>
        <w:t>每月的工程进度款按应付金额的</w:t>
      </w:r>
      <w:r>
        <w:rPr>
          <w:rFonts w:hint="eastAsia" w:ascii="宋体" w:hAnsi="宋体" w:eastAsia="宋体" w:cs="宋体"/>
          <w:snapToGrid w:val="0"/>
          <w:color w:val="auto"/>
          <w:kern w:val="0"/>
          <w:highlight w:val="none"/>
          <w:u w:val="single"/>
        </w:rPr>
        <w:t xml:space="preserve"> 80 ％</w:t>
      </w:r>
      <w:r>
        <w:rPr>
          <w:rFonts w:hint="eastAsia" w:ascii="宋体" w:hAnsi="宋体" w:eastAsia="宋体" w:cs="宋体"/>
          <w:snapToGrid w:val="0"/>
          <w:color w:val="auto"/>
          <w:kern w:val="0"/>
          <w:highlight w:val="none"/>
        </w:rPr>
        <w:t xml:space="preserve">支付，工程进度款中的作业工人工资款项暂为该月工程进度款的 </w:t>
      </w:r>
      <w:r>
        <w:rPr>
          <w:rFonts w:hint="eastAsia" w:ascii="宋体" w:hAnsi="宋体" w:eastAsia="宋体" w:cs="宋体"/>
          <w:snapToGrid w:val="0"/>
          <w:color w:val="auto"/>
          <w:kern w:val="0"/>
          <w:highlight w:val="none"/>
          <w:u w:val="single"/>
        </w:rPr>
        <w:t>30 ％</w:t>
      </w:r>
      <w:r>
        <w:rPr>
          <w:rFonts w:hint="eastAsia" w:ascii="宋体" w:hAnsi="宋体" w:eastAsia="宋体" w:cs="宋体"/>
          <w:snapToGrid w:val="0"/>
          <w:color w:val="auto"/>
          <w:kern w:val="0"/>
          <w:highlight w:val="none"/>
        </w:rPr>
        <w:t>，具体工人工资拨付金额以该月实际审核确认的为准，由发包人将该月审核确认后的作业工人工资款项单独足额拨付到承包人的工资专户。</w:t>
      </w:r>
    </w:p>
    <w:p w14:paraId="120CAFBB">
      <w:pPr>
        <w:pStyle w:val="27"/>
        <w:pageBreakBefore w:val="0"/>
        <w:widowControl w:val="0"/>
        <w:kinsoku/>
        <w:overflowPunct/>
        <w:topLinePunct w:val="0"/>
        <w:bidi w:val="0"/>
        <w:spacing w:line="400" w:lineRule="exact"/>
        <w:ind w:firstLine="480" w:firstLineChars="200"/>
        <w:textAlignment w:val="auto"/>
        <w:rPr>
          <w:rFonts w:hint="eastAsia" w:ascii="宋体" w:hAnsi="宋体" w:eastAsia="宋体" w:cs="宋体"/>
          <w:strike/>
          <w:color w:val="auto"/>
          <w:highlight w:val="none"/>
        </w:rPr>
      </w:pPr>
      <w:r>
        <w:rPr>
          <w:rFonts w:hint="eastAsia" w:ascii="宋体" w:hAnsi="宋体" w:eastAsia="宋体" w:cs="宋体"/>
          <w:color w:val="auto"/>
          <w:highlight w:val="none"/>
        </w:rPr>
        <w:t>4.3</w:t>
      </w:r>
      <w:r>
        <w:rPr>
          <w:rFonts w:hint="eastAsia" w:ascii="宋体" w:hAnsi="宋体" w:eastAsia="宋体" w:cs="宋体"/>
          <w:snapToGrid w:val="0"/>
          <w:color w:val="auto"/>
          <w:kern w:val="0"/>
          <w:szCs w:val="24"/>
          <w:highlight w:val="none"/>
        </w:rPr>
        <w:t>措施项目费中的“绿色施工安全防护措施费”拨付按照《广东省建设工程计价依据（2018）》执行，按照</w:t>
      </w:r>
      <w:r>
        <w:rPr>
          <w:rFonts w:hint="eastAsia" w:ascii="宋体" w:hAnsi="宋体" w:eastAsia="宋体" w:cs="宋体"/>
          <w:color w:val="auto"/>
          <w:szCs w:val="24"/>
          <w:highlight w:val="none"/>
        </w:rPr>
        <w:t>韶关市住房和城乡建设管理局《关于明确建筑工程安全防护、文明施工措施费用具体管理办法的通知》韶市建字〔2015〕26号文的</w:t>
      </w:r>
      <w:r>
        <w:rPr>
          <w:rFonts w:hint="eastAsia" w:ascii="宋体" w:hAnsi="宋体" w:eastAsia="宋体" w:cs="宋体"/>
          <w:snapToGrid w:val="0"/>
          <w:color w:val="auto"/>
          <w:kern w:val="0"/>
          <w:szCs w:val="24"/>
          <w:highlight w:val="none"/>
        </w:rPr>
        <w:t>有关规定支付。发生一般事故及以上等级重大安全事故的，发包人可扣除承包人金额相当于所有“绿色施工安全防护措施费”的工程管理费。</w:t>
      </w:r>
    </w:p>
    <w:p w14:paraId="3839BFA6">
      <w:pPr>
        <w:pageBreakBefore w:val="0"/>
        <w:widowControl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strike/>
          <w:color w:val="auto"/>
          <w:highlight w:val="none"/>
        </w:rPr>
      </w:pPr>
      <w:r>
        <w:rPr>
          <w:rFonts w:hint="eastAsia" w:ascii="宋体" w:hAnsi="宋体" w:eastAsia="宋体" w:cs="宋体"/>
          <w:color w:val="auto"/>
          <w:szCs w:val="24"/>
          <w:highlight w:val="none"/>
        </w:rPr>
        <w:t>4.4</w:t>
      </w:r>
      <w:r>
        <w:rPr>
          <w:rFonts w:hint="eastAsia" w:ascii="宋体" w:hAnsi="宋体" w:eastAsia="宋体" w:cs="宋体"/>
          <w:snapToGrid w:val="0"/>
          <w:color w:val="auto"/>
          <w:kern w:val="0"/>
          <w:szCs w:val="24"/>
          <w:highlight w:val="none"/>
        </w:rPr>
        <w:t>变更工程造价必须经监理单位核实及造价咨询单位（如有造价单位）审核，并经发包人核定后方可支付。</w:t>
      </w:r>
    </w:p>
    <w:p w14:paraId="0C170F49">
      <w:pPr>
        <w:pStyle w:val="27"/>
        <w:pageBreakBefore w:val="0"/>
        <w:widowControl w:val="0"/>
        <w:kinsoku/>
        <w:overflowPunct/>
        <w:topLinePunct w:val="0"/>
        <w:bidi w:val="0"/>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4.5 结算审核完成后，于次月支付至审定总造价的97%。</w:t>
      </w:r>
    </w:p>
    <w:p w14:paraId="4384FD2F">
      <w:pPr>
        <w:pStyle w:val="27"/>
        <w:pageBreakBefore w:val="0"/>
        <w:widowControl w:val="0"/>
        <w:kinsoku/>
        <w:overflowPunct/>
        <w:topLinePunct w:val="0"/>
        <w:bidi w:val="0"/>
        <w:spacing w:line="400" w:lineRule="exact"/>
        <w:textAlignment w:val="auto"/>
        <w:rPr>
          <w:rFonts w:hint="eastAsia" w:ascii="宋体" w:hAnsi="宋体" w:eastAsia="宋体" w:cs="宋体"/>
          <w:strike/>
          <w:color w:val="auto"/>
          <w:highlight w:val="none"/>
        </w:rPr>
      </w:pPr>
      <w:r>
        <w:rPr>
          <w:rFonts w:hint="eastAsia" w:ascii="宋体" w:hAnsi="宋体" w:eastAsia="宋体" w:cs="宋体"/>
          <w:color w:val="auto"/>
          <w:highlight w:val="none"/>
        </w:rPr>
        <w:t xml:space="preserve">    4.6 剩余3%为工程质量保证金，从工程竣工验收合格之日起满</w:t>
      </w:r>
      <w:r>
        <w:rPr>
          <w:rFonts w:hint="eastAsia" w:ascii="宋体" w:hAnsi="宋体" w:eastAsia="宋体" w:cs="宋体"/>
          <w:color w:val="auto"/>
          <w:highlight w:val="none"/>
          <w:u w:val="single"/>
          <w:lang w:val="en-US" w:eastAsia="zh-CN"/>
        </w:rPr>
        <w:t>1</w:t>
      </w:r>
      <w:r>
        <w:rPr>
          <w:rFonts w:hint="eastAsia" w:ascii="宋体" w:hAnsi="宋体" w:eastAsia="宋体" w:cs="宋体"/>
          <w:color w:val="auto"/>
          <w:highlight w:val="none"/>
        </w:rPr>
        <w:t>年，</w:t>
      </w:r>
      <w:r>
        <w:rPr>
          <w:rFonts w:hint="eastAsia" w:ascii="宋体" w:hAnsi="宋体" w:eastAsia="宋体" w:cs="宋体"/>
          <w:snapToGrid w:val="0"/>
          <w:color w:val="auto"/>
          <w:kern w:val="0"/>
          <w:highlight w:val="none"/>
        </w:rPr>
        <w:t>若未发现质量问题，</w:t>
      </w:r>
      <w:r>
        <w:rPr>
          <w:rFonts w:hint="eastAsia" w:ascii="宋体" w:hAnsi="宋体" w:eastAsia="宋体" w:cs="宋体"/>
          <w:bCs/>
          <w:snapToGrid w:val="0"/>
          <w:color w:val="auto"/>
          <w:kern w:val="0"/>
          <w:highlight w:val="none"/>
        </w:rPr>
        <w:t>承包人向发包人申请退还质量保证（或保证金），发包人按照《建设工程质量保证金管理办法》及合同的有关规定和约定将质量保证（或保证金）</w:t>
      </w:r>
      <w:r>
        <w:rPr>
          <w:rFonts w:hint="eastAsia" w:ascii="宋体" w:hAnsi="宋体" w:eastAsia="宋体" w:cs="宋体"/>
          <w:bCs/>
          <w:color w:val="auto"/>
          <w:kern w:val="0"/>
          <w:highlight w:val="none"/>
        </w:rPr>
        <w:t>于次月</w:t>
      </w:r>
      <w:r>
        <w:rPr>
          <w:rFonts w:hint="eastAsia" w:ascii="宋体" w:hAnsi="宋体" w:eastAsia="宋体" w:cs="宋体"/>
          <w:bCs/>
          <w:snapToGrid w:val="0"/>
          <w:color w:val="auto"/>
          <w:kern w:val="0"/>
          <w:highlight w:val="none"/>
        </w:rPr>
        <w:t>退还给承包人</w:t>
      </w:r>
      <w:r>
        <w:rPr>
          <w:rFonts w:hint="eastAsia" w:ascii="宋体" w:hAnsi="宋体" w:eastAsia="宋体" w:cs="宋体"/>
          <w:bCs/>
          <w:color w:val="auto"/>
          <w:kern w:val="0"/>
          <w:highlight w:val="none"/>
        </w:rPr>
        <w:t>（不计息）。</w:t>
      </w:r>
    </w:p>
    <w:p w14:paraId="3C4BBEE4">
      <w:pPr>
        <w:pageBreakBefore w:val="0"/>
        <w:widowControl w:val="0"/>
        <w:kinsoku/>
        <w:wordWrap w:val="0"/>
        <w:overflowPunct/>
        <w:topLinePunct w:val="0"/>
        <w:bidi w:val="0"/>
        <w:adjustRightInd w:val="0"/>
        <w:snapToGrid w:val="0"/>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 xml:space="preserve"> 4.7承包人提供的工程款发票必须按照发包人要求提供相应增值税发票给发包人，发包人收到符合要求的发票后方可支付工程款。</w:t>
      </w:r>
      <w:r>
        <w:rPr>
          <w:rFonts w:hint="eastAsia" w:ascii="宋体" w:hAnsi="宋体" w:eastAsia="宋体" w:cs="宋体"/>
          <w:snapToGrid w:val="0"/>
          <w:color w:val="auto"/>
          <w:kern w:val="0"/>
          <w:szCs w:val="24"/>
          <w:highlight w:val="none"/>
        </w:rPr>
        <w:t>如果承包人无法提供符合要求的发票，由此造成的相应损失由承包人承担。</w:t>
      </w:r>
    </w:p>
    <w:p w14:paraId="35F0FDF6">
      <w:pPr>
        <w:pStyle w:val="27"/>
        <w:pageBreakBefore w:val="0"/>
        <w:widowControl w:val="0"/>
        <w:kinsoku/>
        <w:overflowPunct/>
        <w:topLinePunct w:val="0"/>
        <w:bidi w:val="0"/>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4.8本项目为政府全额投资，所有支付手续经发包人审批后，还须报政府财政部门审批完毕方可支付，如经发包人审批后已及时履行了向财政部门申报审批手续，则发包人不支付延期付</w:t>
      </w:r>
      <w:r>
        <w:rPr>
          <w:rFonts w:hint="eastAsia" w:ascii="宋体" w:hAnsi="宋体" w:eastAsia="宋体" w:cs="宋体"/>
          <w:color w:val="auto"/>
          <w:szCs w:val="22"/>
          <w:highlight w:val="none"/>
        </w:rPr>
        <w:t>款的利息，承包人也不得因政府财政部门履行审批程序所造成的延期付款而暂停施工和相关服务。</w:t>
      </w:r>
    </w:p>
    <w:p w14:paraId="5C7DA890">
      <w:pPr>
        <w:pageBreakBefore w:val="0"/>
        <w:widowControl w:val="0"/>
        <w:kinsoku/>
        <w:wordWrap w:val="0"/>
        <w:overflowPunct/>
        <w:topLinePunct w:val="0"/>
        <w:bidi w:val="0"/>
        <w:adjustRightInd w:val="0"/>
        <w:snapToGrid w:val="0"/>
        <w:spacing w:line="400" w:lineRule="exact"/>
        <w:ind w:firstLine="482" w:firstLineChars="200"/>
        <w:textAlignment w:val="auto"/>
        <w:rPr>
          <w:rFonts w:hint="eastAsia" w:ascii="宋体" w:hAnsi="宋体" w:eastAsia="宋体" w:cs="宋体"/>
          <w:color w:val="auto"/>
          <w:szCs w:val="24"/>
          <w:highlight w:val="none"/>
          <w:u w:val="single"/>
        </w:rPr>
      </w:pPr>
      <w:r>
        <w:rPr>
          <w:rFonts w:hint="eastAsia" w:ascii="宋体" w:hAnsi="宋体" w:eastAsia="宋体" w:cs="宋体"/>
          <w:b/>
          <w:bCs/>
          <w:color w:val="auto"/>
          <w:szCs w:val="24"/>
          <w:highlight w:val="none"/>
        </w:rPr>
        <w:t>4.9</w:t>
      </w:r>
      <w:r>
        <w:rPr>
          <w:rFonts w:hint="eastAsia" w:ascii="宋体" w:hAnsi="宋体" w:eastAsia="宋体" w:cs="宋体"/>
          <w:color w:val="auto"/>
          <w:highlight w:val="none"/>
        </w:rPr>
        <w:t>预备费支付方式：与每个月的工程进度款一并报送（若发生符合使用范围的情形需使用预备费时），在预备费的范围内由监理单位进行签认，造价咨询单位审核，发包人确认，进度款中需要列明涉及预备费的部分。在预备费的范围内由监理单位进行签证，造价咨询单位审核后，经发包人确认后按该进度款项的50％支付，其余部分待结算完成审核后支付。预备费如有余额归发包人，不发生时不计入结算总价。</w:t>
      </w:r>
    </w:p>
    <w:p w14:paraId="509D89FF">
      <w:pPr>
        <w:pageBreakBefore w:val="0"/>
        <w:widowControl w:val="0"/>
        <w:kinsoku/>
        <w:wordWrap w:val="0"/>
        <w:overflowPunct/>
        <w:topLinePunct w:val="0"/>
        <w:bidi w:val="0"/>
        <w:adjustRightInd w:val="0"/>
        <w:snapToGrid w:val="0"/>
        <w:spacing w:line="400" w:lineRule="exact"/>
        <w:ind w:firstLine="482" w:firstLineChars="200"/>
        <w:textAlignment w:val="auto"/>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b/>
          <w:color w:val="auto"/>
          <w:szCs w:val="24"/>
          <w:highlight w:val="none"/>
        </w:rPr>
        <w:t>4.10</w:t>
      </w:r>
      <w:r>
        <w:rPr>
          <w:rFonts w:hint="eastAsia" w:ascii="宋体" w:hAnsi="宋体" w:eastAsia="宋体" w:cs="宋体"/>
          <w:color w:val="auto"/>
          <w:szCs w:val="24"/>
          <w:highlight w:val="none"/>
        </w:rPr>
        <w:t>本工程按政府有关要求或资金安排情况、合同有关约定，经双方协商可调整建安费支付办法。</w:t>
      </w:r>
    </w:p>
    <w:p w14:paraId="75CFFB5F">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000EADED">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54C20EEA">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2254B89E">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02D1BBE1">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3A0B9272">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3FBD059E">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1D1763B3">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2B4C5E22">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bookmarkStart w:id="330" w:name="_Toc23993"/>
      <w:bookmarkStart w:id="331" w:name="_Toc10409"/>
      <w:bookmarkStart w:id="332" w:name="_Toc25202"/>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eastAsia="zh-CN"/>
        </w:rPr>
        <w:t>三</w:t>
      </w:r>
      <w:r>
        <w:rPr>
          <w:rFonts w:hint="eastAsia" w:asciiTheme="minorEastAsia" w:hAnsiTheme="minorEastAsia" w:eastAsiaTheme="minorEastAsia" w:cstheme="minorEastAsia"/>
          <w:b/>
          <w:color w:val="auto"/>
          <w:kern w:val="44"/>
          <w:sz w:val="36"/>
          <w:szCs w:val="36"/>
          <w:highlight w:val="none"/>
        </w:rPr>
        <w:t>章 中标人须知</w:t>
      </w:r>
      <w:bookmarkEnd w:id="330"/>
      <w:bookmarkEnd w:id="331"/>
      <w:bookmarkEnd w:id="332"/>
    </w:p>
    <w:p w14:paraId="059B7828">
      <w:pPr>
        <w:wordWrap w:val="0"/>
        <w:adjustRightInd w:val="0"/>
        <w:snapToGrid w:val="0"/>
        <w:spacing w:line="440" w:lineRule="exact"/>
        <w:ind w:firstLine="562"/>
        <w:rPr>
          <w:rFonts w:hint="eastAsia" w:ascii="宋体" w:hAnsi="宋体" w:eastAsia="宋体" w:cs="宋体"/>
          <w:b/>
          <w:snapToGrid w:val="0"/>
          <w:color w:val="auto"/>
          <w:kern w:val="0"/>
          <w:sz w:val="24"/>
          <w:szCs w:val="24"/>
          <w:highlight w:val="none"/>
        </w:rPr>
      </w:pPr>
    </w:p>
    <w:p w14:paraId="7AF1500D">
      <w:pPr>
        <w:pageBreakBefore w:val="0"/>
        <w:kinsoku/>
        <w:wordWrap w:val="0"/>
        <w:overflowPunct/>
        <w:topLinePunct w:val="0"/>
        <w:autoSpaceDE/>
        <w:autoSpaceDN/>
        <w:bidi w:val="0"/>
        <w:adjustRightInd w:val="0"/>
        <w:snapToGrid w:val="0"/>
        <w:spacing w:line="400" w:lineRule="exact"/>
        <w:ind w:firstLine="562"/>
        <w:textAlignment w:val="auto"/>
        <w:outlineLvl w:val="2"/>
        <w:rPr>
          <w:rFonts w:hint="eastAsia" w:ascii="宋体" w:hAnsi="宋体" w:eastAsia="宋体" w:cs="宋体"/>
          <w:snapToGrid w:val="0"/>
          <w:color w:val="auto"/>
          <w:kern w:val="0"/>
          <w:sz w:val="24"/>
          <w:szCs w:val="24"/>
          <w:highlight w:val="none"/>
        </w:rPr>
      </w:pPr>
      <w:bookmarkStart w:id="333" w:name="_Toc12426"/>
      <w:r>
        <w:rPr>
          <w:rFonts w:hint="eastAsia" w:ascii="宋体" w:hAnsi="宋体" w:eastAsia="宋体" w:cs="宋体"/>
          <w:b/>
          <w:snapToGrid w:val="0"/>
          <w:color w:val="auto"/>
          <w:kern w:val="0"/>
          <w:sz w:val="24"/>
          <w:szCs w:val="24"/>
          <w:highlight w:val="none"/>
        </w:rPr>
        <w:t>1．中标通知书</w:t>
      </w:r>
      <w:bookmarkEnd w:id="333"/>
    </w:p>
    <w:p w14:paraId="6256007F">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19DE2FF8">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auto"/>
          <w:kern w:val="0"/>
          <w:sz w:val="24"/>
          <w:szCs w:val="24"/>
          <w:highlight w:val="none"/>
        </w:rPr>
      </w:pPr>
    </w:p>
    <w:p w14:paraId="646F2772">
      <w:pPr>
        <w:pageBreakBefore w:val="0"/>
        <w:kinsoku/>
        <w:wordWrap w:val="0"/>
        <w:overflowPunct/>
        <w:topLinePunct w:val="0"/>
        <w:autoSpaceDE/>
        <w:autoSpaceDN/>
        <w:bidi w:val="0"/>
        <w:adjustRightInd w:val="0"/>
        <w:snapToGrid w:val="0"/>
        <w:spacing w:line="400" w:lineRule="exact"/>
        <w:ind w:firstLine="562"/>
        <w:textAlignment w:val="auto"/>
        <w:outlineLvl w:val="2"/>
        <w:rPr>
          <w:rFonts w:hint="eastAsia" w:ascii="宋体" w:hAnsi="宋体" w:eastAsia="宋体" w:cs="宋体"/>
          <w:snapToGrid w:val="0"/>
          <w:color w:val="auto"/>
          <w:kern w:val="0"/>
          <w:sz w:val="24"/>
          <w:szCs w:val="24"/>
          <w:highlight w:val="none"/>
        </w:rPr>
      </w:pPr>
      <w:bookmarkStart w:id="334" w:name="_Toc15432"/>
      <w:r>
        <w:rPr>
          <w:rFonts w:hint="eastAsia" w:ascii="宋体" w:hAnsi="宋体" w:eastAsia="宋体" w:cs="宋体"/>
          <w:b/>
          <w:bCs/>
          <w:snapToGrid w:val="0"/>
          <w:color w:val="auto"/>
          <w:kern w:val="0"/>
          <w:sz w:val="24"/>
          <w:szCs w:val="24"/>
          <w:highlight w:val="none"/>
        </w:rPr>
        <w:t>2．中标结果公示</w:t>
      </w:r>
      <w:bookmarkEnd w:id="334"/>
    </w:p>
    <w:p w14:paraId="62B6A07C">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中标通知书发出后15日内，招标人应将中标结果在广东省招标投标监管网（</w:t>
      </w:r>
      <w:r>
        <w:rPr>
          <w:rFonts w:hint="eastAsia" w:ascii="宋体" w:hAnsi="宋体" w:eastAsia="宋体" w:cs="宋体"/>
          <w:color w:val="auto"/>
          <w:sz w:val="24"/>
          <w:szCs w:val="24"/>
          <w:highlight w:val="none"/>
          <w:lang w:eastAsia="zh-CN"/>
        </w:rPr>
        <w:t>http://zbtb.gd.gov.cn</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w:t>
      </w:r>
    </w:p>
    <w:p w14:paraId="2267033C">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auto"/>
          <w:kern w:val="0"/>
          <w:sz w:val="24"/>
          <w:szCs w:val="24"/>
          <w:highlight w:val="none"/>
        </w:rPr>
      </w:pPr>
    </w:p>
    <w:p w14:paraId="61199266">
      <w:pPr>
        <w:pageBreakBefore w:val="0"/>
        <w:kinsoku/>
        <w:wordWrap w:val="0"/>
        <w:overflowPunct/>
        <w:topLinePunct w:val="0"/>
        <w:autoSpaceDE/>
        <w:autoSpaceDN/>
        <w:bidi w:val="0"/>
        <w:adjustRightInd w:val="0"/>
        <w:snapToGrid w:val="0"/>
        <w:spacing w:line="400" w:lineRule="exact"/>
        <w:ind w:firstLine="562"/>
        <w:textAlignment w:val="auto"/>
        <w:outlineLvl w:val="2"/>
        <w:rPr>
          <w:rFonts w:hint="eastAsia" w:ascii="宋体" w:hAnsi="宋体" w:eastAsia="宋体" w:cs="宋体"/>
          <w:snapToGrid w:val="0"/>
          <w:color w:val="auto"/>
          <w:kern w:val="0"/>
          <w:sz w:val="24"/>
          <w:szCs w:val="24"/>
          <w:highlight w:val="none"/>
        </w:rPr>
      </w:pPr>
      <w:bookmarkStart w:id="335" w:name="_Toc18221"/>
      <w:r>
        <w:rPr>
          <w:rFonts w:hint="eastAsia" w:ascii="宋体" w:hAnsi="宋体" w:eastAsia="宋体" w:cs="宋体"/>
          <w:b/>
          <w:bCs/>
          <w:snapToGrid w:val="0"/>
          <w:color w:val="auto"/>
          <w:kern w:val="0"/>
          <w:sz w:val="24"/>
          <w:szCs w:val="24"/>
          <w:highlight w:val="none"/>
        </w:rPr>
        <w:t>3．履约保证</w:t>
      </w:r>
      <w:bookmarkEnd w:id="335"/>
    </w:p>
    <w:p w14:paraId="4A47B3E2">
      <w:pPr>
        <w:pageBreakBefore w:val="0"/>
        <w:kinsoku/>
        <w:wordWrap w:val="0"/>
        <w:overflowPunct/>
        <w:topLinePunct w:val="0"/>
        <w:autoSpaceDE/>
        <w:autoSpaceDN/>
        <w:bidi w:val="0"/>
        <w:adjustRightInd w:val="0"/>
        <w:snapToGrid w:val="0"/>
        <w:spacing w:line="400" w:lineRule="exact"/>
        <w:ind w:left="0" w:leftChars="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中标人须在领取中标通知书之日起</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个工作日内、签订合同前向招标人提交金额为中标价</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rPr>
        <w:t>% 的履约保证。联合体投标的，由联合体牵头人缴纳。</w:t>
      </w:r>
    </w:p>
    <w:p w14:paraId="0C0C2EEA">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w:t>
      </w:r>
    </w:p>
    <w:p w14:paraId="31F01C97">
      <w:pPr>
        <w:wordWrap w:val="0"/>
        <w:adjustRightInd w:val="0"/>
        <w:snapToGrid w:val="0"/>
        <w:spacing w:line="400" w:lineRule="exact"/>
        <w:ind w:firstLine="482"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4"/>
          <w:szCs w:val="24"/>
          <w:highlight w:val="none"/>
        </w:rPr>
        <w:t>并由招标人通报建设行政管理部门。如采用</w:t>
      </w:r>
      <w:r>
        <w:rPr>
          <w:rFonts w:hint="eastAsia" w:ascii="宋体" w:hAnsi="宋体" w:eastAsia="宋体" w:cs="宋体"/>
          <w:snapToGrid w:val="0"/>
          <w:color w:val="auto"/>
          <w:kern w:val="0"/>
          <w:sz w:val="24"/>
          <w:szCs w:val="24"/>
          <w:highlight w:val="none"/>
          <w:lang w:eastAsia="zh-CN"/>
        </w:rPr>
        <w:t>商业保函、银行保函或保险合同</w:t>
      </w:r>
      <w:r>
        <w:rPr>
          <w:rFonts w:hint="eastAsia" w:ascii="宋体" w:hAnsi="宋体" w:eastAsia="宋体" w:cs="宋体"/>
          <w:snapToGrid w:val="0"/>
          <w:color w:val="auto"/>
          <w:kern w:val="0"/>
          <w:sz w:val="24"/>
          <w:szCs w:val="24"/>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4"/>
          <w:szCs w:val="24"/>
          <w:highlight w:val="none"/>
          <w:lang w:eastAsia="zh-CN"/>
        </w:rPr>
        <w:t>商业保函、银行保函或保险合同。</w:t>
      </w:r>
    </w:p>
    <w:p w14:paraId="1032BBD6">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在工程实施过程中，如果承包人（即招标阶段的中标人，下同）由于自身的资金、技术、质量、非不可抗力等原因给发包人（即招标阶段的招标人，下同）造成经济损失，扣除相应履约保证。</w:t>
      </w:r>
    </w:p>
    <w:p w14:paraId="65B26C5D">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项目通过竣工验收之日后28天内，发包人将履约保证退还给承包人。</w:t>
      </w:r>
    </w:p>
    <w:p w14:paraId="0184720A">
      <w:pPr>
        <w:pageBreakBefore w:val="0"/>
        <w:kinsoku/>
        <w:wordWrap w:val="0"/>
        <w:overflowPunct/>
        <w:topLinePunct w:val="0"/>
        <w:autoSpaceDE/>
        <w:autoSpaceDN/>
        <w:bidi w:val="0"/>
        <w:adjustRightInd w:val="0"/>
        <w:snapToGrid w:val="0"/>
        <w:spacing w:line="400" w:lineRule="exact"/>
        <w:ind w:firstLine="562"/>
        <w:textAlignment w:val="auto"/>
        <w:rPr>
          <w:rFonts w:hint="eastAsia" w:ascii="宋体" w:hAnsi="宋体" w:eastAsia="宋体" w:cs="宋体"/>
          <w:snapToGrid w:val="0"/>
          <w:color w:val="auto"/>
          <w:kern w:val="0"/>
          <w:sz w:val="24"/>
          <w:szCs w:val="24"/>
          <w:highlight w:val="none"/>
        </w:rPr>
      </w:pPr>
    </w:p>
    <w:p w14:paraId="07DD0F5E">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bCs/>
          <w:snapToGrid w:val="0"/>
          <w:color w:val="auto"/>
          <w:kern w:val="0"/>
          <w:sz w:val="24"/>
          <w:szCs w:val="24"/>
          <w:highlight w:val="none"/>
        </w:rPr>
      </w:pPr>
      <w:bookmarkStart w:id="336" w:name="_Toc11158"/>
      <w:r>
        <w:rPr>
          <w:rFonts w:hint="eastAsia" w:ascii="宋体" w:hAnsi="宋体" w:eastAsia="宋体" w:cs="宋体"/>
          <w:b/>
          <w:bCs/>
          <w:snapToGrid w:val="0"/>
          <w:color w:val="auto"/>
          <w:kern w:val="0"/>
          <w:sz w:val="24"/>
          <w:szCs w:val="24"/>
          <w:highlight w:val="none"/>
        </w:rPr>
        <w:t>4．合同订立</w:t>
      </w:r>
      <w:bookmarkEnd w:id="336"/>
    </w:p>
    <w:p w14:paraId="70E0A3B3">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4.1 招标人应当自中标通知书发出之日起30日内，按照招标文件、中标人的投标文件与中标人订立书面合同。</w:t>
      </w:r>
    </w:p>
    <w:p w14:paraId="55628FC4">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4.2 本招标工程合同计价方式为：总价合同。</w:t>
      </w:r>
    </w:p>
    <w:p w14:paraId="2B620A2E">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4.3 合同的标的、质量、履行期限条款和合同的价款、单价、比例条款等主要条款，应当与招标文件、中标人的投标文件的内容一致。中标人在签订合同时不得向招标人提出附加条件。</w:t>
      </w:r>
    </w:p>
    <w:p w14:paraId="746653EA">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 xml:space="preserve">4.4 </w:t>
      </w:r>
      <w:r>
        <w:rPr>
          <w:rFonts w:hint="eastAsia" w:ascii="宋体" w:hAnsi="宋体" w:eastAsia="宋体" w:cs="宋体"/>
          <w:b w:val="0"/>
          <w:bCs/>
          <w:color w:val="auto"/>
          <w:szCs w:val="24"/>
          <w:highlight w:val="none"/>
        </w:rPr>
        <w:t>若中标人自中标通知书发出之日起30天内仍未签订合同，视同中标人自动放弃中标权利，招标人通报建设行政主管部门后有权另行选择中标人。</w:t>
      </w:r>
    </w:p>
    <w:p w14:paraId="71C8141D">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4.5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0E876E20">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napToGrid w:val="0"/>
          <w:color w:val="auto"/>
          <w:kern w:val="0"/>
          <w:sz w:val="24"/>
          <w:szCs w:val="24"/>
          <w:highlight w:val="none"/>
        </w:rPr>
      </w:pPr>
      <w:bookmarkStart w:id="337" w:name="_Toc193"/>
      <w:r>
        <w:rPr>
          <w:rFonts w:hint="eastAsia" w:ascii="宋体" w:hAnsi="宋体" w:eastAsia="宋体" w:cs="宋体"/>
          <w:b/>
          <w:bCs/>
          <w:snapToGrid w:val="0"/>
          <w:color w:val="auto"/>
          <w:kern w:val="0"/>
          <w:sz w:val="24"/>
          <w:szCs w:val="24"/>
          <w:highlight w:val="none"/>
        </w:rPr>
        <w:t>5．放弃中标的处理</w:t>
      </w:r>
      <w:bookmarkEnd w:id="337"/>
    </w:p>
    <w:p w14:paraId="642BB812">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中标人</w:t>
      </w:r>
      <w:r>
        <w:rPr>
          <w:rFonts w:hint="eastAsia" w:ascii="宋体" w:hAnsi="宋体" w:eastAsia="宋体" w:cs="宋体"/>
          <w:snapToGrid w:val="0"/>
          <w:color w:val="auto"/>
          <w:sz w:val="24"/>
          <w:szCs w:val="24"/>
          <w:highlight w:val="none"/>
        </w:rPr>
        <w:t>无正当理由放弃中标的，</w:t>
      </w:r>
      <w:r>
        <w:rPr>
          <w:rFonts w:hint="eastAsia" w:ascii="宋体" w:hAnsi="宋体" w:eastAsia="宋体" w:cs="宋体"/>
          <w:snapToGrid w:val="0"/>
          <w:color w:val="auto"/>
          <w:kern w:val="0"/>
          <w:sz w:val="24"/>
          <w:szCs w:val="24"/>
          <w:highlight w:val="none"/>
        </w:rPr>
        <w:t>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sz w:val="24"/>
          <w:szCs w:val="24"/>
          <w:highlight w:val="none"/>
        </w:rPr>
        <w:t>因此种情况造成招标人重新招标的</w:t>
      </w:r>
      <w:r>
        <w:rPr>
          <w:rFonts w:hint="eastAsia" w:ascii="宋体" w:hAnsi="宋体" w:eastAsia="宋体" w:cs="宋体"/>
          <w:snapToGrid w:val="0"/>
          <w:color w:val="auto"/>
          <w:kern w:val="0"/>
          <w:sz w:val="24"/>
          <w:szCs w:val="24"/>
          <w:highlight w:val="none"/>
        </w:rPr>
        <w:t>，招标人可不接受该弃标人再次投标。同时，招标人应将该弃标人的失信行为向行政监督部门报告。</w:t>
      </w:r>
    </w:p>
    <w:p w14:paraId="2E6A773F">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477406EE">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p>
    <w:p w14:paraId="6E36F977">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napToGrid w:val="0"/>
          <w:color w:val="auto"/>
          <w:kern w:val="0"/>
          <w:sz w:val="24"/>
          <w:szCs w:val="24"/>
          <w:highlight w:val="none"/>
        </w:rPr>
      </w:pPr>
      <w:bookmarkStart w:id="338" w:name="_Toc1278"/>
      <w:r>
        <w:rPr>
          <w:rFonts w:hint="eastAsia" w:ascii="宋体" w:hAnsi="宋体" w:eastAsia="宋体" w:cs="宋体"/>
          <w:b/>
          <w:bCs/>
          <w:snapToGrid w:val="0"/>
          <w:color w:val="auto"/>
          <w:kern w:val="0"/>
          <w:sz w:val="24"/>
          <w:szCs w:val="24"/>
          <w:highlight w:val="none"/>
        </w:rPr>
        <w:t>6．专业工程分包</w:t>
      </w:r>
      <w:bookmarkEnd w:id="338"/>
    </w:p>
    <w:p w14:paraId="2F1D962C">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6AE56B85">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p>
    <w:p w14:paraId="5D63C3A3">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bCs/>
          <w:snapToGrid w:val="0"/>
          <w:color w:val="auto"/>
          <w:kern w:val="0"/>
          <w:sz w:val="24"/>
          <w:szCs w:val="24"/>
          <w:highlight w:val="none"/>
        </w:rPr>
      </w:pPr>
      <w:bookmarkStart w:id="339" w:name="_Toc3132"/>
      <w:r>
        <w:rPr>
          <w:rFonts w:hint="eastAsia" w:ascii="宋体" w:hAnsi="宋体" w:eastAsia="宋体" w:cs="宋体"/>
          <w:b/>
          <w:bCs/>
          <w:snapToGrid w:val="0"/>
          <w:color w:val="auto"/>
          <w:kern w:val="0"/>
          <w:sz w:val="24"/>
          <w:szCs w:val="24"/>
          <w:highlight w:val="none"/>
        </w:rPr>
        <w:t>7．工人工资支付专用账户</w:t>
      </w:r>
      <w:bookmarkEnd w:id="339"/>
    </w:p>
    <w:p w14:paraId="32A20F83">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78C9A71D">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7.2</w:t>
      </w:r>
      <w:r>
        <w:rPr>
          <w:rFonts w:hint="eastAsia" w:ascii="宋体" w:hAnsi="宋体" w:eastAsia="宋体" w:cs="宋体"/>
          <w:snapToGrid w:val="0"/>
          <w:color w:val="auto"/>
          <w:kern w:val="0"/>
          <w:sz w:val="24"/>
          <w:szCs w:val="24"/>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14:paraId="6AD3154F">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6AA6788C">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snapToGrid w:val="0"/>
          <w:color w:val="auto"/>
          <w:kern w:val="0"/>
          <w:sz w:val="24"/>
          <w:szCs w:val="24"/>
          <w:highlight w:val="none"/>
        </w:rPr>
      </w:pPr>
    </w:p>
    <w:p w14:paraId="0EF4307E">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bCs/>
          <w:snapToGrid w:val="0"/>
          <w:color w:val="auto"/>
          <w:kern w:val="0"/>
          <w:sz w:val="24"/>
          <w:szCs w:val="24"/>
          <w:highlight w:val="none"/>
        </w:rPr>
      </w:pPr>
      <w:bookmarkStart w:id="340" w:name="_Toc7441"/>
      <w:r>
        <w:rPr>
          <w:rFonts w:hint="eastAsia" w:ascii="宋体" w:hAnsi="宋体" w:eastAsia="宋体" w:cs="宋体"/>
          <w:b/>
          <w:bCs/>
          <w:snapToGrid w:val="0"/>
          <w:color w:val="auto"/>
          <w:kern w:val="0"/>
          <w:sz w:val="24"/>
          <w:szCs w:val="24"/>
          <w:highlight w:val="none"/>
        </w:rPr>
        <w:t>9．工期进度</w:t>
      </w:r>
      <w:bookmarkEnd w:id="340"/>
    </w:p>
    <w:p w14:paraId="0A25015A">
      <w:pPr>
        <w:pStyle w:val="20"/>
        <w:keepNext w:val="0"/>
        <w:keepLines w:val="0"/>
        <w:pageBreakBefore w:val="0"/>
        <w:widowControl/>
        <w:suppressLineNumbers w:val="0"/>
        <w:kinsoku/>
        <w:overflowPunct/>
        <w:topLinePunct w:val="0"/>
        <w:autoSpaceDE/>
        <w:autoSpaceDN/>
        <w:bidi w:val="0"/>
        <w:spacing w:before="0" w:beforeAutospacing="0" w:after="150" w:afterAutospacing="0" w:line="400" w:lineRule="exact"/>
        <w:ind w:left="480" w:leftChars="200" w:right="0" w:firstLine="0" w:firstLineChars="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color w:val="auto"/>
          <w:sz w:val="24"/>
          <w:szCs w:val="24"/>
          <w:highlight w:val="none"/>
          <w:lang w:val="en-US" w:eastAsia="zh-CN"/>
        </w:rPr>
        <w:t>本项目设计、施工工期：</w:t>
      </w:r>
      <w:r>
        <w:rPr>
          <w:rFonts w:hint="eastAsia" w:hAnsi="宋体" w:eastAsia="宋体" w:cs="宋体"/>
          <w:color w:val="auto"/>
          <w:kern w:val="0"/>
          <w:sz w:val="24"/>
          <w:szCs w:val="24"/>
          <w:highlight w:val="none"/>
          <w:lang w:val="en-US" w:eastAsia="zh-CN"/>
        </w:rPr>
        <w:t>180</w:t>
      </w:r>
      <w:r>
        <w:rPr>
          <w:rFonts w:hint="eastAsia" w:ascii="宋体" w:hAnsi="宋体" w:eastAsia="宋体" w:cs="宋体"/>
          <w:color w:val="auto"/>
          <w:kern w:val="0"/>
          <w:sz w:val="24"/>
          <w:szCs w:val="24"/>
          <w:highlight w:val="none"/>
          <w:lang w:eastAsia="zh-CN"/>
        </w:rPr>
        <w:t>日历天【其中：设计工期</w:t>
      </w:r>
      <w:r>
        <w:rPr>
          <w:rFonts w:hint="eastAsia" w:hAnsi="宋体" w:eastAsia="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lang w:eastAsia="zh-CN"/>
        </w:rPr>
        <w:t>日历天、施工工期</w:t>
      </w:r>
      <w:r>
        <w:rPr>
          <w:rFonts w:hint="eastAsia" w:hAnsi="宋体" w:eastAsia="宋体" w:cs="宋体"/>
          <w:color w:val="auto"/>
          <w:kern w:val="0"/>
          <w:sz w:val="24"/>
          <w:szCs w:val="24"/>
          <w:highlight w:val="none"/>
          <w:lang w:val="en-US" w:eastAsia="zh-CN"/>
        </w:rPr>
        <w:t>120</w:t>
      </w:r>
      <w:r>
        <w:rPr>
          <w:rFonts w:hint="eastAsia" w:ascii="宋体" w:hAnsi="宋体" w:eastAsia="宋体" w:cs="宋体"/>
          <w:color w:val="auto"/>
          <w:kern w:val="0"/>
          <w:sz w:val="24"/>
          <w:szCs w:val="24"/>
          <w:highlight w:val="none"/>
          <w:lang w:eastAsia="zh-CN"/>
        </w:rPr>
        <w:t>日历天】。</w:t>
      </w:r>
    </w:p>
    <w:p w14:paraId="55E5798B">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施工工期从承包人收到监理单位签发的开工令之日起计，至竣工验收合格之日止。</w:t>
      </w:r>
    </w:p>
    <w:p w14:paraId="4668F4D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由于承包人原因，没有按期完成设计工作的，承包人须在逾期第壹天起每天按设计费合同价款的</w:t>
      </w:r>
      <w:r>
        <w:rPr>
          <w:rFonts w:hint="eastAsia" w:ascii="宋体" w:hAnsi="宋体" w:eastAsia="宋体" w:cs="宋体"/>
          <w:snapToGrid w:val="0"/>
          <w:color w:val="auto"/>
          <w:kern w:val="0"/>
          <w:sz w:val="24"/>
          <w:szCs w:val="24"/>
          <w:highlight w:val="none"/>
          <w:u w:val="single"/>
        </w:rPr>
        <w:t>1%</w:t>
      </w:r>
      <w:r>
        <w:rPr>
          <w:rFonts w:hint="eastAsia" w:ascii="宋体" w:hAnsi="宋体" w:eastAsia="宋体" w:cs="宋体"/>
          <w:snapToGrid w:val="0"/>
          <w:color w:val="auto"/>
          <w:kern w:val="0"/>
          <w:sz w:val="24"/>
          <w:szCs w:val="24"/>
          <w:highlight w:val="none"/>
        </w:rPr>
        <w:t>向招标人返纳逾期违约金；由于承包人原因，工程没有按期竣工并通过验收时</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snapToGrid w:val="0"/>
          <w:color w:val="auto"/>
          <w:kern w:val="0"/>
          <w:sz w:val="24"/>
          <w:szCs w:val="24"/>
          <w:highlight w:val="none"/>
        </w:rPr>
        <w:t>，承包人须在逾期第壹天起每天按合同价款的</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向招标人返纳逾期竣工违约金。逾期竣工违约金的最高限额为</w:t>
      </w:r>
      <w:r>
        <w:rPr>
          <w:rFonts w:hint="eastAsia" w:ascii="宋体" w:hAnsi="宋体" w:eastAsia="宋体" w:cs="宋体"/>
          <w:snapToGrid w:val="0"/>
          <w:color w:val="auto"/>
          <w:kern w:val="0"/>
          <w:sz w:val="24"/>
          <w:szCs w:val="24"/>
          <w:highlight w:val="none"/>
          <w:u w:val="single"/>
        </w:rPr>
        <w:t>合同价款的</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w:t>
      </w:r>
    </w:p>
    <w:p w14:paraId="32282478">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b/>
          <w:bCs/>
          <w:snapToGrid w:val="0"/>
          <w:color w:val="auto"/>
          <w:kern w:val="0"/>
          <w:sz w:val="24"/>
          <w:szCs w:val="24"/>
          <w:highlight w:val="none"/>
        </w:rPr>
      </w:pPr>
    </w:p>
    <w:p w14:paraId="7BB7B670">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napToGrid w:val="0"/>
          <w:color w:val="auto"/>
          <w:kern w:val="0"/>
          <w:sz w:val="24"/>
          <w:szCs w:val="24"/>
          <w:highlight w:val="none"/>
        </w:rPr>
      </w:pPr>
      <w:bookmarkStart w:id="341" w:name="_Toc3989"/>
      <w:r>
        <w:rPr>
          <w:rFonts w:hint="eastAsia" w:ascii="宋体" w:hAnsi="宋体" w:eastAsia="宋体" w:cs="宋体"/>
          <w:b/>
          <w:bCs/>
          <w:snapToGrid w:val="0"/>
          <w:color w:val="auto"/>
          <w:kern w:val="0"/>
          <w:sz w:val="24"/>
          <w:szCs w:val="24"/>
          <w:highlight w:val="none"/>
        </w:rPr>
        <w:t>10．项目管理机构</w:t>
      </w:r>
      <w:bookmarkEnd w:id="341"/>
    </w:p>
    <w:p w14:paraId="351C103C">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snapToGrid w:val="0"/>
          <w:color w:val="auto"/>
          <w:kern w:val="0"/>
          <w:sz w:val="24"/>
          <w:szCs w:val="24"/>
          <w:highlight w:val="none"/>
        </w:rPr>
        <w:t xml:space="preserve"> 承包人派驻的项目管理班子成员必须为其投标文件确定的人员，否则发包人有权终止合同。</w:t>
      </w:r>
    </w:p>
    <w:p w14:paraId="524E5219">
      <w:pPr>
        <w:pageBreakBefore w:val="0"/>
        <w:kinsoku/>
        <w:wordWrap w:val="0"/>
        <w:overflowPunct/>
        <w:topLinePunct w:val="0"/>
        <w:autoSpaceDE/>
        <w:autoSpaceDN/>
        <w:bidi w:val="0"/>
        <w:adjustRightInd w:val="0"/>
        <w:snapToGrid w:val="0"/>
        <w:spacing w:line="400" w:lineRule="exact"/>
        <w:ind w:firstLine="48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snapToGrid w:val="0"/>
          <w:color w:val="auto"/>
          <w:kern w:val="0"/>
          <w:sz w:val="24"/>
          <w:szCs w:val="24"/>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2058A82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b/>
          <w:snapToGrid w:val="0"/>
          <w:color w:val="auto"/>
          <w:kern w:val="0"/>
          <w:sz w:val="24"/>
          <w:szCs w:val="24"/>
          <w:highlight w:val="none"/>
        </w:rPr>
      </w:pPr>
    </w:p>
    <w:p w14:paraId="4F9D2693">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trike/>
          <w:snapToGrid w:val="0"/>
          <w:color w:val="auto"/>
          <w:kern w:val="0"/>
          <w:sz w:val="24"/>
          <w:szCs w:val="24"/>
          <w:highlight w:val="none"/>
        </w:rPr>
      </w:pPr>
      <w:bookmarkStart w:id="342" w:name="_Toc16108"/>
      <w:r>
        <w:rPr>
          <w:rFonts w:hint="eastAsia" w:ascii="宋体" w:hAnsi="宋体" w:eastAsia="宋体" w:cs="宋体"/>
          <w:b/>
          <w:snapToGrid w:val="0"/>
          <w:color w:val="auto"/>
          <w:kern w:val="0"/>
          <w:sz w:val="24"/>
          <w:szCs w:val="24"/>
          <w:highlight w:val="none"/>
        </w:rPr>
        <w:t>11．现场管理</w:t>
      </w:r>
      <w:bookmarkEnd w:id="342"/>
    </w:p>
    <w:p w14:paraId="6605D00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51084D7">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6FB6E4A6">
      <w:pPr>
        <w:pageBreakBefore w:val="0"/>
        <w:kinsoku/>
        <w:wordWrap w:val="0"/>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11.3</w:t>
      </w:r>
      <w:r>
        <w:rPr>
          <w:rFonts w:hint="eastAsia" w:ascii="宋体" w:hAnsi="宋体" w:eastAsia="宋体" w:cs="宋体"/>
          <w:snapToGrid w:val="0"/>
          <w:color w:val="auto"/>
          <w:kern w:val="0"/>
          <w:sz w:val="24"/>
          <w:szCs w:val="24"/>
          <w:highlight w:val="none"/>
        </w:rPr>
        <w:t xml:space="preserve"> 为保证施工现场的环境卫生，承包人在本招标工程施工过程中，所有的车辆必须按发包人规定的行车路线行驶。</w:t>
      </w:r>
    </w:p>
    <w:p w14:paraId="4BC41732">
      <w:pPr>
        <w:pStyle w:val="7"/>
        <w:pageBreakBefore w:val="0"/>
        <w:kinsoku/>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p>
    <w:p w14:paraId="493FF802">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trike/>
          <w:snapToGrid w:val="0"/>
          <w:color w:val="auto"/>
          <w:kern w:val="0"/>
          <w:sz w:val="24"/>
          <w:szCs w:val="24"/>
          <w:highlight w:val="none"/>
        </w:rPr>
      </w:pPr>
      <w:bookmarkStart w:id="343" w:name="_Toc31347"/>
      <w:r>
        <w:rPr>
          <w:rFonts w:hint="eastAsia" w:ascii="宋体" w:hAnsi="宋体" w:eastAsia="宋体" w:cs="宋体"/>
          <w:b/>
          <w:snapToGrid w:val="0"/>
          <w:color w:val="auto"/>
          <w:kern w:val="0"/>
          <w:sz w:val="24"/>
          <w:szCs w:val="24"/>
          <w:highlight w:val="none"/>
        </w:rPr>
        <w:t>12．监督实施</w:t>
      </w:r>
      <w:bookmarkEnd w:id="343"/>
    </w:p>
    <w:p w14:paraId="21780FBF">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350EAD64">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snapToGrid w:val="0"/>
          <w:color w:val="auto"/>
          <w:kern w:val="0"/>
          <w:sz w:val="24"/>
          <w:szCs w:val="24"/>
          <w:highlight w:val="none"/>
        </w:rPr>
      </w:pPr>
    </w:p>
    <w:p w14:paraId="581BAB64">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
          <w:snapToGrid w:val="0"/>
          <w:color w:val="auto"/>
          <w:kern w:val="0"/>
          <w:sz w:val="24"/>
          <w:szCs w:val="24"/>
          <w:highlight w:val="none"/>
        </w:rPr>
      </w:pPr>
      <w:bookmarkStart w:id="344" w:name="_Toc4268"/>
      <w:r>
        <w:rPr>
          <w:rFonts w:hint="eastAsia" w:ascii="宋体" w:hAnsi="宋体" w:eastAsia="宋体" w:cs="宋体"/>
          <w:b/>
          <w:snapToGrid w:val="0"/>
          <w:color w:val="auto"/>
          <w:kern w:val="0"/>
          <w:sz w:val="24"/>
          <w:szCs w:val="24"/>
          <w:highlight w:val="none"/>
        </w:rPr>
        <w:t>13．主材的采购和使用</w:t>
      </w:r>
      <w:bookmarkEnd w:id="344"/>
    </w:p>
    <w:p w14:paraId="5C8ED016">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2F596E9F">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p>
    <w:p w14:paraId="465158B6">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Cs/>
          <w:snapToGrid w:val="0"/>
          <w:color w:val="auto"/>
          <w:kern w:val="0"/>
          <w:sz w:val="24"/>
          <w:szCs w:val="24"/>
          <w:highlight w:val="none"/>
        </w:rPr>
      </w:pPr>
      <w:bookmarkStart w:id="345" w:name="_Toc17217"/>
      <w:r>
        <w:rPr>
          <w:rFonts w:hint="eastAsia" w:ascii="宋体" w:hAnsi="宋体" w:eastAsia="宋体" w:cs="宋体"/>
          <w:b/>
          <w:snapToGrid w:val="0"/>
          <w:color w:val="auto"/>
          <w:kern w:val="0"/>
          <w:sz w:val="24"/>
          <w:szCs w:val="24"/>
          <w:highlight w:val="none"/>
        </w:rPr>
        <w:t>14．竣工资料移交</w:t>
      </w:r>
      <w:bookmarkEnd w:id="345"/>
    </w:p>
    <w:p w14:paraId="0608B87E">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工程竣工验收时，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捌</w:t>
      </w:r>
      <w:r>
        <w:rPr>
          <w:rFonts w:hint="eastAsia" w:ascii="宋体" w:hAnsi="宋体" w:eastAsia="宋体" w:cs="宋体"/>
          <w:bCs/>
          <w:snapToGrid w:val="0"/>
          <w:color w:val="auto"/>
          <w:kern w:val="0"/>
          <w:sz w:val="24"/>
          <w:szCs w:val="24"/>
          <w:highlight w:val="none"/>
        </w:rPr>
        <w:t>份。</w:t>
      </w:r>
    </w:p>
    <w:p w14:paraId="7F79ED0F">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snapToGrid w:val="0"/>
          <w:color w:val="auto"/>
          <w:kern w:val="0"/>
          <w:sz w:val="24"/>
          <w:szCs w:val="24"/>
          <w:highlight w:val="none"/>
        </w:rPr>
      </w:pPr>
    </w:p>
    <w:p w14:paraId="4B5BD629">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bCs/>
          <w:snapToGrid w:val="0"/>
          <w:color w:val="auto"/>
          <w:kern w:val="0"/>
          <w:sz w:val="24"/>
          <w:szCs w:val="24"/>
          <w:highlight w:val="none"/>
        </w:rPr>
      </w:pPr>
      <w:bookmarkStart w:id="346" w:name="_Toc7348"/>
      <w:r>
        <w:rPr>
          <w:rFonts w:hint="eastAsia" w:ascii="宋体" w:hAnsi="宋体" w:eastAsia="宋体" w:cs="宋体"/>
          <w:b/>
          <w:snapToGrid w:val="0"/>
          <w:color w:val="auto"/>
          <w:kern w:val="0"/>
          <w:sz w:val="24"/>
          <w:szCs w:val="24"/>
          <w:highlight w:val="none"/>
        </w:rPr>
        <w:t>15．质量保证</w:t>
      </w:r>
      <w:bookmarkEnd w:id="346"/>
    </w:p>
    <w:p w14:paraId="3473990E">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本招标工程</w:t>
      </w:r>
      <w:r>
        <w:rPr>
          <w:rFonts w:hint="eastAsia" w:ascii="宋体" w:hAnsi="宋体" w:eastAsia="宋体" w:cs="宋体"/>
          <w:bCs/>
          <w:snapToGrid w:val="0"/>
          <w:color w:val="auto"/>
          <w:kern w:val="0"/>
          <w:sz w:val="24"/>
          <w:szCs w:val="24"/>
          <w:highlight w:val="none"/>
        </w:rPr>
        <w:t>缺陷责任期为</w:t>
      </w:r>
      <w:r>
        <w:rPr>
          <w:rFonts w:hint="eastAsia" w:ascii="宋体" w:hAnsi="宋体" w:eastAsia="宋体" w:cs="宋体"/>
          <w:bCs/>
          <w:snapToGrid w:val="0"/>
          <w:color w:val="auto"/>
          <w:kern w:val="0"/>
          <w:sz w:val="24"/>
          <w:szCs w:val="24"/>
          <w:highlight w:val="none"/>
          <w:u w:val="single"/>
          <w:lang w:val="en-US" w:eastAsia="zh-CN"/>
        </w:rPr>
        <w:t>1</w:t>
      </w:r>
      <w:r>
        <w:rPr>
          <w:rFonts w:hint="eastAsia" w:ascii="宋体" w:hAnsi="宋体" w:eastAsia="宋体" w:cs="宋体"/>
          <w:bCs/>
          <w:snapToGrid w:val="0"/>
          <w:color w:val="auto"/>
          <w:kern w:val="0"/>
          <w:sz w:val="24"/>
          <w:szCs w:val="24"/>
          <w:highlight w:val="none"/>
        </w:rPr>
        <w:t>年（自通过竣工验收之日起计），在此期间预留金额为结算价</w:t>
      </w:r>
      <w:r>
        <w:rPr>
          <w:rFonts w:hint="eastAsia" w:ascii="宋体" w:hAnsi="宋体" w:eastAsia="宋体" w:cs="宋体"/>
          <w:bCs/>
          <w:snapToGrid w:val="0"/>
          <w:color w:val="auto"/>
          <w:kern w:val="0"/>
          <w:sz w:val="24"/>
          <w:szCs w:val="24"/>
          <w:highlight w:val="none"/>
          <w:u w:val="single"/>
        </w:rPr>
        <w:t xml:space="preserve"> 3% </w:t>
      </w:r>
      <w:r>
        <w:rPr>
          <w:rFonts w:hint="eastAsia" w:ascii="宋体" w:hAnsi="宋体" w:eastAsia="宋体" w:cs="宋体"/>
          <w:bCs/>
          <w:snapToGrid w:val="0"/>
          <w:color w:val="auto"/>
          <w:kern w:val="0"/>
          <w:sz w:val="24"/>
          <w:szCs w:val="24"/>
          <w:highlight w:val="none"/>
        </w:rPr>
        <w:t>的质量保证。</w:t>
      </w:r>
    </w:p>
    <w:p w14:paraId="5F068EE1">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质量保证的形式包括质量保证金、质量保证担保、质量保证保险三种，由承包人自主选择。</w:t>
      </w:r>
    </w:p>
    <w:p w14:paraId="5D9C2E94">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（1）采用质量保证金形式的，在结清审定总造价时一次性扣留相应金额作为质量保证金。</w:t>
      </w:r>
    </w:p>
    <w:p w14:paraId="10348118">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（2）采用质量保证担保或质量保证保险的，承包人应在竣工验收时向发包人提交有效的银行保函或保险合同（或保险单）原件，银行保函或保险合同（或保险单）的有效期不得短于缺陷责任期。</w:t>
      </w:r>
    </w:p>
    <w:p w14:paraId="30A45919">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15.3</w:t>
      </w:r>
      <w:r>
        <w:rPr>
          <w:rFonts w:hint="eastAsia" w:ascii="宋体" w:hAnsi="宋体" w:eastAsia="宋体" w:cs="宋体"/>
          <w:bCs/>
          <w:snapToGrid w:val="0"/>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1F9D9CEC">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由他人原因造成的缺陷，发包人负责组织维修，承包人不承担费用，且发包人不得从质量保证中扣除费用。</w:t>
      </w:r>
    </w:p>
    <w:p w14:paraId="7905E5AF">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bCs/>
          <w:snapToGrid w:val="0"/>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027A87A">
      <w:pPr>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bCs/>
          <w:snapToGrid w:val="0"/>
          <w:color w:val="auto"/>
          <w:kern w:val="0"/>
          <w:sz w:val="24"/>
          <w:szCs w:val="24"/>
          <w:highlight w:val="none"/>
        </w:rPr>
      </w:pPr>
    </w:p>
    <w:p w14:paraId="476AF42C">
      <w:pPr>
        <w:pageBreakBefore w:val="0"/>
        <w:kinsoku/>
        <w:wordWrap w:val="0"/>
        <w:overflowPunct/>
        <w:topLinePunct w:val="0"/>
        <w:autoSpaceDE/>
        <w:autoSpaceDN/>
        <w:bidi w:val="0"/>
        <w:adjustRightInd w:val="0"/>
        <w:snapToGrid w:val="0"/>
        <w:spacing w:line="400" w:lineRule="exact"/>
        <w:ind w:firstLine="482" w:firstLineChars="200"/>
        <w:textAlignment w:val="auto"/>
        <w:outlineLvl w:val="2"/>
        <w:rPr>
          <w:rFonts w:hint="eastAsia" w:ascii="宋体" w:hAnsi="宋体" w:eastAsia="宋体" w:cs="宋体"/>
          <w:strike/>
          <w:snapToGrid w:val="0"/>
          <w:color w:val="auto"/>
          <w:kern w:val="0"/>
          <w:sz w:val="24"/>
          <w:szCs w:val="24"/>
          <w:highlight w:val="none"/>
        </w:rPr>
      </w:pPr>
      <w:bookmarkStart w:id="347" w:name="_Toc2549"/>
      <w:r>
        <w:rPr>
          <w:rFonts w:hint="eastAsia" w:ascii="宋体" w:hAnsi="宋体" w:eastAsia="宋体" w:cs="宋体"/>
          <w:b/>
          <w:bCs/>
          <w:snapToGrid w:val="0"/>
          <w:color w:val="auto"/>
          <w:kern w:val="0"/>
          <w:sz w:val="24"/>
          <w:szCs w:val="24"/>
          <w:highlight w:val="none"/>
        </w:rPr>
        <w:t>16</w:t>
      </w:r>
      <w:r>
        <w:rPr>
          <w:rFonts w:hint="eastAsia" w:ascii="宋体" w:hAnsi="宋体" w:eastAsia="宋体" w:cs="宋体"/>
          <w:b/>
          <w:snapToGrid w:val="0"/>
          <w:color w:val="auto"/>
          <w:kern w:val="0"/>
          <w:sz w:val="24"/>
          <w:szCs w:val="24"/>
          <w:highlight w:val="none"/>
        </w:rPr>
        <w:t>．不良行为处理</w:t>
      </w:r>
      <w:bookmarkEnd w:id="347"/>
    </w:p>
    <w:p w14:paraId="1A984669">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1D1B71A1">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（1）转包、违法分包或违反投标承诺分包工程的；</w:t>
      </w:r>
    </w:p>
    <w:p w14:paraId="01EE7D75">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3BB96795">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（3）投标文件确定的大型机械设备没有进入施工现场的；</w:t>
      </w:r>
    </w:p>
    <w:p w14:paraId="7CDFB4A0">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（4）与建设单位、监理单位串通，签认虚假工程量或工程造价的；</w:t>
      </w:r>
    </w:p>
    <w:p w14:paraId="13044D56">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（5）项目经理施工现场管理不到位的；</w:t>
      </w:r>
    </w:p>
    <w:p w14:paraId="13953292">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（6）项目经理在非本人资格证书注册单位从事工程项目施工管理的；</w:t>
      </w:r>
    </w:p>
    <w:p w14:paraId="6C9206D0">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（7）项目经理同时承担超过一项工程项目的；</w:t>
      </w:r>
    </w:p>
    <w:p w14:paraId="1F46504C">
      <w:pPr>
        <w:pStyle w:val="47"/>
        <w:pageBreakBefore w:val="0"/>
        <w:kinsoku/>
        <w:wordWrap w:val="0"/>
        <w:overflowPunct/>
        <w:topLinePunct w:val="0"/>
        <w:autoSpaceDE/>
        <w:autoSpaceDN/>
        <w:bidi w:val="0"/>
        <w:adjustRightInd w:val="0"/>
        <w:snapToGrid w:val="0"/>
        <w:spacing w:line="400" w:lineRule="exact"/>
        <w:ind w:firstLine="480" w:firstLineChars="200"/>
        <w:jc w:val="left"/>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（8）违反有关法律、法规、规章规定的其它行为。</w:t>
      </w:r>
    </w:p>
    <w:p w14:paraId="09570063">
      <w:pPr>
        <w:pStyle w:val="47"/>
        <w:pageBreakBefore w:val="0"/>
        <w:kinsoku/>
        <w:wordWrap w:val="0"/>
        <w:overflowPunct/>
        <w:topLinePunct w:val="0"/>
        <w:autoSpaceDE/>
        <w:autoSpaceDN/>
        <w:bidi w:val="0"/>
        <w:adjustRightInd w:val="0"/>
        <w:snapToGrid w:val="0"/>
        <w:spacing w:line="400" w:lineRule="exact"/>
        <w:ind w:firstLine="482" w:firstLineChars="200"/>
        <w:jc w:val="left"/>
        <w:textAlignment w:val="auto"/>
        <w:outlineLvl w:val="2"/>
        <w:rPr>
          <w:rFonts w:hint="eastAsia" w:ascii="宋体" w:hAnsi="宋体" w:eastAsia="宋体" w:cs="宋体"/>
          <w:b/>
          <w:bCs/>
          <w:snapToGrid w:val="0"/>
          <w:color w:val="auto"/>
          <w:kern w:val="0"/>
          <w:sz w:val="24"/>
          <w:szCs w:val="24"/>
          <w:highlight w:val="none"/>
        </w:rPr>
      </w:pPr>
      <w:bookmarkStart w:id="348" w:name="_Toc11729"/>
      <w:r>
        <w:rPr>
          <w:rFonts w:hint="eastAsia" w:ascii="宋体" w:hAnsi="宋体" w:eastAsia="宋体" w:cs="宋体"/>
          <w:b/>
          <w:bCs/>
          <w:snapToGrid w:val="0"/>
          <w:color w:val="auto"/>
          <w:kern w:val="0"/>
          <w:sz w:val="24"/>
          <w:szCs w:val="24"/>
          <w:highlight w:val="none"/>
        </w:rPr>
        <w:t>17</w:t>
      </w:r>
      <w:r>
        <w:rPr>
          <w:rFonts w:hint="eastAsia" w:ascii="宋体" w:hAnsi="宋体" w:eastAsia="宋体" w:cs="宋体"/>
          <w:b/>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信用评价条款内容</w:t>
      </w:r>
      <w:bookmarkEnd w:id="348"/>
    </w:p>
    <w:p w14:paraId="2B227BD2">
      <w:pPr>
        <w:pStyle w:val="49"/>
        <w:pageBreakBefore w:val="0"/>
        <w:kinsoku/>
        <w:wordWrap w:val="0"/>
        <w:overflowPunct/>
        <w:topLinePunct w:val="0"/>
        <w:autoSpaceDE/>
        <w:autoSpaceDN/>
        <w:bidi w:val="0"/>
        <w:adjustRightInd w:val="0"/>
        <w:snapToGrid w:val="0"/>
        <w:spacing w:line="400" w:lineRule="exact"/>
        <w:ind w:firstLine="56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00A06ECB">
      <w:pPr>
        <w:pageBreakBefore w:val="0"/>
        <w:kinsoku/>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bookmarkStart w:id="349" w:name="_Toc14079368"/>
      <w:bookmarkStart w:id="350" w:name="_Toc30736"/>
    </w:p>
    <w:p w14:paraId="54232AB3">
      <w:pPr>
        <w:pStyle w:val="5"/>
        <w:pageBreakBefore w:val="0"/>
        <w:kinsoku/>
        <w:wordWrap w:val="0"/>
        <w:overflowPunct/>
        <w:topLinePunct w:val="0"/>
        <w:autoSpaceDE/>
        <w:autoSpaceDN/>
        <w:bidi w:val="0"/>
        <w:snapToGrid w:val="0"/>
        <w:spacing w:line="400" w:lineRule="exact"/>
        <w:ind w:firstLine="482" w:firstLineChars="200"/>
        <w:textAlignment w:val="auto"/>
        <w:rPr>
          <w:rFonts w:hint="eastAsia" w:ascii="宋体" w:hAnsi="宋体" w:eastAsia="宋体" w:cs="宋体"/>
          <w:bCs/>
          <w:snapToGrid w:val="0"/>
          <w:color w:val="auto"/>
          <w:sz w:val="24"/>
          <w:szCs w:val="24"/>
          <w:highlight w:val="none"/>
        </w:rPr>
      </w:pPr>
      <w:bookmarkStart w:id="351" w:name="_Toc39136346"/>
      <w:bookmarkStart w:id="352" w:name="_Toc13843"/>
      <w:bookmarkStart w:id="353" w:name="_Toc31280"/>
      <w:bookmarkStart w:id="354" w:name="_Toc28557"/>
      <w:bookmarkStart w:id="355" w:name="_Toc11642"/>
      <w:bookmarkStart w:id="356" w:name="_Toc2332"/>
      <w:bookmarkStart w:id="357" w:name="_Toc27448"/>
      <w:bookmarkStart w:id="358" w:name="_Toc20256"/>
      <w:r>
        <w:rPr>
          <w:rFonts w:hint="eastAsia" w:ascii="宋体" w:hAnsi="宋体" w:eastAsia="宋体" w:cs="宋体"/>
          <w:bCs/>
          <w:snapToGrid w:val="0"/>
          <w:color w:val="auto"/>
          <w:sz w:val="24"/>
          <w:szCs w:val="24"/>
          <w:highlight w:val="none"/>
        </w:rPr>
        <w:t>18．其他事项</w:t>
      </w:r>
      <w:bookmarkEnd w:id="349"/>
      <w:bookmarkEnd w:id="350"/>
      <w:bookmarkEnd w:id="351"/>
      <w:bookmarkEnd w:id="352"/>
      <w:bookmarkEnd w:id="353"/>
      <w:bookmarkEnd w:id="354"/>
      <w:bookmarkEnd w:id="355"/>
      <w:bookmarkEnd w:id="356"/>
      <w:bookmarkEnd w:id="357"/>
      <w:bookmarkEnd w:id="358"/>
    </w:p>
    <w:p w14:paraId="2F389F9A">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w:t>
      </w:r>
      <w:r>
        <w:rPr>
          <w:rFonts w:hint="eastAsia" w:ascii="宋体" w:hAnsi="宋体" w:eastAsia="宋体" w:cs="宋体"/>
          <w:color w:val="auto"/>
          <w:sz w:val="24"/>
          <w:szCs w:val="24"/>
          <w:highlight w:val="none"/>
          <w:shd w:val="clear" w:color="auto" w:fill="FFFFFF"/>
        </w:rPr>
        <w:t>中标人须为招标人提供现场管理的交通便利（开工至质保期满）。中标人不得以任何理由提出任何费用及补偿要求。</w:t>
      </w:r>
    </w:p>
    <w:p w14:paraId="6D0B4EC1">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18.2</w:t>
      </w:r>
      <w:r>
        <w:rPr>
          <w:rFonts w:hint="eastAsia" w:ascii="宋体" w:hAnsi="宋体" w:eastAsia="宋体" w:cs="宋体"/>
          <w:color w:val="auto"/>
          <w:sz w:val="24"/>
          <w:szCs w:val="24"/>
          <w:highlight w:val="none"/>
          <w:shd w:val="clear" w:color="auto" w:fill="FFFFFF"/>
        </w:rPr>
        <w:t>中标人须为招标人提供现场办公管理的便利。按工程需要配置办公室、会议室及办公家具、生活设施，配备满足工作需要的办公设备（电脑、打印机、复印机、传真机、办公用品等）。中标人不得以任何理由提出任何费用及补偿要求。</w:t>
      </w:r>
    </w:p>
    <w:p w14:paraId="752EE734">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18.3</w:t>
      </w:r>
      <w:r>
        <w:rPr>
          <w:rFonts w:hint="eastAsia" w:ascii="宋体" w:hAnsi="宋体" w:eastAsia="宋体" w:cs="宋体"/>
          <w:color w:val="auto"/>
          <w:sz w:val="24"/>
          <w:szCs w:val="24"/>
          <w:highlight w:val="none"/>
          <w:shd w:val="clear" w:color="auto" w:fill="FFFFFF"/>
        </w:rPr>
        <w:t>中标人须服从工程监理单位对工程质量全方位的监理，施工中的年度计划、季度计划、月度计划、施工方案等应报送监理单位审批和招标人备案。施工中的质量保证等资料均应及时报送监理单位和招标人备案。</w:t>
      </w:r>
    </w:p>
    <w:p w14:paraId="0CF98BE5">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18.4</w:t>
      </w:r>
      <w:r>
        <w:rPr>
          <w:rFonts w:hint="eastAsia" w:ascii="宋体" w:hAnsi="宋体" w:eastAsia="宋体" w:cs="宋体"/>
          <w:color w:val="auto"/>
          <w:sz w:val="24"/>
          <w:szCs w:val="24"/>
          <w:highlight w:val="none"/>
          <w:shd w:val="clear" w:color="auto" w:fill="FFFFFF"/>
        </w:rPr>
        <w:t>工程竣工验收后15日内，中标人应按市城建档案馆的要求（质量、数量），将编制成册的施工档案资料（含声像档案和电子档案）提供给招标人、市城建档案馆、住建局、质量监督单位及监理单位，并承担档案涉及的所有费用（制作标准和相关要求按市城建档案馆的有关规定执行）。中标人提交符合城建档案馆要求的竣工资料经招标人确认签收后，即可办理工程结算手续。</w:t>
      </w:r>
    </w:p>
    <w:p w14:paraId="31F4ADC1">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18.7</w:t>
      </w:r>
      <w:r>
        <w:rPr>
          <w:rFonts w:hint="eastAsia" w:ascii="宋体" w:hAnsi="宋体" w:eastAsia="宋体" w:cs="宋体"/>
          <w:color w:val="auto"/>
          <w:sz w:val="24"/>
          <w:szCs w:val="24"/>
          <w:highlight w:val="none"/>
          <w:shd w:val="clear" w:color="auto" w:fill="FFFFFF"/>
        </w:rPr>
        <w:t>中标人须按工程所在地关于建筑渣土管理和扬尘治理等有关规定执行。</w:t>
      </w:r>
    </w:p>
    <w:p w14:paraId="261D6FF7">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18.8</w:t>
      </w:r>
      <w:r>
        <w:rPr>
          <w:rFonts w:hint="eastAsia" w:ascii="宋体" w:hAnsi="宋体" w:eastAsia="宋体" w:cs="宋体"/>
          <w:color w:val="auto"/>
          <w:sz w:val="24"/>
          <w:szCs w:val="24"/>
          <w:highlight w:val="none"/>
          <w:shd w:val="clear" w:color="auto" w:fill="FFFFFF"/>
        </w:rPr>
        <w:t>中标人应已详细了解本项目的前期工作（包括征地拆迁），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0BE3A777">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如因招标人原因（自然灾害等不可抗力因素除外），工程不能按期开工，或开工后全部停滞，工期按相关规定予以顺延。停工发生后，若可复工时，中标人应在收到招标人发出的复工通知书后3日内开始复工。</w:t>
      </w:r>
    </w:p>
    <w:p w14:paraId="6D203828">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18.9</w:t>
      </w:r>
      <w:r>
        <w:rPr>
          <w:rFonts w:hint="eastAsia" w:ascii="宋体" w:hAnsi="宋体" w:eastAsia="宋体" w:cs="宋体"/>
          <w:color w:val="auto"/>
          <w:sz w:val="24"/>
          <w:szCs w:val="24"/>
          <w:highlight w:val="none"/>
          <w:shd w:val="clear" w:color="auto" w:fill="FFFFFF"/>
        </w:rPr>
        <w:t>若设计超过了限额标准，中标人必须无条件优化，直至达到限额要求为止，设计及施工工期不予以顺延，招标人不再支付由此而增加的设计费。</w:t>
      </w:r>
    </w:p>
    <w:p w14:paraId="0E954407">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18.10</w:t>
      </w:r>
      <w:r>
        <w:rPr>
          <w:rFonts w:hint="eastAsia" w:ascii="宋体" w:hAnsi="宋体" w:eastAsia="宋体" w:cs="宋体"/>
          <w:color w:val="auto"/>
          <w:sz w:val="24"/>
          <w:szCs w:val="24"/>
          <w:highlight w:val="none"/>
          <w:shd w:val="clear" w:color="auto" w:fill="FFFFFF"/>
        </w:rPr>
        <w:t>施工图设计通过招标人确，若由于审查过程中提出的设计修改或变更，中标人必须无条件进行修改或优化设计，招标人不再支付由此而增加的设计费用。</w:t>
      </w:r>
    </w:p>
    <w:p w14:paraId="0D9026DE">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18.11</w:t>
      </w:r>
      <w:r>
        <w:rPr>
          <w:rFonts w:hint="eastAsia" w:ascii="宋体" w:hAnsi="宋体" w:eastAsia="宋体" w:cs="宋体"/>
          <w:color w:val="auto"/>
          <w:sz w:val="24"/>
          <w:szCs w:val="24"/>
          <w:highlight w:val="none"/>
          <w:shd w:val="clear" w:color="auto" w:fill="FFFFFF"/>
        </w:rPr>
        <w:t>增加工程造价在施工14天前中标人必须提供详细的报价书（含工程项目名称、变更部位、理由、预计造价等）给监理单位核实并报招标人或有关审核部门核定后，方可施工。</w:t>
      </w:r>
    </w:p>
    <w:p w14:paraId="30D6F0EE">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18.12</w:t>
      </w:r>
      <w:r>
        <w:rPr>
          <w:rFonts w:hint="eastAsia" w:ascii="宋体" w:hAnsi="宋体" w:eastAsia="宋体" w:cs="宋体"/>
          <w:color w:val="auto"/>
          <w:sz w:val="24"/>
          <w:szCs w:val="24"/>
          <w:highlight w:val="none"/>
          <w:shd w:val="clear" w:color="auto" w:fill="FFFFFF"/>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施工图设计工作须经招标人审核通过后方可进行下一步设计。</w:t>
      </w:r>
    </w:p>
    <w:p w14:paraId="68AE29BA">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w:t>
      </w:r>
      <w:r>
        <w:rPr>
          <w:rFonts w:hint="eastAsia" w:ascii="宋体" w:hAnsi="宋体" w:eastAsia="宋体" w:cs="宋体"/>
          <w:color w:val="auto"/>
          <w:sz w:val="24"/>
          <w:szCs w:val="24"/>
          <w:highlight w:val="none"/>
          <w:shd w:val="clear" w:color="auto" w:fill="FFFFFF"/>
        </w:rPr>
        <w:t>依据《关于进一步明确EPC建设工程财政投资评审工作有关事项的通知》（韶财建【2018】6号）文件，本项目有关具体事项如下：</w:t>
      </w:r>
    </w:p>
    <w:p w14:paraId="67C39C6D">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18.13.1</w:t>
      </w:r>
      <w:r>
        <w:rPr>
          <w:rFonts w:hint="eastAsia" w:ascii="宋体" w:hAnsi="宋体" w:eastAsia="宋体" w:cs="宋体"/>
          <w:color w:val="auto"/>
          <w:sz w:val="24"/>
          <w:szCs w:val="24"/>
          <w:highlight w:val="none"/>
          <w:shd w:val="clear" w:color="auto" w:fill="FFFFFF"/>
        </w:rPr>
        <w:t>承包人应按合同专用条款约定时间提交施工图设计文件、图纸及相关资料。</w:t>
      </w:r>
    </w:p>
    <w:p w14:paraId="3083FC78">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18.13.2</w:t>
      </w:r>
      <w:r>
        <w:rPr>
          <w:rFonts w:hint="eastAsia" w:ascii="宋体" w:hAnsi="宋体" w:eastAsia="宋体" w:cs="宋体"/>
          <w:color w:val="auto"/>
          <w:sz w:val="24"/>
          <w:szCs w:val="24"/>
          <w:highlight w:val="none"/>
          <w:shd w:val="clear" w:color="auto" w:fill="FFFFFF"/>
        </w:rPr>
        <w:t>承包人必须根据已批准的有关文件深化和优化设计，保证设计文件的深度；因承包人原因造成设计文件存在遭漏、错误、缺陷和不足导致造价增加由承包人负责；在实施过程中的设计优化，不得增加工程造价；确因发包人原因、法律法规调整或者不可抗力造成的设计变更，按工程变更处理。</w:t>
      </w:r>
    </w:p>
    <w:p w14:paraId="3722EC10">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18.13.3</w:t>
      </w:r>
      <w:r>
        <w:rPr>
          <w:rFonts w:hint="eastAsia" w:ascii="宋体" w:hAnsi="宋体" w:eastAsia="宋体" w:cs="宋体"/>
          <w:color w:val="auto"/>
          <w:sz w:val="24"/>
          <w:szCs w:val="24"/>
          <w:highlight w:val="none"/>
          <w:shd w:val="clear" w:color="auto" w:fill="FFFFFF"/>
        </w:rPr>
        <w:t>燃气、通信、电力等专业工程设计、施工方案需要相关部门审批的必须通过审查；在实施过程中由于设计、施工原因导致整体方案改变的，按设计遗漏、错误、缺陷和不足及施工方案不足处理，增加工程造价由承包人负责及承担费用。承包人因勘察不全面导致施工破坏地下管线的由承包人承担全部损失及责任。</w:t>
      </w:r>
    </w:p>
    <w:p w14:paraId="1AD5CF25">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18.13.4</w:t>
      </w:r>
      <w:r>
        <w:rPr>
          <w:rFonts w:hint="eastAsia" w:ascii="宋体" w:hAnsi="宋体" w:eastAsia="宋体" w:cs="宋体"/>
          <w:color w:val="auto"/>
          <w:sz w:val="24"/>
          <w:szCs w:val="24"/>
          <w:highlight w:val="none"/>
          <w:shd w:val="clear" w:color="auto" w:fill="FFFFFF"/>
        </w:rPr>
        <w:t>承包人不得在设计文件中或以口头暗示方式指定工程物资供货商或者制造厂，只有唯一厂家除外；承包人应通过招标等竞争性方式选择供货商或制造厂。</w:t>
      </w:r>
    </w:p>
    <w:p w14:paraId="11068599">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18.13.5</w:t>
      </w:r>
      <w:r>
        <w:rPr>
          <w:rFonts w:hint="eastAsia" w:ascii="宋体" w:hAnsi="宋体" w:eastAsia="宋体" w:cs="宋体"/>
          <w:color w:val="auto"/>
          <w:sz w:val="24"/>
          <w:szCs w:val="24"/>
          <w:highlight w:val="none"/>
          <w:shd w:val="clear" w:color="auto" w:fill="FFFFFF"/>
        </w:rPr>
        <w:t>主要设备、管材(主材)以及专业工程结算报审要求</w:t>
      </w:r>
    </w:p>
    <w:p w14:paraId="0361AC48">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主要设备、管材(主材) 以及专业工程等在工程预算中以“暂估价”形式包括在总承包范围内进行单列的，实施时确定规格型号、参数及档次、询价确价须经过有关承包人充分协商一致并形成书面材料；设备、管材(主材) 采购额达到依法招标条件的，应按国家相关规定采用招标方式确定设备、管材(主材) 供货商或制造厂和价格；结算时需提供选型、确价、实施采购、招标等决策过程文件，互相佐证的采购(招标)文件、投标文件、合同、发票、银行转账单等依据，专业工程需提供图纸等相关完整资料。</w:t>
      </w:r>
    </w:p>
    <w:p w14:paraId="49A0E5B6">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18.13.6</w:t>
      </w:r>
      <w:r>
        <w:rPr>
          <w:rFonts w:hint="eastAsia" w:ascii="宋体" w:hAnsi="宋体" w:eastAsia="宋体" w:cs="宋体"/>
          <w:color w:val="auto"/>
          <w:sz w:val="24"/>
          <w:szCs w:val="24"/>
          <w:highlight w:val="none"/>
          <w:shd w:val="clear" w:color="auto" w:fill="FFFFFF"/>
        </w:rPr>
        <w:t>承包人不得为了用完设计限额额度，擅自扩大建设规模、增加建设内容、提高建设标准的行为，因此导致造价增加由承包人负责及承担费用。</w:t>
      </w:r>
    </w:p>
    <w:p w14:paraId="04B33F5C">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18.14</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5A403DB3">
      <w:pPr>
        <w:pStyle w:val="49"/>
        <w:pageBreakBefore w:val="0"/>
        <w:kinsoku/>
        <w:overflowPunct/>
        <w:topLinePunct w:val="0"/>
        <w:autoSpaceDE/>
        <w:autoSpaceDN/>
        <w:bidi w:val="0"/>
        <w:snapToGrid w:val="0"/>
        <w:spacing w:line="400" w:lineRule="exact"/>
        <w:ind w:firstLine="482"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18.15</w:t>
      </w:r>
      <w:r>
        <w:rPr>
          <w:rFonts w:hint="eastAsia" w:ascii="宋体" w:hAnsi="宋体" w:eastAsia="宋体" w:cs="宋体"/>
          <w:color w:val="auto"/>
          <w:sz w:val="24"/>
          <w:szCs w:val="24"/>
          <w:highlight w:val="none"/>
          <w:shd w:val="clear" w:color="auto" w:fill="FFFFFF"/>
        </w:rPr>
        <w:t>（一）用人单位应当在建设项目动工前，在建设项目所在地商业银行设立工人工资支付专用账户。</w:t>
      </w:r>
    </w:p>
    <w:p w14:paraId="0D330ED1">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3EA5FB5E">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30013BD3">
      <w:pPr>
        <w:pStyle w:val="49"/>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57B81E0E">
      <w:pPr>
        <w:pageBreakBefore w:val="0"/>
        <w:kinsoku/>
        <w:wordWrap w:val="0"/>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3DCBFA53">
      <w:pPr>
        <w:pageBreakBefore w:val="0"/>
        <w:kinsoku/>
        <w:overflowPunct/>
        <w:topLinePunct w:val="0"/>
        <w:autoSpaceDE/>
        <w:autoSpaceDN/>
        <w:bidi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
          <w:bCs/>
          <w:color w:val="auto"/>
          <w:sz w:val="24"/>
          <w:szCs w:val="24"/>
          <w:highlight w:val="none"/>
          <w:shd w:val="clear" w:color="auto" w:fill="FFFFFF"/>
        </w:rPr>
        <w:t>8.16</w:t>
      </w:r>
      <w:r>
        <w:rPr>
          <w:rFonts w:hint="eastAsia" w:ascii="宋体" w:hAnsi="宋体" w:eastAsia="宋体" w:cs="宋体"/>
          <w:color w:val="auto"/>
          <w:sz w:val="24"/>
          <w:szCs w:val="24"/>
          <w:highlight w:val="none"/>
        </w:rPr>
        <w:t>按照《广东省住房和城乡建设厅关于建设工程项目招标中标后监督检查的办法》（粤建市〔2009〕8号）和《韶关市住房和城乡建设局关于加强房屋建筑和市政工程项目招标中标后监督检查的通知》（韶市建字〔2014〕145号）等相关法律法规。中标人中标之后，工程施工项目负责人和项目管理班子其他成员必须是该工程中标时所承诺的项目管理班子成员。</w:t>
      </w:r>
    </w:p>
    <w:p w14:paraId="0230AFE9">
      <w:pPr>
        <w:pageBreakBefore w:val="0"/>
        <w:kinsoku/>
        <w:overflowPunct/>
        <w:topLinePunct w:val="0"/>
        <w:autoSpaceDE/>
        <w:autoSpaceDN/>
        <w:bidi w:val="0"/>
        <w:snapToGrid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班子成员不得擅自变更，项目管理班子成员因有粤建市〔2009〕8号第九条所述情形之一确属不能履行职责需要变更的，施工或监理单位应向建设行政主管部门填报《建设工程项目管理班子变更情况报告表》并附上有关证明文件，经建设行政主管部门审核同意方可变更。更换后的项目经理与中标单位的投标文件所确定的项目负责人或总监理工程师的主要条件一致。</w:t>
      </w:r>
    </w:p>
    <w:p w14:paraId="4651B03F">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若中标单位有下列行为之一的，除依照有关法律、法规进行处罚外，将通过</w:t>
      </w:r>
      <w:r>
        <w:rPr>
          <w:rFonts w:hint="eastAsia" w:ascii="宋体" w:hAnsi="宋体" w:eastAsia="宋体" w:cs="宋体"/>
          <w:color w:val="auto"/>
          <w:sz w:val="24"/>
          <w:szCs w:val="24"/>
          <w:highlight w:val="none"/>
          <w:lang w:eastAsia="zh-CN"/>
        </w:rPr>
        <w:t>市住建</w:t>
      </w:r>
      <w:r>
        <w:rPr>
          <w:rFonts w:hint="eastAsia" w:ascii="宋体" w:hAnsi="宋体" w:eastAsia="宋体" w:cs="宋体"/>
          <w:color w:val="auto"/>
          <w:sz w:val="24"/>
          <w:szCs w:val="24"/>
          <w:highlight w:val="none"/>
        </w:rPr>
        <w:t>站予以及时曝光，并作为今后该单位参与投标的评分扣分依据直至取消投标资格。</w:t>
      </w:r>
    </w:p>
    <w:p w14:paraId="3DB67382">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转包、违法分包或违反投标承诺分包工程的；   </w:t>
      </w:r>
    </w:p>
    <w:p w14:paraId="47B8025F">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非原参加投标中标的项目经理负责组织施工或在实施过程违反粤建市〔2009〕8号第九条规定更换项目经理的、项目的其他主要管理人员与中标文件确定的人员不相符的；</w:t>
      </w:r>
    </w:p>
    <w:p w14:paraId="6ED6A49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投标文件确定的大型机械设备没有进入施工现场的；</w:t>
      </w:r>
    </w:p>
    <w:p w14:paraId="06FE7720">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建设、监理、施工等单位串通，签认虚假工程量或工程造价的；</w:t>
      </w:r>
    </w:p>
    <w:p w14:paraId="4F5A3C74">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施工现场管理不到位的；</w:t>
      </w:r>
    </w:p>
    <w:p w14:paraId="465C08AB">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非本人资格证书登记所在的单位从事工程项目施工管理的；</w:t>
      </w:r>
    </w:p>
    <w:p w14:paraId="5528AE55">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项目经理同时承担超过一项工程项目的；</w:t>
      </w:r>
    </w:p>
    <w:p w14:paraId="31B2917A">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违反有关法律、法规、规章规定的其它行为。</w:t>
      </w:r>
    </w:p>
    <w:p w14:paraId="3A600CD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rPr>
        <w:t>18.17</w:t>
      </w:r>
      <w:r>
        <w:rPr>
          <w:rFonts w:hint="eastAsia" w:ascii="宋体" w:hAnsi="宋体" w:eastAsia="宋体" w:cs="宋体"/>
          <w:color w:val="auto"/>
          <w:sz w:val="24"/>
          <w:szCs w:val="24"/>
          <w:highlight w:val="none"/>
          <w:lang w:val="zh-CN"/>
        </w:rPr>
        <w:t>中标单位必须做好临时道路（含进场道路）的建设与维护及周边环境的保护工作。如临时道路及设施达不到安全文明施工标准的，由招标人组织安排施工队进行维修，实际完成结算由监理单位审定。</w:t>
      </w:r>
    </w:p>
    <w:p w14:paraId="2BA32FD6">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18.</w:t>
      </w:r>
      <w:r>
        <w:rPr>
          <w:rFonts w:hint="eastAsia" w:ascii="宋体" w:hAnsi="宋体" w:eastAsia="宋体" w:cs="宋体"/>
          <w:b/>
          <w:color w:val="auto"/>
          <w:sz w:val="24"/>
          <w:szCs w:val="24"/>
          <w:highlight w:val="none"/>
          <w:lang w:val="en-US" w:eastAsia="zh-CN"/>
        </w:rPr>
        <w:t>18</w:t>
      </w:r>
      <w:r>
        <w:rPr>
          <w:rFonts w:hint="eastAsia" w:ascii="宋体" w:hAnsi="宋体" w:eastAsia="宋体" w:cs="宋体"/>
          <w:b/>
          <w:color w:val="auto"/>
          <w:sz w:val="24"/>
          <w:szCs w:val="24"/>
          <w:highlight w:val="none"/>
        </w:rPr>
        <w:t>中标人违约行为及违约责任条款</w:t>
      </w:r>
    </w:p>
    <w:p w14:paraId="0E687B46">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（一）工程移交延误违约</w:t>
      </w:r>
    </w:p>
    <w:p w14:paraId="3486874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设计原因造成设计资料质量不合格，不能满足技术要求或使工期延误的，中标人除应按招标人要求期限返工外，其返工的设计费、施工费用均由中标人承担，并根据受损失程度向招标人支付相应赔偿金。</w:t>
      </w:r>
    </w:p>
    <w:p w14:paraId="63B15241">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（2）因中标人的原因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未按招标人或监理单位开工令要求时间开工的，每迟延开工1 天，应向招标人支付违约金5000 元；迟延开工超过20 天的，招标人有权根据实际情况单方面解除合同。</w:t>
      </w:r>
    </w:p>
    <w:p w14:paraId="6B7B6E8F">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（3）因中标人的原因造成工期延误</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color w:val="auto"/>
          <w:sz w:val="24"/>
          <w:szCs w:val="24"/>
          <w:highlight w:val="none"/>
        </w:rPr>
        <w:t>，从延误的第一天起按合同价</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‰向招标人支付违约金，支付违约金上限为工程合同价款的</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30EFEC0C">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人必须按期完成主要工序的施工任务，若属中标人原因逾期达10天未完成主要节点的施工任务时，除按第（1）项约定承担违约责任外，招标人可要求撤换项目负责人，中标人应予以执行，并在总工期不调整的前提下自行消化节点工期的延误。逾期1天，罚款</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000元，逾期30 天未完成主要节点的施工任务时，属中标人进度严重违约行为，招标人可单方面终止合同，将中标人作不良纪录报建设行政主管部门备案。并由中标人承担相应的进度严重违约责任。</w:t>
      </w:r>
    </w:p>
    <w:p w14:paraId="1A16FBB0">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（5）中标人承担的进度严重违约责任为：如果中标人出现进度严重违约事件，则须无条件接受招标人终止合同，并在接到终止合同通知书之日起5 个日历天内（招标人应予以配合），在监理工程师的监督下退场完毕。退场完毕后由监理工程师出具《退出完结证明书》，并据此进行相关结算。中标人按履约担保金额支付违约金。给招标人造成的损失超过履约担保金额的部分，中标人还应承担赔偿责任。</w:t>
      </w:r>
    </w:p>
    <w:p w14:paraId="04D82278">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工程施工过程中（竣工验收前），中标人必须按招标人、监理人的要求及时为专业工程（电信、电力管线、电力走廊、煤气、道路绿化、路灯、交通设施、给水等）提供工作面及为专业工程穿插施工所需各项配合工作给予方便，中标人应在施工方案中充分考虑专业工程穿插施工所需的穿插工作面及工期，由于中标人未能给予专业工程穿插施工，造成总施工工期的延误，施工工期不予顺延，中标人承担由于工期延误所产生的损失。</w:t>
      </w:r>
    </w:p>
    <w:p w14:paraId="4D5FB417">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（7）中标人违反合同专用条款的约定和招标人的规定，逾期完成竣工档案的整理、移交、送审备案工作的，每逾期1 天，中标人支付违约金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w:t>
      </w:r>
    </w:p>
    <w:p w14:paraId="57C5672E">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（二）安全、文明施工要求及违约处理：</w:t>
      </w:r>
    </w:p>
    <w:p w14:paraId="1E0D1FE8">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按本合同的约定编制施工组织设计（施工方案、包括安全文明施工措施），经过监理人和招标人审核确认后按其施工，不得随意更改。如果根据实际情况确需修改，则需经工程师及招标人审批同意。</w:t>
      </w:r>
    </w:p>
    <w:p w14:paraId="5FE4935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严格遵守国家、省、市及有关防火、爆破和施工安全以及文明施工、深夜施工、环卫和城市管理等规定，建立规章制度和防护措施，并组织施工。在相关部门的检查中，中标人施工场地被评为不合格工地或被通报批评或下发停工整改通知的或者被新闻媒体曝光的，每发生一次，中标人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 元违约金，如招标人因此被相关部门处罚的，罚金由中标人承担。</w:t>
      </w:r>
    </w:p>
    <w:p w14:paraId="33D3F4A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（3）如果中标人未按招投标文件、本合同、《广东省建设厅建筑工程安全防护、文明施工措施费用管理办法》、招标人要求做好绿色施工安全防护相关措施，未在限期内完成整改的，每延期一天，中标人支付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000元违约金。</w:t>
      </w:r>
    </w:p>
    <w:p w14:paraId="7F2AAE46">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本工程余泥渣土清运施工和建筑垃圾排放运输时，中标人必须严格执行当地相关管理规定的标准和要求，办齐排放有关证照，雇请有合格准运证车辆和具备资质的运输企业，设立专职人员管理余泥渣土、建筑垃圾的运输工作，并对分包单位依法排放余泥渣土、建筑垃圾进行监管。中标人因违反本款约定所造成的一切责任后果全部由中标人承担。经招标人或相关部门检查发现中标人未执行本款约定的，每发现一次，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元违约金。同时，招标人将根据中标人违反余泥渣土运输管理有关规定而造成的不良后果的严重程度，上报建设行政主管部门进行处理。</w:t>
      </w:r>
    </w:p>
    <w:p w14:paraId="17DE67A1">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必须按合同约定的“绿色施工安全防护措施费”足额投入，否则发包人有权自行实施，承包人无条件接受并承担相关费用并接受处罚。招标人根据中标人提供的绿色施工安全防护投入明细经监理单位审核后在合同约定的“绿色施工安全防护措施费”金额内按实结算。</w:t>
      </w:r>
    </w:p>
    <w:p w14:paraId="35FF4E31">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（三）工程质量方面的违约责任：</w:t>
      </w:r>
    </w:p>
    <w:p w14:paraId="6FBCF951">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用于本合同工程所有的材料设备的品牌、型号、规格、质量等符合本合同及招投标文件的要求，严禁假冒伪劣产品，严禁以次充好，严禁未经招标人批准即以其他产品（包括中标人的产品）顶替本合同及招投标文件中规定的产品。中标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支付合同价款千分之三的违约金给招标人。</w:t>
      </w:r>
    </w:p>
    <w:p w14:paraId="2D099789">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（2）设计人对设计资料及文件出现的遗漏或错误负责修改或补充。由于设计错误造成工程质量事故损失，设计人负责采取补救措施。</w:t>
      </w:r>
    </w:p>
    <w:p w14:paraId="21E940ED">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（3）由于设计人原因造成设计成果资料质量不合格，不能满足技术要求时设计人应按招标人要求期限返工，其返工设计费用由设计人承担。</w:t>
      </w:r>
    </w:p>
    <w:p w14:paraId="3D004C21">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（4）如工程在竣工验收达不到合格标准，招标人不予支付工程款，直至中标人返工至合格后方予以支付，并按合同价款的</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向招标人返纳质量违约金。</w:t>
      </w:r>
    </w:p>
    <w:p w14:paraId="61871F05">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（四）关于农民工工资支付的违约责任：</w:t>
      </w:r>
    </w:p>
    <w:p w14:paraId="34A60AFC">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中标人拖欠农民工工资，被农民工投诉属实的，中标人必须在3 天内发放拖欠的款项。若继续拖延被投诉2 次及以上，经查实，中标人除应立即支付拖欠款项外，还应支付10000 元违约金给招标人。因中标人拖欠农民工工资，导致农民工采取停工、集聚围阻招标人办公地点甚至政府办公部门等过激行动的，中标人应支付20000 元违约金，并立即采取切实有效措施予以整改；拒不采取切实有效措施整改的，或整改效果不明显的，招标人可用中标人工程款垫付。若中标人在本工程内发生无故拖欠农民工工资现象，将被作不良记录，上报建设行政主管部门。</w:t>
      </w:r>
    </w:p>
    <w:p w14:paraId="1C074B19">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（五）项目管理机构人员、机械设备、劳动力到位方面的违约责任：</w:t>
      </w:r>
    </w:p>
    <w:p w14:paraId="5C7026C2">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投标文件中确定的项目负责人及其项目技术负责人、主要施工管理人员能及时地、始终地参与本工程施工管理，在未征得招标人书面同意之前不得更换。如果擅自更换项目负责人或项目技术负责人，中标人每更换一人次，需支付10000 元违约金给招标人，如果擅自更换主要施工管理人员，每更换一人次，中标人需支付5000 元违约金给招标人。</w:t>
      </w:r>
    </w:p>
    <w:p w14:paraId="34A15F63">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（2）如果中标人未按监理单位确认后的施工组织设计中的机械设备投入计划投入机械设备，经监理工程师或招标人代表检查发现的，将书面告知限期整改。</w:t>
      </w:r>
    </w:p>
    <w:p w14:paraId="3EFE648E">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（3）如果中标人未按监理单位确认后的施工组织设计中的人力投入计划投入，经监理工程师和招标人代表检查发现的，每发现一次，中标人支付</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 元违约金给招标人。</w:t>
      </w:r>
    </w:p>
    <w:p w14:paraId="65EBD06D">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果检查发现中标人超过三次未按承诺投入的人力、机械、物力组织施工，招标人将作为不良纪录报建设行政主管部门备案。如果检查发现中标人没有按施工组织设计的进度安排推进工程建设，使主要工序的工期延误超过10 天，没有按招标人的意见撤换现场负责人；或者按招标人的意见撤换现场负责人后，仍然无法有效控制工程进度，招标人将发出书面警告，警告发出后15 天内，主要工序的工期延误仍然超过10 天，招标人将作为不良纪录报建设行政主管部门备案。对此，中标人不得有异议。</w:t>
      </w:r>
    </w:p>
    <w:p w14:paraId="19356EA0">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（5）中标人的项目负责人、技术负责人、安全负责人、质量负责人等必须常驻施工现场，且须无条件参加每周的工地例会以及双方约定的其它重要会议，如有缺席，则每人每缺席一次，中标人需支付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元人民币违约金。</w:t>
      </w:r>
    </w:p>
    <w:p w14:paraId="68EE5668">
      <w:pPr>
        <w:pStyle w:val="47"/>
        <w:pageBreakBefore w:val="0"/>
        <w:widowControl/>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（6）设计代表必须常驻施工现场，且须无条件参加每周的工地例会以及双方约定的其它重要会议，如有缺席，则每人每缺席一次，中标人需支付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 元人民币违约金。</w:t>
      </w:r>
    </w:p>
    <w:p w14:paraId="4CB71AE4">
      <w:pPr>
        <w:keepNext w:val="0"/>
        <w:keepLines w:val="0"/>
        <w:pageBreakBefore w:val="0"/>
        <w:widowControl w:val="0"/>
        <w:kinsoku/>
        <w:wordWrap w:val="0"/>
        <w:overflowPunct/>
        <w:topLinePunct w:val="0"/>
        <w:autoSpaceDE/>
        <w:autoSpaceDN/>
        <w:bidi w:val="0"/>
        <w:adjustRightInd w:val="0"/>
        <w:snapToGrid w:val="0"/>
        <w:spacing w:line="400" w:lineRule="exact"/>
        <w:ind w:left="0" w:leftChars="0" w:firstLine="42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中标人需综合考虑现场因素，不得以不完全了解现场情况为理由，提出额外付款或延长工期等要求（除征地拆迁及管线搬迁造成停工，招标人按规定调整工期）。对此类要求，招标人不作任何考虑及答复。</w:t>
      </w:r>
    </w:p>
    <w:p w14:paraId="14C08F26">
      <w:pPr>
        <w:keepNext w:val="0"/>
        <w:keepLines w:val="0"/>
        <w:pageBreakBefore w:val="0"/>
        <w:widowControl w:val="0"/>
        <w:kinsoku/>
        <w:wordWrap w:val="0"/>
        <w:overflowPunct/>
        <w:topLinePunct w:val="0"/>
        <w:autoSpaceDE/>
        <w:autoSpaceDN/>
        <w:bidi w:val="0"/>
        <w:adjustRightInd w:val="0"/>
        <w:snapToGrid w:val="0"/>
        <w:spacing w:line="400" w:lineRule="exact"/>
        <w:ind w:left="0" w:leftChars="0" w:firstLine="42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招标代理费及评标专家酬劳的支付：本工程的招标代理费和评标专家酬劳全部由中标人支付，该费用不再另行报价，由投标人在投标报价时综合考虑在内。中标人在领取中标通知书前须向招标代理机构一次性支付后方可领取中标通知书。</w:t>
      </w:r>
    </w:p>
    <w:p w14:paraId="025ABDF3">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7F225357">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40174214">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1FB802FF">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7676EFD8">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0B5B3697">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299DB288">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665920A9">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010526FC">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03DF5A6C">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211B48BF">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110F36EB">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12930F28">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2D971C73">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0313E572">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5E4FD718">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6B33B580">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1541A807">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5558B8D1">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6DC70BE5">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36842C03">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206C9F3D">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6879F396">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1F97F1E6">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bookmarkStart w:id="359" w:name="_Toc12936"/>
      <w:bookmarkStart w:id="360" w:name="_Toc17661"/>
      <w:bookmarkStart w:id="361" w:name="_Toc22105"/>
      <w:bookmarkStart w:id="362" w:name="_Toc4262"/>
      <w:bookmarkStart w:id="363" w:name="_Toc25046"/>
      <w:bookmarkStart w:id="364" w:name="_Toc26916"/>
      <w:bookmarkStart w:id="365" w:name="_Toc16873"/>
      <w:bookmarkStart w:id="366" w:name="_Toc29236"/>
      <w:bookmarkStart w:id="367" w:name="_Toc23995"/>
      <w:bookmarkStart w:id="368" w:name="_Toc8741"/>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eastAsia="zh-CN"/>
        </w:rPr>
        <w:t>四</w:t>
      </w:r>
      <w:r>
        <w:rPr>
          <w:rFonts w:hint="eastAsia" w:asciiTheme="minorEastAsia" w:hAnsiTheme="minorEastAsia" w:eastAsiaTheme="minorEastAsia" w:cstheme="minorEastAsia"/>
          <w:b/>
          <w:color w:val="auto"/>
          <w:kern w:val="44"/>
          <w:sz w:val="36"/>
          <w:szCs w:val="36"/>
          <w:highlight w:val="none"/>
        </w:rPr>
        <w:t xml:space="preserve">章 </w:t>
      </w:r>
      <w:bookmarkEnd w:id="324"/>
      <w:bookmarkEnd w:id="359"/>
      <w:bookmarkEnd w:id="360"/>
      <w:bookmarkEnd w:id="361"/>
      <w:bookmarkEnd w:id="362"/>
      <w:bookmarkEnd w:id="363"/>
      <w:bookmarkEnd w:id="364"/>
      <w:bookmarkEnd w:id="365"/>
      <w:bookmarkEnd w:id="366"/>
      <w:r>
        <w:rPr>
          <w:rFonts w:hint="eastAsia" w:asciiTheme="minorEastAsia" w:hAnsiTheme="minorEastAsia" w:eastAsiaTheme="minorEastAsia" w:cstheme="minorEastAsia"/>
          <w:b/>
          <w:color w:val="auto"/>
          <w:kern w:val="44"/>
          <w:sz w:val="36"/>
          <w:szCs w:val="36"/>
          <w:highlight w:val="none"/>
        </w:rPr>
        <w:t>技术要求</w:t>
      </w:r>
      <w:bookmarkEnd w:id="367"/>
      <w:bookmarkEnd w:id="368"/>
    </w:p>
    <w:p w14:paraId="0BECABC1">
      <w:pPr>
        <w:pStyle w:val="4"/>
        <w:wordWrap w:val="0"/>
        <w:autoSpaceDE/>
        <w:autoSpaceDN/>
        <w:snapToGrid w:val="0"/>
        <w:spacing w:before="240" w:beforeLines="100" w:after="240" w:afterLines="100" w:line="440" w:lineRule="exact"/>
        <w:jc w:val="both"/>
        <w:rPr>
          <w:rFonts w:hint="eastAsia" w:ascii="宋体" w:hAnsi="宋体" w:eastAsia="宋体" w:cs="宋体"/>
          <w:b/>
          <w:snapToGrid w:val="0"/>
          <w:color w:val="auto"/>
          <w:sz w:val="24"/>
          <w:szCs w:val="24"/>
          <w:highlight w:val="none"/>
        </w:rPr>
      </w:pPr>
      <w:bookmarkStart w:id="369" w:name="_Hlt69359086"/>
      <w:bookmarkEnd w:id="369"/>
      <w:bookmarkStart w:id="370" w:name="_Hlt69116854"/>
      <w:bookmarkEnd w:id="370"/>
      <w:bookmarkStart w:id="371" w:name="_Hlt78709799"/>
      <w:bookmarkEnd w:id="371"/>
      <w:bookmarkStart w:id="372" w:name="_Hlt69358207"/>
      <w:bookmarkEnd w:id="372"/>
      <w:bookmarkStart w:id="373" w:name="_Hlt69358458"/>
      <w:bookmarkEnd w:id="373"/>
      <w:bookmarkStart w:id="374" w:name="_Hlt69359335"/>
      <w:bookmarkEnd w:id="374"/>
      <w:bookmarkStart w:id="375" w:name="_Hlt87793370"/>
      <w:bookmarkEnd w:id="375"/>
      <w:bookmarkStart w:id="376" w:name="_Hlt69265216"/>
      <w:bookmarkEnd w:id="376"/>
      <w:bookmarkStart w:id="377" w:name="_Hlt69357851"/>
      <w:bookmarkEnd w:id="377"/>
      <w:bookmarkStart w:id="378" w:name="_Hlt66104926"/>
      <w:bookmarkEnd w:id="378"/>
      <w:bookmarkStart w:id="379" w:name="_Hlt69116858"/>
      <w:bookmarkEnd w:id="379"/>
      <w:bookmarkStart w:id="380" w:name="_Hlt68774758"/>
      <w:bookmarkEnd w:id="380"/>
      <w:bookmarkStart w:id="381" w:name="_Hlt87793346"/>
      <w:bookmarkEnd w:id="381"/>
      <w:bookmarkStart w:id="382" w:name="_Hlt69359245"/>
      <w:bookmarkEnd w:id="382"/>
      <w:bookmarkStart w:id="383" w:name="_Hlt75685840"/>
      <w:bookmarkEnd w:id="383"/>
      <w:bookmarkStart w:id="384" w:name="_Hlt80411122"/>
      <w:bookmarkEnd w:id="384"/>
      <w:bookmarkStart w:id="385" w:name="_Hlt69359243"/>
      <w:bookmarkEnd w:id="385"/>
      <w:bookmarkStart w:id="386" w:name="_Hlt69635252"/>
      <w:bookmarkEnd w:id="386"/>
      <w:bookmarkStart w:id="387" w:name="_Toc12897"/>
      <w:bookmarkStart w:id="388" w:name="_Toc14935"/>
      <w:bookmarkStart w:id="389" w:name="_Toc4523"/>
      <w:bookmarkStart w:id="390" w:name="_Toc32260"/>
      <w:bookmarkStart w:id="391" w:name="_Toc14641"/>
      <w:r>
        <w:rPr>
          <w:rFonts w:hint="eastAsia" w:ascii="宋体" w:hAnsi="宋体" w:eastAsia="宋体" w:cs="宋体"/>
          <w:b/>
          <w:snapToGrid w:val="0"/>
          <w:color w:val="auto"/>
          <w:sz w:val="24"/>
          <w:szCs w:val="24"/>
          <w:highlight w:val="none"/>
        </w:rPr>
        <w:t>1.设计规范</w:t>
      </w:r>
      <w:bookmarkEnd w:id="387"/>
      <w:bookmarkEnd w:id="388"/>
      <w:bookmarkEnd w:id="389"/>
      <w:bookmarkEnd w:id="390"/>
      <w:bookmarkEnd w:id="391"/>
    </w:p>
    <w:p w14:paraId="17B8CF54">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1）《建筑工程施工质量验收统一标准》（GB50300-2013）；</w:t>
      </w:r>
    </w:p>
    <w:p w14:paraId="36B7B87D">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2）《建筑装饰装修工程质量验收规范》（GB50210-2018）；</w:t>
      </w:r>
    </w:p>
    <w:p w14:paraId="5FA9E127">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3）《建筑照明设计标准》（GB50034-2013）；</w:t>
      </w:r>
    </w:p>
    <w:p w14:paraId="0F6D405F">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4）《建筑设计防火规范》（GB50016-2014）；</w:t>
      </w:r>
    </w:p>
    <w:p w14:paraId="6675CCCC">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5）《屋面工程技术规范》（GB50345-2012）；</w:t>
      </w:r>
    </w:p>
    <w:p w14:paraId="056071AA">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6）《建筑地面设计规范》（GB50037-2013）；</w:t>
      </w:r>
    </w:p>
    <w:p w14:paraId="4044BA2F">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7）《公共建筑节能设计标准》（GB50189-2015）；</w:t>
      </w:r>
    </w:p>
    <w:p w14:paraId="0C15BEF3">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8）《无障碍设计规范》（GB50763-2012）；</w:t>
      </w:r>
    </w:p>
    <w:p w14:paraId="119FCDB7">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9）《屋面工程质量验收规范》（GB50207-2012）；</w:t>
      </w:r>
    </w:p>
    <w:p w14:paraId="1C08EED4">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10）《城市绿化工程施工及验收规范》；</w:t>
      </w:r>
    </w:p>
    <w:p w14:paraId="1B1C1DE3">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11）《给水排水构筑物施 工及验收规范》GB 50141-2008</w:t>
      </w:r>
    </w:p>
    <w:p w14:paraId="2DD2CB80">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12）《建筑给水排水设计规范》（GB50015-2019）；</w:t>
      </w:r>
    </w:p>
    <w:p w14:paraId="686E88BA">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13）《室外给水设计规范》（GB50013-2018）；</w:t>
      </w:r>
    </w:p>
    <w:p w14:paraId="16DB91C3">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14）《低压配电设计规范》（GB50054-2011）；</w:t>
      </w:r>
    </w:p>
    <w:p w14:paraId="00A85237">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15）《建筑采光设计标准》（GB50033-2013）；</w:t>
      </w:r>
    </w:p>
    <w:p w14:paraId="6BA22363">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16）《建筑工程设计文件编制深度规定》（建设部2016年版）；</w:t>
      </w:r>
    </w:p>
    <w:p w14:paraId="1728AF27">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17）《公共文化体育设施条例》；</w:t>
      </w:r>
    </w:p>
    <w:p w14:paraId="09562EB7">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18）《建筑地面设计规范》；</w:t>
      </w:r>
    </w:p>
    <w:p w14:paraId="1B19D230">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19）《市政道路工程质量检验评定标准》；</w:t>
      </w:r>
    </w:p>
    <w:p w14:paraId="7A32E71F">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20）《城市工程管线综合规划规范》；</w:t>
      </w:r>
    </w:p>
    <w:p w14:paraId="66FA1619">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21）《建筑抗震设计规范》（GB50011-2010）（2016 年修订版）；</w:t>
      </w:r>
    </w:p>
    <w:p w14:paraId="21E317C5">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22）《城市道路路基工程施工及验收规范》；</w:t>
      </w:r>
    </w:p>
    <w:p w14:paraId="562DB5FA">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23）《韶关市城市规划管理技术规定（2015 年版）》；</w:t>
      </w:r>
    </w:p>
    <w:p w14:paraId="7DAC6AB6">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24）《室外排水设计标准》GB 50014-2021；</w:t>
      </w:r>
    </w:p>
    <w:p w14:paraId="1A1CC6F2">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25）《室外给水设计标准》GB 50013-2018；</w:t>
      </w:r>
    </w:p>
    <w:p w14:paraId="0DB5EC9D">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26）《建筑给水排水设计标准》GB 50015-2019；</w:t>
      </w:r>
    </w:p>
    <w:p w14:paraId="100CD42F">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27）《城市排水工程规划规范》GB 50318-2017；</w:t>
      </w:r>
    </w:p>
    <w:p w14:paraId="43C27455">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28）《城市给水工程规划规范》GB 50282-2016；</w:t>
      </w:r>
    </w:p>
    <w:p w14:paraId="1A8A1677">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29）《城镇给水排水技术规范》GB 50788-2012；</w:t>
      </w:r>
    </w:p>
    <w:p w14:paraId="0B92CCFC">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30）《镇（乡）村排水工程技术规程》CJJ 124-2008；</w:t>
      </w:r>
    </w:p>
    <w:p w14:paraId="32AFB90C">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31）《混凝土和钢筋混凝土排水管》GB/T 11836-2009；</w:t>
      </w:r>
    </w:p>
    <w:p w14:paraId="7753F700">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32）《给水排水工程构筑物结构设计规范》GB 50069-2002；</w:t>
      </w:r>
    </w:p>
    <w:p w14:paraId="239A8626">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33）《给水排水 管道工程施工及验收规范》GB 50268-2008；</w:t>
      </w:r>
    </w:p>
    <w:p w14:paraId="1E831624">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34）其他现行国家、广东省关于房建、市政工程的施工及验收规范、规程、标准。</w:t>
      </w:r>
    </w:p>
    <w:p w14:paraId="54EE87B7">
      <w:pPr>
        <w:wordWrap w:val="0"/>
        <w:adjustRightInd w:val="0"/>
        <w:snapToGrid w:val="0"/>
        <w:spacing w:line="440" w:lineRule="exact"/>
        <w:ind w:left="42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35）符合国家及地方现行的设计标准及规范，符合本项目的可</w:t>
      </w:r>
      <w:r>
        <w:rPr>
          <w:rFonts w:hint="eastAsia" w:ascii="宋体" w:hAnsi="宋体" w:eastAsia="宋体" w:cs="宋体"/>
          <w:bCs/>
          <w:snapToGrid w:val="0"/>
          <w:color w:val="auto"/>
          <w:kern w:val="0"/>
          <w:sz w:val="24"/>
          <w:szCs w:val="24"/>
          <w:highlight w:val="none"/>
          <w:lang w:val="en-US" w:eastAsia="zh-CN"/>
        </w:rPr>
        <w:t>行性</w:t>
      </w:r>
      <w:r>
        <w:rPr>
          <w:rFonts w:hint="eastAsia" w:ascii="宋体" w:hAnsi="宋体" w:eastAsia="宋体" w:cs="宋体"/>
          <w:bCs/>
          <w:snapToGrid w:val="0"/>
          <w:color w:val="auto"/>
          <w:kern w:val="0"/>
          <w:sz w:val="24"/>
          <w:szCs w:val="24"/>
          <w:highlight w:val="none"/>
        </w:rPr>
        <w:t>研究报告的要求。</w:t>
      </w:r>
    </w:p>
    <w:p w14:paraId="00A6FA5C">
      <w:pPr>
        <w:pStyle w:val="7"/>
        <w:rPr>
          <w:rFonts w:hint="eastAsia" w:ascii="宋体" w:hAnsi="宋体" w:eastAsia="宋体" w:cs="宋体"/>
          <w:color w:val="auto"/>
          <w:sz w:val="24"/>
          <w:szCs w:val="24"/>
          <w:highlight w:val="none"/>
        </w:rPr>
      </w:pPr>
    </w:p>
    <w:p w14:paraId="7B2A0C74">
      <w:pPr>
        <w:pStyle w:val="6"/>
        <w:spacing w:line="360" w:lineRule="auto"/>
        <w:ind w:firstLine="482" w:firstLineChars="200"/>
        <w:rPr>
          <w:rFonts w:hint="eastAsia" w:ascii="宋体" w:hAnsi="宋体" w:eastAsia="宋体" w:cs="宋体"/>
          <w:b/>
          <w:bCs/>
          <w:color w:val="auto"/>
          <w:sz w:val="24"/>
          <w:szCs w:val="24"/>
          <w:highlight w:val="none"/>
        </w:rPr>
      </w:pPr>
      <w:bookmarkStart w:id="392" w:name="_Toc25668"/>
      <w:bookmarkStart w:id="393" w:name="_Toc28294"/>
      <w:r>
        <w:rPr>
          <w:rFonts w:hint="eastAsia" w:ascii="宋体" w:hAnsi="宋体" w:eastAsia="宋体" w:cs="宋体"/>
          <w:b/>
          <w:bCs/>
          <w:color w:val="auto"/>
          <w:sz w:val="24"/>
          <w:szCs w:val="24"/>
          <w:highlight w:val="none"/>
        </w:rPr>
        <w:t>2.施工规范</w:t>
      </w:r>
      <w:bookmarkEnd w:id="392"/>
      <w:bookmarkEnd w:id="393"/>
    </w:p>
    <w:p w14:paraId="0BC8D486">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1．房屋建筑工程建设项目</w:t>
      </w:r>
    </w:p>
    <w:p w14:paraId="7197784D">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房屋建筑工程建设项目必须执行的现行技术规范，包括且不限于：</w:t>
      </w:r>
    </w:p>
    <w:p w14:paraId="1956243A">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（1）《建筑工程施工质量验收统一标准》；</w:t>
      </w:r>
    </w:p>
    <w:p w14:paraId="52AD37BA">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（2）《建筑地基基础工程施工质量验收规范》；</w:t>
      </w:r>
    </w:p>
    <w:p w14:paraId="350341AE">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（3）《砌体工程施工质量验收规范》；</w:t>
      </w:r>
    </w:p>
    <w:p w14:paraId="1DA7C4D9">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（4）《混凝土结构工程施工质量验收规范》；</w:t>
      </w:r>
    </w:p>
    <w:p w14:paraId="4941F945">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（5）《屋面工程质量验收规范》；</w:t>
      </w:r>
    </w:p>
    <w:p w14:paraId="39449DF6">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（6）《地下防水工程质量验收规范》；</w:t>
      </w:r>
    </w:p>
    <w:p w14:paraId="7165DB60">
      <w:pPr>
        <w:pStyle w:val="6"/>
        <w:spacing w:line="360" w:lineRule="auto"/>
        <w:ind w:firstLine="480" w:firstLineChars="200"/>
        <w:rPr>
          <w:rFonts w:hint="eastAsia" w:ascii="宋体" w:hAnsi="宋体" w:eastAsia="宋体" w:cs="宋体"/>
          <w:color w:val="auto"/>
          <w:sz w:val="24"/>
          <w:szCs w:val="24"/>
          <w:highlight w:val="none"/>
        </w:rPr>
      </w:pPr>
      <w:bookmarkStart w:id="394" w:name="_Hlt78795211"/>
      <w:bookmarkEnd w:id="394"/>
      <w:r>
        <w:rPr>
          <w:rFonts w:hint="eastAsia" w:ascii="宋体" w:hAnsi="宋体" w:eastAsia="宋体" w:cs="宋体"/>
          <w:color w:val="auto"/>
          <w:sz w:val="24"/>
          <w:szCs w:val="24"/>
          <w:highlight w:val="none"/>
        </w:rPr>
        <w:t>（7）《建筑地面工程施工质量验收规范》；</w:t>
      </w:r>
    </w:p>
    <w:p w14:paraId="3E332D89">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（8）《建筑装饰装修工程施工质量验收规范》；</w:t>
      </w:r>
    </w:p>
    <w:p w14:paraId="76E0DCF1">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（9）《建筑给排水及采暖工程施工质量验收规范》；</w:t>
      </w:r>
    </w:p>
    <w:p w14:paraId="3D4F1B17">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（10）《建筑电气工程施工质量验收规范》；</w:t>
      </w:r>
    </w:p>
    <w:p w14:paraId="50F3C3A5">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（11）《住建部绿色建筑评价标准》；</w:t>
      </w:r>
    </w:p>
    <w:p w14:paraId="1D16A18F">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（12）《建筑节能与可再生能源利用通用规范》（GB55015-2021）；</w:t>
      </w:r>
    </w:p>
    <w:p w14:paraId="6DCAB127">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（13）《建筑环境通用规范》；</w:t>
      </w:r>
    </w:p>
    <w:p w14:paraId="62559585">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（14）《广东省住房和城乡建设厅绿色施工导则》；</w:t>
      </w:r>
    </w:p>
    <w:p w14:paraId="039F87C7">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（15）《广东省建筑工程绿色施工评价标准》；</w:t>
      </w:r>
    </w:p>
    <w:p w14:paraId="150D889F">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（16）《广东省建筑节能与绿色建筑工程施工质量验收规范》</w:t>
      </w:r>
    </w:p>
    <w:p w14:paraId="047B631A">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（17）其他现行国家、广东省关于房建工程的施工及验收规范、定额、规程、标准。</w:t>
      </w:r>
    </w:p>
    <w:p w14:paraId="1D107F7C">
      <w:pPr>
        <w:pStyle w:val="6"/>
        <w:spacing w:line="360" w:lineRule="auto"/>
        <w:ind w:firstLine="480" w:firstLineChars="200"/>
        <w:rPr>
          <w:rFonts w:hint="eastAsia" w:ascii="宋体" w:hAnsi="宋体" w:eastAsia="宋体" w:cs="宋体"/>
          <w:color w:val="auto"/>
          <w:sz w:val="24"/>
          <w:szCs w:val="24"/>
          <w:highlight w:val="none"/>
        </w:rPr>
      </w:pPr>
    </w:p>
    <w:p w14:paraId="16303D56">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2．市政基础设施工程建设项目</w:t>
      </w:r>
    </w:p>
    <w:p w14:paraId="4310BB5A">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市政基础设施工程建设项目必须执行的现行技术规范，包括且不限于：</w:t>
      </w:r>
    </w:p>
    <w:p w14:paraId="7638895B">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（1）《公路路基施工技术规范》；</w:t>
      </w:r>
    </w:p>
    <w:p w14:paraId="44ACA28D">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（2）《市政道路工程质量检验评定标准》；</w:t>
      </w:r>
    </w:p>
    <w:p w14:paraId="0B01F855">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（3）《市政排水管渠工程质量检验评定标准》；</w:t>
      </w:r>
    </w:p>
    <w:p w14:paraId="52E598F0">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（4）《给水排水管道工程施工及验收规范》；</w:t>
      </w:r>
    </w:p>
    <w:p w14:paraId="038EBC38">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（5）《城市道路路基工程施工及验收规范》；</w:t>
      </w:r>
    </w:p>
    <w:p w14:paraId="5542218F">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（6）《水泥砼路面施工及验收规范》；</w:t>
      </w:r>
    </w:p>
    <w:p w14:paraId="22EC3799">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（7）《公路水泥砼路面施工技术规范》；</w:t>
      </w:r>
    </w:p>
    <w:p w14:paraId="0DFD0FEE">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（8）《埋地硬聚氯乙烯排水管道工程技术规程》；</w:t>
      </w:r>
    </w:p>
    <w:p w14:paraId="0EE2237E">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（9）《沥青路面施工及验收规范》；</w:t>
      </w:r>
    </w:p>
    <w:p w14:paraId="2C4D5772">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（10）《广东省市政工程施工质量技术资料统一用表》。</w:t>
      </w:r>
    </w:p>
    <w:p w14:paraId="420E8499">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（11）《城市道路照明设计标准》（CJJ45-2015）；</w:t>
      </w:r>
    </w:p>
    <w:p w14:paraId="1D12BC99">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（12）《低压配电设计规范》（GB50054-2011）；</w:t>
      </w:r>
    </w:p>
    <w:p w14:paraId="424D5B68">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（13）《城市道路照明工程施工及验收规程》（CJJ89-2012）；</w:t>
      </w:r>
    </w:p>
    <w:p w14:paraId="633842C6">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（14）《LED道路照明工程技术规范》（DB44/T 1898-2016）；</w:t>
      </w:r>
    </w:p>
    <w:p w14:paraId="2C04BB0C">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（15）《灯具第1部分：一般要求与试验》（GB7000.1-2015）；</w:t>
      </w:r>
    </w:p>
    <w:p w14:paraId="771E4C2F">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（16）《电缆工程电缆设计标准》（GB50217-2018）；</w:t>
      </w:r>
    </w:p>
    <w:p w14:paraId="2DB864DC">
      <w:pPr>
        <w:pStyle w:val="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（17）其他现行国家、广东省关于市政工程的技术及验收规范、定额、规程、标准。</w:t>
      </w:r>
    </w:p>
    <w:p w14:paraId="5BE27319">
      <w:pPr>
        <w:pStyle w:val="4"/>
        <w:wordWrap w:val="0"/>
        <w:autoSpaceDE/>
        <w:autoSpaceDN/>
        <w:snapToGrid w:val="0"/>
        <w:spacing w:line="440" w:lineRule="exact"/>
        <w:ind w:firstLine="480"/>
        <w:jc w:val="both"/>
        <w:rPr>
          <w:rFonts w:hint="eastAsia" w:ascii="宋体" w:hAnsi="宋体" w:eastAsia="宋体" w:cs="宋体"/>
          <w:b/>
          <w:snapToGrid w:val="0"/>
          <w:color w:val="auto"/>
          <w:sz w:val="24"/>
          <w:szCs w:val="24"/>
          <w:highlight w:val="none"/>
        </w:rPr>
      </w:pPr>
      <w:bookmarkStart w:id="395" w:name="_Toc28818"/>
      <w:bookmarkStart w:id="396" w:name="_Toc30285"/>
      <w:bookmarkStart w:id="397" w:name="_Toc7299"/>
      <w:bookmarkStart w:id="398" w:name="_Toc31093"/>
      <w:bookmarkStart w:id="399" w:name="_Toc2849"/>
      <w:r>
        <w:rPr>
          <w:rFonts w:hint="eastAsia" w:ascii="宋体" w:hAnsi="宋体" w:eastAsia="宋体" w:cs="宋体"/>
          <w:b/>
          <w:snapToGrid w:val="0"/>
          <w:color w:val="auto"/>
          <w:sz w:val="24"/>
          <w:szCs w:val="24"/>
          <w:highlight w:val="none"/>
        </w:rPr>
        <w:t>3．备查要求</w:t>
      </w:r>
      <w:bookmarkEnd w:id="395"/>
      <w:bookmarkEnd w:id="396"/>
      <w:bookmarkEnd w:id="397"/>
      <w:bookmarkEnd w:id="398"/>
      <w:bookmarkEnd w:id="399"/>
    </w:p>
    <w:p w14:paraId="79ACEB8B">
      <w:pPr>
        <w:tabs>
          <w:tab w:val="left" w:pos="0"/>
        </w:tabs>
        <w:wordWrap w:val="0"/>
        <w:adjustRightInd w:val="0"/>
        <w:snapToGrid w:val="0"/>
        <w:ind w:firstLine="480" w:firstLineChars="200"/>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p>
    <w:p w14:paraId="44232FBC">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068B4EDA">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7B31EBBC">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42D55EF3">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06D8416E">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75CD48D2">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4244AFF4">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0697D16D">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2A1FF855">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241CFDC5">
      <w:pPr>
        <w:pStyle w:val="3"/>
        <w:numPr>
          <w:ilvl w:val="0"/>
          <w:numId w:val="0"/>
        </w:numPr>
        <w:jc w:val="both"/>
        <w:rPr>
          <w:rFonts w:hint="eastAsia" w:asciiTheme="minorEastAsia" w:hAnsiTheme="minorEastAsia" w:eastAsiaTheme="minorEastAsia" w:cstheme="minorEastAsia"/>
          <w:b/>
          <w:color w:val="auto"/>
          <w:kern w:val="44"/>
          <w:sz w:val="32"/>
          <w:szCs w:val="32"/>
          <w:highlight w:val="none"/>
        </w:rPr>
      </w:pPr>
      <w:bookmarkStart w:id="400" w:name="_Toc25914"/>
      <w:bookmarkStart w:id="401" w:name="_Toc3771"/>
      <w:bookmarkStart w:id="402" w:name="_Toc466640613"/>
      <w:bookmarkStart w:id="403" w:name="_Toc1386"/>
      <w:bookmarkStart w:id="404" w:name="_Toc28010"/>
      <w:bookmarkStart w:id="405" w:name="_Toc25340"/>
      <w:bookmarkStart w:id="406" w:name="_Toc27104"/>
      <w:bookmarkStart w:id="407" w:name="_Toc30186"/>
      <w:bookmarkStart w:id="408" w:name="_Toc105"/>
      <w:bookmarkStart w:id="409" w:name="_Toc269"/>
    </w:p>
    <w:p w14:paraId="6FDE3749">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lang w:eastAsia="zh-CN"/>
        </w:rPr>
      </w:pPr>
      <w:bookmarkStart w:id="410" w:name="_Toc12645"/>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eastAsia="zh-CN"/>
        </w:rPr>
        <w:t>五</w:t>
      </w:r>
      <w:r>
        <w:rPr>
          <w:rFonts w:hint="eastAsia" w:asciiTheme="minorEastAsia" w:hAnsiTheme="minorEastAsia" w:eastAsiaTheme="minorEastAsia" w:cstheme="minorEastAsia"/>
          <w:b/>
          <w:color w:val="auto"/>
          <w:kern w:val="44"/>
          <w:sz w:val="36"/>
          <w:szCs w:val="36"/>
          <w:highlight w:val="none"/>
        </w:rPr>
        <w:t>章</w:t>
      </w:r>
      <w:bookmarkEnd w:id="400"/>
      <w:bookmarkEnd w:id="401"/>
      <w:bookmarkEnd w:id="402"/>
      <w:bookmarkEnd w:id="403"/>
      <w:bookmarkEnd w:id="404"/>
      <w:bookmarkEnd w:id="405"/>
      <w:bookmarkEnd w:id="406"/>
      <w:bookmarkEnd w:id="407"/>
      <w:bookmarkEnd w:id="408"/>
      <w:bookmarkStart w:id="411" w:name="_Hlt69698785"/>
      <w:r>
        <w:rPr>
          <w:rFonts w:hint="eastAsia" w:asciiTheme="minorEastAsia" w:hAnsiTheme="minorEastAsia" w:eastAsiaTheme="minorEastAsia" w:cstheme="minorEastAsia"/>
          <w:b/>
          <w:color w:val="auto"/>
          <w:kern w:val="44"/>
          <w:sz w:val="36"/>
          <w:szCs w:val="36"/>
          <w:highlight w:val="none"/>
          <w:lang w:val="en-US" w:eastAsia="zh-CN"/>
        </w:rPr>
        <w:t xml:space="preserve">  </w:t>
      </w:r>
      <w:r>
        <w:rPr>
          <w:rFonts w:hint="eastAsia" w:asciiTheme="minorEastAsia" w:hAnsiTheme="minorEastAsia" w:eastAsiaTheme="minorEastAsia" w:cstheme="minorEastAsia"/>
          <w:b/>
          <w:color w:val="auto"/>
          <w:kern w:val="44"/>
          <w:sz w:val="36"/>
          <w:szCs w:val="36"/>
          <w:highlight w:val="none"/>
        </w:rPr>
        <w:t>招标文件</w:t>
      </w:r>
      <w:bookmarkEnd w:id="409"/>
      <w:bookmarkStart w:id="412" w:name="_Hlt75747044"/>
      <w:bookmarkEnd w:id="412"/>
      <w:r>
        <w:rPr>
          <w:rFonts w:hint="eastAsia" w:asciiTheme="minorEastAsia" w:hAnsiTheme="minorEastAsia" w:eastAsiaTheme="minorEastAsia" w:cstheme="minorEastAsia"/>
          <w:b/>
          <w:color w:val="auto"/>
          <w:kern w:val="44"/>
          <w:sz w:val="36"/>
          <w:szCs w:val="36"/>
          <w:highlight w:val="none"/>
          <w:lang w:eastAsia="zh-CN"/>
        </w:rPr>
        <w:t>格式</w:t>
      </w:r>
      <w:bookmarkEnd w:id="410"/>
    </w:p>
    <w:p w14:paraId="25E9FFE6">
      <w:pPr>
        <w:rPr>
          <w:rFonts w:hint="eastAsia" w:asciiTheme="minorEastAsia" w:hAnsiTheme="minorEastAsia" w:eastAsiaTheme="minorEastAsia" w:cstheme="minorEastAsia"/>
          <w:color w:val="auto"/>
          <w:highlight w:val="none"/>
        </w:rPr>
      </w:pPr>
    </w:p>
    <w:bookmarkEnd w:id="411"/>
    <w:p w14:paraId="50422095">
      <w:pPr>
        <w:pStyle w:val="4"/>
        <w:spacing w:before="120"/>
        <w:rPr>
          <w:rFonts w:hint="eastAsia" w:asciiTheme="minorEastAsia" w:hAnsiTheme="minorEastAsia" w:eastAsiaTheme="minorEastAsia" w:cstheme="minorEastAsia"/>
          <w:b/>
          <w:snapToGrid w:val="0"/>
          <w:color w:val="auto"/>
          <w:szCs w:val="24"/>
          <w:highlight w:val="none"/>
        </w:rPr>
      </w:pPr>
      <w:bookmarkStart w:id="413" w:name="_附件二：近三年度主要施工项目（竣工及在建）一览表"/>
      <w:bookmarkEnd w:id="413"/>
      <w:bookmarkStart w:id="414" w:name="_附件二：工期承诺书"/>
      <w:bookmarkEnd w:id="414"/>
      <w:bookmarkStart w:id="415" w:name="_附件五：综合评审合理低价法"/>
      <w:bookmarkEnd w:id="415"/>
      <w:bookmarkStart w:id="416" w:name="_附件四：工期承诺书"/>
      <w:bookmarkEnd w:id="416"/>
      <w:bookmarkStart w:id="417" w:name="_附件一：对招标文件条款自愿接受承诺书"/>
      <w:bookmarkEnd w:id="417"/>
      <w:bookmarkStart w:id="418" w:name="_附件一：投标函"/>
      <w:bookmarkEnd w:id="418"/>
      <w:bookmarkStart w:id="419" w:name="_Toc3855"/>
      <w:bookmarkStart w:id="420" w:name="_Toc12527"/>
      <w:bookmarkStart w:id="421" w:name="_Toc39136360"/>
      <w:bookmarkStart w:id="422" w:name="_Toc12406"/>
      <w:bookmarkStart w:id="423" w:name="_Toc2902"/>
      <w:bookmarkStart w:id="424" w:name="_Toc2335"/>
      <w:bookmarkStart w:id="425" w:name="_Toc11586"/>
      <w:bookmarkStart w:id="426" w:name="_Toc133160683"/>
      <w:bookmarkStart w:id="427" w:name="_Toc132687128"/>
      <w:bookmarkStart w:id="428" w:name="_Toc137444778"/>
      <w:bookmarkStart w:id="429" w:name="_Toc142468134"/>
      <w:bookmarkStart w:id="430" w:name="_Toc133815902"/>
      <w:bookmarkStart w:id="431" w:name="_Toc78794873"/>
      <w:r>
        <w:rPr>
          <w:rFonts w:hint="eastAsia" w:asciiTheme="minorEastAsia" w:hAnsiTheme="minorEastAsia" w:eastAsiaTheme="minorEastAsia" w:cstheme="minorEastAsia"/>
          <w:b/>
          <w:snapToGrid w:val="0"/>
          <w:color w:val="auto"/>
          <w:szCs w:val="24"/>
          <w:highlight w:val="none"/>
        </w:rPr>
        <w:t>格式一 封面</w:t>
      </w:r>
      <w:bookmarkEnd w:id="419"/>
      <w:bookmarkEnd w:id="420"/>
      <w:bookmarkEnd w:id="421"/>
      <w:bookmarkEnd w:id="422"/>
      <w:bookmarkEnd w:id="423"/>
      <w:bookmarkEnd w:id="424"/>
      <w:bookmarkEnd w:id="425"/>
    </w:p>
    <w:p w14:paraId="29CA1938">
      <w:pPr>
        <w:pStyle w:val="40"/>
        <w:widowControl w:val="0"/>
        <w:wordWrap w:val="0"/>
        <w:adjustRightInd w:val="0"/>
        <w:snapToGrid w:val="0"/>
        <w:rPr>
          <w:rFonts w:hint="eastAsia" w:asciiTheme="minorEastAsia" w:hAnsiTheme="minorEastAsia" w:eastAsiaTheme="minorEastAsia" w:cstheme="minorEastAsia"/>
          <w:b/>
          <w:snapToGrid w:val="0"/>
          <w:color w:val="auto"/>
          <w:sz w:val="24"/>
          <w:szCs w:val="24"/>
          <w:highlight w:val="none"/>
        </w:rPr>
      </w:pPr>
    </w:p>
    <w:p w14:paraId="3F3B46CC">
      <w:pPr>
        <w:pStyle w:val="40"/>
        <w:widowControl w:val="0"/>
        <w:wordWrap w:val="0"/>
        <w:adjustRightInd w:val="0"/>
        <w:snapToGrid w:val="0"/>
        <w:jc w:val="right"/>
        <w:rPr>
          <w:rFonts w:hint="eastAsia" w:asciiTheme="minorEastAsia" w:hAnsiTheme="minorEastAsia" w:eastAsiaTheme="minorEastAsia" w:cstheme="minorEastAsia"/>
          <w:b/>
          <w:snapToGrid w:val="0"/>
          <w:color w:val="auto"/>
          <w:sz w:val="24"/>
          <w:szCs w:val="24"/>
          <w:highlight w:val="none"/>
        </w:rPr>
      </w:pPr>
    </w:p>
    <w:p w14:paraId="0BC54851">
      <w:pPr>
        <w:pStyle w:val="40"/>
        <w:widowControl w:val="0"/>
        <w:wordWrap w:val="0"/>
        <w:adjustRightInd w:val="0"/>
        <w:snapToGrid w:val="0"/>
        <w:rPr>
          <w:rFonts w:hint="eastAsia" w:asciiTheme="minorEastAsia" w:hAnsiTheme="minorEastAsia" w:eastAsiaTheme="minorEastAsia" w:cstheme="minorEastAsia"/>
          <w:b/>
          <w:snapToGrid w:val="0"/>
          <w:color w:val="auto"/>
          <w:sz w:val="24"/>
          <w:szCs w:val="24"/>
          <w:highlight w:val="none"/>
        </w:rPr>
      </w:pPr>
    </w:p>
    <w:p w14:paraId="2EAACAA4">
      <w:pPr>
        <w:pStyle w:val="40"/>
        <w:widowControl w:val="0"/>
        <w:wordWrap w:val="0"/>
        <w:adjustRightInd w:val="0"/>
        <w:snapToGrid w:val="0"/>
        <w:ind w:firstLine="0"/>
        <w:rPr>
          <w:rFonts w:hint="eastAsia" w:asciiTheme="minorEastAsia" w:hAnsiTheme="minorEastAsia" w:eastAsiaTheme="minorEastAsia" w:cstheme="minorEastAsia"/>
          <w:b/>
          <w:snapToGrid w:val="0"/>
          <w:color w:val="auto"/>
          <w:sz w:val="24"/>
          <w:highlight w:val="none"/>
        </w:rPr>
      </w:pPr>
      <w:bookmarkStart w:id="432" w:name="_附件二十五：综合评审合理低价法"/>
      <w:bookmarkEnd w:id="432"/>
      <w:bookmarkStart w:id="433" w:name="_附件十：单项工程费汇总表"/>
      <w:bookmarkEnd w:id="433"/>
      <w:bookmarkStart w:id="434" w:name="_附件二十四：技术标提问单"/>
      <w:bookmarkEnd w:id="434"/>
      <w:bookmarkStart w:id="435" w:name="_Hlt69116778"/>
      <w:bookmarkEnd w:id="435"/>
      <w:bookmarkStart w:id="436" w:name="_Hlt68774664"/>
      <w:bookmarkEnd w:id="436"/>
      <w:bookmarkStart w:id="437" w:name="_Toc39136361"/>
      <w:bookmarkStart w:id="438" w:name="_Toc15791"/>
      <w:bookmarkStart w:id="439" w:name="_Toc26795"/>
      <w:bookmarkStart w:id="440" w:name="_Toc5872"/>
      <w:bookmarkStart w:id="441" w:name="_Toc28483"/>
      <w:bookmarkStart w:id="442" w:name="_Toc466640620"/>
      <w:bookmarkStart w:id="443" w:name="_Toc104711098"/>
      <w:bookmarkStart w:id="444" w:name="_Hlt66847557"/>
      <w:bookmarkStart w:id="445" w:name="_Toc66849200"/>
      <w:bookmarkStart w:id="446" w:name="_Toc106418843"/>
    </w:p>
    <w:p w14:paraId="7812D768">
      <w:pPr>
        <w:pStyle w:val="40"/>
        <w:widowControl w:val="0"/>
        <w:wordWrap w:val="0"/>
        <w:adjustRightInd w:val="0"/>
        <w:snapToGrid w:val="0"/>
        <w:rPr>
          <w:rFonts w:hint="eastAsia" w:asciiTheme="minorEastAsia" w:hAnsiTheme="minorEastAsia" w:eastAsiaTheme="minorEastAsia" w:cstheme="minorEastAsia"/>
          <w:b/>
          <w:snapToGrid w:val="0"/>
          <w:color w:val="auto"/>
          <w:sz w:val="24"/>
          <w:highlight w:val="none"/>
        </w:rPr>
      </w:pPr>
    </w:p>
    <w:p w14:paraId="4EB2ED74">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48"/>
          <w:szCs w:val="48"/>
          <w:highlight w:val="none"/>
        </w:rPr>
      </w:pPr>
      <w:r>
        <w:rPr>
          <w:rFonts w:hint="eastAsia" w:asciiTheme="minorEastAsia" w:hAnsiTheme="minorEastAsia" w:eastAsiaTheme="minorEastAsia" w:cstheme="minorEastAsia"/>
          <w:b/>
          <w:snapToGrid w:val="0"/>
          <w:color w:val="auto"/>
          <w:sz w:val="48"/>
          <w:szCs w:val="48"/>
          <w:highlight w:val="none"/>
          <w:u w:val="single"/>
        </w:rPr>
        <w:t xml:space="preserve">（项目名称）   </w:t>
      </w:r>
      <w:r>
        <w:rPr>
          <w:rFonts w:hint="eastAsia" w:asciiTheme="minorEastAsia" w:hAnsiTheme="minorEastAsia" w:eastAsiaTheme="minorEastAsia" w:cstheme="minorEastAsia"/>
          <w:b/>
          <w:snapToGrid w:val="0"/>
          <w:color w:val="auto"/>
          <w:sz w:val="48"/>
          <w:szCs w:val="48"/>
          <w:highlight w:val="none"/>
        </w:rPr>
        <w:t>招标</w:t>
      </w:r>
    </w:p>
    <w:p w14:paraId="68EA6298">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09F6DAD9">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71B1FDFA">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4F3C0E2B">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3C6D66B2">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72"/>
          <w:highlight w:val="none"/>
        </w:rPr>
      </w:pPr>
      <w:r>
        <w:rPr>
          <w:rFonts w:hint="eastAsia" w:asciiTheme="minorEastAsia" w:hAnsiTheme="minorEastAsia" w:eastAsiaTheme="minorEastAsia" w:cstheme="minorEastAsia"/>
          <w:b/>
          <w:snapToGrid w:val="0"/>
          <w:color w:val="auto"/>
          <w:sz w:val="72"/>
          <w:highlight w:val="none"/>
        </w:rPr>
        <w:t>投  标  文  件</w:t>
      </w:r>
    </w:p>
    <w:p w14:paraId="1BEE8773">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7D390E93">
      <w:pPr>
        <w:pStyle w:val="40"/>
        <w:widowControl w:val="0"/>
        <w:wordWrap w:val="0"/>
        <w:adjustRightInd w:val="0"/>
        <w:snapToGrid w:val="0"/>
        <w:ind w:firstLine="0"/>
        <w:rPr>
          <w:rFonts w:hint="eastAsia" w:asciiTheme="minorEastAsia" w:hAnsiTheme="minorEastAsia" w:eastAsiaTheme="minorEastAsia" w:cstheme="minorEastAsia"/>
          <w:b/>
          <w:snapToGrid w:val="0"/>
          <w:color w:val="auto"/>
          <w:sz w:val="32"/>
          <w:highlight w:val="none"/>
        </w:rPr>
      </w:pPr>
    </w:p>
    <w:p w14:paraId="1889A956">
      <w:pPr>
        <w:pStyle w:val="40"/>
        <w:widowControl w:val="0"/>
        <w:wordWrap w:val="0"/>
        <w:adjustRightInd w:val="0"/>
        <w:snapToGrid w:val="0"/>
        <w:ind w:firstLine="0"/>
        <w:rPr>
          <w:rFonts w:hint="eastAsia" w:asciiTheme="minorEastAsia" w:hAnsiTheme="minorEastAsia" w:eastAsiaTheme="minorEastAsia" w:cstheme="minorEastAsia"/>
          <w:b/>
          <w:snapToGrid w:val="0"/>
          <w:color w:val="auto"/>
          <w:sz w:val="32"/>
          <w:highlight w:val="none"/>
        </w:rPr>
      </w:pPr>
    </w:p>
    <w:p w14:paraId="5A191C02">
      <w:pPr>
        <w:pStyle w:val="40"/>
        <w:widowControl w:val="0"/>
        <w:wordWrap w:val="0"/>
        <w:adjustRightInd w:val="0"/>
        <w:snapToGrid w:val="0"/>
        <w:rPr>
          <w:rFonts w:hint="eastAsia" w:asciiTheme="minorEastAsia" w:hAnsiTheme="minorEastAsia" w:eastAsiaTheme="minorEastAsia" w:cstheme="minorEastAsia"/>
          <w:b/>
          <w:snapToGrid w:val="0"/>
          <w:color w:val="auto"/>
          <w:sz w:val="32"/>
          <w:highlight w:val="none"/>
        </w:rPr>
      </w:pPr>
    </w:p>
    <w:p w14:paraId="764FCF92">
      <w:pPr>
        <w:pStyle w:val="40"/>
        <w:widowControl w:val="0"/>
        <w:wordWrap w:val="0"/>
        <w:adjustRightInd w:val="0"/>
        <w:snapToGrid w:val="0"/>
        <w:rPr>
          <w:rFonts w:hint="eastAsia" w:asciiTheme="minorEastAsia" w:hAnsiTheme="minorEastAsia" w:eastAsiaTheme="minorEastAsia" w:cstheme="minorEastAsia"/>
          <w:b/>
          <w:snapToGrid w:val="0"/>
          <w:color w:val="auto"/>
          <w:sz w:val="32"/>
          <w:highlight w:val="none"/>
        </w:rPr>
      </w:pPr>
    </w:p>
    <w:p w14:paraId="2210BBDC">
      <w:pPr>
        <w:pStyle w:val="40"/>
        <w:widowControl w:val="0"/>
        <w:wordWrap w:val="0"/>
        <w:adjustRightInd w:val="0"/>
        <w:snapToGrid w:val="0"/>
        <w:ind w:firstLine="0"/>
        <w:jc w:val="center"/>
        <w:rPr>
          <w:rFonts w:hint="eastAsia" w:hAnsi="宋体" w:eastAsia="宋体" w:cs="宋体"/>
          <w:bCs/>
          <w:snapToGrid w:val="0"/>
          <w:color w:val="auto"/>
          <w:sz w:val="32"/>
          <w:highlight w:val="none"/>
        </w:rPr>
      </w:pPr>
      <w:r>
        <w:rPr>
          <w:rFonts w:hint="eastAsia" w:hAnsi="宋体" w:eastAsia="宋体" w:cs="宋体"/>
          <w:bCs/>
          <w:snapToGrid w:val="0"/>
          <w:color w:val="auto"/>
          <w:sz w:val="32"/>
          <w:highlight w:val="none"/>
        </w:rPr>
        <w:t>投标人：</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（盖单位章）</w:t>
      </w:r>
    </w:p>
    <w:p w14:paraId="2C9D49E0">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59F839DC">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195CD615">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7971F8A3">
      <w:pPr>
        <w:pStyle w:val="40"/>
        <w:widowControl w:val="0"/>
        <w:wordWrap w:val="0"/>
        <w:adjustRightInd w:val="0"/>
        <w:snapToGrid w:val="0"/>
        <w:ind w:firstLine="0"/>
        <w:jc w:val="center"/>
        <w:rPr>
          <w:rFonts w:hint="eastAsia" w:hAnsi="宋体" w:eastAsia="宋体" w:cs="宋体"/>
          <w:bCs/>
          <w:snapToGrid w:val="0"/>
          <w:color w:val="auto"/>
          <w:sz w:val="32"/>
          <w:highlight w:val="none"/>
        </w:rPr>
      </w:pPr>
      <w:r>
        <w:rPr>
          <w:rFonts w:hint="eastAsia" w:hAnsi="宋体" w:eastAsia="宋体" w:cs="宋体"/>
          <w:bCs/>
          <w:snapToGrid w:val="0"/>
          <w:color w:val="auto"/>
          <w:sz w:val="32"/>
          <w:highlight w:val="none"/>
        </w:rPr>
        <w:t>法定代表人或其委托代理人：</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（签字或盖章）</w:t>
      </w:r>
    </w:p>
    <w:p w14:paraId="5F6370DC">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35A687C3">
      <w:pPr>
        <w:pStyle w:val="40"/>
        <w:widowControl w:val="0"/>
        <w:wordWrap w:val="0"/>
        <w:adjustRightInd w:val="0"/>
        <w:snapToGrid w:val="0"/>
        <w:ind w:firstLine="0"/>
        <w:jc w:val="center"/>
        <w:rPr>
          <w:rFonts w:hint="eastAsia" w:hAnsi="宋体" w:eastAsia="宋体" w:cs="宋体"/>
          <w:bCs/>
          <w:snapToGrid w:val="0"/>
          <w:color w:val="auto"/>
          <w:sz w:val="32"/>
          <w:highlight w:val="none"/>
          <w:u w:val="single"/>
        </w:rPr>
      </w:pPr>
    </w:p>
    <w:p w14:paraId="054D7896">
      <w:pPr>
        <w:pStyle w:val="40"/>
        <w:widowControl w:val="0"/>
        <w:wordWrap w:val="0"/>
        <w:adjustRightInd w:val="0"/>
        <w:snapToGrid w:val="0"/>
        <w:ind w:firstLine="0"/>
        <w:jc w:val="center"/>
        <w:rPr>
          <w:rFonts w:hint="eastAsia" w:hAnsi="宋体" w:eastAsia="宋体" w:cs="宋体"/>
          <w:b/>
          <w:snapToGrid w:val="0"/>
          <w:color w:val="auto"/>
          <w:highlight w:val="none"/>
        </w:rPr>
      </w:pP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年</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月</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日</w:t>
      </w:r>
    </w:p>
    <w:p w14:paraId="470C79BA">
      <w:pPr>
        <w:pStyle w:val="4"/>
        <w:spacing w:before="120"/>
        <w:rPr>
          <w:rFonts w:hint="eastAsia" w:asciiTheme="minorEastAsia" w:hAnsiTheme="minorEastAsia" w:eastAsiaTheme="minorEastAsia" w:cstheme="minorEastAsia"/>
          <w:b/>
          <w:bCs/>
          <w:color w:val="auto"/>
          <w:szCs w:val="24"/>
          <w:highlight w:val="none"/>
        </w:rPr>
      </w:pPr>
    </w:p>
    <w:p w14:paraId="04F97628">
      <w:pPr>
        <w:pStyle w:val="4"/>
        <w:spacing w:before="120"/>
        <w:rPr>
          <w:rFonts w:hint="eastAsia" w:asciiTheme="minorEastAsia" w:hAnsiTheme="minorEastAsia" w:eastAsiaTheme="minorEastAsia" w:cstheme="minorEastAsia"/>
          <w:b/>
          <w:bCs/>
          <w:color w:val="auto"/>
          <w:szCs w:val="24"/>
          <w:highlight w:val="none"/>
        </w:rPr>
      </w:pPr>
    </w:p>
    <w:p w14:paraId="041815EA">
      <w:pPr>
        <w:pStyle w:val="4"/>
        <w:spacing w:before="120"/>
        <w:rPr>
          <w:rFonts w:hint="eastAsia" w:asciiTheme="minorEastAsia" w:hAnsiTheme="minorEastAsia" w:eastAsiaTheme="minorEastAsia" w:cstheme="minorEastAsia"/>
          <w:b/>
          <w:bCs/>
          <w:color w:val="auto"/>
          <w:szCs w:val="24"/>
          <w:highlight w:val="none"/>
        </w:rPr>
      </w:pPr>
    </w:p>
    <w:p w14:paraId="24357780">
      <w:pPr>
        <w:pStyle w:val="4"/>
        <w:spacing w:before="120"/>
        <w:rPr>
          <w:rFonts w:hint="eastAsia" w:asciiTheme="minorEastAsia" w:hAnsiTheme="minorEastAsia" w:eastAsiaTheme="minorEastAsia" w:cstheme="minorEastAsia"/>
          <w:b/>
          <w:bCs/>
          <w:color w:val="auto"/>
          <w:szCs w:val="24"/>
          <w:highlight w:val="none"/>
        </w:rPr>
      </w:pPr>
    </w:p>
    <w:p w14:paraId="1B635CA2">
      <w:pPr>
        <w:rPr>
          <w:rFonts w:hint="eastAsia" w:asciiTheme="minorEastAsia" w:hAnsiTheme="minorEastAsia" w:eastAsiaTheme="minorEastAsia" w:cstheme="minorEastAsia"/>
          <w:b/>
          <w:bCs/>
          <w:color w:val="auto"/>
          <w:szCs w:val="24"/>
          <w:highlight w:val="none"/>
        </w:rPr>
      </w:pPr>
    </w:p>
    <w:p w14:paraId="37ECB1CF">
      <w:pPr>
        <w:rPr>
          <w:rFonts w:hint="eastAsia" w:asciiTheme="minorEastAsia" w:hAnsiTheme="minorEastAsia" w:eastAsiaTheme="minorEastAsia" w:cstheme="minorEastAsia"/>
          <w:b/>
          <w:bCs/>
          <w:color w:val="auto"/>
          <w:szCs w:val="24"/>
          <w:highlight w:val="none"/>
        </w:rPr>
      </w:pPr>
    </w:p>
    <w:p w14:paraId="18658FB4">
      <w:pPr>
        <w:pStyle w:val="4"/>
        <w:spacing w:before="120"/>
        <w:rPr>
          <w:rFonts w:hint="eastAsia" w:asciiTheme="minorEastAsia" w:hAnsiTheme="minorEastAsia" w:eastAsiaTheme="minorEastAsia" w:cstheme="minorEastAsia"/>
          <w:b/>
          <w:bCs/>
          <w:color w:val="auto"/>
          <w:szCs w:val="24"/>
          <w:highlight w:val="none"/>
        </w:rPr>
      </w:pPr>
    </w:p>
    <w:p w14:paraId="1DA3901C">
      <w:pPr>
        <w:pStyle w:val="4"/>
        <w:spacing w:before="120"/>
        <w:rPr>
          <w:rFonts w:hint="eastAsia" w:asciiTheme="minorEastAsia" w:hAnsiTheme="minorEastAsia" w:eastAsiaTheme="minorEastAsia" w:cstheme="minorEastAsia"/>
          <w:b/>
          <w:bCs/>
          <w:color w:val="auto"/>
          <w:szCs w:val="24"/>
          <w:highlight w:val="none"/>
        </w:rPr>
      </w:pPr>
      <w:bookmarkStart w:id="447" w:name="_Toc14811"/>
      <w:bookmarkStart w:id="448" w:name="_Toc2904"/>
      <w:r>
        <w:rPr>
          <w:rFonts w:hint="eastAsia" w:asciiTheme="minorEastAsia" w:hAnsiTheme="minorEastAsia" w:eastAsiaTheme="minorEastAsia" w:cstheme="minorEastAsia"/>
          <w:b/>
          <w:bCs/>
          <w:color w:val="auto"/>
          <w:szCs w:val="24"/>
          <w:highlight w:val="none"/>
        </w:rPr>
        <w:t xml:space="preserve">格式二 </w:t>
      </w:r>
      <w:bookmarkEnd w:id="437"/>
      <w:bookmarkEnd w:id="438"/>
      <w:bookmarkEnd w:id="439"/>
      <w:r>
        <w:rPr>
          <w:rFonts w:hint="eastAsia" w:asciiTheme="minorEastAsia" w:hAnsiTheme="minorEastAsia" w:eastAsiaTheme="minorEastAsia" w:cstheme="minorEastAsia"/>
          <w:b/>
          <w:bCs/>
          <w:color w:val="auto"/>
          <w:szCs w:val="24"/>
          <w:highlight w:val="none"/>
        </w:rPr>
        <w:t>《投标函》及《工程项目总价表》</w:t>
      </w:r>
      <w:bookmarkEnd w:id="440"/>
      <w:bookmarkEnd w:id="441"/>
      <w:bookmarkEnd w:id="447"/>
      <w:bookmarkEnd w:id="448"/>
    </w:p>
    <w:p w14:paraId="602D534A">
      <w:pPr>
        <w:pStyle w:val="5"/>
        <w:keepNext w:val="0"/>
        <w:keepLines w:val="0"/>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auto"/>
          <w:szCs w:val="24"/>
          <w:highlight w:val="none"/>
        </w:rPr>
      </w:pPr>
      <w:bookmarkStart w:id="449" w:name="_Toc29375"/>
      <w:bookmarkStart w:id="450" w:name="_Toc39136362"/>
      <w:bookmarkStart w:id="451" w:name="_Toc13388"/>
      <w:bookmarkStart w:id="452" w:name="_Toc28044"/>
      <w:bookmarkStart w:id="453" w:name="_Toc18294"/>
      <w:bookmarkStart w:id="454" w:name="_Toc8686"/>
      <w:bookmarkStart w:id="455" w:name="_Toc10604"/>
      <w:bookmarkStart w:id="456" w:name="_Toc28636"/>
      <w:bookmarkStart w:id="457" w:name="_Toc8657"/>
      <w:bookmarkStart w:id="458" w:name="_Toc21577"/>
      <w:bookmarkStart w:id="459" w:name="_Toc9280"/>
      <w:bookmarkStart w:id="460" w:name="_Toc27121"/>
      <w:r>
        <w:rPr>
          <w:rFonts w:hint="eastAsia" w:asciiTheme="minorEastAsia" w:hAnsiTheme="minorEastAsia" w:eastAsiaTheme="minorEastAsia" w:cstheme="minorEastAsia"/>
          <w:snapToGrid w:val="0"/>
          <w:color w:val="auto"/>
          <w:szCs w:val="24"/>
          <w:highlight w:val="none"/>
        </w:rPr>
        <w:t>投  标  函</w:t>
      </w:r>
      <w:bookmarkEnd w:id="449"/>
      <w:bookmarkEnd w:id="450"/>
      <w:bookmarkEnd w:id="451"/>
      <w:bookmarkEnd w:id="452"/>
      <w:bookmarkEnd w:id="453"/>
      <w:bookmarkEnd w:id="454"/>
      <w:bookmarkEnd w:id="455"/>
      <w:bookmarkEnd w:id="456"/>
      <w:bookmarkEnd w:id="457"/>
      <w:bookmarkEnd w:id="458"/>
      <w:bookmarkEnd w:id="459"/>
      <w:bookmarkEnd w:id="460"/>
    </w:p>
    <w:p w14:paraId="19112468">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3763A661">
      <w:pPr>
        <w:wordWrap w:val="0"/>
        <w:adjustRightInd w:val="0"/>
        <w:snapToGrid w:val="0"/>
        <w:spacing w:line="440" w:lineRule="exact"/>
        <w:rPr>
          <w:rFonts w:hint="eastAsia"/>
          <w:color w:val="auto"/>
          <w:highlight w:val="none"/>
        </w:rPr>
      </w:pPr>
      <w:r>
        <w:rPr>
          <w:rFonts w:hint="eastAsia" w:asciiTheme="minorEastAsia" w:hAnsiTheme="minorEastAsia" w:eastAsiaTheme="minorEastAsia" w:cstheme="minorEastAsia"/>
          <w:snapToGrid w:val="0"/>
          <w:color w:val="auto"/>
          <w:kern w:val="0"/>
          <w:szCs w:val="24"/>
          <w:highlight w:val="none"/>
        </w:rPr>
        <w:t>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（招标人名称）</w:t>
      </w:r>
    </w:p>
    <w:p w14:paraId="54B75AC4">
      <w:pPr>
        <w:wordWrap w:val="0"/>
        <w:adjustRightInd w:val="0"/>
        <w:snapToGrid w:val="0"/>
        <w:spacing w:line="440" w:lineRule="exact"/>
        <w:ind w:firstLine="57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1.在研</w:t>
      </w:r>
      <w:r>
        <w:rPr>
          <w:rFonts w:hint="eastAsia" w:asciiTheme="minorEastAsia" w:hAnsiTheme="minorEastAsia" w:eastAsiaTheme="minorEastAsia" w:cstheme="minorEastAsia"/>
          <w:color w:val="auto"/>
          <w:szCs w:val="22"/>
          <w:highlight w:val="none"/>
          <w:u w:val="single"/>
        </w:rPr>
        <w:t xml:space="preserve">究        （项目名称）        </w:t>
      </w:r>
      <w:r>
        <w:rPr>
          <w:rFonts w:hint="eastAsia" w:asciiTheme="minorEastAsia" w:hAnsiTheme="minorEastAsia" w:eastAsiaTheme="minorEastAsia" w:cstheme="minorEastAsia"/>
          <w:color w:val="auto"/>
          <w:szCs w:val="22"/>
          <w:highlight w:val="none"/>
        </w:rPr>
        <w:t>招标文件和其它相关文件，并对现场进行深入了解后，我方（即文末签名人），考虑了本企业的实力和特点，愿意接受招标文件的全部内容和条件，兹以人民币（大写）：</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小写：（¥</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）的投标总价竞投本项目。</w:t>
      </w:r>
    </w:p>
    <w:p w14:paraId="0BC93976">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2. </w:t>
      </w:r>
      <w:r>
        <w:rPr>
          <w:rFonts w:hint="eastAsia" w:asciiTheme="minorEastAsia" w:hAnsiTheme="minorEastAsia" w:eastAsiaTheme="minorEastAsia" w:cstheme="minorEastAsia"/>
          <w:color w:val="auto"/>
          <w:szCs w:val="22"/>
          <w:highlight w:val="none"/>
        </w:rPr>
        <w:t>如果我方中标，我方保证按照合同约定的开工日期开始本项目的设计、施工，本工程设计、施工招标工期为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个日历天</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szCs w:val="22"/>
          <w:highlight w:val="none"/>
        </w:rPr>
        <w:t>其中：设计工期为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日历天，施工工期为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日历天</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szCs w:val="22"/>
          <w:highlight w:val="none"/>
        </w:rPr>
        <w:t>内竣工，并确保工程质量达到</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标准和维修其中的任何缺陷</w:t>
      </w:r>
      <w:r>
        <w:rPr>
          <w:rFonts w:hint="eastAsia" w:asciiTheme="minorEastAsia" w:hAnsiTheme="minorEastAsia" w:eastAsiaTheme="minorEastAsia" w:cstheme="minorEastAsia"/>
          <w:snapToGrid w:val="0"/>
          <w:color w:val="auto"/>
          <w:kern w:val="0"/>
          <w:szCs w:val="24"/>
          <w:highlight w:val="none"/>
        </w:rPr>
        <w:t>。</w:t>
      </w:r>
    </w:p>
    <w:p w14:paraId="7029F949">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 本投标函在你方接收我方递交的投标文件之日起、到招标文件规定的投标有效期期满前对我方具有约束力。我方随时准备接受你方发出的中标通知书。</w:t>
      </w:r>
    </w:p>
    <w:p w14:paraId="70500B54">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4．我方在此声明，我方不存在本工程招标文件所列示的“禁止投标条款”所列出的任何一种情形，并愿意承担因我方就此弄虚作假所引起的一切法律后果。</w:t>
      </w:r>
    </w:p>
    <w:p w14:paraId="7937DBFD">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5．我方在此承诺，所递交投标文件的全部内容均为真实、有效、准确的，并愿意承担因我方就此弄虚作假所引起的一切法律后果，同时理解和同意有可能被要求提供更多的资料。</w:t>
      </w:r>
    </w:p>
    <w:p w14:paraId="5D3A9C06">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 我方理解你方不一定要接纳收到的最低投标总价或任何投标总价的投标人中标，也不要求你方解释我方是否中标的原因。</w:t>
      </w:r>
    </w:p>
    <w:p w14:paraId="38F69932">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p>
    <w:p w14:paraId="727A8586">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531BC7BC">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法定代表人或其委托代理人：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1297F083">
      <w:pPr>
        <w:wordWrap w:val="0"/>
        <w:adjustRightInd w:val="0"/>
        <w:snapToGrid w:val="0"/>
        <w:spacing w:line="440" w:lineRule="exact"/>
        <w:ind w:firstLine="4080" w:firstLineChars="1700"/>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388856A7">
      <w:pPr>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br w:type="page"/>
      </w:r>
    </w:p>
    <w:p w14:paraId="3124884E">
      <w:pPr>
        <w:pStyle w:val="5"/>
        <w:spacing w:before="260" w:after="260"/>
        <w:jc w:val="center"/>
        <w:rPr>
          <w:rFonts w:hint="eastAsia" w:asciiTheme="minorEastAsia" w:hAnsiTheme="minorEastAsia" w:eastAsiaTheme="minorEastAsia" w:cstheme="minorEastAsia"/>
          <w:bCs/>
          <w:color w:val="auto"/>
          <w:szCs w:val="24"/>
          <w:highlight w:val="none"/>
        </w:rPr>
      </w:pPr>
      <w:bookmarkStart w:id="461" w:name="_Toc25829"/>
      <w:bookmarkStart w:id="462" w:name="_Toc5052"/>
      <w:bookmarkStart w:id="463" w:name="_Toc20338"/>
      <w:bookmarkStart w:id="464" w:name="_Toc4043"/>
      <w:bookmarkStart w:id="465" w:name="_Toc21711"/>
      <w:bookmarkStart w:id="466" w:name="_Toc25629"/>
      <w:bookmarkStart w:id="467" w:name="_Toc9155"/>
      <w:bookmarkStart w:id="468" w:name="_Toc453"/>
      <w:bookmarkStart w:id="469" w:name="_Toc7915"/>
      <w:bookmarkStart w:id="470" w:name="_Toc39136364"/>
      <w:r>
        <w:rPr>
          <w:rFonts w:hint="eastAsia" w:asciiTheme="minorEastAsia" w:hAnsiTheme="minorEastAsia" w:eastAsiaTheme="minorEastAsia" w:cstheme="minorEastAsia"/>
          <w:bCs/>
          <w:color w:val="auto"/>
          <w:szCs w:val="24"/>
          <w:highlight w:val="none"/>
        </w:rPr>
        <w:t>工程项目总价表</w:t>
      </w:r>
      <w:bookmarkEnd w:id="461"/>
      <w:bookmarkEnd w:id="462"/>
      <w:bookmarkEnd w:id="463"/>
      <w:bookmarkEnd w:id="464"/>
      <w:bookmarkEnd w:id="465"/>
      <w:bookmarkEnd w:id="466"/>
      <w:bookmarkEnd w:id="467"/>
      <w:bookmarkEnd w:id="468"/>
    </w:p>
    <w:tbl>
      <w:tblPr>
        <w:tblStyle w:val="22"/>
        <w:tblW w:w="10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258"/>
        <w:gridCol w:w="1836"/>
        <w:gridCol w:w="1355"/>
        <w:gridCol w:w="1699"/>
        <w:gridCol w:w="3416"/>
      </w:tblGrid>
      <w:tr w14:paraId="0DB70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732" w:type="dxa"/>
            <w:noWrap/>
            <w:vAlign w:val="center"/>
          </w:tcPr>
          <w:p w14:paraId="0DECF95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序号</w:t>
            </w:r>
          </w:p>
        </w:tc>
        <w:tc>
          <w:tcPr>
            <w:tcW w:w="1258" w:type="dxa"/>
            <w:noWrap/>
            <w:vAlign w:val="center"/>
          </w:tcPr>
          <w:p w14:paraId="4006E68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项目名称</w:t>
            </w:r>
          </w:p>
        </w:tc>
        <w:tc>
          <w:tcPr>
            <w:tcW w:w="1836" w:type="dxa"/>
            <w:noWrap/>
            <w:vAlign w:val="center"/>
          </w:tcPr>
          <w:p w14:paraId="54481E9B">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kern w:val="1"/>
                <w:sz w:val="24"/>
                <w:szCs w:val="24"/>
                <w:highlight w:val="none"/>
                <w:lang w:val="en-US" w:eastAsia="zh-CN"/>
              </w:rPr>
              <w:t>报价基数</w:t>
            </w:r>
            <w:r>
              <w:rPr>
                <w:rFonts w:hint="eastAsia" w:hAnsi="宋体" w:eastAsia="宋体" w:cs="宋体"/>
                <w:color w:val="auto"/>
                <w:kern w:val="1"/>
                <w:sz w:val="24"/>
                <w:szCs w:val="24"/>
                <w:highlight w:val="none"/>
                <w:lang w:val="en-US" w:eastAsia="zh-CN"/>
              </w:rPr>
              <w:t>（元）</w:t>
            </w:r>
          </w:p>
        </w:tc>
        <w:tc>
          <w:tcPr>
            <w:tcW w:w="1355" w:type="dxa"/>
            <w:noWrap/>
            <w:vAlign w:val="center"/>
          </w:tcPr>
          <w:p w14:paraId="05DBE99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lang w:eastAsia="zh-CN"/>
              </w:rPr>
            </w:pPr>
            <w:r>
              <w:rPr>
                <w:rFonts w:hint="eastAsia" w:ascii="宋体" w:hAnsi="宋体" w:eastAsia="宋体" w:cs="宋体"/>
                <w:i w:val="0"/>
                <w:iCs w:val="0"/>
                <w:caps w:val="0"/>
                <w:color w:val="auto"/>
                <w:spacing w:val="0"/>
                <w:sz w:val="22"/>
                <w:szCs w:val="22"/>
                <w:highlight w:val="none"/>
              </w:rPr>
              <w:t>投标下浮率（％)</w:t>
            </w:r>
          </w:p>
        </w:tc>
        <w:tc>
          <w:tcPr>
            <w:tcW w:w="1699" w:type="dxa"/>
            <w:noWrap/>
            <w:vAlign w:val="center"/>
          </w:tcPr>
          <w:p w14:paraId="0801F33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color w:val="auto"/>
                <w:szCs w:val="24"/>
                <w:highlight w:val="none"/>
              </w:rPr>
              <w:t>投标报价（元）</w:t>
            </w:r>
          </w:p>
        </w:tc>
        <w:tc>
          <w:tcPr>
            <w:tcW w:w="3416" w:type="dxa"/>
            <w:noWrap/>
            <w:vAlign w:val="center"/>
          </w:tcPr>
          <w:p w14:paraId="519FC6F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lang w:eastAsia="zh-CN"/>
              </w:rPr>
            </w:pPr>
            <w:r>
              <w:rPr>
                <w:rFonts w:hint="eastAsia" w:hAnsi="宋体" w:eastAsia="宋体" w:cs="宋体"/>
                <w:color w:val="auto"/>
                <w:kern w:val="1"/>
                <w:sz w:val="21"/>
                <w:szCs w:val="21"/>
                <w:highlight w:val="none"/>
                <w:lang w:eastAsia="zh-CN"/>
              </w:rPr>
              <w:t>备注</w:t>
            </w:r>
          </w:p>
        </w:tc>
      </w:tr>
      <w:tr w14:paraId="65BF2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6" w:hRule="atLeast"/>
          <w:jc w:val="center"/>
        </w:trPr>
        <w:tc>
          <w:tcPr>
            <w:tcW w:w="732" w:type="dxa"/>
            <w:shd w:val="clear" w:color="auto" w:fill="auto"/>
            <w:noWrap/>
            <w:vAlign w:val="center"/>
          </w:tcPr>
          <w:p w14:paraId="42C3021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1"/>
                <w:sz w:val="21"/>
                <w:szCs w:val="21"/>
                <w:highlight w:val="none"/>
                <w:lang w:val="en-US" w:eastAsia="zh-CN" w:bidi="ar-SA"/>
              </w:rPr>
            </w:pPr>
            <w:r>
              <w:rPr>
                <w:rFonts w:hint="eastAsia" w:hAnsi="宋体" w:eastAsia="宋体" w:cs="宋体"/>
                <w:color w:val="auto"/>
                <w:kern w:val="1"/>
                <w:sz w:val="21"/>
                <w:szCs w:val="21"/>
                <w:highlight w:val="none"/>
                <w:lang w:val="en-US" w:eastAsia="zh-CN"/>
              </w:rPr>
              <w:t>1</w:t>
            </w:r>
          </w:p>
        </w:tc>
        <w:tc>
          <w:tcPr>
            <w:tcW w:w="1258" w:type="dxa"/>
            <w:noWrap/>
            <w:vAlign w:val="center"/>
          </w:tcPr>
          <w:p w14:paraId="4C080A4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1"/>
                <w:sz w:val="21"/>
                <w:szCs w:val="21"/>
                <w:highlight w:val="none"/>
                <w:lang w:eastAsia="zh-CN"/>
              </w:rPr>
            </w:pPr>
            <w:r>
              <w:rPr>
                <w:rFonts w:hint="eastAsia" w:ascii="宋体" w:hAnsi="宋体" w:eastAsia="宋体" w:cs="宋体"/>
                <w:color w:val="auto"/>
                <w:sz w:val="24"/>
                <w:szCs w:val="24"/>
                <w:highlight w:val="none"/>
                <w:lang w:eastAsia="zh-CN"/>
              </w:rPr>
              <w:t>勘察设计费</w:t>
            </w:r>
          </w:p>
        </w:tc>
        <w:tc>
          <w:tcPr>
            <w:tcW w:w="1836" w:type="dxa"/>
            <w:noWrap/>
            <w:vAlign w:val="center"/>
          </w:tcPr>
          <w:p w14:paraId="14458742">
            <w:pPr>
              <w:keepNext w:val="0"/>
              <w:keepLines w:val="0"/>
              <w:widowControl/>
              <w:suppressLineNumbers w:val="0"/>
              <w:spacing w:before="0" w:beforeAutospacing="0" w:after="0" w:afterAutospacing="0" w:line="360" w:lineRule="auto"/>
              <w:ind w:left="0" w:right="0"/>
              <w:jc w:val="center"/>
              <w:rPr>
                <w:rFonts w:hint="eastAsia" w:hAnsi="宋体" w:eastAsia="宋体" w:cs="宋体"/>
                <w:color w:val="auto"/>
                <w:sz w:val="21"/>
                <w:szCs w:val="21"/>
                <w:highlight w:val="none"/>
                <w:lang w:val="en-US" w:eastAsia="zh-CN"/>
              </w:rPr>
            </w:pPr>
            <w:r>
              <w:rPr>
                <w:rFonts w:hint="eastAsia" w:hAnsi="宋体" w:eastAsia="宋体" w:cs="宋体"/>
                <w:color w:val="auto"/>
                <w:sz w:val="24"/>
                <w:szCs w:val="24"/>
                <w:highlight w:val="none"/>
                <w:lang w:val="en-US" w:eastAsia="zh-CN"/>
              </w:rPr>
              <w:t>463000.00</w:t>
            </w:r>
          </w:p>
        </w:tc>
        <w:tc>
          <w:tcPr>
            <w:tcW w:w="1355" w:type="dxa"/>
            <w:noWrap/>
            <w:vAlign w:val="center"/>
          </w:tcPr>
          <w:p w14:paraId="6FAA332E">
            <w:pPr>
              <w:keepNext w:val="0"/>
              <w:keepLines w:val="0"/>
              <w:suppressLineNumbers w:val="0"/>
              <w:wordWrap w:val="0"/>
              <w:adjustRightInd w:val="0"/>
              <w:snapToGrid w:val="0"/>
              <w:spacing w:before="0" w:beforeAutospacing="0" w:after="0" w:afterAutospacing="0" w:line="360" w:lineRule="auto"/>
              <w:ind w:left="0" w:right="0"/>
              <w:jc w:val="center"/>
              <w:rPr>
                <w:rFonts w:hint="eastAsia" w:hAnsi="宋体" w:eastAsia="宋体" w:cs="宋体"/>
                <w:color w:val="auto"/>
                <w:sz w:val="21"/>
                <w:szCs w:val="21"/>
                <w:highlight w:val="none"/>
                <w:lang w:val="en-US" w:eastAsia="zh-CN"/>
              </w:rPr>
            </w:pPr>
            <w:r>
              <w:rPr>
                <w:rFonts w:hint="eastAsia" w:ascii="宋体" w:hAnsi="宋体" w:eastAsia="宋体" w:cs="宋体"/>
                <w:color w:val="auto"/>
                <w:sz w:val="24"/>
                <w:szCs w:val="24"/>
                <w:highlight w:val="none"/>
                <w:lang w:val="en-US" w:eastAsia="zh-CN"/>
              </w:rPr>
              <w:t>/</w:t>
            </w:r>
          </w:p>
        </w:tc>
        <w:tc>
          <w:tcPr>
            <w:tcW w:w="1699" w:type="dxa"/>
            <w:noWrap/>
            <w:vAlign w:val="center"/>
          </w:tcPr>
          <w:p w14:paraId="2C7B8E97">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sz w:val="21"/>
                <w:szCs w:val="21"/>
                <w:highlight w:val="none"/>
                <w:lang w:val="en-US" w:eastAsia="zh-CN"/>
              </w:rPr>
            </w:pPr>
          </w:p>
        </w:tc>
        <w:tc>
          <w:tcPr>
            <w:tcW w:w="3416" w:type="dxa"/>
            <w:noWrap/>
            <w:vAlign w:val="center"/>
          </w:tcPr>
          <w:p w14:paraId="08FBACEF">
            <w:pPr>
              <w:keepNext w:val="0"/>
              <w:keepLines w:val="0"/>
              <w:suppressLineNumbers w:val="0"/>
              <w:wordWrap w:val="0"/>
              <w:adjustRightInd w:val="0"/>
              <w:snapToGrid w:val="0"/>
              <w:spacing w:before="0" w:beforeAutospacing="0" w:after="0" w:afterAutospacing="0" w:line="360" w:lineRule="auto"/>
              <w:ind w:left="0" w:righ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4"/>
                <w:szCs w:val="24"/>
                <w:highlight w:val="none"/>
              </w:rPr>
              <w:t>设计费自行报价，结算按设计费的中标价包干不作任何调整。设计费的报价应包含各个不同专业的设计费用、进行优化设计或修改设计所增加的设计费用、各项专家评审的专家费用等。</w:t>
            </w:r>
          </w:p>
        </w:tc>
      </w:tr>
      <w:tr w14:paraId="3F319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732" w:type="dxa"/>
            <w:shd w:val="clear" w:color="auto" w:fill="auto"/>
            <w:noWrap/>
            <w:vAlign w:val="center"/>
          </w:tcPr>
          <w:p w14:paraId="61A61EB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1"/>
                <w:sz w:val="21"/>
                <w:szCs w:val="21"/>
                <w:highlight w:val="none"/>
                <w:lang w:val="en-US" w:eastAsia="zh-CN" w:bidi="ar-SA"/>
              </w:rPr>
            </w:pPr>
            <w:r>
              <w:rPr>
                <w:rFonts w:hint="eastAsia" w:hAnsi="宋体" w:eastAsia="宋体" w:cs="宋体"/>
                <w:color w:val="auto"/>
                <w:kern w:val="1"/>
                <w:sz w:val="21"/>
                <w:szCs w:val="21"/>
                <w:highlight w:val="none"/>
                <w:lang w:val="en-US" w:eastAsia="zh-CN"/>
              </w:rPr>
              <w:t>2</w:t>
            </w:r>
          </w:p>
        </w:tc>
        <w:tc>
          <w:tcPr>
            <w:tcW w:w="1258" w:type="dxa"/>
            <w:noWrap/>
            <w:vAlign w:val="center"/>
          </w:tcPr>
          <w:p w14:paraId="3E7D94F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kern w:val="1"/>
                <w:sz w:val="21"/>
                <w:szCs w:val="21"/>
                <w:highlight w:val="none"/>
              </w:rPr>
              <w:t>建安工程费</w:t>
            </w:r>
          </w:p>
        </w:tc>
        <w:tc>
          <w:tcPr>
            <w:tcW w:w="1836" w:type="dxa"/>
            <w:noWrap/>
            <w:vAlign w:val="center"/>
          </w:tcPr>
          <w:p w14:paraId="7A6227F2">
            <w:pPr>
              <w:keepNext w:val="0"/>
              <w:keepLines w:val="0"/>
              <w:widowControl/>
              <w:suppressLineNumbers w:val="0"/>
              <w:spacing w:before="0" w:beforeAutospacing="0" w:after="0" w:afterAutospacing="0" w:line="360" w:lineRule="auto"/>
              <w:ind w:left="0" w:right="0"/>
              <w:jc w:val="center"/>
              <w:rPr>
                <w:rFonts w:hint="eastAsia" w:hAnsi="宋体" w:eastAsia="宋体" w:cs="宋体"/>
                <w:color w:val="auto"/>
                <w:kern w:val="1"/>
                <w:sz w:val="21"/>
                <w:szCs w:val="21"/>
                <w:highlight w:val="none"/>
                <w:lang w:val="en-US" w:eastAsia="zh-CN"/>
              </w:rPr>
            </w:pPr>
            <w:r>
              <w:rPr>
                <w:rFonts w:hint="eastAsia" w:hAnsi="宋体" w:eastAsia="宋体" w:cs="宋体"/>
                <w:color w:val="auto"/>
                <w:kern w:val="1"/>
                <w:sz w:val="24"/>
                <w:szCs w:val="24"/>
                <w:highlight w:val="none"/>
                <w:lang w:val="en-US" w:eastAsia="zh-CN"/>
              </w:rPr>
              <w:t>30000000.00</w:t>
            </w:r>
          </w:p>
        </w:tc>
        <w:tc>
          <w:tcPr>
            <w:tcW w:w="1355" w:type="dxa"/>
            <w:noWrap/>
            <w:vAlign w:val="center"/>
          </w:tcPr>
          <w:p w14:paraId="327248FA">
            <w:pPr>
              <w:keepNext w:val="0"/>
              <w:keepLines w:val="0"/>
              <w:suppressLineNumbers w:val="0"/>
              <w:spacing w:before="0" w:beforeAutospacing="0" w:after="0" w:afterAutospacing="0" w:line="360" w:lineRule="auto"/>
              <w:ind w:left="0" w:right="0"/>
              <w:jc w:val="center"/>
              <w:rPr>
                <w:rFonts w:hint="default" w:hAnsi="宋体" w:eastAsia="宋体" w:cs="宋体"/>
                <w:color w:val="auto"/>
                <w:kern w:val="1"/>
                <w:sz w:val="21"/>
                <w:szCs w:val="21"/>
                <w:highlight w:val="none"/>
                <w:lang w:val="en-US" w:eastAsia="zh-CN"/>
              </w:rPr>
            </w:pPr>
          </w:p>
        </w:tc>
        <w:tc>
          <w:tcPr>
            <w:tcW w:w="1699" w:type="dxa"/>
            <w:noWrap/>
            <w:vAlign w:val="center"/>
          </w:tcPr>
          <w:p w14:paraId="0669A68D">
            <w:pPr>
              <w:keepNext w:val="0"/>
              <w:keepLines w:val="0"/>
              <w:widowControl/>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1"/>
                <w:sz w:val="21"/>
                <w:szCs w:val="21"/>
                <w:highlight w:val="none"/>
                <w:lang w:val="en-US" w:eastAsia="zh-CN"/>
              </w:rPr>
            </w:pPr>
          </w:p>
        </w:tc>
        <w:tc>
          <w:tcPr>
            <w:tcW w:w="3416" w:type="dxa"/>
            <w:noWrap/>
            <w:vAlign w:val="center"/>
          </w:tcPr>
          <w:p w14:paraId="24246E45">
            <w:pPr>
              <w:pStyle w:val="2"/>
              <w:suppressLineNumbers w:val="0"/>
              <w:spacing w:before="0" w:beforeAutospacing="0" w:after="0" w:afterAutospacing="0"/>
              <w:ind w:left="0" w:right="0"/>
              <w:rPr>
                <w:rFonts w:hint="eastAsia"/>
                <w:color w:val="auto"/>
                <w:szCs w:val="20"/>
                <w:highlight w:val="none"/>
                <w:lang w:val="zh-CN"/>
              </w:rPr>
            </w:pPr>
            <w:r>
              <w:rPr>
                <w:rFonts w:hint="eastAsia" w:ascii="宋体" w:hAnsi="宋体" w:eastAsia="宋体" w:cs="宋体"/>
                <w:b w:val="0"/>
                <w:color w:val="auto"/>
                <w:kern w:val="2"/>
                <w:sz w:val="24"/>
                <w:szCs w:val="24"/>
                <w:highlight w:val="none"/>
                <w:lang w:val="en-US" w:eastAsia="zh-CN" w:bidi="ar-SA"/>
              </w:rPr>
              <w:t>报价基数以</w:t>
            </w:r>
            <w:r>
              <w:rPr>
                <w:rFonts w:hint="eastAsia" w:ascii="宋体" w:hAnsi="宋体" w:eastAsia="宋体" w:cs="宋体"/>
                <w:b w:val="0"/>
                <w:color w:val="auto"/>
                <w:kern w:val="2"/>
                <w:sz w:val="24"/>
                <w:szCs w:val="24"/>
                <w:highlight w:val="none"/>
                <w:lang w:val="en-US" w:eastAsia="zh-CN"/>
              </w:rPr>
              <w:t>30000000.00</w:t>
            </w:r>
            <w:r>
              <w:rPr>
                <w:rFonts w:hint="eastAsia" w:ascii="宋体" w:hAnsi="宋体" w:eastAsia="宋体" w:cs="宋体"/>
                <w:b w:val="0"/>
                <w:color w:val="auto"/>
                <w:kern w:val="2"/>
                <w:sz w:val="24"/>
                <w:szCs w:val="24"/>
                <w:highlight w:val="none"/>
                <w:lang w:val="en-US" w:eastAsia="zh-CN" w:bidi="ar-SA"/>
              </w:rPr>
              <w:t>元为暂定价，投标人按最高投标限价自行报总价及投标下浮率。</w:t>
            </w:r>
          </w:p>
        </w:tc>
      </w:tr>
      <w:tr w14:paraId="3A561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990" w:type="dxa"/>
            <w:gridSpan w:val="2"/>
            <w:noWrap/>
            <w:vAlign w:val="center"/>
          </w:tcPr>
          <w:p w14:paraId="113ED9A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合计</w:t>
            </w:r>
          </w:p>
        </w:tc>
        <w:tc>
          <w:tcPr>
            <w:tcW w:w="1836" w:type="dxa"/>
            <w:noWrap/>
            <w:vAlign w:val="center"/>
          </w:tcPr>
          <w:p w14:paraId="339B32A0">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w:t>
            </w:r>
          </w:p>
        </w:tc>
        <w:tc>
          <w:tcPr>
            <w:tcW w:w="1355" w:type="dxa"/>
            <w:noWrap/>
            <w:vAlign w:val="center"/>
          </w:tcPr>
          <w:p w14:paraId="3AA2D42A">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w:t>
            </w:r>
          </w:p>
        </w:tc>
        <w:tc>
          <w:tcPr>
            <w:tcW w:w="1699" w:type="dxa"/>
            <w:noWrap/>
            <w:vAlign w:val="center"/>
          </w:tcPr>
          <w:p w14:paraId="40B4512E">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1"/>
                <w:szCs w:val="21"/>
                <w:highlight w:val="none"/>
                <w:lang w:val="en-US" w:eastAsia="zh-CN"/>
              </w:rPr>
            </w:pPr>
          </w:p>
        </w:tc>
        <w:tc>
          <w:tcPr>
            <w:tcW w:w="3416" w:type="dxa"/>
            <w:noWrap/>
            <w:vAlign w:val="center"/>
          </w:tcPr>
          <w:p w14:paraId="5E71F77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w:t>
            </w:r>
          </w:p>
        </w:tc>
      </w:tr>
    </w:tbl>
    <w:p w14:paraId="3FC7DED3">
      <w:pPr>
        <w:rPr>
          <w:rFonts w:hint="eastAsia" w:asciiTheme="minorEastAsia" w:hAnsiTheme="minorEastAsia" w:eastAsiaTheme="minorEastAsia" w:cstheme="minorEastAsia"/>
          <w:color w:val="auto"/>
          <w:szCs w:val="24"/>
          <w:highlight w:val="none"/>
        </w:rPr>
      </w:pPr>
    </w:p>
    <w:p w14:paraId="16DAC08E">
      <w:pPr>
        <w:tabs>
          <w:tab w:val="left" w:pos="3808"/>
        </w:tabs>
        <w:spacing w:line="360" w:lineRule="auto"/>
        <w:ind w:firstLine="48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备注：投标报价及</w:t>
      </w:r>
      <w:r>
        <w:rPr>
          <w:rFonts w:hint="eastAsia" w:asciiTheme="minorEastAsia" w:hAnsiTheme="minorEastAsia" w:eastAsiaTheme="minorEastAsia" w:cstheme="minorEastAsia"/>
          <w:b/>
          <w:color w:val="auto"/>
          <w:szCs w:val="24"/>
          <w:highlight w:val="none"/>
          <w:lang w:val="en-US" w:eastAsia="zh-CN"/>
        </w:rPr>
        <w:t>投标</w:t>
      </w:r>
      <w:r>
        <w:rPr>
          <w:rFonts w:hint="eastAsia" w:asciiTheme="minorEastAsia" w:hAnsiTheme="minorEastAsia" w:eastAsiaTheme="minorEastAsia" w:cstheme="minorEastAsia"/>
          <w:b/>
          <w:color w:val="auto"/>
          <w:szCs w:val="24"/>
          <w:highlight w:val="none"/>
        </w:rPr>
        <w:t>下浮率均保留至小数点后两位，建安工程费投标报价=计算基数×（1-下浮率）。</w:t>
      </w:r>
    </w:p>
    <w:p w14:paraId="44C45D92">
      <w:pPr>
        <w:pStyle w:val="6"/>
        <w:ind w:firstLine="0"/>
        <w:rPr>
          <w:rFonts w:hint="eastAsia" w:asciiTheme="minorEastAsia" w:hAnsiTheme="minorEastAsia" w:eastAsiaTheme="minorEastAsia" w:cstheme="minorEastAsia"/>
          <w:snapToGrid w:val="0"/>
          <w:color w:val="auto"/>
          <w:sz w:val="24"/>
          <w:szCs w:val="24"/>
          <w:highlight w:val="none"/>
        </w:rPr>
      </w:pPr>
    </w:p>
    <w:p w14:paraId="59D2CFFF">
      <w:pPr>
        <w:wordWrap w:val="0"/>
        <w:adjustRightInd w:val="0"/>
        <w:snapToGrid w:val="0"/>
        <w:spacing w:line="276" w:lineRule="auto"/>
        <w:jc w:val="right"/>
        <w:rPr>
          <w:rFonts w:hint="eastAsia" w:asciiTheme="minorEastAsia" w:hAnsiTheme="minorEastAsia" w:eastAsiaTheme="minorEastAsia" w:cstheme="minorEastAsia"/>
          <w:snapToGrid w:val="0"/>
          <w:color w:val="auto"/>
          <w:kern w:val="0"/>
          <w:szCs w:val="24"/>
          <w:highlight w:val="none"/>
        </w:rPr>
      </w:pPr>
    </w:p>
    <w:p w14:paraId="360ED04F">
      <w:pPr>
        <w:wordWrap/>
        <w:adjustRightInd w:val="0"/>
        <w:snapToGrid w:val="0"/>
        <w:spacing w:line="276" w:lineRule="auto"/>
        <w:jc w:val="right"/>
        <w:rPr>
          <w:rFonts w:hint="eastAsia" w:asciiTheme="minorEastAsia" w:hAnsiTheme="minorEastAsia" w:eastAsiaTheme="minorEastAsia" w:cstheme="minorEastAsia"/>
          <w:snapToGrid w:val="0"/>
          <w:color w:val="auto"/>
          <w:kern w:val="0"/>
          <w:szCs w:val="24"/>
          <w:highlight w:val="none"/>
        </w:rPr>
      </w:pPr>
    </w:p>
    <w:p w14:paraId="5D5E87F1">
      <w:pPr>
        <w:wordWrap/>
        <w:adjustRightInd w:val="0"/>
        <w:snapToGrid w:val="0"/>
        <w:spacing w:line="276" w:lineRule="auto"/>
        <w:jc w:val="right"/>
        <w:rPr>
          <w:rFonts w:hint="eastAsia" w:asciiTheme="minorEastAsia" w:hAnsiTheme="minorEastAsia" w:eastAsiaTheme="minorEastAsia" w:cstheme="minorEastAsia"/>
          <w:snapToGrid w:val="0"/>
          <w:color w:val="auto"/>
          <w:kern w:val="0"/>
          <w:szCs w:val="24"/>
          <w:highlight w:val="none"/>
        </w:rPr>
      </w:pPr>
    </w:p>
    <w:p w14:paraId="418AB60D">
      <w:pPr>
        <w:pStyle w:val="2"/>
        <w:rPr>
          <w:rFonts w:hint="eastAsia" w:asciiTheme="minorEastAsia" w:hAnsiTheme="minorEastAsia" w:eastAsiaTheme="minorEastAsia" w:cstheme="minorEastAsia"/>
          <w:color w:val="auto"/>
          <w:highlight w:val="none"/>
        </w:rPr>
      </w:pPr>
    </w:p>
    <w:p w14:paraId="7154EF26">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76313FD3">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p>
    <w:p w14:paraId="0FA669E8">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72A3528A">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p>
    <w:p w14:paraId="43F2738B">
      <w:pPr>
        <w:spacing w:line="276" w:lineRule="auto"/>
        <w:rPr>
          <w:rFonts w:hint="eastAsia" w:asciiTheme="minorEastAsia" w:hAnsiTheme="minorEastAsia" w:eastAsiaTheme="minorEastAsia" w:cstheme="minorEastAsia"/>
          <w:color w:val="auto"/>
          <w:szCs w:val="24"/>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528FA247">
      <w:pPr>
        <w:pStyle w:val="4"/>
        <w:spacing w:before="120"/>
        <w:rPr>
          <w:rStyle w:val="52"/>
          <w:rFonts w:hint="eastAsia" w:asciiTheme="minorEastAsia" w:hAnsiTheme="minorEastAsia" w:eastAsiaTheme="minorEastAsia" w:cstheme="minorEastAsia"/>
          <w:color w:val="auto"/>
          <w:sz w:val="24"/>
          <w:szCs w:val="24"/>
          <w:highlight w:val="none"/>
        </w:rPr>
      </w:pPr>
      <w:bookmarkStart w:id="471" w:name="_Toc20987"/>
      <w:bookmarkStart w:id="472" w:name="_Toc25686"/>
      <w:bookmarkStart w:id="473" w:name="_Toc31955"/>
      <w:bookmarkStart w:id="474" w:name="_Toc28529"/>
      <w:bookmarkStart w:id="475" w:name="_Toc919"/>
      <w:bookmarkStart w:id="476" w:name="_Toc1017"/>
      <w:bookmarkStart w:id="477" w:name="_Toc32555"/>
      <w:bookmarkStart w:id="478" w:name="_Toc21928"/>
      <w:r>
        <w:rPr>
          <w:rStyle w:val="52"/>
          <w:rFonts w:hint="eastAsia" w:asciiTheme="minorEastAsia" w:hAnsiTheme="minorEastAsia" w:eastAsiaTheme="minorEastAsia" w:cstheme="minorEastAsia"/>
          <w:color w:val="auto"/>
          <w:sz w:val="24"/>
          <w:szCs w:val="24"/>
          <w:highlight w:val="none"/>
        </w:rPr>
        <w:t>格式三 各项</w:t>
      </w:r>
      <w:r>
        <w:rPr>
          <w:rFonts w:hint="eastAsia" w:asciiTheme="minorEastAsia" w:hAnsiTheme="minorEastAsia" w:eastAsiaTheme="minorEastAsia" w:cstheme="minorEastAsia"/>
          <w:b/>
          <w:bCs/>
          <w:color w:val="auto"/>
          <w:szCs w:val="24"/>
          <w:highlight w:val="none"/>
        </w:rPr>
        <w:t>承诺</w:t>
      </w:r>
      <w:r>
        <w:rPr>
          <w:rStyle w:val="52"/>
          <w:rFonts w:hint="eastAsia" w:asciiTheme="minorEastAsia" w:hAnsiTheme="minorEastAsia" w:eastAsiaTheme="minorEastAsia" w:cstheme="minorEastAsia"/>
          <w:color w:val="auto"/>
          <w:sz w:val="24"/>
          <w:szCs w:val="24"/>
          <w:highlight w:val="none"/>
        </w:rPr>
        <w:t>一览表</w:t>
      </w:r>
      <w:bookmarkEnd w:id="469"/>
      <w:bookmarkEnd w:id="470"/>
      <w:bookmarkEnd w:id="471"/>
      <w:bookmarkEnd w:id="472"/>
      <w:bookmarkEnd w:id="473"/>
      <w:bookmarkEnd w:id="474"/>
      <w:bookmarkEnd w:id="475"/>
    </w:p>
    <w:bookmarkEnd w:id="476"/>
    <w:bookmarkEnd w:id="477"/>
    <w:bookmarkEnd w:id="478"/>
    <w:p w14:paraId="535A3B03">
      <w:pPr>
        <w:spacing w:line="480" w:lineRule="auto"/>
        <w:jc w:val="center"/>
        <w:rPr>
          <w:rFonts w:hint="eastAsia" w:asciiTheme="minorEastAsia" w:hAnsiTheme="minorEastAsia" w:eastAsiaTheme="minorEastAsia" w:cstheme="minorEastAsia"/>
          <w:b/>
          <w:bCs/>
          <w:color w:val="auto"/>
          <w:szCs w:val="24"/>
          <w:highlight w:val="none"/>
        </w:rPr>
      </w:pPr>
      <w:bookmarkStart w:id="479" w:name="_Toc39136365"/>
      <w:bookmarkStart w:id="480" w:name="_Toc30877"/>
      <w:bookmarkStart w:id="481" w:name="_Toc20729"/>
      <w:bookmarkStart w:id="482" w:name="_Toc21521"/>
      <w:bookmarkStart w:id="483" w:name="_Toc16438"/>
      <w:bookmarkStart w:id="484" w:name="_Toc31113"/>
      <w:bookmarkStart w:id="485" w:name="_Toc15279"/>
      <w:bookmarkStart w:id="486" w:name="_Toc18136"/>
      <w:r>
        <w:rPr>
          <w:rFonts w:hint="eastAsia" w:asciiTheme="minorEastAsia" w:hAnsiTheme="minorEastAsia" w:eastAsiaTheme="minorEastAsia" w:cstheme="minorEastAsia"/>
          <w:b/>
          <w:bCs/>
          <w:color w:val="auto"/>
          <w:szCs w:val="24"/>
          <w:highlight w:val="none"/>
        </w:rPr>
        <w:t>各项承诺一览表</w:t>
      </w:r>
      <w:bookmarkEnd w:id="479"/>
      <w:bookmarkEnd w:id="480"/>
      <w:bookmarkEnd w:id="481"/>
      <w:bookmarkEnd w:id="482"/>
    </w:p>
    <w:bookmarkEnd w:id="483"/>
    <w:bookmarkEnd w:id="484"/>
    <w:bookmarkEnd w:id="485"/>
    <w:bookmarkEnd w:id="486"/>
    <w:tbl>
      <w:tblPr>
        <w:tblStyle w:val="22"/>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1040"/>
        <w:gridCol w:w="2946"/>
        <w:gridCol w:w="5335"/>
      </w:tblGrid>
      <w:tr w14:paraId="1C87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top"/>
          </w:tcPr>
          <w:p w14:paraId="0B170CB3">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040" w:type="dxa"/>
            <w:noWrap w:val="0"/>
            <w:vAlign w:val="top"/>
          </w:tcPr>
          <w:p w14:paraId="3479395F">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承诺标题</w:t>
            </w:r>
          </w:p>
        </w:tc>
        <w:tc>
          <w:tcPr>
            <w:tcW w:w="2946" w:type="dxa"/>
            <w:noWrap w:val="0"/>
            <w:vAlign w:val="top"/>
          </w:tcPr>
          <w:p w14:paraId="6E51554B">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承诺内容</w:t>
            </w:r>
          </w:p>
        </w:tc>
        <w:tc>
          <w:tcPr>
            <w:tcW w:w="5335" w:type="dxa"/>
            <w:tcBorders>
              <w:bottom w:val="single" w:color="auto" w:sz="4" w:space="0"/>
            </w:tcBorders>
            <w:noWrap w:val="0"/>
            <w:vAlign w:val="top"/>
          </w:tcPr>
          <w:p w14:paraId="08ADDF6D">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违约承诺</w:t>
            </w:r>
          </w:p>
        </w:tc>
      </w:tr>
      <w:tr w14:paraId="5C44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3FF2C625">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40" w:type="dxa"/>
            <w:noWrap w:val="0"/>
            <w:vAlign w:val="center"/>
          </w:tcPr>
          <w:p w14:paraId="65AF993B">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对招标文件条款自愿接受承诺书</w:t>
            </w:r>
          </w:p>
        </w:tc>
        <w:tc>
          <w:tcPr>
            <w:tcW w:w="2946" w:type="dxa"/>
            <w:noWrap w:val="0"/>
            <w:vAlign w:val="center"/>
          </w:tcPr>
          <w:p w14:paraId="3722B0F2">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我方保证接受招标文件的所有条款，响应招标文件的</w:t>
            </w:r>
            <w:bookmarkStart w:id="487" w:name="_Hlt66510765"/>
            <w:bookmarkEnd w:id="487"/>
            <w:r>
              <w:rPr>
                <w:rFonts w:hint="eastAsia" w:ascii="宋体" w:hAnsi="宋体" w:eastAsia="宋体" w:cs="宋体"/>
                <w:color w:val="auto"/>
                <w:sz w:val="24"/>
                <w:szCs w:val="24"/>
                <w:highlight w:val="none"/>
              </w:rPr>
              <w:t>所有要求，并同意招标文件为施工承包合同的组成部分</w:t>
            </w:r>
          </w:p>
        </w:tc>
        <w:tc>
          <w:tcPr>
            <w:tcW w:w="5335" w:type="dxa"/>
            <w:tcBorders>
              <w:tr2bl w:val="single" w:color="auto" w:sz="4" w:space="0"/>
            </w:tcBorders>
            <w:noWrap w:val="0"/>
            <w:vAlign w:val="center"/>
          </w:tcPr>
          <w:p w14:paraId="7037CFC8">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p>
        </w:tc>
      </w:tr>
      <w:tr w14:paraId="1011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417DA7F1">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40" w:type="dxa"/>
            <w:noWrap w:val="0"/>
            <w:vAlign w:val="center"/>
          </w:tcPr>
          <w:p w14:paraId="6D1D0606">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履约保证金承诺书</w:t>
            </w:r>
          </w:p>
        </w:tc>
        <w:tc>
          <w:tcPr>
            <w:tcW w:w="2946" w:type="dxa"/>
            <w:noWrap w:val="0"/>
            <w:vAlign w:val="center"/>
          </w:tcPr>
          <w:p w14:paraId="787352FC">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我方保证按时缴纳全部履约保证金</w:t>
            </w:r>
            <w:bookmarkStart w:id="488" w:name="_Hlt104711307"/>
            <w:bookmarkEnd w:id="488"/>
          </w:p>
        </w:tc>
        <w:tc>
          <w:tcPr>
            <w:tcW w:w="5335" w:type="dxa"/>
            <w:noWrap w:val="0"/>
            <w:vAlign w:val="center"/>
          </w:tcPr>
          <w:p w14:paraId="3BA504CC">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在施工过程中，如由于我方自身的资金、技术、质量、非不可抗力等原因给招标人造成损失时，或未能按招标文件所承诺的各项承诺完成时，我方同意扣除全部履约保证金，并承担由此引起的所有责任。</w:t>
            </w:r>
          </w:p>
        </w:tc>
      </w:tr>
      <w:tr w14:paraId="57D9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0" w:hRule="atLeast"/>
          <w:jc w:val="center"/>
        </w:trPr>
        <w:tc>
          <w:tcPr>
            <w:tcW w:w="617" w:type="dxa"/>
            <w:noWrap w:val="0"/>
            <w:vAlign w:val="center"/>
          </w:tcPr>
          <w:p w14:paraId="78D70731">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040" w:type="dxa"/>
            <w:noWrap w:val="0"/>
            <w:vAlign w:val="center"/>
          </w:tcPr>
          <w:p w14:paraId="544DEE16">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工期、进度承诺书</w:t>
            </w:r>
          </w:p>
        </w:tc>
        <w:tc>
          <w:tcPr>
            <w:tcW w:w="2946" w:type="dxa"/>
            <w:noWrap w:val="0"/>
            <w:vAlign w:val="center"/>
          </w:tcPr>
          <w:p w14:paraId="4A4A6592">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我方保证在招标文件规定要求的工期完成工程设计、施工并通过竣工验收。</w:t>
            </w:r>
          </w:p>
          <w:p w14:paraId="2C5E2ACD">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我方保证各分部、分项工程的施工进度按我方投标文件中的施工进度计划完成施工任务。</w:t>
            </w:r>
          </w:p>
        </w:tc>
        <w:tc>
          <w:tcPr>
            <w:tcW w:w="5335" w:type="dxa"/>
            <w:noWrap w:val="0"/>
            <w:vAlign w:val="center"/>
          </w:tcPr>
          <w:p w14:paraId="5B82B69A">
            <w:pPr>
              <w:pStyle w:val="9"/>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若因我方原因，没有按期完成设计任务、工程没有按期竣工时，我方在逾期第壹天起每天</w:t>
            </w:r>
            <w:r>
              <w:rPr>
                <w:rFonts w:hint="eastAsia" w:ascii="宋体" w:hAnsi="宋体" w:eastAsia="宋体" w:cs="宋体"/>
                <w:snapToGrid w:val="0"/>
                <w:color w:val="auto"/>
                <w:kern w:val="0"/>
                <w:sz w:val="24"/>
                <w:szCs w:val="24"/>
                <w:highlight w:val="none"/>
              </w:rPr>
              <w:t>按设计费合同价款的</w:t>
            </w:r>
            <w:r>
              <w:rPr>
                <w:rFonts w:hint="eastAsia" w:ascii="宋体" w:hAnsi="宋体" w:eastAsia="宋体" w:cs="宋体"/>
                <w:snapToGrid w:val="0"/>
                <w:color w:val="auto"/>
                <w:kern w:val="0"/>
                <w:sz w:val="24"/>
                <w:szCs w:val="24"/>
                <w:highlight w:val="none"/>
                <w:u w:val="single"/>
              </w:rPr>
              <w:t>1%</w:t>
            </w:r>
            <w:r>
              <w:rPr>
                <w:rFonts w:hint="eastAsia" w:ascii="宋体" w:hAnsi="宋体" w:eastAsia="宋体" w:cs="宋体"/>
                <w:snapToGrid w:val="0"/>
                <w:color w:val="auto"/>
                <w:kern w:val="0"/>
                <w:sz w:val="24"/>
                <w:szCs w:val="24"/>
                <w:highlight w:val="none"/>
              </w:rPr>
              <w:t>向招标人返纳逾期违约金</w:t>
            </w:r>
            <w:r>
              <w:rPr>
                <w:rFonts w:hint="eastAsia" w:ascii="宋体" w:hAnsi="宋体" w:eastAsia="宋体" w:cs="宋体"/>
                <w:color w:val="auto"/>
                <w:sz w:val="24"/>
                <w:szCs w:val="24"/>
                <w:highlight w:val="none"/>
                <w:lang w:eastAsia="zh-CN"/>
              </w:rPr>
              <w:t>；</w:t>
            </w:r>
            <w:r>
              <w:rPr>
                <w:rFonts w:hint="eastAsia" w:ascii="宋体" w:hAnsi="宋体" w:eastAsia="宋体" w:cs="宋体"/>
                <w:snapToGrid w:val="0"/>
                <w:color w:val="auto"/>
                <w:kern w:val="0"/>
                <w:sz w:val="24"/>
                <w:szCs w:val="24"/>
                <w:highlight w:val="none"/>
              </w:rPr>
              <w:t>由于</w:t>
            </w:r>
            <w:r>
              <w:rPr>
                <w:rFonts w:hint="eastAsia" w:ascii="宋体" w:hAnsi="宋体" w:eastAsia="宋体" w:cs="宋体"/>
                <w:snapToGrid w:val="0"/>
                <w:color w:val="auto"/>
                <w:kern w:val="0"/>
                <w:sz w:val="24"/>
                <w:szCs w:val="24"/>
                <w:highlight w:val="none"/>
                <w:lang w:eastAsia="zh-CN"/>
              </w:rPr>
              <w:t>我方</w:t>
            </w:r>
            <w:r>
              <w:rPr>
                <w:rFonts w:hint="eastAsia" w:ascii="宋体" w:hAnsi="宋体" w:eastAsia="宋体" w:cs="宋体"/>
                <w:snapToGrid w:val="0"/>
                <w:color w:val="auto"/>
                <w:kern w:val="0"/>
                <w:sz w:val="24"/>
                <w:szCs w:val="24"/>
                <w:highlight w:val="none"/>
              </w:rPr>
              <w:t>原因，工程没有按期竣工并通过验收时</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我方</w:t>
            </w:r>
            <w:r>
              <w:rPr>
                <w:rFonts w:hint="eastAsia" w:ascii="宋体" w:hAnsi="宋体" w:eastAsia="宋体" w:cs="宋体"/>
                <w:snapToGrid w:val="0"/>
                <w:color w:val="auto"/>
                <w:kern w:val="0"/>
                <w:sz w:val="24"/>
                <w:szCs w:val="24"/>
                <w:highlight w:val="none"/>
              </w:rPr>
              <w:t>须在逾期第壹天起每天按合同价款的</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向招标人返纳逾期竣工违约金。逾期竣工违约金的最高限额为</w:t>
            </w:r>
            <w:r>
              <w:rPr>
                <w:rFonts w:hint="eastAsia" w:ascii="宋体" w:hAnsi="宋体" w:eastAsia="宋体" w:cs="宋体"/>
                <w:snapToGrid w:val="0"/>
                <w:color w:val="auto"/>
                <w:kern w:val="0"/>
                <w:sz w:val="24"/>
                <w:szCs w:val="24"/>
                <w:highlight w:val="none"/>
                <w:u w:val="single"/>
              </w:rPr>
              <w:t>合同价款的</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w:t>
            </w:r>
          </w:p>
          <w:p w14:paraId="34289A19">
            <w:pPr>
              <w:pStyle w:val="9"/>
              <w:spacing w:line="40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若因我方原因，各分部、分项工程的施工进度未能按我方投标文件中的施工进度计划完成施工任务，延期达到30日历天，招标人有权终止合同。我方愿意承担所有由此引起的责任及经济损失。</w:t>
            </w:r>
          </w:p>
        </w:tc>
      </w:tr>
      <w:tr w14:paraId="2A8F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0" w:hRule="atLeast"/>
          <w:jc w:val="center"/>
        </w:trPr>
        <w:tc>
          <w:tcPr>
            <w:tcW w:w="617" w:type="dxa"/>
            <w:noWrap w:val="0"/>
            <w:vAlign w:val="center"/>
          </w:tcPr>
          <w:p w14:paraId="5BDD9FF3">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040" w:type="dxa"/>
            <w:noWrap w:val="0"/>
            <w:vAlign w:val="center"/>
          </w:tcPr>
          <w:p w14:paraId="0E913E31">
            <w:pPr>
              <w:pStyle w:val="54"/>
              <w:keepNext w:val="0"/>
              <w:keepLines w:val="0"/>
              <w:pageBreakBefore w:val="0"/>
              <w:widowControl w:val="0"/>
              <w:kinsoku/>
              <w:overflowPunct/>
              <w:topLinePunct w:val="0"/>
              <w:autoSpaceDE/>
              <w:autoSpaceDN/>
              <w:bidi w:val="0"/>
              <w:spacing w:line="400" w:lineRule="exact"/>
              <w:ind w:firstLine="0" w:firstLineChars="0"/>
              <w:textAlignment w:val="auto"/>
              <w:rPr>
                <w:rFonts w:hint="eastAsia" w:ascii="宋体" w:hAnsi="宋体" w:eastAsia="宋体" w:cs="宋体"/>
                <w:color w:val="auto"/>
                <w:sz w:val="24"/>
                <w:szCs w:val="24"/>
                <w:highlight w:val="none"/>
              </w:rPr>
            </w:pPr>
            <w:bookmarkStart w:id="489" w:name="_Hlt98038044"/>
            <w:r>
              <w:rPr>
                <w:rFonts w:hint="eastAsia" w:ascii="宋体" w:hAnsi="宋体" w:eastAsia="宋体" w:cs="宋体"/>
                <w:color w:val="auto"/>
                <w:sz w:val="24"/>
                <w:szCs w:val="24"/>
                <w:highlight w:val="none"/>
              </w:rPr>
              <w:t>安全、文明施工承诺</w:t>
            </w:r>
            <w:bookmarkEnd w:id="489"/>
            <w:r>
              <w:rPr>
                <w:rFonts w:hint="eastAsia" w:ascii="宋体" w:hAnsi="宋体" w:eastAsia="宋体" w:cs="宋体"/>
                <w:color w:val="auto"/>
                <w:sz w:val="24"/>
                <w:szCs w:val="24"/>
                <w:highlight w:val="none"/>
              </w:rPr>
              <w:t>书</w:t>
            </w:r>
          </w:p>
        </w:tc>
        <w:tc>
          <w:tcPr>
            <w:tcW w:w="2946" w:type="dxa"/>
            <w:noWrap w:val="0"/>
            <w:vAlign w:val="center"/>
          </w:tcPr>
          <w:p w14:paraId="65E9C212">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我方保证在施工期间严格遵守国家、省、市有关安全、文明施工规定，确保施工安全和第三者的安全，根据施工现场情况保证绿色施工安全防护措施费投入。</w:t>
            </w:r>
          </w:p>
        </w:tc>
        <w:tc>
          <w:tcPr>
            <w:tcW w:w="5335" w:type="dxa"/>
            <w:noWrap w:val="0"/>
            <w:vAlign w:val="center"/>
          </w:tcPr>
          <w:p w14:paraId="13AC9D0D">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若因我方原因，在施工期间发生安全事故，造成施工人员或第三者的伤亡，我方愿意承担由此造成的一切经济损失和法律责任。</w:t>
            </w:r>
          </w:p>
          <w:p w14:paraId="450EE985">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若我方在施工中发生一般事故及以上等级生产安全事故，可扣除相当于所有“绿色施工安全防护措施费”的管理费。</w:t>
            </w:r>
          </w:p>
        </w:tc>
      </w:tr>
      <w:tr w14:paraId="2D77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0" w:hRule="atLeast"/>
          <w:jc w:val="center"/>
        </w:trPr>
        <w:tc>
          <w:tcPr>
            <w:tcW w:w="617" w:type="dxa"/>
            <w:noWrap w:val="0"/>
            <w:vAlign w:val="center"/>
          </w:tcPr>
          <w:p w14:paraId="46486B8A">
            <w:pPr>
              <w:pStyle w:val="4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5</w:t>
            </w:r>
          </w:p>
        </w:tc>
        <w:tc>
          <w:tcPr>
            <w:tcW w:w="1040" w:type="dxa"/>
            <w:noWrap w:val="0"/>
            <w:vAlign w:val="center"/>
          </w:tcPr>
          <w:p w14:paraId="3970D7AE">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2F384719">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任职承诺</w:t>
            </w:r>
          </w:p>
        </w:tc>
        <w:tc>
          <w:tcPr>
            <w:tcW w:w="2946" w:type="dxa"/>
            <w:noWrap w:val="0"/>
            <w:vAlign w:val="center"/>
          </w:tcPr>
          <w:p w14:paraId="5A135A2B">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我方拟派项目经理现阶段没有担任任何在施（包括已中标或已签订合同未开工、已开工未竣工、已建成未竣工）建设工程项目的项目经理。</w:t>
            </w:r>
          </w:p>
        </w:tc>
        <w:tc>
          <w:tcPr>
            <w:tcW w:w="5335" w:type="dxa"/>
            <w:noWrap w:val="0"/>
            <w:vAlign w:val="center"/>
          </w:tcPr>
          <w:p w14:paraId="335E6ABA">
            <w:pPr>
              <w:pStyle w:val="54"/>
              <w:keepNext w:val="0"/>
              <w:keepLines w:val="0"/>
              <w:pageBreakBefore w:val="0"/>
              <w:widowControl w:val="0"/>
              <w:kinsoku/>
              <w:wordWrap w:val="0"/>
              <w:overflowPunct/>
              <w:topLinePunct w:val="0"/>
              <w:autoSpaceDE/>
              <w:autoSpaceDN/>
              <w:bidi w:val="0"/>
              <w:adjustRightInd w:val="0"/>
              <w:snapToGrid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如果我方拟派项目经理在本工程招标投标活动期间有担任其他任何在施（包括已中标或已签订合同未开工、已开工未竣工、已建成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31B6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center"/>
          </w:tcPr>
          <w:p w14:paraId="4A45F174">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040" w:type="dxa"/>
            <w:noWrap w:val="0"/>
            <w:vAlign w:val="center"/>
          </w:tcPr>
          <w:p w14:paraId="05357CB7">
            <w:pPr>
              <w:pStyle w:val="54"/>
              <w:keepNext w:val="0"/>
              <w:keepLines w:val="0"/>
              <w:pageBreakBefore w:val="0"/>
              <w:widowControl w:val="0"/>
              <w:kinsoku/>
              <w:overflowPunct/>
              <w:topLinePunct w:val="0"/>
              <w:autoSpaceDE/>
              <w:autoSpaceDN/>
              <w:bidi w:val="0"/>
              <w:spacing w:line="40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质量承诺书</w:t>
            </w:r>
          </w:p>
        </w:tc>
        <w:tc>
          <w:tcPr>
            <w:tcW w:w="2946" w:type="dxa"/>
            <w:noWrap w:val="0"/>
            <w:vAlign w:val="center"/>
          </w:tcPr>
          <w:p w14:paraId="7E037900">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我方保证按照现行的国家和广东省的有关施工技术规范及现行标准，达</w:t>
            </w:r>
            <w:bookmarkStart w:id="490" w:name="_Hlt112573700"/>
            <w:bookmarkEnd w:id="490"/>
            <w:r>
              <w:rPr>
                <w:rFonts w:hint="eastAsia" w:ascii="宋体" w:hAnsi="宋体" w:eastAsia="宋体" w:cs="宋体"/>
                <w:color w:val="auto"/>
                <w:sz w:val="24"/>
                <w:szCs w:val="24"/>
                <w:highlight w:val="none"/>
              </w:rPr>
              <w:t>到合格标准。</w:t>
            </w:r>
          </w:p>
          <w:p w14:paraId="5B2E340C">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auto"/>
                <w:sz w:val="24"/>
                <w:szCs w:val="24"/>
                <w:highlight w:val="none"/>
              </w:rPr>
            </w:pPr>
          </w:p>
        </w:tc>
        <w:tc>
          <w:tcPr>
            <w:tcW w:w="5335" w:type="dxa"/>
            <w:noWrap w:val="0"/>
            <w:vAlign w:val="center"/>
          </w:tcPr>
          <w:p w14:paraId="65F8C488">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若因我方原因，工程在竣工验收或分部分项工程验收时没有达到合格标准</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我方每次（每分部每分项次）验收检查时按</w:t>
            </w:r>
            <w:r>
              <w:rPr>
                <w:rFonts w:hint="eastAsia" w:ascii="宋体" w:hAnsi="宋体" w:eastAsia="宋体" w:cs="宋体"/>
                <w:color w:val="auto"/>
                <w:sz w:val="24"/>
                <w:szCs w:val="24"/>
                <w:highlight w:val="none"/>
              </w:rPr>
              <w:t>合同价款的</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向招标人缴纳质量违约金。并达到合格标准为止，同时承担所有的责任及经济损失。</w:t>
            </w:r>
          </w:p>
          <w:p w14:paraId="461954BB">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在建设或监理</w:t>
            </w:r>
            <w:r>
              <w:rPr>
                <w:rFonts w:hint="eastAsia" w:ascii="宋体" w:hAnsi="宋体" w:eastAsia="宋体" w:cs="宋体"/>
                <w:color w:val="auto"/>
                <w:sz w:val="24"/>
                <w:szCs w:val="24"/>
                <w:highlight w:val="none"/>
                <w:lang w:eastAsia="zh-CN"/>
              </w:rPr>
              <w:t>单位</w:t>
            </w:r>
            <w:r>
              <w:rPr>
                <w:rFonts w:hint="eastAsia" w:ascii="宋体" w:hAnsi="宋体" w:eastAsia="宋体" w:cs="宋体"/>
                <w:color w:val="auto"/>
                <w:sz w:val="24"/>
                <w:szCs w:val="24"/>
                <w:highlight w:val="none"/>
              </w:rPr>
              <w:t>组织的质量检查中，一次一个分项工程实测或其他项、程序不合格不符合要求的，一次向建设单位交纳质量违约金¥1000元/次项，分部工程不合格的一次、一个分部向建设（委托）单位交纳违约金¥2000元/次、项；</w:t>
            </w:r>
          </w:p>
          <w:p w14:paraId="464A9578">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省、市监管部门抽查、巡查、专项、随机检查中，一次一个分项工程实测或其他项、程序不合格不符合要求的，一次向建设（委托）单位交纳质量违约金¥2000元/次项，分部工程不合格的一次、一个分部向建设（委托）单位交纳违约金¥5000元/次、项；</w:t>
            </w:r>
          </w:p>
          <w:p w14:paraId="47352A10">
            <w:pPr>
              <w:pStyle w:val="56"/>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未能在限期内完成质量安全隐患整改的，每逾期一天，向建设单位交纳罚金¥1000元；</w:t>
            </w:r>
          </w:p>
          <w:p w14:paraId="2481114E">
            <w:pPr>
              <w:pStyle w:val="56"/>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未按规定委派专业人员参加检验批、分部分项工程验收，不及时签署验收记录的，一次向建设（委托）单位交纳违约金¥2000元/次、项；</w:t>
            </w:r>
          </w:p>
          <w:p w14:paraId="131B9E15">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不按规定委派相关人员参加项目竣工验收的，一次向建设单位交纳违约金¥50000元/项，不签署意见的交纳违约金¥50000元。</w:t>
            </w:r>
          </w:p>
        </w:tc>
      </w:tr>
      <w:tr w14:paraId="6F00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617" w:type="dxa"/>
            <w:noWrap w:val="0"/>
            <w:vAlign w:val="center"/>
          </w:tcPr>
          <w:p w14:paraId="467DB062">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040" w:type="dxa"/>
            <w:noWrap w:val="0"/>
            <w:vAlign w:val="center"/>
          </w:tcPr>
          <w:p w14:paraId="16F39F76">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账户承诺</w:t>
            </w:r>
          </w:p>
        </w:tc>
        <w:tc>
          <w:tcPr>
            <w:tcW w:w="2946" w:type="dxa"/>
            <w:noWrap w:val="0"/>
            <w:vAlign w:val="center"/>
          </w:tcPr>
          <w:p w14:paraId="44538DA9">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我方保证招标人的资金随时可划入合同中规</w:t>
            </w:r>
            <w:bookmarkStart w:id="491" w:name="_Hlt127094672"/>
            <w:bookmarkEnd w:id="491"/>
            <w:r>
              <w:rPr>
                <w:rFonts w:hint="eastAsia" w:ascii="宋体" w:hAnsi="宋体" w:eastAsia="宋体" w:cs="宋体"/>
                <w:color w:val="auto"/>
                <w:spacing w:val="-2"/>
                <w:sz w:val="24"/>
                <w:szCs w:val="24"/>
                <w:highlight w:val="none"/>
              </w:rPr>
              <w:t>定的我方</w:t>
            </w:r>
            <w:r>
              <w:rPr>
                <w:rFonts w:hint="eastAsia" w:ascii="宋体" w:hAnsi="宋体" w:eastAsia="宋体" w:cs="宋体"/>
                <w:color w:val="auto"/>
                <w:sz w:val="24"/>
                <w:szCs w:val="24"/>
                <w:highlight w:val="none"/>
              </w:rPr>
              <w:t>账</w:t>
            </w:r>
            <w:r>
              <w:rPr>
                <w:rFonts w:hint="eastAsia" w:ascii="宋体" w:hAnsi="宋体" w:eastAsia="宋体" w:cs="宋体"/>
                <w:color w:val="auto"/>
                <w:spacing w:val="-2"/>
                <w:sz w:val="24"/>
                <w:szCs w:val="24"/>
                <w:highlight w:val="none"/>
              </w:rPr>
              <w:t>户。</w:t>
            </w:r>
          </w:p>
        </w:tc>
        <w:tc>
          <w:tcPr>
            <w:tcW w:w="5335" w:type="dxa"/>
            <w:noWrap w:val="0"/>
            <w:vAlign w:val="center"/>
          </w:tcPr>
          <w:p w14:paraId="29BF3E7B">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若因我方原因造成招标人的资金无法划入合同中规定的我方</w:t>
            </w:r>
            <w:r>
              <w:rPr>
                <w:rFonts w:hint="eastAsia" w:ascii="宋体" w:hAnsi="宋体" w:eastAsia="宋体" w:cs="宋体"/>
                <w:color w:val="auto"/>
                <w:sz w:val="24"/>
                <w:szCs w:val="24"/>
                <w:highlight w:val="none"/>
              </w:rPr>
              <w:t>账</w:t>
            </w:r>
            <w:r>
              <w:rPr>
                <w:rFonts w:hint="eastAsia" w:ascii="宋体" w:hAnsi="宋体" w:eastAsia="宋体" w:cs="宋体"/>
                <w:color w:val="auto"/>
                <w:spacing w:val="-2"/>
                <w:sz w:val="24"/>
                <w:szCs w:val="24"/>
                <w:highlight w:val="none"/>
              </w:rPr>
              <w:t>户，如时间达到30日历天，招标人有权终止合同。我方承担由此造成的所有责任及经济损失。</w:t>
            </w:r>
          </w:p>
        </w:tc>
      </w:tr>
      <w:tr w14:paraId="167F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2A010E03">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040" w:type="dxa"/>
            <w:noWrap w:val="0"/>
            <w:vAlign w:val="center"/>
          </w:tcPr>
          <w:p w14:paraId="32E893DF">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工程的配合服务承诺</w:t>
            </w:r>
          </w:p>
        </w:tc>
        <w:tc>
          <w:tcPr>
            <w:tcW w:w="2946" w:type="dxa"/>
            <w:noWrap w:val="0"/>
            <w:vAlign w:val="center"/>
          </w:tcPr>
          <w:p w14:paraId="78298B9D">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我方服从业主管理，保证配合与工程承包范围内相关的其他标段（工种、分项）工程施工单位的工程施工，不提出额外增加费用的要求。</w:t>
            </w:r>
          </w:p>
        </w:tc>
        <w:tc>
          <w:tcPr>
            <w:tcW w:w="5335" w:type="dxa"/>
            <w:noWrap w:val="0"/>
            <w:vAlign w:val="center"/>
          </w:tcPr>
          <w:p w14:paraId="4C035547">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若因我方未及时配合与工程承包范围内相关的其他标段（工种、分项）工程施工单位的工程施工，给招标人或其他施工单位造成损失的，我方承担所有的责任及经济损失。</w:t>
            </w:r>
          </w:p>
        </w:tc>
      </w:tr>
      <w:tr w14:paraId="7044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9" w:hRule="atLeast"/>
          <w:jc w:val="center"/>
        </w:trPr>
        <w:tc>
          <w:tcPr>
            <w:tcW w:w="617" w:type="dxa"/>
            <w:noWrap w:val="0"/>
            <w:vAlign w:val="center"/>
          </w:tcPr>
          <w:p w14:paraId="4795F316">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040" w:type="dxa"/>
            <w:noWrap w:val="0"/>
            <w:vAlign w:val="center"/>
          </w:tcPr>
          <w:p w14:paraId="16F97291">
            <w:pPr>
              <w:pStyle w:val="58"/>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中标人员承诺</w:t>
            </w:r>
          </w:p>
        </w:tc>
        <w:tc>
          <w:tcPr>
            <w:tcW w:w="2946" w:type="dxa"/>
            <w:noWrap w:val="0"/>
            <w:vAlign w:val="center"/>
          </w:tcPr>
          <w:p w14:paraId="04C34D8F">
            <w:pPr>
              <w:pStyle w:val="58"/>
              <w:keepNext w:val="0"/>
              <w:keepLines w:val="0"/>
              <w:pageBreakBefore w:val="0"/>
              <w:widowControl w:val="0"/>
              <w:kinsoku/>
              <w:overflowPunct/>
              <w:topLinePunct w:val="0"/>
              <w:autoSpaceDE/>
              <w:autoSpaceDN/>
              <w:bidi w:val="0"/>
              <w:spacing w:line="400" w:lineRule="exact"/>
              <w:ind w:firstLine="472" w:firstLineChars="200"/>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我方保证投标文件中所拟派的中标人员全部配合施工现场管理施工。</w:t>
            </w:r>
          </w:p>
        </w:tc>
        <w:tc>
          <w:tcPr>
            <w:tcW w:w="5335" w:type="dxa"/>
            <w:noWrap w:val="0"/>
            <w:vAlign w:val="center"/>
          </w:tcPr>
          <w:p w14:paraId="10E5F145">
            <w:pPr>
              <w:pStyle w:val="59"/>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设计单位未能在招标人通知的时间内（提前一天通知，紧急情况随时通知）参加设计交底、处理有关设计问题、参加必要部位隐蔽验收和竣工验收等工作，每人次交纳违约金</w:t>
            </w:r>
            <w:r>
              <w:rPr>
                <w:rFonts w:hint="eastAsia" w:ascii="宋体" w:hAnsi="宋体" w:eastAsia="宋体" w:cs="宋体"/>
                <w:color w:val="auto"/>
                <w:sz w:val="24"/>
                <w:szCs w:val="24"/>
                <w:highlight w:val="none"/>
              </w:rPr>
              <w:t>¥</w:t>
            </w:r>
            <w:r>
              <w:rPr>
                <w:rFonts w:hint="eastAsia" w:ascii="宋体" w:hAnsi="宋体" w:eastAsia="宋体" w:cs="宋体"/>
                <w:snapToGrid w:val="0"/>
                <w:color w:val="auto"/>
                <w:sz w:val="24"/>
                <w:szCs w:val="24"/>
                <w:highlight w:val="none"/>
              </w:rPr>
              <w:t>1000元。</w:t>
            </w:r>
          </w:p>
          <w:p w14:paraId="7EE87FFE">
            <w:pPr>
              <w:pStyle w:val="59"/>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设计单位驻韶办公的项目负责人（即投标文件所拟派的项目负责人）必须负责本项目设计全过程（包括施工图设计审查、施工图设计修编、预算跟踪服务、图纸会审和技术交底）。项目负责人未准时参加上述环节工作的，每缺席一次交纳违约金</w:t>
            </w:r>
            <w:r>
              <w:rPr>
                <w:rFonts w:hint="eastAsia" w:ascii="宋体" w:hAnsi="宋体" w:eastAsia="宋体" w:cs="宋体"/>
                <w:color w:val="auto"/>
                <w:sz w:val="24"/>
                <w:szCs w:val="24"/>
                <w:highlight w:val="none"/>
              </w:rPr>
              <w:t>¥</w:t>
            </w:r>
            <w:r>
              <w:rPr>
                <w:rFonts w:hint="eastAsia" w:ascii="宋体" w:hAnsi="宋体" w:eastAsia="宋体" w:cs="宋体"/>
                <w:snapToGrid w:val="0"/>
                <w:color w:val="auto"/>
                <w:sz w:val="24"/>
                <w:szCs w:val="24"/>
                <w:highlight w:val="none"/>
              </w:rPr>
              <w:t>5000元（以招标人发出的违约通知为准）。</w:t>
            </w:r>
          </w:p>
          <w:p w14:paraId="49FA592F">
            <w:pPr>
              <w:pStyle w:val="59"/>
              <w:keepNext w:val="0"/>
              <w:keepLines w:val="0"/>
              <w:pageBreakBefore w:val="0"/>
              <w:widowControl w:val="0"/>
              <w:kinsoku/>
              <w:overflowPunct/>
              <w:topLinePunct w:val="0"/>
              <w:autoSpaceDE/>
              <w:autoSpaceDN/>
              <w:bidi w:val="0"/>
              <w:spacing w:line="400" w:lineRule="exact"/>
              <w:ind w:left="0" w:leftChars="0"/>
              <w:textAlignment w:val="auto"/>
              <w:rPr>
                <w:rFonts w:hint="eastAsia" w:ascii="宋体" w:hAnsi="宋体" w:eastAsia="宋体" w:cs="宋体"/>
                <w:color w:val="auto"/>
                <w:spacing w:val="-2"/>
                <w:sz w:val="24"/>
                <w:szCs w:val="24"/>
                <w:highlight w:val="none"/>
              </w:rPr>
            </w:pPr>
            <w:r>
              <w:rPr>
                <w:rFonts w:hint="eastAsia" w:ascii="宋体" w:hAnsi="宋体" w:eastAsia="宋体" w:cs="宋体"/>
                <w:snapToGrid w:val="0"/>
                <w:color w:val="auto"/>
                <w:sz w:val="24"/>
                <w:szCs w:val="24"/>
                <w:highlight w:val="none"/>
              </w:rPr>
              <w:t>设计单位应委派1名参与并熟悉本项目设计任务，有现场处理经验的设计代表常驻项目现场。中标人应为派驻现场的设计工作人员提供工作、生活及交通等方面的便利条件及准备必要的劳动保护装备。在正常施工阶段，每月应保证最少20天在现场。未经招标人书面许可，缺少1天向建设单位每人每天支付违约金¥2000元/天。</w:t>
            </w:r>
          </w:p>
        </w:tc>
      </w:tr>
      <w:tr w14:paraId="5CF3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9" w:hRule="atLeast"/>
          <w:jc w:val="center"/>
        </w:trPr>
        <w:tc>
          <w:tcPr>
            <w:tcW w:w="617" w:type="dxa"/>
            <w:noWrap w:val="0"/>
            <w:vAlign w:val="center"/>
          </w:tcPr>
          <w:p w14:paraId="65E6D018">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040" w:type="dxa"/>
            <w:noWrap w:val="0"/>
            <w:vAlign w:val="center"/>
          </w:tcPr>
          <w:p w14:paraId="1E231245">
            <w:pPr>
              <w:pStyle w:val="54"/>
              <w:keepNext w:val="0"/>
              <w:keepLines w:val="0"/>
              <w:pageBreakBefore w:val="0"/>
              <w:widowControl w:val="0"/>
              <w:kinsoku/>
              <w:overflowPunct/>
              <w:topLinePunct w:val="0"/>
              <w:autoSpaceDE/>
              <w:autoSpaceDN/>
              <w:bidi w:val="0"/>
              <w:spacing w:line="400" w:lineRule="exact"/>
              <w:ind w:firstLine="240" w:firstLineChars="1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项目管理班子人员承诺</w:t>
            </w:r>
          </w:p>
        </w:tc>
        <w:tc>
          <w:tcPr>
            <w:tcW w:w="2946" w:type="dxa"/>
            <w:noWrap w:val="0"/>
            <w:vAlign w:val="center"/>
          </w:tcPr>
          <w:p w14:paraId="4A0B42C6">
            <w:pPr>
              <w:pStyle w:val="27"/>
              <w:keepNext w:val="0"/>
              <w:keepLines w:val="0"/>
              <w:pageBreakBefore w:val="0"/>
              <w:widowControl w:val="0"/>
              <w:kinsoku/>
              <w:overflowPunct/>
              <w:topLinePunct w:val="0"/>
              <w:autoSpaceDE/>
              <w:autoSpaceDN/>
              <w:bidi w:val="0"/>
              <w:spacing w:line="400" w:lineRule="exact"/>
              <w:ind w:firstLine="560"/>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我方保证投标文件中所拟派的项目经理、技术负责人、施工员、质量员、安全员等工程管理人员全部在施工现场管理施工</w:t>
            </w:r>
          </w:p>
        </w:tc>
        <w:tc>
          <w:tcPr>
            <w:tcW w:w="5335" w:type="dxa"/>
            <w:noWrap w:val="0"/>
            <w:vAlign w:val="center"/>
          </w:tcPr>
          <w:p w14:paraId="301F4CE8">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承诺施工期间如左所叙施工现场管理人员按要求每日办理签到手续，如未经招标人同意未办理签到，向建设单位每人每天支付违约金</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3000元（项目经理未签到每天支付违约金</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3000元）；</w:t>
            </w:r>
          </w:p>
          <w:p w14:paraId="727382FA">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若我方的投标文件中所拟派的如左所述任何一个管理人员未经招标人或招标人同意擅自离岗，在一个月内达到10次/人，或项目经理、技术负责人在施工过程中每月驻场少于22天的，招标人有权终止合同。我方承担由此造成的所有责任及经济损失。</w:t>
            </w:r>
          </w:p>
        </w:tc>
      </w:tr>
      <w:tr w14:paraId="7819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0" w:hRule="atLeast"/>
          <w:jc w:val="center"/>
        </w:trPr>
        <w:tc>
          <w:tcPr>
            <w:tcW w:w="617" w:type="dxa"/>
            <w:noWrap w:val="0"/>
            <w:vAlign w:val="center"/>
          </w:tcPr>
          <w:p w14:paraId="455085F6">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040" w:type="dxa"/>
            <w:noWrap w:val="0"/>
            <w:vAlign w:val="center"/>
          </w:tcPr>
          <w:p w14:paraId="4EF5194D">
            <w:pPr>
              <w:pStyle w:val="54"/>
              <w:keepNext w:val="0"/>
              <w:keepLines w:val="0"/>
              <w:pageBreakBefore w:val="0"/>
              <w:widowControl w:val="0"/>
              <w:kinsoku/>
              <w:overflowPunct/>
              <w:topLinePunct w:val="0"/>
              <w:autoSpaceDE/>
              <w:autoSpaceDN/>
              <w:bidi w:val="0"/>
              <w:spacing w:line="400" w:lineRule="exact"/>
              <w:ind w:firstLine="240" w:firstLineChars="1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对支付农民工工资的承诺</w:t>
            </w:r>
          </w:p>
        </w:tc>
        <w:tc>
          <w:tcPr>
            <w:tcW w:w="2946" w:type="dxa"/>
            <w:noWrap w:val="0"/>
            <w:vAlign w:val="center"/>
          </w:tcPr>
          <w:p w14:paraId="327D3487">
            <w:pPr>
              <w:pStyle w:val="54"/>
              <w:keepNext w:val="0"/>
              <w:keepLines w:val="0"/>
              <w:pageBreakBefore w:val="0"/>
              <w:widowControl w:val="0"/>
              <w:kinsoku/>
              <w:overflowPunct/>
              <w:topLinePunct w:val="0"/>
              <w:autoSpaceDE/>
              <w:autoSpaceDN/>
              <w:bidi w:val="0"/>
              <w:spacing w:line="400" w:lineRule="exact"/>
              <w:ind w:firstLine="236"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如我方中标，我方无条件同意按照用工合同支付</w:t>
            </w:r>
            <w:r>
              <w:rPr>
                <w:rFonts w:hint="eastAsia" w:ascii="宋体" w:hAnsi="宋体" w:eastAsia="宋体" w:cs="宋体"/>
                <w:color w:val="auto"/>
                <w:sz w:val="24"/>
                <w:szCs w:val="24"/>
                <w:highlight w:val="none"/>
              </w:rPr>
              <w:t>农民工工资。</w:t>
            </w:r>
          </w:p>
        </w:tc>
        <w:tc>
          <w:tcPr>
            <w:tcW w:w="5335" w:type="dxa"/>
            <w:noWrap w:val="0"/>
            <w:vAlign w:val="center"/>
          </w:tcPr>
          <w:p w14:paraId="57AA35D3">
            <w:pPr>
              <w:pStyle w:val="54"/>
              <w:keepNext w:val="0"/>
              <w:keepLines w:val="0"/>
              <w:pageBreakBefore w:val="0"/>
              <w:widowControl w:val="0"/>
              <w:kinsoku/>
              <w:overflowPunct/>
              <w:topLinePunct w:val="0"/>
              <w:autoSpaceDE/>
              <w:autoSpaceDN/>
              <w:bidi w:val="0"/>
              <w:spacing w:line="400" w:lineRule="exact"/>
              <w:ind w:firstLine="412"/>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如我方中标，我方无条件同意按照用工合同支付</w:t>
            </w:r>
            <w:r>
              <w:rPr>
                <w:rFonts w:hint="eastAsia" w:ascii="宋体" w:hAnsi="宋体" w:eastAsia="宋体" w:cs="宋体"/>
                <w:color w:val="auto"/>
                <w:sz w:val="24"/>
                <w:szCs w:val="24"/>
                <w:highlight w:val="none"/>
              </w:rPr>
              <w:t>农民工工资。否则，招标人有权终止合同，扣除履约保证金，并由招标人先行垫付农民工被拖欠的工资，数额以未结清的工程数为限。</w:t>
            </w:r>
          </w:p>
        </w:tc>
      </w:tr>
      <w:tr w14:paraId="2A32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617" w:type="dxa"/>
            <w:noWrap w:val="0"/>
            <w:vAlign w:val="center"/>
          </w:tcPr>
          <w:p w14:paraId="647EA7BF">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040" w:type="dxa"/>
            <w:noWrap w:val="0"/>
            <w:vAlign w:val="center"/>
          </w:tcPr>
          <w:p w14:paraId="42F11C5C">
            <w:pPr>
              <w:pStyle w:val="54"/>
              <w:keepNext w:val="0"/>
              <w:keepLines w:val="0"/>
              <w:pageBreakBefore w:val="0"/>
              <w:widowControl w:val="0"/>
              <w:kinsoku/>
              <w:overflowPunct/>
              <w:topLinePunct w:val="0"/>
              <w:autoSpaceDE/>
              <w:autoSpaceDN/>
              <w:bidi w:val="0"/>
              <w:spacing w:line="400" w:lineRule="exact"/>
              <w:ind w:firstLine="240" w:firstLineChars="1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施工组织设计承诺</w:t>
            </w:r>
          </w:p>
        </w:tc>
        <w:tc>
          <w:tcPr>
            <w:tcW w:w="2946" w:type="dxa"/>
            <w:noWrap w:val="0"/>
            <w:vAlign w:val="center"/>
          </w:tcPr>
          <w:p w14:paraId="132356F0">
            <w:pPr>
              <w:pStyle w:val="54"/>
              <w:keepNext w:val="0"/>
              <w:keepLines w:val="0"/>
              <w:pageBreakBefore w:val="0"/>
              <w:widowControl w:val="0"/>
              <w:kinsoku/>
              <w:overflowPunct/>
              <w:topLinePunct w:val="0"/>
              <w:autoSpaceDE/>
              <w:autoSpaceDN/>
              <w:bidi w:val="0"/>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我方保证施工组织设计按照国家省市有关规定进行编写。</w:t>
            </w:r>
          </w:p>
        </w:tc>
        <w:tc>
          <w:tcPr>
            <w:tcW w:w="5335" w:type="dxa"/>
            <w:noWrap w:val="0"/>
            <w:vAlign w:val="center"/>
          </w:tcPr>
          <w:p w14:paraId="485833E0">
            <w:pPr>
              <w:pStyle w:val="54"/>
              <w:keepNext w:val="0"/>
              <w:keepLines w:val="0"/>
              <w:pageBreakBefore w:val="0"/>
              <w:widowControl w:val="0"/>
              <w:kinsoku/>
              <w:overflowPunct/>
              <w:topLinePunct w:val="0"/>
              <w:autoSpaceDE/>
              <w:autoSpaceDN/>
              <w:bidi w:val="0"/>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如我方的施工组织设计未根据招标项目情况按照国家省市有关规定进行编写的，扣除全部履约保证金。</w:t>
            </w:r>
          </w:p>
        </w:tc>
      </w:tr>
      <w:tr w14:paraId="6C55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5" w:hRule="atLeast"/>
          <w:jc w:val="center"/>
        </w:trPr>
        <w:tc>
          <w:tcPr>
            <w:tcW w:w="617" w:type="dxa"/>
            <w:noWrap w:val="0"/>
            <w:vAlign w:val="center"/>
          </w:tcPr>
          <w:p w14:paraId="7D3B2C52">
            <w:pPr>
              <w:pStyle w:val="60"/>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040" w:type="dxa"/>
            <w:noWrap w:val="0"/>
            <w:vAlign w:val="center"/>
          </w:tcPr>
          <w:p w14:paraId="3E4308BD">
            <w:pPr>
              <w:pStyle w:val="60"/>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设计承诺</w:t>
            </w:r>
          </w:p>
        </w:tc>
        <w:tc>
          <w:tcPr>
            <w:tcW w:w="2946" w:type="dxa"/>
            <w:noWrap w:val="0"/>
            <w:vAlign w:val="center"/>
          </w:tcPr>
          <w:p w14:paraId="24B36678">
            <w:pPr>
              <w:pStyle w:val="61"/>
              <w:keepNext w:val="0"/>
              <w:keepLines w:val="0"/>
              <w:pageBreakBefore w:val="0"/>
              <w:widowControl w:val="0"/>
              <w:kinsoku/>
              <w:overflowPunct/>
              <w:topLinePunct w:val="0"/>
              <w:autoSpaceDE/>
              <w:autoSpaceDN/>
              <w:bidi w:val="0"/>
              <w:spacing w:line="400" w:lineRule="exact"/>
              <w:ind w:left="0" w:leftChars="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如我方中标，我方保证按设计规范及有关法律法规进行设计，并准时提供设计文件和施工图预算，相应设计文件经审图机构审查通过</w:t>
            </w:r>
            <w:r>
              <w:rPr>
                <w:rFonts w:hint="eastAsia" w:ascii="宋体" w:hAnsi="宋体" w:eastAsia="宋体" w:cs="宋体"/>
                <w:color w:val="auto"/>
                <w:sz w:val="24"/>
                <w:szCs w:val="24"/>
                <w:highlight w:val="none"/>
              </w:rPr>
              <w:t>。</w:t>
            </w:r>
          </w:p>
        </w:tc>
        <w:tc>
          <w:tcPr>
            <w:tcW w:w="5335" w:type="dxa"/>
            <w:noWrap w:val="0"/>
            <w:vAlign w:val="center"/>
          </w:tcPr>
          <w:p w14:paraId="4EBE0C13">
            <w:pPr>
              <w:pStyle w:val="61"/>
              <w:keepNext w:val="0"/>
              <w:keepLines w:val="0"/>
              <w:pageBreakBefore w:val="0"/>
              <w:widowControl w:val="0"/>
              <w:kinsoku/>
              <w:overflowPunct/>
              <w:topLinePunct w:val="0"/>
              <w:autoSpaceDE/>
              <w:autoSpaceDN/>
              <w:bidi w:val="0"/>
              <w:spacing w:line="400" w:lineRule="exact"/>
              <w:ind w:left="0" w:leftChars="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如我方中标，未能按招标文件要求提供设计文件和施工图预算</w:t>
            </w:r>
            <w:r>
              <w:rPr>
                <w:rFonts w:hint="eastAsia" w:ascii="宋体" w:hAnsi="宋体" w:eastAsia="宋体" w:cs="宋体"/>
                <w:color w:val="auto"/>
                <w:sz w:val="24"/>
                <w:szCs w:val="24"/>
                <w:highlight w:val="none"/>
              </w:rPr>
              <w:t>，招标人有权终止合同，扣除设计费的10%作为违约罚款，并由招标人另行委托相应资质的单位进行设计，其费用由中标人支付，施工工期不予顺延且不另外计取赶工措施费。</w:t>
            </w:r>
          </w:p>
          <w:p w14:paraId="053B0595">
            <w:pPr>
              <w:pStyle w:val="61"/>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由于设计单位设计工作错误造成工程设计质量事故，根据责任情况，按招标文件及合同相应违约条款的约定处理。负责采取补救措施。</w:t>
            </w:r>
          </w:p>
          <w:p w14:paraId="668E426F">
            <w:pPr>
              <w:pStyle w:val="61"/>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施工期间</w:t>
            </w:r>
            <w:r>
              <w:rPr>
                <w:rFonts w:hint="eastAsia" w:ascii="宋体" w:hAnsi="宋体" w:eastAsia="宋体" w:cs="宋体"/>
                <w:bCs/>
                <w:snapToGrid w:val="0"/>
                <w:color w:val="auto"/>
                <w:sz w:val="24"/>
                <w:szCs w:val="24"/>
                <w:highlight w:val="none"/>
              </w:rPr>
              <w:t>除招标人要求或特殊地质原因外，</w:t>
            </w:r>
            <w:r>
              <w:rPr>
                <w:rFonts w:hint="eastAsia" w:ascii="宋体" w:hAnsi="宋体" w:eastAsia="宋体" w:cs="宋体"/>
                <w:snapToGrid w:val="0"/>
                <w:color w:val="auto"/>
                <w:sz w:val="24"/>
                <w:szCs w:val="24"/>
                <w:highlight w:val="none"/>
              </w:rPr>
              <w:t>因设计质量和深度不够的原因引起的工程返工或需要设计变更引起工程造价增加的，每次扣减设计合同价款中设计费的2％，扣完为止。</w:t>
            </w:r>
          </w:p>
          <w:p w14:paraId="0B989D0C">
            <w:pPr>
              <w:pStyle w:val="61"/>
              <w:keepNext w:val="0"/>
              <w:keepLines w:val="0"/>
              <w:pageBreakBefore w:val="0"/>
              <w:widowControl w:val="0"/>
              <w:kinsoku/>
              <w:overflowPunct/>
              <w:topLinePunct w:val="0"/>
              <w:autoSpaceDE/>
              <w:autoSpaceDN/>
              <w:bidi w:val="0"/>
              <w:spacing w:line="4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因设计单位自身原因造成工程结算超施工招标中标价的，扣除应付设计合同价款中的余款。</w:t>
            </w:r>
          </w:p>
        </w:tc>
      </w:tr>
      <w:tr w14:paraId="4A43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7E92C283">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040" w:type="dxa"/>
            <w:noWrap w:val="0"/>
            <w:vAlign w:val="center"/>
          </w:tcPr>
          <w:p w14:paraId="75C385D3">
            <w:pPr>
              <w:pStyle w:val="54"/>
              <w:keepNext w:val="0"/>
              <w:keepLines w:val="0"/>
              <w:pageBreakBefore w:val="0"/>
              <w:widowControl w:val="0"/>
              <w:kinsoku/>
              <w:overflowPunct/>
              <w:topLinePunct w:val="0"/>
              <w:autoSpaceDE/>
              <w:autoSpaceDN/>
              <w:bidi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综合服务能力承诺</w:t>
            </w:r>
          </w:p>
        </w:tc>
        <w:tc>
          <w:tcPr>
            <w:tcW w:w="2946" w:type="dxa"/>
            <w:noWrap w:val="0"/>
            <w:vAlign w:val="center"/>
          </w:tcPr>
          <w:p w14:paraId="2D2AAB90">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我方保证中标后，自行解决施工中遇到的各种外部问题，协调周边企业、村民关系，并承担由此产生</w:t>
            </w:r>
            <w:r>
              <w:rPr>
                <w:rFonts w:hint="eastAsia" w:ascii="宋体" w:hAnsi="宋体" w:eastAsia="宋体" w:cs="宋体"/>
                <w:color w:val="auto"/>
                <w:sz w:val="24"/>
                <w:szCs w:val="24"/>
                <w:highlight w:val="none"/>
                <w:lang w:eastAsia="zh-CN"/>
              </w:rPr>
              <w:t>的所有责任</w:t>
            </w:r>
            <w:r>
              <w:rPr>
                <w:rFonts w:hint="eastAsia" w:ascii="宋体" w:hAnsi="宋体" w:eastAsia="宋体" w:cs="宋体"/>
                <w:color w:val="auto"/>
                <w:sz w:val="24"/>
                <w:szCs w:val="24"/>
                <w:highlight w:val="none"/>
              </w:rPr>
              <w:t>及损失。</w:t>
            </w:r>
          </w:p>
        </w:tc>
        <w:tc>
          <w:tcPr>
            <w:tcW w:w="5335" w:type="dxa"/>
            <w:noWrap w:val="0"/>
            <w:vAlign w:val="center"/>
          </w:tcPr>
          <w:p w14:paraId="7644BEE1">
            <w:pPr>
              <w:pStyle w:val="54"/>
              <w:keepNext w:val="0"/>
              <w:keepLines w:val="0"/>
              <w:pageBreakBefore w:val="0"/>
              <w:widowControl w:val="0"/>
              <w:kinsoku/>
              <w:overflowPunct/>
              <w:topLinePunct w:val="0"/>
              <w:autoSpaceDE/>
              <w:autoSpaceDN/>
              <w:bidi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若我方未能按招标文件所承诺的各项承诺完成时，我方同意按比例扣除相应履约保证金，并承担由此引起的所有责任。</w:t>
            </w:r>
          </w:p>
        </w:tc>
      </w:tr>
      <w:tr w14:paraId="1E24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7CDCC5B1">
            <w:pPr>
              <w:pStyle w:val="2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040" w:type="dxa"/>
            <w:noWrap w:val="0"/>
            <w:vAlign w:val="center"/>
          </w:tcPr>
          <w:p w14:paraId="011945C9">
            <w:pPr>
              <w:pStyle w:val="54"/>
              <w:keepNext w:val="0"/>
              <w:keepLines w:val="0"/>
              <w:pageBreakBefore w:val="0"/>
              <w:widowControl w:val="0"/>
              <w:kinsoku/>
              <w:overflowPunct/>
              <w:topLinePunct w:val="0"/>
              <w:autoSpaceDE/>
              <w:autoSpaceDN/>
              <w:bidi w:val="0"/>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廉政承诺</w:t>
            </w:r>
          </w:p>
        </w:tc>
        <w:tc>
          <w:tcPr>
            <w:tcW w:w="2946" w:type="dxa"/>
            <w:noWrap w:val="0"/>
            <w:vAlign w:val="center"/>
          </w:tcPr>
          <w:p w14:paraId="42BAE24E">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如我方中标，我方将严格执行国家、广东省、韶关市有关工程建设廉政的有关法律法规及双方签订的廉政合同。</w:t>
            </w:r>
          </w:p>
        </w:tc>
        <w:tc>
          <w:tcPr>
            <w:tcW w:w="5335" w:type="dxa"/>
            <w:noWrap w:val="0"/>
            <w:vAlign w:val="center"/>
          </w:tcPr>
          <w:p w14:paraId="0E5774E8">
            <w:pPr>
              <w:pStyle w:val="54"/>
              <w:keepNext w:val="0"/>
              <w:keepLines w:val="0"/>
              <w:pageBreakBefore w:val="0"/>
              <w:widowControl w:val="0"/>
              <w:kinsoku/>
              <w:overflowPunct/>
              <w:topLinePunct w:val="0"/>
              <w:autoSpaceDE/>
              <w:autoSpaceDN/>
              <w:bidi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我方违反国家、广东省、韶关市有关工程建设廉政的有关法律法规及双方签订的廉政合同，受到相关主管部门的通报或查处，招标人可按规定对我方进行处罚，情节严重时招标人可终止合同，我方承担由此造成的所有责任和经济损失。</w:t>
            </w:r>
          </w:p>
        </w:tc>
      </w:tr>
      <w:tr w14:paraId="1CB6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4" w:hRule="atLeast"/>
          <w:jc w:val="center"/>
        </w:trPr>
        <w:tc>
          <w:tcPr>
            <w:tcW w:w="617" w:type="dxa"/>
            <w:noWrap w:val="0"/>
            <w:vAlign w:val="center"/>
          </w:tcPr>
          <w:p w14:paraId="11CCBFAD">
            <w:pPr>
              <w:pStyle w:val="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1040" w:type="dxa"/>
            <w:noWrap w:val="0"/>
            <w:vAlign w:val="center"/>
          </w:tcPr>
          <w:p w14:paraId="7886C818">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w:t>
            </w:r>
          </w:p>
          <w:p w14:paraId="44E8B1F2">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信息公开承诺</w:t>
            </w:r>
          </w:p>
        </w:tc>
        <w:tc>
          <w:tcPr>
            <w:tcW w:w="2946" w:type="dxa"/>
            <w:noWrap w:val="0"/>
            <w:vAlign w:val="center"/>
          </w:tcPr>
          <w:p w14:paraId="47C668BA">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我方提供完整的电子文件。如</w:t>
            </w:r>
            <w:r>
              <w:rPr>
                <w:rFonts w:hint="eastAsia" w:ascii="宋体" w:hAnsi="宋体" w:eastAsia="宋体" w:cs="宋体"/>
                <w:color w:val="auto"/>
                <w:sz w:val="24"/>
                <w:szCs w:val="24"/>
                <w:highlight w:val="none"/>
                <w:lang w:eastAsia="zh-CN"/>
              </w:rPr>
              <w:t>果</w:t>
            </w:r>
            <w:r>
              <w:rPr>
                <w:rFonts w:hint="eastAsia" w:ascii="宋体" w:hAnsi="宋体" w:eastAsia="宋体" w:cs="宋体"/>
                <w:color w:val="auto"/>
                <w:sz w:val="24"/>
                <w:szCs w:val="24"/>
                <w:highlight w:val="none"/>
              </w:rPr>
              <w:t>我方成为本项目中标候选人，我方同意并授权招标人</w:t>
            </w:r>
            <w:r>
              <w:rPr>
                <w:rFonts w:hint="eastAsia" w:ascii="宋体" w:hAnsi="宋体" w:eastAsia="宋体" w:cs="宋体"/>
                <w:color w:val="auto"/>
                <w:sz w:val="24"/>
                <w:szCs w:val="24"/>
                <w:highlight w:val="none"/>
                <w:lang w:eastAsia="zh-CN"/>
              </w:rPr>
              <w:t>在评标结果公示期内公开</w:t>
            </w:r>
            <w:r>
              <w:rPr>
                <w:rFonts w:hint="eastAsia" w:ascii="宋体" w:hAnsi="宋体" w:eastAsia="宋体" w:cs="宋体"/>
                <w:color w:val="auto"/>
                <w:sz w:val="24"/>
                <w:szCs w:val="24"/>
                <w:highlight w:val="none"/>
              </w:rPr>
              <w:t>我方商务部分的</w:t>
            </w:r>
            <w:r>
              <w:rPr>
                <w:rFonts w:hint="eastAsia" w:ascii="宋体" w:hAnsi="宋体" w:eastAsia="宋体" w:cs="宋体"/>
                <w:color w:val="auto"/>
                <w:sz w:val="24"/>
                <w:szCs w:val="24"/>
                <w:highlight w:val="none"/>
                <w:lang w:eastAsia="zh-CN"/>
              </w:rPr>
              <w:t>全部</w:t>
            </w:r>
            <w:r>
              <w:rPr>
                <w:rFonts w:hint="eastAsia" w:ascii="宋体" w:hAnsi="宋体" w:eastAsia="宋体" w:cs="宋体"/>
                <w:color w:val="auto"/>
                <w:sz w:val="24"/>
                <w:szCs w:val="24"/>
                <w:highlight w:val="none"/>
              </w:rPr>
              <w:t>内容。</w:t>
            </w:r>
          </w:p>
        </w:tc>
        <w:tc>
          <w:tcPr>
            <w:tcW w:w="5335"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09DC59B7">
            <w:pPr>
              <w:pStyle w:val="54"/>
              <w:keepNext w:val="0"/>
              <w:keepLines w:val="0"/>
              <w:pageBreakBefore w:val="0"/>
              <w:widowControl w:val="0"/>
              <w:kinsoku/>
              <w:overflowPunct/>
              <w:topLinePunct w:val="0"/>
              <w:autoSpaceDE/>
              <w:autoSpaceDN/>
              <w:bidi w:val="0"/>
              <w:snapToGrid w:val="0"/>
              <w:spacing w:line="400" w:lineRule="exact"/>
              <w:ind w:left="0" w:leftChars="0" w:firstLine="0" w:firstLineChars="0"/>
              <w:textAlignment w:val="auto"/>
              <mc:AlternateContent>
                <mc:Choice Requires="wpsCustomData">
                  <wpsCustomData:diagonalParaType/>
                </mc:Choice>
              </mc:AlternateContent>
              <w:rPr>
                <w:rFonts w:hint="eastAsia" w:ascii="宋体" w:hAnsi="宋体" w:eastAsia="宋体" w:cs="宋体"/>
                <w:color w:val="auto"/>
                <w:sz w:val="24"/>
                <w:szCs w:val="24"/>
                <w:highlight w:val="none"/>
              </w:rPr>
            </w:pPr>
          </w:p>
          <w:p w14:paraId="23882A9A">
            <w:pPr>
              <w:pStyle w:val="54"/>
              <w:keepNext w:val="0"/>
              <w:keepLines w:val="0"/>
              <w:pageBreakBefore w:val="0"/>
              <w:widowControl w:val="0"/>
              <w:kinsoku/>
              <w:overflowPunct/>
              <w:topLinePunct w:val="0"/>
              <w:autoSpaceDE/>
              <w:autoSpaceDN/>
              <w:bidi w:val="0"/>
              <w:snapToGrid w:val="0"/>
              <w:spacing w:line="400" w:lineRule="exact"/>
              <w:ind w:left="0" w:leftChars="0" w:firstLine="0" w:firstLineChars="0"/>
              <w:textAlignment w:val="auto"/>
              <w:rPr>
                <w:rFonts w:hint="eastAsia" w:ascii="宋体" w:hAnsi="宋体" w:eastAsia="宋体" w:cs="宋体"/>
                <w:color w:val="auto"/>
                <w:sz w:val="24"/>
                <w:szCs w:val="24"/>
                <w:highlight w:val="none"/>
              </w:rPr>
            </w:pPr>
          </w:p>
        </w:tc>
      </w:tr>
      <w:tr w14:paraId="5E86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617" w:type="dxa"/>
            <w:noWrap w:val="0"/>
            <w:vAlign w:val="center"/>
          </w:tcPr>
          <w:p w14:paraId="0B4E98D3">
            <w:pPr>
              <w:pStyle w:val="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040" w:type="dxa"/>
            <w:noWrap w:val="0"/>
            <w:vAlign w:val="center"/>
          </w:tcPr>
          <w:p w14:paraId="281E59E9">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质量安全受检承诺</w:t>
            </w:r>
          </w:p>
        </w:tc>
        <w:tc>
          <w:tcPr>
            <w:tcW w:w="2946" w:type="dxa"/>
            <w:noWrap w:val="0"/>
            <w:vAlign w:val="center"/>
          </w:tcPr>
          <w:p w14:paraId="6D2A2215">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我方中标，我方承诺本项目在建设过程中，设计及施工的质量安全等相关实施内容按照业主单位、发包单位的相关管理规定和质量安全考核要求，随时接受业主单位、发包单位自行或委托的第三方的监督检查及考核，我方保证无条件配合。</w:t>
            </w:r>
          </w:p>
        </w:tc>
        <w:tc>
          <w:tcPr>
            <w:tcW w:w="5335" w:type="dxa"/>
            <w:noWrap w:val="0"/>
            <w:vAlign w:val="center"/>
          </w:tcPr>
          <w:p w14:paraId="152F0FBD">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如我方不配合或未通过相关的监督检查及考核，我方承诺接受业主单位、发包单位的相关管理规定和处罚，并承担相应的责任。</w:t>
            </w:r>
          </w:p>
        </w:tc>
      </w:tr>
      <w:tr w14:paraId="18DF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617" w:type="dxa"/>
            <w:noWrap w:val="0"/>
            <w:vAlign w:val="center"/>
          </w:tcPr>
          <w:p w14:paraId="07BE520B">
            <w:pPr>
              <w:pStyle w:val="7"/>
              <w:keepNext w:val="0"/>
              <w:keepLines w:val="0"/>
              <w:pageBreakBefore w:val="0"/>
              <w:widowControl w:val="0"/>
              <w:kinsoku/>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1040" w:type="dxa"/>
            <w:noWrap w:val="0"/>
            <w:vAlign w:val="center"/>
          </w:tcPr>
          <w:p w14:paraId="68D2B83B">
            <w:pPr>
              <w:pStyle w:val="54"/>
              <w:keepNext w:val="0"/>
              <w:keepLines w:val="0"/>
              <w:pageBreakBefore w:val="0"/>
              <w:widowControl w:val="0"/>
              <w:kinsoku/>
              <w:overflowPunct/>
              <w:topLinePunct w:val="0"/>
              <w:autoSpaceDE/>
              <w:autoSpaceDN/>
              <w:bidi w:val="0"/>
              <w:snapToGrid w:val="0"/>
              <w:spacing w:line="400" w:lineRule="exact"/>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对工程预付款的使用承诺</w:t>
            </w:r>
          </w:p>
        </w:tc>
        <w:tc>
          <w:tcPr>
            <w:tcW w:w="2946" w:type="dxa"/>
            <w:noWrap w:val="0"/>
            <w:vAlign w:val="center"/>
          </w:tcPr>
          <w:p w14:paraId="5AD44911">
            <w:pPr>
              <w:pStyle w:val="54"/>
              <w:keepNext w:val="0"/>
              <w:keepLines w:val="0"/>
              <w:pageBreakBefore w:val="0"/>
              <w:widowControl w:val="0"/>
              <w:kinsoku/>
              <w:overflowPunct/>
              <w:topLinePunct w:val="0"/>
              <w:autoSpaceDE/>
              <w:autoSpaceDN/>
              <w:bidi w:val="0"/>
              <w:snapToGrid w:val="0"/>
              <w:spacing w:line="400" w:lineRule="exact"/>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我方保证工程预付款用于主要建筑材料的备料及支付工人工资。</w:t>
            </w:r>
          </w:p>
        </w:tc>
        <w:tc>
          <w:tcPr>
            <w:tcW w:w="5335" w:type="dxa"/>
            <w:noWrap w:val="0"/>
            <w:vAlign w:val="center"/>
          </w:tcPr>
          <w:p w14:paraId="09CE7331">
            <w:pPr>
              <w:pStyle w:val="54"/>
              <w:keepNext w:val="0"/>
              <w:keepLines w:val="0"/>
              <w:pageBreakBefore w:val="0"/>
              <w:widowControl w:val="0"/>
              <w:kinsoku/>
              <w:overflowPunct/>
              <w:topLinePunct w:val="0"/>
              <w:autoSpaceDE/>
              <w:autoSpaceDN/>
              <w:bidi w:val="0"/>
              <w:snapToGrid w:val="0"/>
              <w:spacing w:line="400" w:lineRule="exact"/>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50165</wp:posOffset>
                      </wp:positionV>
                      <wp:extent cx="3055620" cy="815975"/>
                      <wp:effectExtent l="1270" t="4445" r="10160" b="17780"/>
                      <wp:wrapNone/>
                      <wp:docPr id="2" name="直线 18"/>
                      <wp:cNvGraphicFramePr/>
                      <a:graphic xmlns:a="http://schemas.openxmlformats.org/drawingml/2006/main">
                        <a:graphicData uri="http://schemas.microsoft.com/office/word/2010/wordprocessingShape">
                          <wps:wsp>
                            <wps:cNvCnPr/>
                            <wps:spPr>
                              <a:xfrm flipV="1">
                                <a:off x="0" y="0"/>
                                <a:ext cx="3055620" cy="8159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8" o:spid="_x0000_s1026" o:spt="20" style="position:absolute;left:0pt;flip:y;margin-left:1.2pt;margin-top:3.95pt;height:64.25pt;width:240.6pt;z-index:251663360;mso-width-relative:page;mso-height-relative:page;" filled="f" stroked="t" coordsize="21600,21600" o:gfxdata="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Tw3wdUAAAAHAQAADwAAAAAAAAABACAAAAAiAAAAZHJzL2Rvd25yZXYueG1sUEsB&#10;AhQAFAAAAAgAh07iQAC7bs34AQAA+QMAAA4AAAAAAAAAAQAgAAAAJAEAAGRycy9lMm9Eb2MueG1s&#10;UEsFBgAAAAAGAAYAWQEAAI4FAAAAAA==&#10;">
                      <v:fill on="f" focussize="0,0"/>
                      <v:stroke color="#000000" joinstyle="round"/>
                      <v:imagedata o:title=""/>
                      <o:lock v:ext="edit" aspectratio="f"/>
                    </v:line>
                  </w:pict>
                </mc:Fallback>
              </mc:AlternateContent>
            </w:r>
          </w:p>
        </w:tc>
      </w:tr>
    </w:tbl>
    <w:p w14:paraId="1F989765">
      <w:pPr>
        <w:rPr>
          <w:rFonts w:hint="eastAsia"/>
          <w:color w:val="auto"/>
          <w:highlight w:val="none"/>
        </w:rPr>
      </w:pPr>
    </w:p>
    <w:p w14:paraId="7EB96960">
      <w:pPr>
        <w:rPr>
          <w:rFonts w:hint="eastAsia" w:asciiTheme="minorEastAsia" w:hAnsiTheme="minorEastAsia" w:eastAsiaTheme="minorEastAsia" w:cstheme="minorEastAsia"/>
          <w:color w:val="auto"/>
          <w:szCs w:val="24"/>
          <w:highlight w:val="none"/>
        </w:rPr>
      </w:pPr>
      <w:r>
        <w:rPr>
          <w:rFonts w:hint="eastAsia"/>
          <w:color w:val="auto"/>
          <w:highlight w:val="none"/>
        </w:rPr>
        <w:t>注：所有违约金均从中标人的进度款中扣除，最终结算以扣除违约金总数后的金额为准。</w:t>
      </w:r>
    </w:p>
    <w:p w14:paraId="5F5C8AD4">
      <w:pPr>
        <w:pStyle w:val="27"/>
        <w:spacing w:line="400" w:lineRule="exact"/>
        <w:jc w:val="left"/>
        <w:rPr>
          <w:rFonts w:hint="eastAsia" w:asciiTheme="minorEastAsia" w:hAnsiTheme="minorEastAsia" w:eastAsiaTheme="minorEastAsia" w:cstheme="minorEastAsia"/>
          <w:color w:val="auto"/>
          <w:szCs w:val="24"/>
          <w:highlight w:val="none"/>
        </w:rPr>
      </w:pPr>
    </w:p>
    <w:p w14:paraId="5C7080B6">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37C3CFBB">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210F6C8C">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p w14:paraId="3DD2CB6B">
      <w:pPr>
        <w:widowControl/>
        <w:jc w:val="right"/>
        <w:rPr>
          <w:rFonts w:hint="eastAsia" w:asciiTheme="minorEastAsia" w:hAnsiTheme="minorEastAsia" w:eastAsiaTheme="minorEastAsia" w:cstheme="minorEastAsia"/>
          <w:b/>
          <w:bCs/>
          <w:snapToGrid w:val="0"/>
          <w:color w:val="auto"/>
          <w:kern w:val="0"/>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r>
        <w:rPr>
          <w:rFonts w:hint="eastAsia" w:asciiTheme="minorEastAsia" w:hAnsiTheme="minorEastAsia" w:eastAsiaTheme="minorEastAsia" w:cstheme="minorEastAsia"/>
          <w:b/>
          <w:bCs/>
          <w:snapToGrid w:val="0"/>
          <w:color w:val="auto"/>
          <w:kern w:val="0"/>
          <w:szCs w:val="24"/>
          <w:highlight w:val="none"/>
        </w:rPr>
        <w:br w:type="page"/>
      </w:r>
    </w:p>
    <w:p w14:paraId="1B533AA2">
      <w:pPr>
        <w:pStyle w:val="4"/>
        <w:spacing w:before="120"/>
        <w:rPr>
          <w:rFonts w:hint="eastAsia" w:asciiTheme="minorEastAsia" w:hAnsiTheme="minorEastAsia" w:eastAsiaTheme="minorEastAsia" w:cstheme="minorEastAsia"/>
          <w:b/>
          <w:bCs/>
          <w:color w:val="auto"/>
          <w:szCs w:val="24"/>
          <w:highlight w:val="none"/>
        </w:rPr>
      </w:pPr>
      <w:bookmarkStart w:id="492" w:name="_Toc30463"/>
      <w:bookmarkStart w:id="493" w:name="_Toc19430"/>
      <w:bookmarkStart w:id="494" w:name="_Toc6896"/>
      <w:bookmarkStart w:id="495" w:name="_Toc31997"/>
      <w:bookmarkStart w:id="496" w:name="_Toc30764"/>
      <w:bookmarkStart w:id="497" w:name="_Toc10981"/>
      <w:r>
        <w:rPr>
          <w:rFonts w:hint="eastAsia" w:asciiTheme="minorEastAsia" w:hAnsiTheme="minorEastAsia" w:eastAsiaTheme="minorEastAsia" w:cstheme="minorEastAsia"/>
          <w:b/>
          <w:bCs/>
          <w:color w:val="auto"/>
          <w:szCs w:val="24"/>
          <w:highlight w:val="none"/>
        </w:rPr>
        <w:t>格式四 授权委托书</w:t>
      </w:r>
      <w:bookmarkEnd w:id="492"/>
      <w:bookmarkEnd w:id="493"/>
      <w:bookmarkEnd w:id="494"/>
      <w:bookmarkEnd w:id="495"/>
      <w:bookmarkEnd w:id="496"/>
      <w:bookmarkEnd w:id="497"/>
    </w:p>
    <w:p w14:paraId="7D8434E5">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p>
    <w:p w14:paraId="0D4E1F64">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授权委托书</w:t>
      </w:r>
    </w:p>
    <w:p w14:paraId="56686168">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316E7DCF">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本人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（姓名）系</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（投标人名称）的法定代表人，现委托</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（姓名）为我方代理人。代理人根据授权，以我方名义签署、澄清、说明、补正、递交、撤回、修改</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（项目名称）投标文件、签订合同和处理有关事宜，其法律后果由我方承担。</w:t>
      </w:r>
    </w:p>
    <w:p w14:paraId="59665E4B">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委托期限：至</w:t>
      </w:r>
      <w:r>
        <w:rPr>
          <w:rFonts w:hint="eastAsia" w:asciiTheme="minorEastAsia" w:hAnsiTheme="minorEastAsia" w:eastAsiaTheme="minorEastAsia" w:cstheme="minorEastAsia"/>
          <w:snapToGrid w:val="0"/>
          <w:color w:val="auto"/>
          <w:kern w:val="0"/>
          <w:szCs w:val="24"/>
          <w:highlight w:val="none"/>
          <w:u w:val="single"/>
        </w:rPr>
        <w:t xml:space="preserve">     年   月   日</w:t>
      </w:r>
      <w:r>
        <w:rPr>
          <w:rFonts w:hint="eastAsia" w:asciiTheme="minorEastAsia" w:hAnsiTheme="minorEastAsia" w:eastAsiaTheme="minorEastAsia" w:cstheme="minorEastAsia"/>
          <w:i/>
          <w:iCs/>
          <w:snapToGrid w:val="0"/>
          <w:color w:val="auto"/>
          <w:kern w:val="0"/>
          <w:szCs w:val="24"/>
          <w:highlight w:val="none"/>
          <w:u w:val="single"/>
        </w:rPr>
        <w:t>（不得短于招标文件规定的投标有效期）</w:t>
      </w:r>
      <w:r>
        <w:rPr>
          <w:rFonts w:hint="eastAsia" w:asciiTheme="minorEastAsia" w:hAnsiTheme="minorEastAsia" w:eastAsiaTheme="minorEastAsia" w:cstheme="minorEastAsia"/>
          <w:snapToGrid w:val="0"/>
          <w:color w:val="auto"/>
          <w:kern w:val="0"/>
          <w:szCs w:val="24"/>
          <w:highlight w:val="none"/>
        </w:rPr>
        <w:t xml:space="preserve"> 。</w:t>
      </w:r>
    </w:p>
    <w:p w14:paraId="7B4F6CB6">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代理人无转委托权。</w:t>
      </w:r>
    </w:p>
    <w:p w14:paraId="6C04BA53">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3908B2D9">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7FBEE5F3">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  标  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64AA6946">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p>
    <w:p w14:paraId="04261F9E">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5D57E981">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p>
    <w:p w14:paraId="25505813">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337EC478">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622E218C">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6FD86CB3">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12FA74F5">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537C1904">
      <w:pPr>
        <w:wordWrap w:val="0"/>
        <w:adjustRightInd w:val="0"/>
        <w:snapToGrid w:val="0"/>
        <w:ind w:firstLine="5520" w:firstLineChars="23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u w:val="single"/>
        </w:rPr>
        <mc:AlternateContent>
          <mc:Choice Requires="wps">
            <w:drawing>
              <wp:anchor distT="0" distB="0" distL="114300" distR="114300" simplePos="0" relativeHeight="25166233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10" name="流程图: 可选过程 10"/>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0F10067">
                            <w:pPr>
                              <w:jc w:val="center"/>
                              <w:rPr>
                                <w:rFonts w:hint="default"/>
                                <w:szCs w:val="21"/>
                              </w:rPr>
                            </w:pPr>
                          </w:p>
                          <w:p w14:paraId="0484E3C5">
                            <w:pPr>
                              <w:jc w:val="center"/>
                              <w:rPr>
                                <w:rFonts w:hint="default"/>
                                <w:szCs w:val="21"/>
                              </w:rPr>
                            </w:pPr>
                          </w:p>
                          <w:p w14:paraId="779ADA04">
                            <w:pPr>
                              <w:jc w:val="center"/>
                              <w:rPr>
                                <w:rFonts w:hint="default"/>
                                <w:szCs w:val="21"/>
                              </w:rPr>
                            </w:pPr>
                          </w:p>
                          <w:p w14:paraId="0017366E">
                            <w:pPr>
                              <w:jc w:val="center"/>
                              <w:rPr>
                                <w:rFonts w:hint="default"/>
                                <w:szCs w:val="21"/>
                              </w:rPr>
                            </w:pPr>
                            <w:r>
                              <w:rPr>
                                <w:szCs w:val="21"/>
                              </w:rPr>
                              <w:t>委托代理人身份证彩色扫描件正、反面</w:t>
                            </w:r>
                          </w:p>
                        </w:txbxContent>
                      </wps:txbx>
                      <wps:bodyPr wrap="square" upright="1"/>
                    </wps:wsp>
                  </a:graphicData>
                </a:graphic>
              </wp:anchor>
            </w:drawing>
          </mc:Choice>
          <mc:Fallback>
            <w:pict>
              <v:shape id="_x0000_s1026" o:spid="_x0000_s1026" o:spt="176" type="#_x0000_t176" style="position:absolute;left:0pt;margin-left:115.5pt;margin-top:2.6pt;height:124.75pt;width:251.25pt;z-index:25166233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J9Os2AAAAAkBAAAPAAAAAAAAAAEAIAAAACIAAABkcnMvZG93&#10;bnJldi54bWxQSwECFAAUAAAACACHTuJAsfZZWzkCAABuBAAADgAAAAAAAAABACAAAAAnAQAAZHJz&#10;L2Uyb0RvYy54bWxQSwUGAAAAAAYABgBZAQAA0gUAAAAA&#10;">
                <v:fill on="t" focussize="0,0"/>
                <v:stroke color="#000000" joinstyle="miter"/>
                <v:imagedata o:title=""/>
                <o:lock v:ext="edit" aspectratio="f"/>
                <v:textbox>
                  <w:txbxContent>
                    <w:p w14:paraId="60F10067">
                      <w:pPr>
                        <w:jc w:val="center"/>
                        <w:rPr>
                          <w:rFonts w:hint="default"/>
                          <w:szCs w:val="21"/>
                        </w:rPr>
                      </w:pPr>
                    </w:p>
                    <w:p w14:paraId="0484E3C5">
                      <w:pPr>
                        <w:jc w:val="center"/>
                        <w:rPr>
                          <w:rFonts w:hint="default"/>
                          <w:szCs w:val="21"/>
                        </w:rPr>
                      </w:pPr>
                    </w:p>
                    <w:p w14:paraId="779ADA04">
                      <w:pPr>
                        <w:jc w:val="center"/>
                        <w:rPr>
                          <w:rFonts w:hint="default"/>
                          <w:szCs w:val="21"/>
                        </w:rPr>
                      </w:pPr>
                    </w:p>
                    <w:p w14:paraId="0017366E">
                      <w:pPr>
                        <w:jc w:val="center"/>
                        <w:rPr>
                          <w:rFonts w:hint="default"/>
                          <w:szCs w:val="21"/>
                        </w:rPr>
                      </w:pPr>
                      <w:r>
                        <w:rPr>
                          <w:szCs w:val="21"/>
                        </w:rPr>
                        <w:t>委托代理人身份证彩色扫描件正、反面</w:t>
                      </w:r>
                    </w:p>
                  </w:txbxContent>
                </v:textbox>
              </v:shape>
            </w:pict>
          </mc:Fallback>
        </mc:AlternateContent>
      </w:r>
    </w:p>
    <w:p w14:paraId="279DFEB5">
      <w:pPr>
        <w:pStyle w:val="8"/>
        <w:wordWrap w:val="0"/>
        <w:adjustRightInd w:val="0"/>
        <w:snapToGrid w:val="0"/>
        <w:rPr>
          <w:rFonts w:hint="eastAsia" w:asciiTheme="minorEastAsia" w:hAnsiTheme="minorEastAsia" w:eastAsiaTheme="minorEastAsia" w:cstheme="minorEastAsia"/>
          <w:snapToGrid w:val="0"/>
          <w:color w:val="auto"/>
          <w:kern w:val="0"/>
          <w:szCs w:val="24"/>
          <w:highlight w:val="none"/>
        </w:rPr>
      </w:pPr>
    </w:p>
    <w:p w14:paraId="530F5BC8">
      <w:pPr>
        <w:rPr>
          <w:rFonts w:hint="eastAsia" w:asciiTheme="minorEastAsia" w:hAnsiTheme="minorEastAsia" w:eastAsiaTheme="minorEastAsia" w:cstheme="minorEastAsia"/>
          <w:color w:val="auto"/>
          <w:szCs w:val="24"/>
          <w:highlight w:val="none"/>
        </w:rPr>
      </w:pPr>
    </w:p>
    <w:p w14:paraId="6F836ECE">
      <w:pPr>
        <w:wordWrap w:val="0"/>
        <w:adjustRightInd w:val="0"/>
        <w:snapToGrid w:val="0"/>
        <w:rPr>
          <w:rFonts w:hint="eastAsia" w:asciiTheme="minorEastAsia" w:hAnsiTheme="minorEastAsia" w:eastAsiaTheme="minorEastAsia" w:cstheme="minorEastAsia"/>
          <w:snapToGrid w:val="0"/>
          <w:color w:val="auto"/>
          <w:kern w:val="0"/>
          <w:szCs w:val="24"/>
          <w:highlight w:val="none"/>
        </w:rPr>
        <w:sectPr>
          <w:headerReference r:id="rId5" w:type="default"/>
          <w:footerReference r:id="rId6" w:type="default"/>
          <w:endnotePr>
            <w:numFmt w:val="decimal"/>
          </w:endnotePr>
          <w:pgSz w:w="11905" w:h="16838"/>
          <w:pgMar w:top="1134" w:right="1134" w:bottom="1134" w:left="1417" w:header="850" w:footer="992" w:gutter="0"/>
          <w:pgNumType w:fmt="decimal"/>
          <w:cols w:space="0" w:num="1"/>
          <w:rtlGutter w:val="0"/>
          <w:docGrid w:linePitch="327" w:charSpace="0"/>
        </w:sectPr>
      </w:pPr>
    </w:p>
    <w:p w14:paraId="115EFA67">
      <w:pPr>
        <w:pStyle w:val="4"/>
        <w:spacing w:before="120"/>
        <w:rPr>
          <w:rFonts w:hint="eastAsia" w:asciiTheme="minorEastAsia" w:hAnsiTheme="minorEastAsia" w:eastAsiaTheme="minorEastAsia" w:cstheme="minorEastAsia"/>
          <w:b/>
          <w:bCs/>
          <w:color w:val="auto"/>
          <w:szCs w:val="24"/>
          <w:highlight w:val="none"/>
        </w:rPr>
      </w:pPr>
      <w:bookmarkStart w:id="498" w:name="_Toc9551"/>
      <w:bookmarkStart w:id="499" w:name="_Toc24718"/>
      <w:bookmarkStart w:id="500" w:name="_Toc12031"/>
      <w:r>
        <w:rPr>
          <w:rFonts w:hint="eastAsia" w:asciiTheme="minorEastAsia" w:hAnsiTheme="minorEastAsia" w:eastAsiaTheme="minorEastAsia" w:cstheme="minorEastAsia"/>
          <w:b/>
          <w:bCs/>
          <w:color w:val="auto"/>
          <w:szCs w:val="24"/>
          <w:highlight w:val="none"/>
        </w:rPr>
        <w:t>格式五 法定代表人身份证明</w:t>
      </w:r>
      <w:bookmarkEnd w:id="498"/>
      <w:bookmarkEnd w:id="499"/>
      <w:bookmarkEnd w:id="500"/>
    </w:p>
    <w:p w14:paraId="7FDF217D">
      <w:pPr>
        <w:wordWrap w:val="0"/>
        <w:adjustRightInd w:val="0"/>
        <w:snapToGrid w:val="0"/>
        <w:spacing w:line="440" w:lineRule="exact"/>
        <w:rPr>
          <w:rFonts w:hint="eastAsia" w:asciiTheme="minorEastAsia" w:hAnsiTheme="minorEastAsia" w:eastAsiaTheme="minorEastAsia" w:cstheme="minorEastAsia"/>
          <w:b/>
          <w:snapToGrid w:val="0"/>
          <w:color w:val="auto"/>
          <w:kern w:val="0"/>
          <w:szCs w:val="24"/>
          <w:highlight w:val="none"/>
        </w:rPr>
      </w:pPr>
    </w:p>
    <w:p w14:paraId="41897583">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法定代表人身份证明</w:t>
      </w:r>
    </w:p>
    <w:p w14:paraId="1DE44425">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3CBA43FD">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u w:val="single"/>
        </w:rPr>
      </w:pPr>
      <w:r>
        <w:rPr>
          <w:rFonts w:hint="eastAsia" w:asciiTheme="minorEastAsia" w:hAnsiTheme="minorEastAsia" w:eastAsiaTheme="minorEastAsia" w:cstheme="minorEastAsia"/>
          <w:snapToGrid w:val="0"/>
          <w:color w:val="auto"/>
          <w:kern w:val="0"/>
          <w:szCs w:val="24"/>
          <w:highlight w:val="none"/>
        </w:rPr>
        <w:t>投标人名称：</w:t>
      </w:r>
      <w:r>
        <w:rPr>
          <w:rFonts w:hint="eastAsia" w:asciiTheme="minorEastAsia" w:hAnsiTheme="minorEastAsia" w:eastAsiaTheme="minorEastAsia" w:cstheme="minorEastAsia"/>
          <w:snapToGrid w:val="0"/>
          <w:color w:val="auto"/>
          <w:kern w:val="0"/>
          <w:szCs w:val="24"/>
          <w:highlight w:val="none"/>
          <w:u w:val="single"/>
        </w:rPr>
        <w:t xml:space="preserve">                  </w:t>
      </w:r>
    </w:p>
    <w:p w14:paraId="3C6A38EA">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u w:val="single"/>
        </w:rPr>
      </w:pPr>
      <w:r>
        <w:rPr>
          <w:rFonts w:hint="eastAsia" w:asciiTheme="minorEastAsia" w:hAnsiTheme="minorEastAsia" w:eastAsiaTheme="minorEastAsia" w:cstheme="minorEastAsia"/>
          <w:snapToGrid w:val="0"/>
          <w:color w:val="auto"/>
          <w:kern w:val="0"/>
          <w:szCs w:val="24"/>
          <w:highlight w:val="none"/>
        </w:rPr>
        <w:t>姓名：</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性别：</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年龄：</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职务：</w:t>
      </w:r>
      <w:r>
        <w:rPr>
          <w:rFonts w:hint="eastAsia" w:asciiTheme="minorEastAsia" w:hAnsiTheme="minorEastAsia" w:eastAsiaTheme="minorEastAsia" w:cstheme="minorEastAsia"/>
          <w:snapToGrid w:val="0"/>
          <w:color w:val="auto"/>
          <w:kern w:val="0"/>
          <w:szCs w:val="24"/>
          <w:highlight w:val="none"/>
          <w:u w:val="single"/>
        </w:rPr>
        <w:t xml:space="preserve">           </w:t>
      </w:r>
    </w:p>
    <w:p w14:paraId="180C06C1">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系</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（投标人名称）的法定代表人。</w:t>
      </w:r>
    </w:p>
    <w:p w14:paraId="46D47F3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特此证明。</w:t>
      </w:r>
    </w:p>
    <w:p w14:paraId="33EA316C">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468B81A8">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70607466">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6D8B9806">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26A52446">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66C09F14">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4A29AAE2">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60F668EC">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 xml:space="preserve">日       </w:t>
      </w:r>
    </w:p>
    <w:p w14:paraId="58F98416">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auto"/>
          <w:kern w:val="0"/>
          <w:szCs w:val="24"/>
          <w:highlight w:val="none"/>
        </w:rPr>
      </w:pPr>
    </w:p>
    <w:p w14:paraId="6540ACB9">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auto"/>
          <w:kern w:val="0"/>
          <w:szCs w:val="24"/>
          <w:highlight w:val="none"/>
        </w:rPr>
      </w:pPr>
    </w:p>
    <w:p w14:paraId="1D3F2CCC">
      <w:pPr>
        <w:wordWrap w:val="0"/>
        <w:adjustRightInd w:val="0"/>
        <w:snapToGrid w:val="0"/>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mc:AlternateContent>
          <mc:Choice Requires="wps">
            <w:drawing>
              <wp:anchor distT="0" distB="0" distL="114300" distR="114300" simplePos="0" relativeHeight="25166131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9" name="流程图: 可选过程 9"/>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343E38B5">
                            <w:pPr>
                              <w:jc w:val="center"/>
                              <w:rPr>
                                <w:rFonts w:hint="default"/>
                                <w:szCs w:val="21"/>
                              </w:rPr>
                            </w:pPr>
                          </w:p>
                          <w:p w14:paraId="1D0983FA">
                            <w:pPr>
                              <w:jc w:val="center"/>
                              <w:rPr>
                                <w:rFonts w:hint="default"/>
                                <w:szCs w:val="21"/>
                              </w:rPr>
                            </w:pPr>
                          </w:p>
                          <w:p w14:paraId="1D8B597B">
                            <w:pPr>
                              <w:jc w:val="center"/>
                              <w:rPr>
                                <w:rFonts w:hint="default"/>
                                <w:szCs w:val="21"/>
                              </w:rPr>
                            </w:pPr>
                          </w:p>
                          <w:p w14:paraId="04F0C236">
                            <w:pPr>
                              <w:jc w:val="center"/>
                              <w:rPr>
                                <w:rFonts w:hint="default"/>
                                <w:szCs w:val="21"/>
                              </w:rPr>
                            </w:pPr>
                            <w:r>
                              <w:rPr>
                                <w:szCs w:val="21"/>
                              </w:rPr>
                              <w:t>法定代表人身份证彩色扫描件正、反面</w:t>
                            </w:r>
                          </w:p>
                        </w:txbxContent>
                      </wps:txbx>
                      <wps:bodyPr wrap="square" upright="1"/>
                    </wps:wsp>
                  </a:graphicData>
                </a:graphic>
              </wp:anchor>
            </w:drawing>
          </mc:Choice>
          <mc:Fallback>
            <w:pict>
              <v:shape id="_x0000_s1026" o:spid="_x0000_s1026" o:spt="176" type="#_x0000_t176" style="position:absolute;left:0pt;margin-left:127.5pt;margin-top:1.6pt;height:124.75pt;width:222.45pt;z-index:25166131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XUptgAAAAJAQAADwAAAAAAAAABACAAAAAiAAAAZHJzL2Rvd25y&#10;ZXYueG1sUEsBAhQAFAAAAAgAh07iQEz7asY3AgAAbAQAAA4AAAAAAAAAAQAgAAAAJwEAAGRycy9l&#10;Mm9Eb2MueG1sUEsFBgAAAAAGAAYAWQEAANAFAAAAAA==&#10;">
                <v:fill on="t" focussize="0,0"/>
                <v:stroke color="#000000" joinstyle="miter"/>
                <v:imagedata o:title=""/>
                <o:lock v:ext="edit" aspectratio="f"/>
                <v:textbox>
                  <w:txbxContent>
                    <w:p w14:paraId="343E38B5">
                      <w:pPr>
                        <w:jc w:val="center"/>
                        <w:rPr>
                          <w:rFonts w:hint="default"/>
                          <w:szCs w:val="21"/>
                        </w:rPr>
                      </w:pPr>
                    </w:p>
                    <w:p w14:paraId="1D0983FA">
                      <w:pPr>
                        <w:jc w:val="center"/>
                        <w:rPr>
                          <w:rFonts w:hint="default"/>
                          <w:szCs w:val="21"/>
                        </w:rPr>
                      </w:pPr>
                    </w:p>
                    <w:p w14:paraId="1D8B597B">
                      <w:pPr>
                        <w:jc w:val="center"/>
                        <w:rPr>
                          <w:rFonts w:hint="default"/>
                          <w:szCs w:val="21"/>
                        </w:rPr>
                      </w:pPr>
                    </w:p>
                    <w:p w14:paraId="04F0C236">
                      <w:pPr>
                        <w:jc w:val="center"/>
                        <w:rPr>
                          <w:rFonts w:hint="default"/>
                          <w:szCs w:val="21"/>
                        </w:rPr>
                      </w:pPr>
                      <w:r>
                        <w:rPr>
                          <w:szCs w:val="21"/>
                        </w:rPr>
                        <w:t>法定代表人身份证彩色扫描件正、反面</w:t>
                      </w:r>
                    </w:p>
                  </w:txbxContent>
                </v:textbox>
              </v:shape>
            </w:pict>
          </mc:Fallback>
        </mc:AlternateContent>
      </w:r>
    </w:p>
    <w:p w14:paraId="35FEC71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heme="minorEastAsia" w:hAnsiTheme="minorEastAsia" w:eastAsiaTheme="minorEastAsia" w:cstheme="minorEastAsia"/>
          <w:snapToGrid w:val="0"/>
          <w:color w:val="auto"/>
          <w:kern w:val="0"/>
          <w:szCs w:val="24"/>
          <w:highlight w:val="none"/>
        </w:rPr>
      </w:pPr>
    </w:p>
    <w:p w14:paraId="1F170D9A">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pPr>
    </w:p>
    <w:p w14:paraId="1EE1C09C">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pPr>
    </w:p>
    <w:p w14:paraId="7714F252">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1301E579">
      <w:pPr>
        <w:pStyle w:val="4"/>
        <w:spacing w:before="120"/>
        <w:rPr>
          <w:rFonts w:hint="eastAsia" w:asciiTheme="minorEastAsia" w:hAnsiTheme="minorEastAsia" w:eastAsiaTheme="minorEastAsia" w:cstheme="minorEastAsia"/>
          <w:b/>
          <w:bCs/>
          <w:color w:val="auto"/>
          <w:szCs w:val="24"/>
          <w:highlight w:val="none"/>
        </w:rPr>
      </w:pPr>
      <w:bookmarkStart w:id="501" w:name="_Toc15771"/>
      <w:bookmarkStart w:id="502" w:name="_Toc26395"/>
      <w:bookmarkStart w:id="503" w:name="_Toc30665"/>
      <w:bookmarkStart w:id="504" w:name="_Toc16430"/>
      <w:bookmarkStart w:id="505" w:name="_Toc11006"/>
      <w:bookmarkStart w:id="506" w:name="_Toc26875"/>
      <w:r>
        <w:rPr>
          <w:rFonts w:hint="eastAsia" w:asciiTheme="minorEastAsia" w:hAnsiTheme="minorEastAsia" w:eastAsiaTheme="minorEastAsia" w:cstheme="minorEastAsia"/>
          <w:b/>
          <w:bCs/>
          <w:color w:val="auto"/>
          <w:szCs w:val="24"/>
          <w:highlight w:val="none"/>
        </w:rPr>
        <w:t>格式六 联合体协议书</w:t>
      </w:r>
      <w:bookmarkEnd w:id="501"/>
      <w:bookmarkEnd w:id="502"/>
      <w:bookmarkEnd w:id="503"/>
      <w:bookmarkEnd w:id="504"/>
      <w:bookmarkEnd w:id="505"/>
      <w:bookmarkEnd w:id="506"/>
    </w:p>
    <w:p w14:paraId="79D33ED5">
      <w:pPr>
        <w:pStyle w:val="40"/>
        <w:widowControl w:val="0"/>
        <w:wordWrap w:val="0"/>
        <w:adjustRightInd w:val="0"/>
        <w:snapToGrid w:val="0"/>
        <w:spacing w:before="240" w:after="240" w:line="440" w:lineRule="exact"/>
        <w:ind w:firstLine="0"/>
        <w:jc w:val="center"/>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b/>
          <w:snapToGrid w:val="0"/>
          <w:color w:val="auto"/>
          <w:sz w:val="24"/>
          <w:szCs w:val="24"/>
          <w:highlight w:val="none"/>
        </w:rPr>
        <w:t>联合体协议书</w:t>
      </w:r>
    </w:p>
    <w:p w14:paraId="5423411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666CC6AF">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5E1F4168">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牵头人名称：</w:t>
      </w:r>
      <w:r>
        <w:rPr>
          <w:rFonts w:hint="eastAsia" w:asciiTheme="minorEastAsia" w:hAnsiTheme="minorEastAsia" w:eastAsiaTheme="minorEastAsia" w:cstheme="minorEastAsia"/>
          <w:snapToGrid w:val="0"/>
          <w:color w:val="auto"/>
          <w:sz w:val="24"/>
          <w:szCs w:val="24"/>
          <w:highlight w:val="none"/>
          <w:u w:val="single"/>
        </w:rPr>
        <w:t xml:space="preserve">                                                  </w:t>
      </w:r>
    </w:p>
    <w:p w14:paraId="79F97A42">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法定代表人：</w:t>
      </w:r>
      <w:r>
        <w:rPr>
          <w:rFonts w:hint="eastAsia" w:asciiTheme="minorEastAsia" w:hAnsiTheme="minorEastAsia" w:eastAsiaTheme="minorEastAsia" w:cstheme="minorEastAsia"/>
          <w:snapToGrid w:val="0"/>
          <w:color w:val="auto"/>
          <w:sz w:val="24"/>
          <w:szCs w:val="24"/>
          <w:highlight w:val="none"/>
          <w:u w:val="single"/>
        </w:rPr>
        <w:t xml:space="preserve">                                                  </w:t>
      </w:r>
    </w:p>
    <w:p w14:paraId="4D73ECB4">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法定住所：</w:t>
      </w:r>
      <w:r>
        <w:rPr>
          <w:rFonts w:hint="eastAsia" w:asciiTheme="minorEastAsia" w:hAnsiTheme="minorEastAsia" w:eastAsiaTheme="minorEastAsia" w:cstheme="minorEastAsia"/>
          <w:snapToGrid w:val="0"/>
          <w:color w:val="auto"/>
          <w:sz w:val="24"/>
          <w:szCs w:val="24"/>
          <w:highlight w:val="none"/>
          <w:u w:val="single"/>
        </w:rPr>
        <w:t xml:space="preserve">                                                    </w:t>
      </w:r>
    </w:p>
    <w:p w14:paraId="57DDDAC3">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6758B36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成员二名称：</w:t>
      </w:r>
      <w:r>
        <w:rPr>
          <w:rFonts w:hint="eastAsia" w:asciiTheme="minorEastAsia" w:hAnsiTheme="minorEastAsia" w:eastAsiaTheme="minorEastAsia" w:cstheme="minorEastAsia"/>
          <w:snapToGrid w:val="0"/>
          <w:color w:val="auto"/>
          <w:sz w:val="24"/>
          <w:szCs w:val="24"/>
          <w:highlight w:val="none"/>
          <w:u w:val="single"/>
        </w:rPr>
        <w:t xml:space="preserve">                                                  </w:t>
      </w:r>
    </w:p>
    <w:p w14:paraId="4203764D">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法定代表人：</w:t>
      </w:r>
      <w:r>
        <w:rPr>
          <w:rFonts w:hint="eastAsia" w:asciiTheme="minorEastAsia" w:hAnsiTheme="minorEastAsia" w:eastAsiaTheme="minorEastAsia" w:cstheme="minorEastAsia"/>
          <w:snapToGrid w:val="0"/>
          <w:color w:val="auto"/>
          <w:sz w:val="24"/>
          <w:szCs w:val="24"/>
          <w:highlight w:val="none"/>
          <w:u w:val="single"/>
        </w:rPr>
        <w:t xml:space="preserve">                                                  </w:t>
      </w:r>
    </w:p>
    <w:p w14:paraId="27BA7E1A">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法定住所：</w:t>
      </w:r>
      <w:r>
        <w:rPr>
          <w:rFonts w:hint="eastAsia" w:asciiTheme="minorEastAsia" w:hAnsiTheme="minorEastAsia" w:eastAsiaTheme="minorEastAsia" w:cstheme="minorEastAsia"/>
          <w:snapToGrid w:val="0"/>
          <w:color w:val="auto"/>
          <w:sz w:val="24"/>
          <w:szCs w:val="24"/>
          <w:highlight w:val="none"/>
          <w:u w:val="single"/>
        </w:rPr>
        <w:t xml:space="preserve">                                                    </w:t>
      </w:r>
    </w:p>
    <w:p w14:paraId="0077CBB3">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4F66C4AF">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0CC9BA0D">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w:t>
      </w:r>
    </w:p>
    <w:p w14:paraId="109879B7">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上述各成员单位经过友好协商，自愿组成联合体，共同参加</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（项目名称）（以下简称“本项目”）的投标并争取赢得本项目EPC总承包合同（以下简称合同）。现就联合体投标事宜订立如下协议：</w:t>
      </w:r>
    </w:p>
    <w:p w14:paraId="3337334D">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1．</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（某成员单位名称）为联合体牵头人。</w:t>
      </w:r>
    </w:p>
    <w:p w14:paraId="1AA3AC6F">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30EF205A">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相关责任。</w:t>
      </w:r>
    </w:p>
    <w:p w14:paraId="7EA1CB4A">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4．联合体各成员单位内部的职责分工如下：</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w:t>
      </w:r>
    </w:p>
    <w:p w14:paraId="56858A5A">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5．投标工作和联合体在中标后工程实施过程中的有关费用按各自承担的工作量分摊。</w:t>
      </w:r>
    </w:p>
    <w:p w14:paraId="4212C7E0">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6．联合体中标后，本联合体协议是合同的附件，对联合体各成员单位有合同约束力。</w:t>
      </w:r>
    </w:p>
    <w:p w14:paraId="23132202">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7．本协议书自签署之日起生效，联合体未中标或者中标时合同履行完毕后自动失效。</w:t>
      </w:r>
    </w:p>
    <w:p w14:paraId="41D16159">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8．本协议书一式</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份，联合体成员和招标人各执一份。</w:t>
      </w:r>
    </w:p>
    <w:p w14:paraId="5A3F3FF9">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15C6265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4C603567">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牵头人名称：</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（盖单位章）</w:t>
      </w:r>
    </w:p>
    <w:p w14:paraId="1B0C2D00">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w:t>
      </w:r>
    </w:p>
    <w:p w14:paraId="063D95F2">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法定代表人或其委托代理人：</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（签字或盖章）</w:t>
      </w:r>
    </w:p>
    <w:p w14:paraId="1E33E496">
      <w:pPr>
        <w:pStyle w:val="40"/>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auto"/>
          <w:sz w:val="24"/>
          <w:szCs w:val="24"/>
          <w:highlight w:val="none"/>
        </w:rPr>
      </w:pPr>
    </w:p>
    <w:p w14:paraId="1FE3D16A">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成员二名称：</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（盖单位章）</w:t>
      </w:r>
    </w:p>
    <w:p w14:paraId="730E6D09">
      <w:pPr>
        <w:pStyle w:val="40"/>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auto"/>
          <w:sz w:val="24"/>
          <w:szCs w:val="24"/>
          <w:highlight w:val="none"/>
        </w:rPr>
      </w:pPr>
    </w:p>
    <w:p w14:paraId="0F158B67">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法定代表人或其委托代理人：</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（签字或盖章）</w:t>
      </w:r>
    </w:p>
    <w:p w14:paraId="627834EF">
      <w:pPr>
        <w:pStyle w:val="40"/>
        <w:widowControl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p>
    <w:p w14:paraId="3AB3D503">
      <w:pPr>
        <w:pStyle w:val="40"/>
        <w:widowControl w:val="0"/>
        <w:wordWrap w:val="0"/>
        <w:adjustRightInd w:val="0"/>
        <w:snapToGrid w:val="0"/>
        <w:spacing w:line="440" w:lineRule="exact"/>
        <w:ind w:firstLine="3840" w:firstLineChars="160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w:t>
      </w:r>
    </w:p>
    <w:p w14:paraId="6F27B66A">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45465F69">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lang w:val="en-US" w:eastAsia="zh-CN"/>
        </w:rPr>
      </w:pP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年</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月</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u w:val="single"/>
          <w:lang w:eastAsia="zh-CN"/>
        </w:rPr>
        <w:t>日</w:t>
      </w:r>
    </w:p>
    <w:p w14:paraId="2E47E300">
      <w:pPr>
        <w:pStyle w:val="40"/>
        <w:widowControl w:val="0"/>
        <w:wordWrap w:val="0"/>
        <w:adjustRightInd w:val="0"/>
        <w:snapToGrid w:val="0"/>
        <w:spacing w:line="440" w:lineRule="exact"/>
        <w:jc w:val="center"/>
        <w:rPr>
          <w:rFonts w:hint="eastAsia" w:asciiTheme="minorEastAsia" w:hAnsiTheme="minorEastAsia" w:eastAsiaTheme="minorEastAsia" w:cstheme="minorEastAsia"/>
          <w:snapToGrid w:val="0"/>
          <w:color w:val="auto"/>
          <w:sz w:val="24"/>
          <w:szCs w:val="24"/>
          <w:highlight w:val="none"/>
        </w:rPr>
      </w:pPr>
    </w:p>
    <w:p w14:paraId="24A4CAE9">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486A5F5E">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7F493191">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3EFD3239">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说明：《联合体协议书》由委托代理人签字或盖章的，应附法定代表人签字或盖章的授权委托书。</w:t>
      </w:r>
    </w:p>
    <w:p w14:paraId="26130077">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11BB140C">
      <w:pPr>
        <w:pStyle w:val="4"/>
        <w:spacing w:before="120"/>
        <w:rPr>
          <w:rFonts w:hint="eastAsia" w:asciiTheme="minorEastAsia" w:hAnsiTheme="minorEastAsia" w:eastAsiaTheme="minorEastAsia" w:cstheme="minorEastAsia"/>
          <w:b/>
          <w:bCs/>
          <w:color w:val="auto"/>
          <w:szCs w:val="24"/>
          <w:highlight w:val="none"/>
        </w:rPr>
      </w:pPr>
      <w:bookmarkStart w:id="507" w:name="_Toc24031"/>
      <w:bookmarkStart w:id="508" w:name="_Toc13094"/>
      <w:bookmarkStart w:id="509" w:name="_Toc31264"/>
      <w:r>
        <w:rPr>
          <w:rFonts w:hint="eastAsia" w:asciiTheme="minorEastAsia" w:hAnsiTheme="minorEastAsia" w:eastAsiaTheme="minorEastAsia" w:cstheme="minorEastAsia"/>
          <w:b/>
          <w:bCs/>
          <w:color w:val="auto"/>
          <w:szCs w:val="24"/>
          <w:highlight w:val="none"/>
        </w:rPr>
        <w:t>格式七 投标人基本情况表</w:t>
      </w:r>
      <w:bookmarkEnd w:id="507"/>
      <w:bookmarkEnd w:id="508"/>
      <w:bookmarkEnd w:id="509"/>
    </w:p>
    <w:p w14:paraId="5C1C7F2C">
      <w:pPr>
        <w:pStyle w:val="40"/>
        <w:widowControl w:val="0"/>
        <w:wordWrap w:val="0"/>
        <w:adjustRightInd w:val="0"/>
        <w:snapToGrid w:val="0"/>
        <w:spacing w:before="260" w:after="260" w:line="400" w:lineRule="exact"/>
        <w:ind w:firstLine="0"/>
        <w:jc w:val="center"/>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b/>
          <w:snapToGrid w:val="0"/>
          <w:color w:val="auto"/>
          <w:sz w:val="24"/>
          <w:szCs w:val="24"/>
          <w:highlight w:val="none"/>
        </w:rPr>
        <w:t>投标人基本情况表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1"/>
        <w:gridCol w:w="1140"/>
        <w:gridCol w:w="833"/>
        <w:gridCol w:w="460"/>
        <w:gridCol w:w="832"/>
        <w:gridCol w:w="269"/>
        <w:gridCol w:w="735"/>
        <w:gridCol w:w="1470"/>
      </w:tblGrid>
      <w:tr w14:paraId="5E89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6606E7F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投标人名称</w:t>
            </w:r>
          </w:p>
        </w:tc>
        <w:tc>
          <w:tcPr>
            <w:tcW w:w="7280" w:type="dxa"/>
            <w:gridSpan w:val="8"/>
            <w:noWrap/>
            <w:vAlign w:val="center"/>
          </w:tcPr>
          <w:p w14:paraId="19634B2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43E0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69F140D7">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注册地址</w:t>
            </w:r>
          </w:p>
        </w:tc>
        <w:tc>
          <w:tcPr>
            <w:tcW w:w="3514" w:type="dxa"/>
            <w:gridSpan w:val="3"/>
            <w:noWrap/>
            <w:vAlign w:val="center"/>
          </w:tcPr>
          <w:p w14:paraId="28DA81E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5D15058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邮政编码</w:t>
            </w:r>
          </w:p>
        </w:tc>
        <w:tc>
          <w:tcPr>
            <w:tcW w:w="2474" w:type="dxa"/>
            <w:gridSpan w:val="3"/>
            <w:noWrap/>
            <w:vAlign w:val="center"/>
          </w:tcPr>
          <w:p w14:paraId="148C4C4D">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2D72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restart"/>
            <w:noWrap/>
            <w:vAlign w:val="center"/>
          </w:tcPr>
          <w:p w14:paraId="7AA9379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联系方式</w:t>
            </w:r>
          </w:p>
        </w:tc>
        <w:tc>
          <w:tcPr>
            <w:tcW w:w="1541" w:type="dxa"/>
            <w:noWrap/>
            <w:vAlign w:val="center"/>
          </w:tcPr>
          <w:p w14:paraId="6B1CA474">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联系人</w:t>
            </w:r>
          </w:p>
        </w:tc>
        <w:tc>
          <w:tcPr>
            <w:tcW w:w="1973" w:type="dxa"/>
            <w:gridSpan w:val="2"/>
            <w:noWrap/>
            <w:vAlign w:val="center"/>
          </w:tcPr>
          <w:p w14:paraId="4AD77F18">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51BD413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  话</w:t>
            </w:r>
          </w:p>
        </w:tc>
        <w:tc>
          <w:tcPr>
            <w:tcW w:w="2474" w:type="dxa"/>
            <w:gridSpan w:val="3"/>
            <w:noWrap/>
            <w:vAlign w:val="center"/>
          </w:tcPr>
          <w:p w14:paraId="40BD9FF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5165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continue"/>
            <w:noWrap/>
            <w:vAlign w:val="center"/>
          </w:tcPr>
          <w:p w14:paraId="476B71E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541" w:type="dxa"/>
            <w:noWrap/>
            <w:vAlign w:val="center"/>
          </w:tcPr>
          <w:p w14:paraId="643EE8C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传  真</w:t>
            </w:r>
          </w:p>
        </w:tc>
        <w:tc>
          <w:tcPr>
            <w:tcW w:w="1973" w:type="dxa"/>
            <w:gridSpan w:val="2"/>
            <w:noWrap/>
            <w:vAlign w:val="center"/>
          </w:tcPr>
          <w:p w14:paraId="6C01806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5CE2705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电子邮箱</w:t>
            </w:r>
          </w:p>
        </w:tc>
        <w:tc>
          <w:tcPr>
            <w:tcW w:w="2474" w:type="dxa"/>
            <w:gridSpan w:val="3"/>
            <w:noWrap/>
            <w:vAlign w:val="center"/>
          </w:tcPr>
          <w:p w14:paraId="38D2961D">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3915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42E5E0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单位性质</w:t>
            </w:r>
          </w:p>
        </w:tc>
        <w:tc>
          <w:tcPr>
            <w:tcW w:w="7280" w:type="dxa"/>
            <w:gridSpan w:val="8"/>
            <w:noWrap/>
            <w:vAlign w:val="center"/>
          </w:tcPr>
          <w:p w14:paraId="1629270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0AB7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745775E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法定代表人</w:t>
            </w:r>
          </w:p>
        </w:tc>
        <w:tc>
          <w:tcPr>
            <w:tcW w:w="1541" w:type="dxa"/>
            <w:noWrap/>
            <w:vAlign w:val="center"/>
          </w:tcPr>
          <w:p w14:paraId="4745FC33">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姓名</w:t>
            </w:r>
          </w:p>
        </w:tc>
        <w:tc>
          <w:tcPr>
            <w:tcW w:w="1140" w:type="dxa"/>
            <w:noWrap/>
            <w:vAlign w:val="center"/>
          </w:tcPr>
          <w:p w14:paraId="1EC71073">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noWrap/>
            <w:vAlign w:val="center"/>
          </w:tcPr>
          <w:p w14:paraId="52771710">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技术职称</w:t>
            </w:r>
          </w:p>
        </w:tc>
        <w:tc>
          <w:tcPr>
            <w:tcW w:w="1101" w:type="dxa"/>
            <w:gridSpan w:val="2"/>
            <w:noWrap/>
            <w:vAlign w:val="center"/>
          </w:tcPr>
          <w:p w14:paraId="3B7D801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735" w:type="dxa"/>
            <w:noWrap/>
            <w:vAlign w:val="center"/>
          </w:tcPr>
          <w:p w14:paraId="7ED94EA8">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电话</w:t>
            </w:r>
          </w:p>
        </w:tc>
        <w:tc>
          <w:tcPr>
            <w:tcW w:w="1470" w:type="dxa"/>
            <w:noWrap/>
            <w:vAlign w:val="center"/>
          </w:tcPr>
          <w:p w14:paraId="4875864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113F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912ED4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成立时间</w:t>
            </w:r>
          </w:p>
        </w:tc>
        <w:tc>
          <w:tcPr>
            <w:tcW w:w="2681" w:type="dxa"/>
            <w:gridSpan w:val="2"/>
            <w:noWrap/>
            <w:vAlign w:val="center"/>
          </w:tcPr>
          <w:p w14:paraId="0C044B3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4599" w:type="dxa"/>
            <w:gridSpan w:val="6"/>
            <w:noWrap/>
            <w:vAlign w:val="center"/>
          </w:tcPr>
          <w:p w14:paraId="65A42A85">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员工总人数（个）：</w:t>
            </w:r>
          </w:p>
        </w:tc>
      </w:tr>
      <w:tr w14:paraId="39F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1540" w:type="dxa"/>
            <w:noWrap/>
            <w:vAlign w:val="center"/>
          </w:tcPr>
          <w:p w14:paraId="78ECDC74">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企业资质</w:t>
            </w:r>
          </w:p>
          <w:p w14:paraId="6F6D159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类型和等级</w:t>
            </w:r>
          </w:p>
        </w:tc>
        <w:tc>
          <w:tcPr>
            <w:tcW w:w="2681" w:type="dxa"/>
            <w:gridSpan w:val="2"/>
            <w:noWrap/>
            <w:vAlign w:val="center"/>
          </w:tcPr>
          <w:p w14:paraId="57A0570A">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restart"/>
            <w:noWrap/>
            <w:vAlign w:val="center"/>
          </w:tcPr>
          <w:p w14:paraId="23A8EB9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其中</w:t>
            </w:r>
          </w:p>
        </w:tc>
        <w:tc>
          <w:tcPr>
            <w:tcW w:w="1836" w:type="dxa"/>
            <w:gridSpan w:val="3"/>
            <w:noWrap/>
            <w:vAlign w:val="center"/>
          </w:tcPr>
          <w:p w14:paraId="4ECA340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项目经理</w:t>
            </w:r>
          </w:p>
        </w:tc>
        <w:tc>
          <w:tcPr>
            <w:tcW w:w="1470" w:type="dxa"/>
            <w:noWrap/>
            <w:vAlign w:val="center"/>
          </w:tcPr>
          <w:p w14:paraId="49045DE1">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6ECE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423EE337">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营业执照号</w:t>
            </w:r>
          </w:p>
        </w:tc>
        <w:tc>
          <w:tcPr>
            <w:tcW w:w="2681" w:type="dxa"/>
            <w:gridSpan w:val="2"/>
            <w:noWrap/>
            <w:vAlign w:val="center"/>
          </w:tcPr>
          <w:p w14:paraId="52BBDEFD">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475D2203">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1ACC02E1">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高级职称人员</w:t>
            </w:r>
          </w:p>
        </w:tc>
        <w:tc>
          <w:tcPr>
            <w:tcW w:w="1470" w:type="dxa"/>
            <w:noWrap/>
            <w:vAlign w:val="center"/>
          </w:tcPr>
          <w:p w14:paraId="71F3A36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3452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08FDE5B7">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注册资金</w:t>
            </w:r>
          </w:p>
        </w:tc>
        <w:tc>
          <w:tcPr>
            <w:tcW w:w="2681" w:type="dxa"/>
            <w:gridSpan w:val="2"/>
            <w:noWrap/>
            <w:vAlign w:val="center"/>
          </w:tcPr>
          <w:p w14:paraId="1C7F390E">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4718FB24">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0E89070D">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中级职称人员</w:t>
            </w:r>
          </w:p>
        </w:tc>
        <w:tc>
          <w:tcPr>
            <w:tcW w:w="1470" w:type="dxa"/>
            <w:noWrap/>
            <w:vAlign w:val="center"/>
          </w:tcPr>
          <w:p w14:paraId="09870570">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6306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40" w:type="dxa"/>
            <w:noWrap/>
            <w:vAlign w:val="center"/>
          </w:tcPr>
          <w:p w14:paraId="47E2D5B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基本账户</w:t>
            </w:r>
          </w:p>
          <w:p w14:paraId="7E8640B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开户银行</w:t>
            </w:r>
          </w:p>
        </w:tc>
        <w:tc>
          <w:tcPr>
            <w:tcW w:w="2681" w:type="dxa"/>
            <w:gridSpan w:val="2"/>
            <w:noWrap/>
            <w:vAlign w:val="center"/>
          </w:tcPr>
          <w:p w14:paraId="35C6A57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20DE5C25">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5615DB23">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初级职称人员</w:t>
            </w:r>
          </w:p>
        </w:tc>
        <w:tc>
          <w:tcPr>
            <w:tcW w:w="1470" w:type="dxa"/>
            <w:noWrap/>
            <w:vAlign w:val="center"/>
          </w:tcPr>
          <w:p w14:paraId="518C79F0">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3060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540" w:type="dxa"/>
            <w:noWrap/>
            <w:vAlign w:val="center"/>
          </w:tcPr>
          <w:p w14:paraId="73A51A8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基本账户</w:t>
            </w:r>
          </w:p>
          <w:p w14:paraId="1C688A40">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银行账号</w:t>
            </w:r>
          </w:p>
        </w:tc>
        <w:tc>
          <w:tcPr>
            <w:tcW w:w="2681" w:type="dxa"/>
            <w:gridSpan w:val="2"/>
            <w:noWrap/>
            <w:vAlign w:val="center"/>
          </w:tcPr>
          <w:p w14:paraId="0FA8AD8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6CFEA2AD">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1F6BFF2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技术员</w:t>
            </w:r>
          </w:p>
        </w:tc>
        <w:tc>
          <w:tcPr>
            <w:tcW w:w="1470" w:type="dxa"/>
            <w:noWrap/>
            <w:vAlign w:val="center"/>
          </w:tcPr>
          <w:p w14:paraId="0A062B0A">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3AEB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540" w:type="dxa"/>
            <w:noWrap/>
            <w:vAlign w:val="center"/>
          </w:tcPr>
          <w:p w14:paraId="114CF0C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经营范围</w:t>
            </w:r>
          </w:p>
        </w:tc>
        <w:tc>
          <w:tcPr>
            <w:tcW w:w="7280" w:type="dxa"/>
            <w:gridSpan w:val="8"/>
            <w:noWrap/>
            <w:vAlign w:val="center"/>
          </w:tcPr>
          <w:p w14:paraId="3FD58B50">
            <w:pPr>
              <w:pStyle w:val="36"/>
              <w:wordWrap w:val="0"/>
              <w:adjustRightInd w:val="0"/>
              <w:snapToGrid w:val="0"/>
              <w:jc w:val="left"/>
              <w:rPr>
                <w:rFonts w:hint="eastAsia" w:asciiTheme="minorEastAsia" w:hAnsiTheme="minorEastAsia" w:eastAsiaTheme="minorEastAsia" w:cstheme="minorEastAsia"/>
                <w:snapToGrid w:val="0"/>
                <w:color w:val="auto"/>
                <w:kern w:val="0"/>
                <w:sz w:val="24"/>
                <w:highlight w:val="none"/>
              </w:rPr>
            </w:pPr>
          </w:p>
        </w:tc>
      </w:tr>
      <w:tr w14:paraId="76C1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540" w:type="dxa"/>
            <w:noWrap/>
            <w:vAlign w:val="center"/>
          </w:tcPr>
          <w:p w14:paraId="16BFDF43">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关联企业情况</w:t>
            </w:r>
          </w:p>
        </w:tc>
        <w:tc>
          <w:tcPr>
            <w:tcW w:w="7280" w:type="dxa"/>
            <w:gridSpan w:val="8"/>
            <w:noWrap/>
            <w:vAlign w:val="center"/>
          </w:tcPr>
          <w:p w14:paraId="23FCD802">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包括但不限于与投标人存在以下关系的不同单位：</w:t>
            </w:r>
          </w:p>
          <w:p w14:paraId="69CC9F54">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1．法定代表人为同一人的。</w:t>
            </w:r>
          </w:p>
          <w:p w14:paraId="2FE54716">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2．存在控股、管理关系的。</w:t>
            </w:r>
          </w:p>
          <w:p w14:paraId="372024C8">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3．主要人员相互任职的。</w:t>
            </w:r>
          </w:p>
        </w:tc>
      </w:tr>
      <w:tr w14:paraId="62E8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40" w:type="dxa"/>
            <w:noWrap/>
            <w:vAlign w:val="center"/>
          </w:tcPr>
          <w:p w14:paraId="56C3E5B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备注</w:t>
            </w:r>
          </w:p>
        </w:tc>
        <w:tc>
          <w:tcPr>
            <w:tcW w:w="7280" w:type="dxa"/>
            <w:gridSpan w:val="8"/>
            <w:noWrap/>
            <w:vAlign w:val="center"/>
          </w:tcPr>
          <w:p w14:paraId="5437B15E">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bl>
    <w:p w14:paraId="7C81B9F8">
      <w:pPr>
        <w:pStyle w:val="36"/>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说明：</w:t>
      </w:r>
    </w:p>
    <w:bookmarkEnd w:id="442"/>
    <w:bookmarkEnd w:id="443"/>
    <w:bookmarkEnd w:id="444"/>
    <w:bookmarkEnd w:id="445"/>
    <w:bookmarkEnd w:id="446"/>
    <w:p w14:paraId="3E6F13EC">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bookmarkStart w:id="510" w:name="_Toc1659"/>
      <w:bookmarkStart w:id="511" w:name="_Toc535300004"/>
      <w:bookmarkStart w:id="512" w:name="_Toc534641863"/>
      <w:bookmarkStart w:id="513" w:name="_Toc210101349"/>
      <w:bookmarkStart w:id="514" w:name="_Toc118541763"/>
      <w:bookmarkStart w:id="515" w:name="_Toc48547015"/>
      <w:r>
        <w:rPr>
          <w:rFonts w:hint="eastAsia" w:asciiTheme="minorEastAsia" w:hAnsiTheme="minorEastAsia" w:eastAsiaTheme="minorEastAsia" w:cstheme="minorEastAsia"/>
          <w:snapToGrid w:val="0"/>
          <w:color w:val="auto"/>
          <w:sz w:val="21"/>
          <w:szCs w:val="21"/>
          <w:highlight w:val="none"/>
        </w:rPr>
        <w:t>1．《投标人基本情况表》后应附以下资料：</w:t>
      </w:r>
    </w:p>
    <w:p w14:paraId="201C197E">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（1）企业营业执照、资质证书、安全生产许可证的复印件</w:t>
      </w:r>
      <w:r>
        <w:rPr>
          <w:rFonts w:hint="eastAsia" w:asciiTheme="minorEastAsia" w:hAnsiTheme="minorEastAsia" w:eastAsiaTheme="minorEastAsia" w:cstheme="minorEastAsia"/>
          <w:b/>
          <w:bCs/>
          <w:snapToGrid w:val="0"/>
          <w:color w:val="auto"/>
          <w:sz w:val="21"/>
          <w:szCs w:val="21"/>
          <w:highlight w:val="none"/>
        </w:rPr>
        <w:t>（因推行电子证照，企业的营业执照、资质证书等可以提供电子证照。如中标后，投标单位安全生产许可证发生被暂扣情形，需双方另行协商）；</w:t>
      </w:r>
    </w:p>
    <w:p w14:paraId="6D34099B">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（2）外省建筑企业须提供“进粤企业和人员诚信信息登记平台”企业信息情况打印页。</w:t>
      </w:r>
    </w:p>
    <w:p w14:paraId="147C3F88">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2．联合体投标的，联合体成员单位均应填写《投标人基本情况表》并提供以上所需资料。</w:t>
      </w:r>
    </w:p>
    <w:p w14:paraId="5883B6E1">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r>
        <w:rPr>
          <w:rFonts w:hint="eastAsia" w:asciiTheme="minorEastAsia" w:hAnsiTheme="minorEastAsia" w:eastAsiaTheme="minorEastAsia" w:cstheme="minorEastAsia"/>
          <w:snapToGrid w:val="0"/>
          <w:color w:val="auto"/>
          <w:sz w:val="21"/>
          <w:szCs w:val="21"/>
          <w:highlight w:val="none"/>
        </w:rPr>
        <w:t>3.《法人和非法人组织公共信用信息报告》打印件（在“信用中国”网站企业查询界面中下载）。</w:t>
      </w:r>
    </w:p>
    <w:p w14:paraId="05C1392C">
      <w:pPr>
        <w:pStyle w:val="4"/>
        <w:spacing w:before="120"/>
        <w:rPr>
          <w:rFonts w:hint="eastAsia" w:asciiTheme="minorEastAsia" w:hAnsiTheme="minorEastAsia" w:eastAsiaTheme="minorEastAsia" w:cstheme="minorEastAsia"/>
          <w:b/>
          <w:bCs/>
          <w:color w:val="auto"/>
          <w:szCs w:val="24"/>
          <w:highlight w:val="none"/>
        </w:rPr>
      </w:pPr>
      <w:bookmarkStart w:id="516" w:name="_Toc8762"/>
      <w:bookmarkStart w:id="517" w:name="_Toc10954"/>
      <w:r>
        <w:rPr>
          <w:rFonts w:hint="eastAsia" w:asciiTheme="minorEastAsia" w:hAnsiTheme="minorEastAsia" w:eastAsiaTheme="minorEastAsia" w:cstheme="minorEastAsia"/>
          <w:b/>
          <w:bCs/>
          <w:color w:val="auto"/>
          <w:szCs w:val="24"/>
          <w:highlight w:val="none"/>
        </w:rPr>
        <w:t>格式八 项目经理简历表</w:t>
      </w:r>
      <w:bookmarkEnd w:id="510"/>
      <w:bookmarkEnd w:id="516"/>
      <w:bookmarkEnd w:id="517"/>
    </w:p>
    <w:p w14:paraId="2B706EB3">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A68E1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455ABB9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39E9964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04260AD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369B375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125E865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27CA0DE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3DE2C0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EFF68D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7E81AE8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5DA8ADD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2ABA2CA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0F5572C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3344FF8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D8239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BD4437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7AA3CC8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427950E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4AF2AC1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ED50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2E2334E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以项目经理身份参与过的主要业绩（已完工项目）</w:t>
            </w:r>
          </w:p>
        </w:tc>
      </w:tr>
      <w:tr w14:paraId="30443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C196AF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ABF17D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B125DA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C44B76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73E9D96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52246E3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57D803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0C961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7EB73E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25501C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54A4A7D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AB26B6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F60065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43596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78DFD2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495312E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7B8491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E7ED93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F0294D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DB34C8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36B54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141FDA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689491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176CC8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C0A2C5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33026E2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B5D803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05BAE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1F795C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1AE214D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15CC92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E7BC0C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E9BF84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0D3BEE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78805626">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项目经理简历表</w:t>
      </w:r>
    </w:p>
    <w:p w14:paraId="4CF4C00C">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p>
    <w:p w14:paraId="700874F5">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0D55644A">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项目经理：</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1090CD4B">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206BDB37">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145AFF7C">
      <w:pPr>
        <w:pStyle w:val="2"/>
        <w:rPr>
          <w:rFonts w:hint="eastAsia"/>
          <w:color w:val="auto"/>
          <w:highlight w:val="none"/>
        </w:rPr>
      </w:pPr>
    </w:p>
    <w:p w14:paraId="02CAD94E">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说明：《项目经理简历表》后应附拟派项目经理以下资料：</w:t>
      </w:r>
    </w:p>
    <w:p w14:paraId="169A5BE5">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1．身份证彩色扫描件；</w:t>
      </w:r>
    </w:p>
    <w:p w14:paraId="79529921">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2．建造师电子注册证书（在使用有效期内的有效电子证书）彩色扫描件；</w:t>
      </w:r>
    </w:p>
    <w:p w14:paraId="76E3EE25">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3．B类安全生产考核合格证书彩色扫描件或广东省建筑施工企业管理人员安全生产考核系统考核合格信息彩色扫描件；</w:t>
      </w:r>
    </w:p>
    <w:p w14:paraId="1EDC44FE">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4．在本单位缴纳社保的证明（</w:t>
      </w:r>
      <w:r>
        <w:rPr>
          <w:rFonts w:hint="eastAsia" w:asciiTheme="minorEastAsia" w:hAnsiTheme="minorEastAsia" w:eastAsiaTheme="minorEastAsia" w:cstheme="minorEastAsia"/>
          <w:snapToGrid w:val="0"/>
          <w:color w:val="auto"/>
          <w:kern w:val="0"/>
          <w:szCs w:val="24"/>
          <w:highlight w:val="none"/>
          <w:lang w:eastAsia="zh-CN"/>
        </w:rPr>
        <w:t>近</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个月，其中必须有202</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lang w:val="en-US" w:eastAsia="zh-CN"/>
        </w:rPr>
        <w:t>6</w:t>
      </w:r>
      <w:r>
        <w:rPr>
          <w:rFonts w:hint="eastAsia" w:asciiTheme="minorEastAsia" w:hAnsiTheme="minorEastAsia" w:eastAsiaTheme="minorEastAsia" w:cstheme="minorEastAsia"/>
          <w:snapToGrid w:val="0"/>
          <w:color w:val="auto"/>
          <w:kern w:val="0"/>
          <w:szCs w:val="24"/>
          <w:highlight w:val="none"/>
        </w:rPr>
        <w:t>月）彩色扫描件；拟派项目经理为退休返聘人员无法提供社保证明的，提供退休证和劳动合同彩色扫描件。</w:t>
      </w:r>
    </w:p>
    <w:p w14:paraId="32B54851">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p>
    <w:p w14:paraId="6AD370E5">
      <w:pPr>
        <w:pStyle w:val="4"/>
        <w:spacing w:before="120"/>
        <w:rPr>
          <w:rFonts w:hint="eastAsia" w:asciiTheme="minorEastAsia" w:hAnsiTheme="minorEastAsia" w:eastAsiaTheme="minorEastAsia" w:cstheme="minorEastAsia"/>
          <w:b/>
          <w:bCs/>
          <w:color w:val="auto"/>
          <w:szCs w:val="24"/>
          <w:highlight w:val="none"/>
        </w:rPr>
      </w:pPr>
      <w:bookmarkStart w:id="518" w:name="_Toc17547"/>
      <w:bookmarkStart w:id="519" w:name="_Toc16214"/>
      <w:r>
        <w:rPr>
          <w:rFonts w:hint="eastAsia" w:asciiTheme="minorEastAsia" w:hAnsiTheme="minorEastAsia" w:eastAsiaTheme="minorEastAsia" w:cstheme="minorEastAsia"/>
          <w:b/>
          <w:bCs/>
          <w:color w:val="auto"/>
          <w:szCs w:val="24"/>
          <w:highlight w:val="none"/>
        </w:rPr>
        <w:t>格式九 项目经理任职声明</w:t>
      </w:r>
      <w:bookmarkEnd w:id="518"/>
      <w:bookmarkEnd w:id="519"/>
    </w:p>
    <w:p w14:paraId="3418FB74">
      <w:pPr>
        <w:wordWrap w:val="0"/>
        <w:adjustRightInd w:val="0"/>
        <w:snapToGrid w:val="0"/>
        <w:spacing w:line="440" w:lineRule="exact"/>
        <w:jc w:val="left"/>
        <w:rPr>
          <w:rFonts w:hint="eastAsia" w:asciiTheme="minorEastAsia" w:hAnsiTheme="minorEastAsia" w:eastAsiaTheme="minorEastAsia" w:cstheme="minorEastAsia"/>
          <w:b/>
          <w:snapToGrid w:val="0"/>
          <w:color w:val="auto"/>
          <w:kern w:val="0"/>
          <w:szCs w:val="24"/>
          <w:highlight w:val="none"/>
        </w:rPr>
      </w:pPr>
    </w:p>
    <w:p w14:paraId="43C2F757">
      <w:pPr>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项目经理任职声明</w:t>
      </w:r>
    </w:p>
    <w:p w14:paraId="506049DC">
      <w:pPr>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Cs w:val="24"/>
          <w:highlight w:val="none"/>
        </w:rPr>
      </w:pPr>
    </w:p>
    <w:p w14:paraId="013DD04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bookmarkStart w:id="520" w:name="_Toc21599"/>
      <w:r>
        <w:rPr>
          <w:rFonts w:hint="eastAsia" w:asciiTheme="minorEastAsia" w:hAnsiTheme="minorEastAsia" w:eastAsiaTheme="minorEastAsia" w:cstheme="minorEastAsia"/>
          <w:snapToGrid w:val="0"/>
          <w:color w:val="auto"/>
          <w:kern w:val="0"/>
          <w:szCs w:val="24"/>
          <w:highlight w:val="none"/>
        </w:rPr>
        <w:t>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（招标人名称）：</w:t>
      </w:r>
    </w:p>
    <w:p w14:paraId="591E88C8">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我方在此声明，我方拟派往</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（项目名称）的项目经理</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（项目经理姓名）现阶段没有担任任何在施（包括已中标未开工、已开工未竣工）建设工程项目的项目经理。</w:t>
      </w:r>
    </w:p>
    <w:p w14:paraId="688749D4">
      <w:pPr>
        <w:wordWrap w:val="0"/>
        <w:adjustRightInd w:val="0"/>
        <w:snapToGrid w:val="0"/>
        <w:spacing w:line="440" w:lineRule="exact"/>
        <w:ind w:firstLine="48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我方保证上述信息的真实和准确，并愿意承担因我方就此弄虚作假所引起的一切法律后果。</w:t>
      </w:r>
    </w:p>
    <w:p w14:paraId="3BD91DAA">
      <w:pPr>
        <w:wordWrap w:val="0"/>
        <w:adjustRightInd w:val="0"/>
        <w:snapToGrid w:val="0"/>
        <w:spacing w:line="440" w:lineRule="exact"/>
        <w:ind w:firstLine="48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0C29B87E">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特此承诺　　</w:t>
      </w:r>
    </w:p>
    <w:p w14:paraId="0EC3AF36">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769FA20E">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5D3E4344">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705CBB0F">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18D7A7E4">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64C3D22B">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法定代表人或其委托代理人：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6119C356">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33463984">
      <w:pPr>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2E2710AC">
      <w:pPr>
        <w:pStyle w:val="4"/>
        <w:spacing w:before="120"/>
        <w:rPr>
          <w:rFonts w:hint="eastAsia" w:asciiTheme="minorEastAsia" w:hAnsiTheme="minorEastAsia" w:eastAsiaTheme="minorEastAsia" w:cstheme="minorEastAsia"/>
          <w:b/>
          <w:bCs/>
          <w:color w:val="auto"/>
          <w:szCs w:val="24"/>
          <w:highlight w:val="none"/>
        </w:rPr>
      </w:pPr>
    </w:p>
    <w:p w14:paraId="114D8E48">
      <w:pPr>
        <w:pStyle w:val="4"/>
        <w:spacing w:before="120"/>
        <w:rPr>
          <w:rFonts w:hint="eastAsia" w:asciiTheme="minorEastAsia" w:hAnsiTheme="minorEastAsia" w:eastAsiaTheme="minorEastAsia" w:cstheme="minorEastAsia"/>
          <w:b/>
          <w:bCs/>
          <w:color w:val="auto"/>
          <w:szCs w:val="24"/>
          <w:highlight w:val="none"/>
        </w:rPr>
      </w:pPr>
    </w:p>
    <w:p w14:paraId="0F1306C6">
      <w:pPr>
        <w:pStyle w:val="4"/>
        <w:spacing w:before="120"/>
        <w:rPr>
          <w:rFonts w:hint="eastAsia" w:asciiTheme="minorEastAsia" w:hAnsiTheme="minorEastAsia" w:eastAsiaTheme="minorEastAsia" w:cstheme="minorEastAsia"/>
          <w:b/>
          <w:bCs/>
          <w:color w:val="auto"/>
          <w:szCs w:val="24"/>
          <w:highlight w:val="none"/>
        </w:rPr>
      </w:pPr>
    </w:p>
    <w:p w14:paraId="03B59431">
      <w:pPr>
        <w:pStyle w:val="4"/>
        <w:spacing w:before="120"/>
        <w:rPr>
          <w:rFonts w:hint="eastAsia" w:asciiTheme="minorEastAsia" w:hAnsiTheme="minorEastAsia" w:eastAsiaTheme="minorEastAsia" w:cstheme="minorEastAsia"/>
          <w:b/>
          <w:bCs/>
          <w:color w:val="auto"/>
          <w:szCs w:val="24"/>
          <w:highlight w:val="none"/>
        </w:rPr>
      </w:pPr>
    </w:p>
    <w:p w14:paraId="408F92AB">
      <w:pPr>
        <w:pStyle w:val="4"/>
        <w:spacing w:before="120"/>
        <w:rPr>
          <w:rFonts w:hint="eastAsia" w:asciiTheme="minorEastAsia" w:hAnsiTheme="minorEastAsia" w:eastAsiaTheme="minorEastAsia" w:cstheme="minorEastAsia"/>
          <w:b/>
          <w:bCs/>
          <w:color w:val="auto"/>
          <w:szCs w:val="24"/>
          <w:highlight w:val="none"/>
        </w:rPr>
      </w:pPr>
    </w:p>
    <w:p w14:paraId="37AADB8D">
      <w:pPr>
        <w:pStyle w:val="4"/>
        <w:spacing w:before="120"/>
        <w:rPr>
          <w:rFonts w:hint="eastAsia" w:asciiTheme="minorEastAsia" w:hAnsiTheme="minorEastAsia" w:eastAsiaTheme="minorEastAsia" w:cstheme="minorEastAsia"/>
          <w:b/>
          <w:bCs/>
          <w:color w:val="auto"/>
          <w:szCs w:val="24"/>
          <w:highlight w:val="none"/>
        </w:rPr>
      </w:pPr>
    </w:p>
    <w:p w14:paraId="528B8F36">
      <w:pPr>
        <w:rPr>
          <w:rFonts w:hint="eastAsia" w:asciiTheme="minorEastAsia" w:hAnsiTheme="minorEastAsia" w:eastAsiaTheme="minorEastAsia" w:cstheme="minorEastAsia"/>
          <w:b/>
          <w:bCs/>
          <w:color w:val="auto"/>
          <w:szCs w:val="24"/>
          <w:highlight w:val="none"/>
        </w:rPr>
      </w:pPr>
    </w:p>
    <w:p w14:paraId="22644664">
      <w:pPr>
        <w:rPr>
          <w:rFonts w:hint="eastAsia" w:asciiTheme="minorEastAsia" w:hAnsiTheme="minorEastAsia" w:eastAsiaTheme="minorEastAsia" w:cstheme="minorEastAsia"/>
          <w:b/>
          <w:bCs/>
          <w:color w:val="auto"/>
          <w:szCs w:val="24"/>
          <w:highlight w:val="none"/>
        </w:rPr>
      </w:pPr>
    </w:p>
    <w:p w14:paraId="240EF0E8">
      <w:pPr>
        <w:pStyle w:val="4"/>
        <w:spacing w:before="120"/>
        <w:rPr>
          <w:rFonts w:hint="eastAsia" w:asciiTheme="minorEastAsia" w:hAnsiTheme="minorEastAsia" w:eastAsiaTheme="minorEastAsia" w:cstheme="minorEastAsia"/>
          <w:b/>
          <w:bCs/>
          <w:color w:val="auto"/>
          <w:szCs w:val="24"/>
          <w:highlight w:val="none"/>
        </w:rPr>
      </w:pPr>
    </w:p>
    <w:p w14:paraId="09FAB5D2">
      <w:pPr>
        <w:pStyle w:val="4"/>
        <w:spacing w:before="120"/>
        <w:rPr>
          <w:rFonts w:hint="eastAsia" w:asciiTheme="minorEastAsia" w:hAnsiTheme="minorEastAsia" w:eastAsiaTheme="minorEastAsia" w:cstheme="minorEastAsia"/>
          <w:b/>
          <w:bCs/>
          <w:color w:val="auto"/>
          <w:szCs w:val="24"/>
          <w:highlight w:val="none"/>
        </w:rPr>
      </w:pPr>
    </w:p>
    <w:p w14:paraId="47F7B704">
      <w:pPr>
        <w:pStyle w:val="4"/>
        <w:spacing w:before="120"/>
        <w:rPr>
          <w:rFonts w:hint="eastAsia" w:asciiTheme="minorEastAsia" w:hAnsiTheme="minorEastAsia" w:eastAsiaTheme="minorEastAsia" w:cstheme="minorEastAsia"/>
          <w:b/>
          <w:bCs/>
          <w:color w:val="auto"/>
          <w:szCs w:val="24"/>
          <w:highlight w:val="none"/>
        </w:rPr>
      </w:pPr>
    </w:p>
    <w:p w14:paraId="50317D57">
      <w:pPr>
        <w:pStyle w:val="4"/>
        <w:spacing w:before="120"/>
        <w:rPr>
          <w:rFonts w:hint="eastAsia" w:asciiTheme="minorEastAsia" w:hAnsiTheme="minorEastAsia" w:eastAsiaTheme="minorEastAsia" w:cstheme="minorEastAsia"/>
          <w:b/>
          <w:bCs/>
          <w:color w:val="auto"/>
          <w:szCs w:val="24"/>
          <w:highlight w:val="none"/>
        </w:rPr>
      </w:pPr>
      <w:bookmarkStart w:id="521" w:name="_Toc17017"/>
      <w:bookmarkStart w:id="522" w:name="_Toc15458"/>
      <w:r>
        <w:rPr>
          <w:rFonts w:hint="eastAsia" w:asciiTheme="minorEastAsia" w:hAnsiTheme="minorEastAsia" w:eastAsiaTheme="minorEastAsia" w:cstheme="minorEastAsia"/>
          <w:b/>
          <w:bCs/>
          <w:color w:val="auto"/>
          <w:szCs w:val="24"/>
          <w:highlight w:val="none"/>
        </w:rPr>
        <w:t>格式十 项目技术负责人简历表</w:t>
      </w:r>
      <w:bookmarkEnd w:id="520"/>
      <w:bookmarkEnd w:id="521"/>
      <w:bookmarkEnd w:id="522"/>
    </w:p>
    <w:p w14:paraId="03ABF7E8">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04F2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02B58F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7909FA1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0FACDDF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6A254F7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59191DD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32273F7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0028C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5D4AB7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5E32E18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553EDDC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41D8472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6E8F842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0F1A836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7E17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4E7B99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05986AA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4F16634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6B98A7F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8C27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7FB020F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以项目技术负责人身份参与过的主要业绩（已完工项目）</w:t>
            </w:r>
          </w:p>
        </w:tc>
      </w:tr>
      <w:tr w14:paraId="5C47D1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BB449D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9CB0ED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808290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5CF3E3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2DF2BFA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7D00288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649625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3CD712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4DFD757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80E185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1C5B1C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056DFB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077422B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9947A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CFB952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1C3E23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0F927F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9AFAFB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09FB46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0352FA1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BB9DD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499082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47B09AF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4E2E54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E35A6E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930A41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941EF4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987B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88898B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187FB67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A3BD99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544FF5B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465040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0BEEE25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C1711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78208A6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C58AF7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F7486E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07DAB3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34939D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1993077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54D57EA0">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项目技术负责人简历表</w:t>
      </w:r>
    </w:p>
    <w:p w14:paraId="171FA696">
      <w:pPr>
        <w:pStyle w:val="41"/>
        <w:wordWrap w:val="0"/>
        <w:adjustRightInd w:val="0"/>
        <w:snapToGrid w:val="0"/>
        <w:spacing w:line="440" w:lineRule="exact"/>
        <w:jc w:val="both"/>
        <w:rPr>
          <w:rFonts w:hint="eastAsia" w:asciiTheme="minorEastAsia" w:hAnsiTheme="minorEastAsia" w:eastAsiaTheme="minorEastAsia" w:cstheme="minorEastAsia"/>
          <w:snapToGrid w:val="0"/>
          <w:color w:val="auto"/>
          <w:kern w:val="0"/>
          <w:sz w:val="24"/>
          <w:szCs w:val="24"/>
          <w:highlight w:val="none"/>
        </w:rPr>
      </w:pPr>
    </w:p>
    <w:p w14:paraId="5ABD18E3">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0F1FC0DC">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项目技术负责人：</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18F24738">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06977529">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4ADD0AD9">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4DA49F4F">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p>
    <w:p w14:paraId="2A98FF56">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348D3DE4">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说明：《项目技术负责人简历表》后应附拟派项目技术负责人以下资料：</w:t>
      </w:r>
    </w:p>
    <w:p w14:paraId="1B55B55D">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1．身份证彩色扫描件；</w:t>
      </w:r>
    </w:p>
    <w:p w14:paraId="5D232B76">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2．职称证彩色扫描件；</w:t>
      </w:r>
    </w:p>
    <w:p w14:paraId="4A8C139E">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szCs w:val="24"/>
          <w:highlight w:val="none"/>
        </w:rPr>
        <w:sectPr>
          <w:endnotePr>
            <w:numFmt w:val="decimal"/>
          </w:endnotePr>
          <w:pgSz w:w="11905" w:h="16838"/>
          <w:pgMar w:top="1134" w:right="1134" w:bottom="1134" w:left="1417" w:header="850" w:footer="992" w:gutter="0"/>
          <w:pgNumType w:fmt="decimal"/>
          <w:cols w:space="0" w:num="1"/>
          <w:rtlGutter w:val="0"/>
          <w:docGrid w:linePitch="327" w:charSpace="0"/>
        </w:sectPr>
      </w:pPr>
      <w:r>
        <w:rPr>
          <w:rFonts w:hint="eastAsia" w:asciiTheme="minorEastAsia" w:hAnsiTheme="minorEastAsia" w:eastAsiaTheme="minorEastAsia" w:cstheme="minorEastAsia"/>
          <w:snapToGrid w:val="0"/>
          <w:color w:val="auto"/>
          <w:kern w:val="0"/>
          <w:szCs w:val="24"/>
          <w:highlight w:val="none"/>
        </w:rPr>
        <w:t>3．在本单位缴纳社保的证明（</w:t>
      </w:r>
      <w:r>
        <w:rPr>
          <w:rFonts w:hint="eastAsia" w:asciiTheme="minorEastAsia" w:hAnsiTheme="minorEastAsia" w:eastAsiaTheme="minorEastAsia" w:cstheme="minorEastAsia"/>
          <w:snapToGrid w:val="0"/>
          <w:color w:val="auto"/>
          <w:kern w:val="0"/>
          <w:szCs w:val="24"/>
          <w:highlight w:val="none"/>
          <w:lang w:eastAsia="zh-CN"/>
        </w:rPr>
        <w:t>近</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个月，其中必须有202</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lang w:val="en-US" w:eastAsia="zh-CN"/>
        </w:rPr>
        <w:t>6</w:t>
      </w:r>
      <w:r>
        <w:rPr>
          <w:rFonts w:hint="eastAsia" w:asciiTheme="minorEastAsia" w:hAnsiTheme="minorEastAsia" w:eastAsiaTheme="minorEastAsia" w:cstheme="minorEastAsia"/>
          <w:snapToGrid w:val="0"/>
          <w:color w:val="auto"/>
          <w:kern w:val="0"/>
          <w:szCs w:val="24"/>
          <w:highlight w:val="none"/>
        </w:rPr>
        <w:t>月）彩色扫描件；拟派技术负责人为退休返聘人员无法提供社保证明的，提供退休证和劳动合同彩色扫描件。</w:t>
      </w:r>
    </w:p>
    <w:p w14:paraId="70FEB1C7">
      <w:pPr>
        <w:pStyle w:val="4"/>
        <w:spacing w:before="120"/>
        <w:rPr>
          <w:rFonts w:hint="eastAsia" w:asciiTheme="minorEastAsia" w:hAnsiTheme="minorEastAsia" w:eastAsiaTheme="minorEastAsia" w:cstheme="minorEastAsia"/>
          <w:b/>
          <w:bCs/>
          <w:color w:val="auto"/>
          <w:szCs w:val="24"/>
          <w:highlight w:val="none"/>
        </w:rPr>
      </w:pPr>
      <w:bookmarkStart w:id="523" w:name="_Toc7845"/>
      <w:bookmarkStart w:id="524" w:name="_Toc31518"/>
      <w:bookmarkStart w:id="525" w:name="_Toc28717"/>
      <w:r>
        <w:rPr>
          <w:rFonts w:hint="eastAsia" w:asciiTheme="minorEastAsia" w:hAnsiTheme="minorEastAsia" w:eastAsiaTheme="minorEastAsia" w:cstheme="minorEastAsia"/>
          <w:b/>
          <w:bCs/>
          <w:color w:val="auto"/>
          <w:szCs w:val="24"/>
          <w:highlight w:val="none"/>
        </w:rPr>
        <w:t>格式十一 项目设计负责人简历表</w:t>
      </w:r>
      <w:bookmarkEnd w:id="523"/>
      <w:bookmarkEnd w:id="524"/>
      <w:bookmarkEnd w:id="525"/>
    </w:p>
    <w:p w14:paraId="7387F12F">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5AA7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8F21E6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46F0F80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32ED584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3D50EDB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532BB6D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7989EDE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B7886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856188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5372F06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0DB2913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5DE5980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4351DE7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76041BE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F6FF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C35F4B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10F87BB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651521F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18BE372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C191A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1D210CE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以项目设计负责人身份参与过的主要业绩（已完工项目）</w:t>
            </w:r>
          </w:p>
        </w:tc>
      </w:tr>
      <w:tr w14:paraId="2D8A86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485B26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80A930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5B0C56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A3E6E2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045B59D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52AA091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62615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2E2E806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95E449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4AEA21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3ADA77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667C8F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70E709B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73AB2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C527FF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8CFE19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37FE49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5AC4E6C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5C0506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D8E9D7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3093A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827EE2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AD902E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B1FD1B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062B7A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42CB7A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13B4C6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2A25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AD383B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935DF9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0F4C89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5ECE47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A316E4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15269CF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27A8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74495E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471B758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BA594E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6C680F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7100B9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17CC46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3F1BC2FF">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项目设计负责人简历表</w:t>
      </w:r>
    </w:p>
    <w:p w14:paraId="7DB10B3E">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p>
    <w:p w14:paraId="34002D25">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14506070">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w:t>
      </w:r>
      <w:r>
        <w:rPr>
          <w:rFonts w:hint="eastAsia" w:asciiTheme="minorEastAsia" w:hAnsiTheme="minorEastAsia" w:eastAsiaTheme="minorEastAsia" w:cstheme="minorEastAsia"/>
          <w:snapToGrid w:val="0"/>
          <w:color w:val="auto"/>
          <w:kern w:val="0"/>
          <w:sz w:val="24"/>
          <w:szCs w:val="24"/>
          <w:highlight w:val="none"/>
          <w:lang w:val="en-US" w:eastAsia="zh-CN"/>
        </w:rPr>
        <w:t>设计</w:t>
      </w:r>
      <w:r>
        <w:rPr>
          <w:rFonts w:hint="eastAsia" w:asciiTheme="minorEastAsia" w:hAnsiTheme="minorEastAsia" w:eastAsiaTheme="minorEastAsia" w:cstheme="minorEastAsia"/>
          <w:snapToGrid w:val="0"/>
          <w:color w:val="auto"/>
          <w:kern w:val="0"/>
          <w:sz w:val="24"/>
          <w:szCs w:val="24"/>
          <w:highlight w:val="none"/>
        </w:rPr>
        <w:t>负责人：</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6DB8C30A">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1BBF7A69">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6BA0CF03">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49B75B29">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32023310">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说明：《项目设计负责人简历表》后应附拟派项目设计负责人以下资料：</w:t>
      </w:r>
    </w:p>
    <w:p w14:paraId="789A228E">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1．身份证彩色扫描件；</w:t>
      </w:r>
    </w:p>
    <w:p w14:paraId="1A86B174">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2．职称证彩色扫描件；</w:t>
      </w:r>
    </w:p>
    <w:p w14:paraId="701F15BC">
      <w:pPr>
        <w:wordWrap w:val="0"/>
        <w:adjustRightInd w:val="0"/>
        <w:snapToGrid w:val="0"/>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3．在本单位缴纳社保的证明（</w:t>
      </w:r>
      <w:r>
        <w:rPr>
          <w:rFonts w:hint="eastAsia" w:asciiTheme="minorEastAsia" w:hAnsiTheme="minorEastAsia" w:eastAsiaTheme="minorEastAsia" w:cstheme="minorEastAsia"/>
          <w:snapToGrid w:val="0"/>
          <w:color w:val="auto"/>
          <w:kern w:val="0"/>
          <w:szCs w:val="24"/>
          <w:highlight w:val="none"/>
          <w:lang w:eastAsia="zh-CN"/>
        </w:rPr>
        <w:t>近</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个月，其中必须有202</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lang w:val="en-US" w:eastAsia="zh-CN"/>
        </w:rPr>
        <w:t>6</w:t>
      </w:r>
      <w:r>
        <w:rPr>
          <w:rFonts w:hint="eastAsia" w:asciiTheme="minorEastAsia" w:hAnsiTheme="minorEastAsia" w:eastAsiaTheme="minorEastAsia" w:cstheme="minorEastAsia"/>
          <w:snapToGrid w:val="0"/>
          <w:color w:val="auto"/>
          <w:kern w:val="0"/>
          <w:szCs w:val="24"/>
          <w:highlight w:val="none"/>
        </w:rPr>
        <w:t>月）彩色扫描件；拟派设计负责人为退休返聘人员无法提供社保证明的，提供退休证和劳动合同彩色扫描件。</w:t>
      </w:r>
      <w:bookmarkEnd w:id="511"/>
      <w:bookmarkEnd w:id="512"/>
      <w:bookmarkEnd w:id="513"/>
      <w:bookmarkEnd w:id="514"/>
      <w:bookmarkEnd w:id="515"/>
    </w:p>
    <w:p w14:paraId="1B9FC17F">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4．“进粤企业和人员诚信信息登记平台”个人信息情况截图。（适用于省外建筑企业）。</w:t>
      </w:r>
    </w:p>
    <w:p w14:paraId="2E8D030D">
      <w:pPr>
        <w:pStyle w:val="4"/>
        <w:spacing w:before="120"/>
        <w:rPr>
          <w:rFonts w:hint="eastAsia" w:asciiTheme="minorEastAsia" w:hAnsiTheme="minorEastAsia" w:eastAsiaTheme="minorEastAsia" w:cstheme="minorEastAsia"/>
          <w:bCs/>
          <w:snapToGrid w:val="0"/>
          <w:color w:val="auto"/>
          <w:szCs w:val="24"/>
          <w:highlight w:val="none"/>
        </w:rPr>
      </w:pPr>
      <w:r>
        <w:rPr>
          <w:rFonts w:hint="eastAsia" w:asciiTheme="minorEastAsia" w:hAnsiTheme="minorEastAsia" w:eastAsiaTheme="minorEastAsia" w:cstheme="minorEastAsia"/>
          <w:bCs/>
          <w:color w:val="auto"/>
          <w:szCs w:val="24"/>
          <w:highlight w:val="none"/>
        </w:rPr>
        <w:br w:type="page"/>
      </w:r>
      <w:bookmarkStart w:id="526" w:name="_Toc8597"/>
      <w:bookmarkStart w:id="527" w:name="_Toc7110"/>
      <w:bookmarkStart w:id="528" w:name="_Toc10080"/>
      <w:bookmarkStart w:id="529" w:name="_Toc8264"/>
      <w:r>
        <w:rPr>
          <w:rFonts w:hint="eastAsia" w:asciiTheme="minorEastAsia" w:hAnsiTheme="minorEastAsia" w:eastAsiaTheme="minorEastAsia" w:cstheme="minorEastAsia"/>
          <w:b/>
          <w:snapToGrid w:val="0"/>
          <w:color w:val="auto"/>
          <w:szCs w:val="24"/>
          <w:highlight w:val="none"/>
        </w:rPr>
        <w:t>格式十二 项目管理机构组成表</w:t>
      </w:r>
      <w:bookmarkEnd w:id="526"/>
      <w:bookmarkEnd w:id="527"/>
      <w:bookmarkEnd w:id="528"/>
    </w:p>
    <w:p w14:paraId="587EA20A">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项目管理机构组成表</w:t>
      </w:r>
    </w:p>
    <w:tbl>
      <w:tblPr>
        <w:tblStyle w:val="22"/>
        <w:tblW w:w="89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4"/>
        <w:gridCol w:w="1424"/>
        <w:gridCol w:w="1358"/>
        <w:gridCol w:w="902"/>
        <w:gridCol w:w="819"/>
        <w:gridCol w:w="1541"/>
        <w:gridCol w:w="2169"/>
      </w:tblGrid>
      <w:tr w14:paraId="0EDC99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0" w:hRule="atLeast"/>
        </w:trPr>
        <w:tc>
          <w:tcPr>
            <w:tcW w:w="744" w:type="dxa"/>
            <w:tcBorders>
              <w:top w:val="single" w:color="auto" w:sz="6" w:space="0"/>
              <w:left w:val="single" w:color="auto" w:sz="6" w:space="0"/>
              <w:bottom w:val="single" w:color="auto" w:sz="6" w:space="0"/>
              <w:right w:val="single" w:color="auto" w:sz="6" w:space="0"/>
            </w:tcBorders>
            <w:noWrap/>
            <w:vAlign w:val="center"/>
          </w:tcPr>
          <w:p w14:paraId="14D7ED5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424" w:type="dxa"/>
            <w:tcBorders>
              <w:top w:val="single" w:color="auto" w:sz="6" w:space="0"/>
              <w:left w:val="single" w:color="auto" w:sz="6" w:space="0"/>
              <w:bottom w:val="single" w:color="auto" w:sz="6" w:space="0"/>
              <w:right w:val="single" w:color="auto" w:sz="6" w:space="0"/>
            </w:tcBorders>
            <w:noWrap/>
            <w:vAlign w:val="center"/>
          </w:tcPr>
          <w:p w14:paraId="0284D03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职务</w:t>
            </w:r>
          </w:p>
        </w:tc>
        <w:tc>
          <w:tcPr>
            <w:tcW w:w="1358" w:type="dxa"/>
            <w:tcBorders>
              <w:top w:val="single" w:color="auto" w:sz="6" w:space="0"/>
              <w:left w:val="single" w:color="auto" w:sz="6" w:space="0"/>
              <w:bottom w:val="single" w:color="auto" w:sz="6" w:space="0"/>
              <w:right w:val="single" w:color="auto" w:sz="6" w:space="0"/>
            </w:tcBorders>
            <w:noWrap/>
            <w:vAlign w:val="center"/>
          </w:tcPr>
          <w:p w14:paraId="516CC14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姓名</w:t>
            </w:r>
          </w:p>
        </w:tc>
        <w:tc>
          <w:tcPr>
            <w:tcW w:w="902" w:type="dxa"/>
            <w:tcBorders>
              <w:top w:val="single" w:color="auto" w:sz="6" w:space="0"/>
              <w:left w:val="single" w:color="auto" w:sz="6" w:space="0"/>
              <w:bottom w:val="single" w:color="auto" w:sz="6" w:space="0"/>
              <w:right w:val="single" w:color="auto" w:sz="6" w:space="0"/>
            </w:tcBorders>
            <w:noWrap/>
            <w:vAlign w:val="center"/>
          </w:tcPr>
          <w:p w14:paraId="78495AA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性别</w:t>
            </w:r>
          </w:p>
        </w:tc>
        <w:tc>
          <w:tcPr>
            <w:tcW w:w="819" w:type="dxa"/>
            <w:tcBorders>
              <w:top w:val="single" w:color="auto" w:sz="6" w:space="0"/>
              <w:left w:val="single" w:color="auto" w:sz="6" w:space="0"/>
              <w:bottom w:val="single" w:color="auto" w:sz="6" w:space="0"/>
              <w:right w:val="single" w:color="auto" w:sz="6" w:space="0"/>
            </w:tcBorders>
            <w:noWrap/>
            <w:vAlign w:val="center"/>
          </w:tcPr>
          <w:p w14:paraId="35F54DF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年龄</w:t>
            </w:r>
          </w:p>
        </w:tc>
        <w:tc>
          <w:tcPr>
            <w:tcW w:w="1541" w:type="dxa"/>
            <w:tcBorders>
              <w:top w:val="single" w:color="auto" w:sz="6" w:space="0"/>
              <w:left w:val="single" w:color="auto" w:sz="6" w:space="0"/>
              <w:bottom w:val="single" w:color="auto" w:sz="6" w:space="0"/>
              <w:right w:val="single" w:color="auto" w:sz="6" w:space="0"/>
            </w:tcBorders>
            <w:noWrap/>
            <w:vAlign w:val="center"/>
          </w:tcPr>
          <w:p w14:paraId="2898B91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职称</w:t>
            </w:r>
          </w:p>
        </w:tc>
        <w:tc>
          <w:tcPr>
            <w:tcW w:w="2169" w:type="dxa"/>
            <w:tcBorders>
              <w:top w:val="single" w:color="auto" w:sz="6" w:space="0"/>
              <w:left w:val="single" w:color="auto" w:sz="6" w:space="0"/>
              <w:bottom w:val="single" w:color="auto" w:sz="6" w:space="0"/>
              <w:right w:val="single" w:color="auto" w:sz="6" w:space="0"/>
            </w:tcBorders>
            <w:noWrap/>
            <w:vAlign w:val="center"/>
          </w:tcPr>
          <w:p w14:paraId="5626FED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备注</w:t>
            </w:r>
          </w:p>
        </w:tc>
      </w:tr>
      <w:tr w14:paraId="36AF34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2" w:hRule="exact"/>
        </w:trPr>
        <w:tc>
          <w:tcPr>
            <w:tcW w:w="744" w:type="dxa"/>
            <w:tcBorders>
              <w:top w:val="single" w:color="auto" w:sz="6" w:space="0"/>
              <w:left w:val="single" w:color="auto" w:sz="6" w:space="0"/>
              <w:right w:val="single" w:color="auto" w:sz="6" w:space="0"/>
            </w:tcBorders>
            <w:noWrap/>
            <w:vAlign w:val="center"/>
          </w:tcPr>
          <w:p w14:paraId="3EC1D3E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424" w:type="dxa"/>
            <w:tcBorders>
              <w:top w:val="single" w:color="auto" w:sz="6" w:space="0"/>
              <w:left w:val="single" w:color="auto" w:sz="6" w:space="0"/>
              <w:right w:val="single" w:color="auto" w:sz="6" w:space="0"/>
            </w:tcBorders>
            <w:noWrap/>
            <w:vAlign w:val="center"/>
          </w:tcPr>
          <w:p w14:paraId="5A7FEEB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项目经理</w:t>
            </w:r>
          </w:p>
        </w:tc>
        <w:tc>
          <w:tcPr>
            <w:tcW w:w="1358" w:type="dxa"/>
            <w:tcBorders>
              <w:top w:val="single" w:color="auto" w:sz="6" w:space="0"/>
              <w:left w:val="single" w:color="auto" w:sz="6" w:space="0"/>
              <w:bottom w:val="single" w:color="auto" w:sz="6" w:space="0"/>
              <w:right w:val="single" w:color="auto" w:sz="6" w:space="0"/>
            </w:tcBorders>
            <w:noWrap/>
            <w:vAlign w:val="center"/>
          </w:tcPr>
          <w:p w14:paraId="0AA6B86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11D8F7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2B41C2A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975CAD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0E2F3D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7D09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5D0F27F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424" w:type="dxa"/>
            <w:tcBorders>
              <w:top w:val="single" w:color="auto" w:sz="6" w:space="0"/>
              <w:left w:val="single" w:color="auto" w:sz="6" w:space="0"/>
              <w:right w:val="single" w:color="auto" w:sz="6" w:space="0"/>
            </w:tcBorders>
            <w:noWrap/>
            <w:vAlign w:val="center"/>
          </w:tcPr>
          <w:p w14:paraId="02B2076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项目技术</w:t>
            </w:r>
          </w:p>
          <w:p w14:paraId="14D6D1B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203881E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BB2931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FEFB5A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D05E52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75C913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E6AA3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08ADEDB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1424" w:type="dxa"/>
            <w:tcBorders>
              <w:top w:val="single" w:color="auto" w:sz="6" w:space="0"/>
              <w:left w:val="single" w:color="auto" w:sz="6" w:space="0"/>
              <w:right w:val="single" w:color="auto" w:sz="6" w:space="0"/>
            </w:tcBorders>
            <w:noWrap/>
            <w:vAlign w:val="center"/>
          </w:tcPr>
          <w:p w14:paraId="6FE7BB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项目设计</w:t>
            </w:r>
          </w:p>
          <w:p w14:paraId="1CB19A4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59BB9AE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641E9F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231FA1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7818175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D83369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FD856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E0B746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w:t>
            </w:r>
          </w:p>
        </w:tc>
        <w:tc>
          <w:tcPr>
            <w:tcW w:w="1424" w:type="dxa"/>
            <w:tcBorders>
              <w:top w:val="single" w:color="auto" w:sz="6" w:space="0"/>
              <w:left w:val="single" w:color="auto" w:sz="6" w:space="0"/>
              <w:bottom w:val="single" w:color="auto" w:sz="6" w:space="0"/>
              <w:right w:val="single" w:color="auto" w:sz="6" w:space="0"/>
            </w:tcBorders>
            <w:noWrap/>
            <w:vAlign w:val="center"/>
          </w:tcPr>
          <w:p w14:paraId="197E791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专职安全员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6D57D6E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560E565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776A3F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0EA75D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F7C6B8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318D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34FD4DA4">
            <w:pPr>
              <w:wordWrap w:val="0"/>
              <w:adjustRightInd w:val="0"/>
              <w:snapToGrid w:val="0"/>
              <w:ind w:firstLine="360" w:firstLineChars="15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w:t>
            </w:r>
          </w:p>
        </w:tc>
        <w:tc>
          <w:tcPr>
            <w:tcW w:w="1424" w:type="dxa"/>
            <w:tcBorders>
              <w:top w:val="single" w:color="auto" w:sz="6" w:space="0"/>
              <w:left w:val="single" w:color="auto" w:sz="6" w:space="0"/>
              <w:bottom w:val="single" w:color="auto" w:sz="6" w:space="0"/>
              <w:right w:val="single" w:color="auto" w:sz="6" w:space="0"/>
            </w:tcBorders>
            <w:noWrap/>
            <w:vAlign w:val="center"/>
          </w:tcPr>
          <w:p w14:paraId="45C0868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施工员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6B6FBE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566768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7C6C161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53457F6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B37C03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FB0F3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B58FB7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w:t>
            </w:r>
          </w:p>
        </w:tc>
        <w:tc>
          <w:tcPr>
            <w:tcW w:w="1424" w:type="dxa"/>
            <w:tcBorders>
              <w:top w:val="single" w:color="auto" w:sz="6" w:space="0"/>
              <w:left w:val="single" w:color="auto" w:sz="6" w:space="0"/>
              <w:bottom w:val="single" w:color="auto" w:sz="6" w:space="0"/>
              <w:right w:val="single" w:color="auto" w:sz="6" w:space="0"/>
            </w:tcBorders>
            <w:noWrap/>
            <w:vAlign w:val="center"/>
          </w:tcPr>
          <w:p w14:paraId="02A79B0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0238EA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68995C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5A83B4C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319976C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16E3ACC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1395A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136E86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w:t>
            </w:r>
          </w:p>
        </w:tc>
        <w:tc>
          <w:tcPr>
            <w:tcW w:w="1424" w:type="dxa"/>
            <w:tcBorders>
              <w:top w:val="single" w:color="auto" w:sz="6" w:space="0"/>
              <w:left w:val="single" w:color="auto" w:sz="6" w:space="0"/>
              <w:bottom w:val="single" w:color="auto" w:sz="6" w:space="0"/>
              <w:right w:val="single" w:color="auto" w:sz="6" w:space="0"/>
            </w:tcBorders>
            <w:noWrap/>
            <w:vAlign w:val="center"/>
          </w:tcPr>
          <w:p w14:paraId="2E80DEA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材料员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5BCD9BD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2B0C9BF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207B52F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3F8E55F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5C82CF9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B58D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6A5409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8</w:t>
            </w:r>
          </w:p>
        </w:tc>
        <w:tc>
          <w:tcPr>
            <w:tcW w:w="1424" w:type="dxa"/>
            <w:tcBorders>
              <w:top w:val="single" w:color="auto" w:sz="6" w:space="0"/>
              <w:left w:val="single" w:color="auto" w:sz="6" w:space="0"/>
              <w:bottom w:val="single" w:color="auto" w:sz="6" w:space="0"/>
              <w:right w:val="single" w:color="auto" w:sz="6" w:space="0"/>
            </w:tcBorders>
            <w:noWrap/>
            <w:vAlign w:val="center"/>
          </w:tcPr>
          <w:p w14:paraId="0D8F072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资料员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535146C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37937E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3E6D5C6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0AD24A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9E87E5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5B405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6"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1FA64D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424" w:type="dxa"/>
            <w:tcBorders>
              <w:top w:val="single" w:color="auto" w:sz="6" w:space="0"/>
              <w:left w:val="single" w:color="auto" w:sz="6" w:space="0"/>
              <w:bottom w:val="single" w:color="auto" w:sz="6" w:space="0"/>
              <w:right w:val="single" w:color="auto" w:sz="6" w:space="0"/>
            </w:tcBorders>
            <w:noWrap/>
            <w:vAlign w:val="center"/>
          </w:tcPr>
          <w:p w14:paraId="0487116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358" w:type="dxa"/>
            <w:tcBorders>
              <w:top w:val="single" w:color="auto" w:sz="6" w:space="0"/>
              <w:left w:val="single" w:color="auto" w:sz="6" w:space="0"/>
              <w:bottom w:val="single" w:color="auto" w:sz="6" w:space="0"/>
              <w:right w:val="single" w:color="auto" w:sz="6" w:space="0"/>
            </w:tcBorders>
            <w:noWrap/>
            <w:vAlign w:val="center"/>
          </w:tcPr>
          <w:p w14:paraId="5A05F3D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6179798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23FA485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3E0CFD3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125EBB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bookmarkEnd w:id="529"/>
    </w:tbl>
    <w:p w14:paraId="383F096A">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bookmarkStart w:id="530" w:name="_Toc25577"/>
      <w:bookmarkStart w:id="531" w:name="_Toc8648"/>
      <w:bookmarkStart w:id="532" w:name="_Toc36804690"/>
    </w:p>
    <w:p w14:paraId="58D43510">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说明：</w:t>
      </w:r>
    </w:p>
    <w:p w14:paraId="76A0020D">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1．《项目管理机构组成表》后应附表中拟派人员（项目经理、项目技术负责人、项目设计负责人除外）以下资料：</w:t>
      </w:r>
    </w:p>
    <w:p w14:paraId="5136CADE">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（1）身份证彩色扫描件；</w:t>
      </w:r>
    </w:p>
    <w:p w14:paraId="27FD459F">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（2）专职安全员须提供C类安全生产考核合格证书彩色扫描件或“广东省建筑施工企业管理人员安全生产考核系统”考核合格信息打印页；</w:t>
      </w:r>
    </w:p>
    <w:p w14:paraId="09FAA87B">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）在本单位缴纳社保的证明（</w:t>
      </w:r>
      <w:r>
        <w:rPr>
          <w:rFonts w:hint="eastAsia" w:asciiTheme="minorEastAsia" w:hAnsiTheme="minorEastAsia" w:eastAsiaTheme="minorEastAsia" w:cstheme="minorEastAsia"/>
          <w:snapToGrid w:val="0"/>
          <w:color w:val="auto"/>
          <w:kern w:val="0"/>
          <w:szCs w:val="24"/>
          <w:highlight w:val="none"/>
          <w:lang w:eastAsia="zh-CN"/>
        </w:rPr>
        <w:t>近</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个月，其中必须有202</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lang w:val="en-US" w:eastAsia="zh-CN"/>
        </w:rPr>
        <w:t>6</w:t>
      </w:r>
      <w:r>
        <w:rPr>
          <w:rFonts w:hint="eastAsia" w:asciiTheme="minorEastAsia" w:hAnsiTheme="minorEastAsia" w:eastAsiaTheme="minorEastAsia" w:cstheme="minorEastAsia"/>
          <w:snapToGrid w:val="0"/>
          <w:color w:val="auto"/>
          <w:kern w:val="0"/>
          <w:szCs w:val="24"/>
          <w:highlight w:val="none"/>
        </w:rPr>
        <w:t>月）彩色扫描件；拟派人员为退休返聘人员无法提供社保证明的，提供退休证和劳动合同彩色扫描件；</w:t>
      </w:r>
    </w:p>
    <w:p w14:paraId="10DF8F8B">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4</w:t>
      </w:r>
      <w:r>
        <w:rPr>
          <w:rFonts w:hint="eastAsia" w:asciiTheme="minorEastAsia" w:hAnsiTheme="minorEastAsia" w:eastAsiaTheme="minorEastAsia" w:cstheme="minorEastAsia"/>
          <w:snapToGrid w:val="0"/>
          <w:color w:val="auto"/>
          <w:kern w:val="0"/>
          <w:szCs w:val="24"/>
          <w:highlight w:val="none"/>
        </w:rPr>
        <w:t>）“进粤企业和人员诚信信息登记平台”个人信息情况截图。（适用于省外建筑企业）。</w:t>
      </w:r>
    </w:p>
    <w:p w14:paraId="3630EE92">
      <w:pPr>
        <w:wordWrap w:val="0"/>
        <w:adjustRightInd w:val="0"/>
        <w:snapToGrid w:val="0"/>
        <w:spacing w:line="400" w:lineRule="exac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 xml:space="preserve">    2．联合体投标的，《项目管理机构组成表》应包括联合体成员单位参与项目管理机构的人员，并提供以上所需资料。</w:t>
      </w:r>
    </w:p>
    <w:p w14:paraId="726550B8">
      <w:pPr>
        <w:pStyle w:val="4"/>
        <w:spacing w:before="136"/>
        <w:rPr>
          <w:rFonts w:hint="eastAsia" w:asciiTheme="minorEastAsia" w:hAnsiTheme="minorEastAsia" w:eastAsiaTheme="minorEastAsia" w:cstheme="minorEastAsia"/>
          <w:b/>
          <w:bCs/>
          <w:color w:val="auto"/>
          <w:szCs w:val="24"/>
          <w:highlight w:val="none"/>
        </w:rPr>
      </w:pPr>
    </w:p>
    <w:p w14:paraId="077F78DC">
      <w:pPr>
        <w:pStyle w:val="4"/>
        <w:spacing w:before="136"/>
        <w:rPr>
          <w:rFonts w:hint="eastAsia" w:asciiTheme="minorEastAsia" w:hAnsiTheme="minorEastAsia" w:eastAsiaTheme="minorEastAsia" w:cstheme="minorEastAsia"/>
          <w:b/>
          <w:bCs/>
          <w:color w:val="auto"/>
          <w:szCs w:val="24"/>
          <w:highlight w:val="none"/>
        </w:rPr>
      </w:pPr>
    </w:p>
    <w:p w14:paraId="6EB3BB9F">
      <w:pPr>
        <w:rPr>
          <w:rFonts w:hint="eastAsia"/>
          <w:color w:val="auto"/>
          <w:highlight w:val="none"/>
        </w:rPr>
      </w:pPr>
    </w:p>
    <w:p w14:paraId="29513E81">
      <w:pPr>
        <w:rPr>
          <w:rFonts w:hint="eastAsia"/>
          <w:color w:val="auto"/>
          <w:highlight w:val="none"/>
        </w:rPr>
      </w:pPr>
    </w:p>
    <w:p w14:paraId="6B636E1D">
      <w:pPr>
        <w:rPr>
          <w:rFonts w:hint="eastAsia"/>
          <w:color w:val="auto"/>
          <w:highlight w:val="none"/>
        </w:rPr>
      </w:pPr>
    </w:p>
    <w:p w14:paraId="74E1BB1E">
      <w:pPr>
        <w:rPr>
          <w:rFonts w:hint="eastAsia"/>
          <w:color w:val="auto"/>
          <w:highlight w:val="none"/>
        </w:rPr>
      </w:pPr>
    </w:p>
    <w:p w14:paraId="50006A0E">
      <w:pPr>
        <w:rPr>
          <w:rFonts w:hint="eastAsia"/>
          <w:color w:val="auto"/>
          <w:highlight w:val="none"/>
        </w:rPr>
      </w:pPr>
    </w:p>
    <w:p w14:paraId="64A65909">
      <w:pPr>
        <w:pStyle w:val="4"/>
        <w:spacing w:before="136"/>
        <w:rPr>
          <w:rFonts w:hint="eastAsia" w:asciiTheme="minorEastAsia" w:hAnsiTheme="minorEastAsia" w:eastAsiaTheme="minorEastAsia" w:cstheme="minorEastAsia"/>
          <w:color w:val="auto"/>
          <w:szCs w:val="24"/>
          <w:highlight w:val="none"/>
        </w:rPr>
      </w:pPr>
      <w:bookmarkStart w:id="533" w:name="_Toc6004"/>
      <w:bookmarkStart w:id="534" w:name="_Toc14649"/>
      <w:r>
        <w:rPr>
          <w:rFonts w:hint="eastAsia" w:asciiTheme="minorEastAsia" w:hAnsiTheme="minorEastAsia" w:eastAsiaTheme="minorEastAsia" w:cstheme="minorEastAsia"/>
          <w:b/>
          <w:bCs/>
          <w:color w:val="auto"/>
          <w:szCs w:val="24"/>
          <w:highlight w:val="none"/>
        </w:rPr>
        <w:t>格式十三 原件一览表</w:t>
      </w:r>
      <w:bookmarkEnd w:id="530"/>
      <w:bookmarkEnd w:id="531"/>
      <w:bookmarkEnd w:id="532"/>
      <w:bookmarkEnd w:id="533"/>
      <w:bookmarkEnd w:id="534"/>
    </w:p>
    <w:tbl>
      <w:tblPr>
        <w:tblStyle w:val="2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0"/>
        <w:gridCol w:w="1505"/>
        <w:gridCol w:w="623"/>
        <w:gridCol w:w="1369"/>
        <w:gridCol w:w="1623"/>
        <w:gridCol w:w="753"/>
        <w:gridCol w:w="957"/>
        <w:gridCol w:w="1570"/>
      </w:tblGrid>
      <w:tr w14:paraId="642B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trPr>
        <w:tc>
          <w:tcPr>
            <w:tcW w:w="9100" w:type="dxa"/>
            <w:gridSpan w:val="8"/>
            <w:noWrap/>
            <w:tcMar>
              <w:left w:w="108" w:type="dxa"/>
              <w:right w:w="108" w:type="dxa"/>
            </w:tcMar>
            <w:vAlign w:val="center"/>
          </w:tcPr>
          <w:p w14:paraId="19DEA73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szCs w:val="24"/>
                <w:highlight w:val="none"/>
              </w:rPr>
              <w:t>原件一览表</w:t>
            </w:r>
          </w:p>
        </w:tc>
      </w:tr>
      <w:tr w14:paraId="72C2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0AFDDF6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工程名称</w:t>
            </w:r>
          </w:p>
        </w:tc>
        <w:tc>
          <w:tcPr>
            <w:tcW w:w="6272" w:type="dxa"/>
            <w:gridSpan w:val="5"/>
            <w:noWrap/>
            <w:tcMar>
              <w:left w:w="108" w:type="dxa"/>
              <w:right w:w="108" w:type="dxa"/>
            </w:tcMar>
            <w:vAlign w:val="center"/>
          </w:tcPr>
          <w:p w14:paraId="5533C81B">
            <w:pPr>
              <w:jc w:val="center"/>
              <w:rPr>
                <w:rFonts w:hint="eastAsia" w:asciiTheme="minorEastAsia" w:hAnsiTheme="minorEastAsia" w:eastAsiaTheme="minorEastAsia" w:cstheme="minorEastAsia"/>
                <w:color w:val="auto"/>
                <w:szCs w:val="24"/>
                <w:highlight w:val="none"/>
              </w:rPr>
            </w:pPr>
          </w:p>
        </w:tc>
      </w:tr>
      <w:tr w14:paraId="2BA6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45CF527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投标人名称                （请务必填写单位全称）</w:t>
            </w:r>
          </w:p>
        </w:tc>
        <w:tc>
          <w:tcPr>
            <w:tcW w:w="6272" w:type="dxa"/>
            <w:gridSpan w:val="5"/>
            <w:noWrap/>
            <w:tcMar>
              <w:left w:w="108" w:type="dxa"/>
              <w:right w:w="108" w:type="dxa"/>
            </w:tcMar>
            <w:vAlign w:val="center"/>
          </w:tcPr>
          <w:p w14:paraId="78E6DFA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3480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1B0B0B67">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投标人法定代表人或其</w:t>
            </w:r>
          </w:p>
          <w:p w14:paraId="35DAA4E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委托代理人签名</w:t>
            </w:r>
          </w:p>
        </w:tc>
        <w:tc>
          <w:tcPr>
            <w:tcW w:w="2992" w:type="dxa"/>
            <w:gridSpan w:val="2"/>
            <w:noWrap/>
            <w:tcMar>
              <w:left w:w="108" w:type="dxa"/>
              <w:right w:w="108" w:type="dxa"/>
            </w:tcMar>
            <w:vAlign w:val="center"/>
          </w:tcPr>
          <w:p w14:paraId="5588A96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c>
          <w:tcPr>
            <w:tcW w:w="753" w:type="dxa"/>
            <w:noWrap/>
            <w:tcMar>
              <w:left w:w="108" w:type="dxa"/>
              <w:right w:w="108" w:type="dxa"/>
            </w:tcMar>
            <w:vAlign w:val="center"/>
          </w:tcPr>
          <w:p w14:paraId="2063491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手机号码</w:t>
            </w:r>
          </w:p>
        </w:tc>
        <w:tc>
          <w:tcPr>
            <w:tcW w:w="2527" w:type="dxa"/>
            <w:gridSpan w:val="2"/>
            <w:noWrap/>
            <w:tcMar>
              <w:left w:w="108" w:type="dxa"/>
              <w:right w:w="108" w:type="dxa"/>
            </w:tcMar>
            <w:vAlign w:val="center"/>
          </w:tcPr>
          <w:p w14:paraId="6F4EAB0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7E4F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9100" w:type="dxa"/>
            <w:gridSpan w:val="8"/>
            <w:noWrap/>
            <w:tcMar>
              <w:left w:w="108" w:type="dxa"/>
              <w:right w:w="108" w:type="dxa"/>
            </w:tcMar>
            <w:vAlign w:val="center"/>
          </w:tcPr>
          <w:p w14:paraId="094CB61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递交的证明材料原件如下：</w:t>
            </w:r>
          </w:p>
        </w:tc>
      </w:tr>
      <w:tr w14:paraId="2B2A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3129308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序号</w:t>
            </w:r>
          </w:p>
        </w:tc>
        <w:tc>
          <w:tcPr>
            <w:tcW w:w="5120" w:type="dxa"/>
            <w:gridSpan w:val="4"/>
            <w:noWrap/>
            <w:tcMar>
              <w:left w:w="108" w:type="dxa"/>
              <w:right w:w="108" w:type="dxa"/>
            </w:tcMar>
            <w:vAlign w:val="center"/>
          </w:tcPr>
          <w:p w14:paraId="56F1F98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证明材料原件名称</w:t>
            </w:r>
          </w:p>
        </w:tc>
        <w:tc>
          <w:tcPr>
            <w:tcW w:w="1710" w:type="dxa"/>
            <w:gridSpan w:val="2"/>
            <w:noWrap/>
            <w:tcMar>
              <w:left w:w="108" w:type="dxa"/>
              <w:right w:w="108" w:type="dxa"/>
            </w:tcMar>
            <w:vAlign w:val="center"/>
          </w:tcPr>
          <w:p w14:paraId="1C175330">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单位</w:t>
            </w:r>
          </w:p>
        </w:tc>
        <w:tc>
          <w:tcPr>
            <w:tcW w:w="1570" w:type="dxa"/>
            <w:noWrap/>
            <w:tcMar>
              <w:left w:w="108" w:type="dxa"/>
              <w:right w:w="108" w:type="dxa"/>
            </w:tcMar>
            <w:vAlign w:val="center"/>
          </w:tcPr>
          <w:p w14:paraId="2A853080">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数量</w:t>
            </w:r>
          </w:p>
        </w:tc>
      </w:tr>
      <w:tr w14:paraId="4CC0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2419EB1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w:t>
            </w:r>
          </w:p>
        </w:tc>
        <w:tc>
          <w:tcPr>
            <w:tcW w:w="5120" w:type="dxa"/>
            <w:gridSpan w:val="4"/>
            <w:noWrap/>
            <w:tcMar>
              <w:left w:w="108" w:type="dxa"/>
              <w:right w:w="108" w:type="dxa"/>
            </w:tcMar>
            <w:vAlign w:val="center"/>
          </w:tcPr>
          <w:p w14:paraId="05F7DC0A">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2DC09B3B">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09C3934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028B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13F912C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w:t>
            </w:r>
          </w:p>
        </w:tc>
        <w:tc>
          <w:tcPr>
            <w:tcW w:w="5120" w:type="dxa"/>
            <w:gridSpan w:val="4"/>
            <w:noWrap/>
            <w:tcMar>
              <w:left w:w="108" w:type="dxa"/>
              <w:right w:w="108" w:type="dxa"/>
            </w:tcMar>
            <w:vAlign w:val="center"/>
          </w:tcPr>
          <w:p w14:paraId="7B0CFF52">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62E7C7CA">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221E9BAD">
            <w:pPr>
              <w:jc w:val="center"/>
              <w:rPr>
                <w:rFonts w:hint="eastAsia" w:asciiTheme="minorEastAsia" w:hAnsiTheme="minorEastAsia" w:eastAsiaTheme="minorEastAsia" w:cstheme="minorEastAsia"/>
                <w:color w:val="auto"/>
                <w:szCs w:val="24"/>
                <w:highlight w:val="none"/>
              </w:rPr>
            </w:pPr>
          </w:p>
        </w:tc>
      </w:tr>
      <w:tr w14:paraId="6ADC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2AB408E6">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w:t>
            </w:r>
          </w:p>
        </w:tc>
        <w:tc>
          <w:tcPr>
            <w:tcW w:w="5120" w:type="dxa"/>
            <w:gridSpan w:val="4"/>
            <w:noWrap/>
            <w:tcMar>
              <w:left w:w="108" w:type="dxa"/>
              <w:right w:w="108" w:type="dxa"/>
            </w:tcMar>
            <w:vAlign w:val="center"/>
          </w:tcPr>
          <w:p w14:paraId="3D2EEA38">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1426F449">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2BCB06E5">
            <w:pPr>
              <w:jc w:val="center"/>
              <w:rPr>
                <w:rFonts w:hint="eastAsia" w:asciiTheme="minorEastAsia" w:hAnsiTheme="minorEastAsia" w:eastAsiaTheme="minorEastAsia" w:cstheme="minorEastAsia"/>
                <w:color w:val="auto"/>
                <w:szCs w:val="24"/>
                <w:highlight w:val="none"/>
              </w:rPr>
            </w:pPr>
          </w:p>
        </w:tc>
      </w:tr>
      <w:tr w14:paraId="2733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0AD8715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w:t>
            </w:r>
          </w:p>
        </w:tc>
        <w:tc>
          <w:tcPr>
            <w:tcW w:w="5120" w:type="dxa"/>
            <w:gridSpan w:val="4"/>
            <w:noWrap/>
            <w:tcMar>
              <w:left w:w="108" w:type="dxa"/>
              <w:right w:w="108" w:type="dxa"/>
            </w:tcMar>
            <w:vAlign w:val="center"/>
          </w:tcPr>
          <w:p w14:paraId="427938C7">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367B11EE">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5FF69D7B">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0ED9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28" w:hRule="atLeast"/>
        </w:trPr>
        <w:tc>
          <w:tcPr>
            <w:tcW w:w="700" w:type="dxa"/>
            <w:noWrap/>
            <w:tcMar>
              <w:left w:w="108" w:type="dxa"/>
              <w:right w:w="108" w:type="dxa"/>
            </w:tcMar>
            <w:vAlign w:val="center"/>
          </w:tcPr>
          <w:p w14:paraId="679AC0CC">
            <w:pPr>
              <w:ind w:left="8" w:hanging="94"/>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注意：</w:t>
            </w:r>
          </w:p>
        </w:tc>
        <w:tc>
          <w:tcPr>
            <w:tcW w:w="8400" w:type="dxa"/>
            <w:gridSpan w:val="7"/>
            <w:noWrap/>
            <w:tcMar>
              <w:left w:w="108" w:type="dxa"/>
              <w:right w:w="108" w:type="dxa"/>
            </w:tcMar>
            <w:vAlign w:val="center"/>
          </w:tcPr>
          <w:p w14:paraId="12E86F03">
            <w:pPr>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44A8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5" w:hRule="atLeast"/>
        </w:trPr>
        <w:tc>
          <w:tcPr>
            <w:tcW w:w="2205" w:type="dxa"/>
            <w:gridSpan w:val="2"/>
            <w:noWrap/>
            <w:tcMar>
              <w:left w:w="108" w:type="dxa"/>
              <w:right w:w="108" w:type="dxa"/>
            </w:tcMar>
            <w:vAlign w:val="center"/>
          </w:tcPr>
          <w:p w14:paraId="0F13AC8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接收原件经办人（招标代理）：</w:t>
            </w:r>
          </w:p>
        </w:tc>
        <w:tc>
          <w:tcPr>
            <w:tcW w:w="1992" w:type="dxa"/>
            <w:gridSpan w:val="2"/>
            <w:noWrap/>
            <w:tcMar>
              <w:left w:w="108" w:type="dxa"/>
              <w:right w:w="108" w:type="dxa"/>
            </w:tcMar>
            <w:vAlign w:val="center"/>
          </w:tcPr>
          <w:p w14:paraId="1A0F273C">
            <w:pPr>
              <w:jc w:val="center"/>
              <w:rPr>
                <w:rFonts w:hint="eastAsia" w:asciiTheme="minorEastAsia" w:hAnsiTheme="minorEastAsia" w:eastAsiaTheme="minorEastAsia" w:cstheme="minorEastAsia"/>
                <w:color w:val="auto"/>
                <w:szCs w:val="24"/>
                <w:highlight w:val="none"/>
              </w:rPr>
            </w:pPr>
          </w:p>
        </w:tc>
        <w:tc>
          <w:tcPr>
            <w:tcW w:w="1623" w:type="dxa"/>
            <w:noWrap/>
            <w:tcMar>
              <w:left w:w="108" w:type="dxa"/>
              <w:right w:w="108" w:type="dxa"/>
            </w:tcMar>
            <w:vAlign w:val="center"/>
          </w:tcPr>
          <w:p w14:paraId="7C2B70F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接收时间：</w:t>
            </w:r>
          </w:p>
        </w:tc>
        <w:tc>
          <w:tcPr>
            <w:tcW w:w="3280" w:type="dxa"/>
            <w:gridSpan w:val="3"/>
            <w:noWrap/>
            <w:tcMar>
              <w:left w:w="108" w:type="dxa"/>
              <w:right w:w="108" w:type="dxa"/>
            </w:tcMar>
            <w:vAlign w:val="center"/>
          </w:tcPr>
          <w:p w14:paraId="218AFC33">
            <w:pPr>
              <w:ind w:firstLine="720" w:firstLineChars="3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年   月   日   时  分</w:t>
            </w:r>
          </w:p>
        </w:tc>
      </w:tr>
      <w:tr w14:paraId="5372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9" w:hRule="atLeast"/>
        </w:trPr>
        <w:tc>
          <w:tcPr>
            <w:tcW w:w="2205" w:type="dxa"/>
            <w:gridSpan w:val="2"/>
            <w:noWrap/>
            <w:tcMar>
              <w:left w:w="108" w:type="dxa"/>
              <w:right w:w="108" w:type="dxa"/>
            </w:tcMar>
            <w:vAlign w:val="center"/>
          </w:tcPr>
          <w:p w14:paraId="4590DE0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退还原件接收人（投标人）：</w:t>
            </w:r>
          </w:p>
        </w:tc>
        <w:tc>
          <w:tcPr>
            <w:tcW w:w="1992" w:type="dxa"/>
            <w:gridSpan w:val="2"/>
            <w:noWrap/>
            <w:tcMar>
              <w:left w:w="108" w:type="dxa"/>
              <w:right w:w="108" w:type="dxa"/>
            </w:tcMar>
            <w:vAlign w:val="center"/>
          </w:tcPr>
          <w:p w14:paraId="4B7C0B54">
            <w:pPr>
              <w:jc w:val="center"/>
              <w:rPr>
                <w:rFonts w:hint="eastAsia" w:asciiTheme="minorEastAsia" w:hAnsiTheme="minorEastAsia" w:eastAsiaTheme="minorEastAsia" w:cstheme="minorEastAsia"/>
                <w:color w:val="auto"/>
                <w:szCs w:val="24"/>
                <w:highlight w:val="none"/>
              </w:rPr>
            </w:pPr>
          </w:p>
        </w:tc>
        <w:tc>
          <w:tcPr>
            <w:tcW w:w="1623" w:type="dxa"/>
            <w:noWrap/>
            <w:tcMar>
              <w:left w:w="108" w:type="dxa"/>
              <w:right w:w="108" w:type="dxa"/>
            </w:tcMar>
            <w:vAlign w:val="center"/>
          </w:tcPr>
          <w:p w14:paraId="04B1D19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退还时间：</w:t>
            </w:r>
          </w:p>
        </w:tc>
        <w:tc>
          <w:tcPr>
            <w:tcW w:w="3280" w:type="dxa"/>
            <w:gridSpan w:val="3"/>
            <w:noWrap/>
            <w:tcMar>
              <w:left w:w="108" w:type="dxa"/>
              <w:right w:w="108" w:type="dxa"/>
            </w:tcMar>
            <w:vAlign w:val="center"/>
          </w:tcPr>
          <w:p w14:paraId="2BA6C998">
            <w:pPr>
              <w:ind w:firstLine="720" w:firstLineChars="3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年   月   日   时   分</w:t>
            </w:r>
          </w:p>
        </w:tc>
      </w:tr>
    </w:tbl>
    <w:p w14:paraId="7917F6F5">
      <w:pPr>
        <w:snapToGrid w:val="0"/>
        <w:spacing w:line="440" w:lineRule="exac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snapToGrid w:val="0"/>
          <w:color w:val="auto"/>
          <w:highlight w:val="none"/>
        </w:rPr>
        <w:br w:type="page"/>
      </w:r>
    </w:p>
    <w:p w14:paraId="0B71CE3D">
      <w:pPr>
        <w:pStyle w:val="40"/>
        <w:widowControl w:val="0"/>
        <w:wordWrap w:val="0"/>
        <w:adjustRightInd w:val="0"/>
        <w:snapToGrid w:val="0"/>
        <w:spacing w:line="360" w:lineRule="auto"/>
        <w:rPr>
          <w:rFonts w:hint="eastAsia" w:eastAsia="宋体"/>
          <w:snapToGrid w:val="0"/>
          <w:color w:val="auto"/>
          <w:sz w:val="21"/>
          <w:szCs w:val="28"/>
          <w:highlight w:val="none"/>
          <w:lang w:eastAsia="zh-CN"/>
        </w:rPr>
      </w:pPr>
      <w:bookmarkStart w:id="535" w:name="_Toc25100"/>
      <w:bookmarkStart w:id="536" w:name="_Toc11861"/>
      <w:r>
        <w:rPr>
          <w:rStyle w:val="65"/>
          <w:rFonts w:hint="eastAsia" w:ascii="宋体" w:hAnsi="宋体" w:eastAsia="宋体" w:cs="宋体"/>
          <w:b/>
          <w:bCs/>
          <w:color w:val="auto"/>
          <w:sz w:val="21"/>
          <w:szCs w:val="21"/>
          <w:highlight w:val="none"/>
        </w:rPr>
        <w:t>建造师查询页（有效期）</w:t>
      </w:r>
      <w:bookmarkEnd w:id="535"/>
      <w:bookmarkEnd w:id="536"/>
    </w:p>
    <w:p w14:paraId="5396A06D">
      <w:pPr>
        <w:pStyle w:val="54"/>
        <w:spacing w:line="440" w:lineRule="exact"/>
        <w:ind w:firstLine="0" w:firstLineChars="0"/>
        <w:rPr>
          <w:rFonts w:hint="eastAsia" w:asciiTheme="minorEastAsia" w:hAnsiTheme="minorEastAsia" w:eastAsiaTheme="minorEastAsia" w:cstheme="minorEastAsia"/>
          <w:color w:val="auto"/>
          <w:szCs w:val="32"/>
          <w:highlight w:val="none"/>
        </w:rPr>
      </w:pPr>
      <w:r>
        <w:rPr>
          <w:snapToGrid w:val="0"/>
          <w:color w:val="auto"/>
          <w:sz w:val="21"/>
          <w:highlight w:val="none"/>
        </w:rPr>
        <w:drawing>
          <wp:anchor distT="0" distB="0" distL="114300" distR="114300" simplePos="0" relativeHeight="251664384" behindDoc="0" locked="0" layoutInCell="1" allowOverlap="1">
            <wp:simplePos x="0" y="0"/>
            <wp:positionH relativeFrom="column">
              <wp:posOffset>165735</wp:posOffset>
            </wp:positionH>
            <wp:positionV relativeFrom="paragraph">
              <wp:posOffset>12700</wp:posOffset>
            </wp:positionV>
            <wp:extent cx="5767070" cy="8064500"/>
            <wp:effectExtent l="0" t="0" r="8890" b="12700"/>
            <wp:wrapNone/>
            <wp:docPr id="1" name="图片 1"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d7491b2f9802d8de0f2607fe015bb"/>
                    <pic:cNvPicPr>
                      <a:picLocks noChangeAspect="1"/>
                    </pic:cNvPicPr>
                  </pic:nvPicPr>
                  <pic:blipFill>
                    <a:blip r:embed="rId12"/>
                    <a:stretch>
                      <a:fillRect/>
                    </a:stretch>
                  </pic:blipFill>
                  <pic:spPr>
                    <a:xfrm>
                      <a:off x="0" y="0"/>
                      <a:ext cx="5767070" cy="8064500"/>
                    </a:xfrm>
                    <a:prstGeom prst="rect">
                      <a:avLst/>
                    </a:prstGeom>
                    <a:noFill/>
                    <a:ln>
                      <a:noFill/>
                    </a:ln>
                  </pic:spPr>
                </pic:pic>
              </a:graphicData>
            </a:graphic>
          </wp:anchor>
        </w:drawing>
      </w:r>
    </w:p>
    <w:p w14:paraId="2B3AE299">
      <w:pPr>
        <w:pStyle w:val="3"/>
        <w:jc w:val="center"/>
        <w:rPr>
          <w:rFonts w:hint="eastAsia" w:asciiTheme="minorEastAsia" w:hAnsiTheme="minorEastAsia" w:eastAsiaTheme="minorEastAsia" w:cstheme="minorEastAsia"/>
          <w:b/>
          <w:color w:val="auto"/>
          <w:kern w:val="44"/>
          <w:sz w:val="36"/>
          <w:szCs w:val="36"/>
          <w:highlight w:val="none"/>
        </w:rPr>
      </w:pPr>
      <w:bookmarkStart w:id="537" w:name="_Toc466640622"/>
      <w:bookmarkStart w:id="538" w:name="_Toc11532"/>
      <w:bookmarkStart w:id="539" w:name="_Toc420"/>
      <w:bookmarkStart w:id="540" w:name="_Toc19434"/>
      <w:bookmarkStart w:id="541" w:name="_Toc9802"/>
      <w:bookmarkStart w:id="542" w:name="_Toc26594"/>
      <w:bookmarkStart w:id="543" w:name="_Toc13641"/>
      <w:bookmarkStart w:id="544" w:name="_Toc3894"/>
      <w:bookmarkStart w:id="545" w:name="_Toc3242"/>
      <w:bookmarkStart w:id="546" w:name="_Toc1879"/>
    </w:p>
    <w:p w14:paraId="1D23B698">
      <w:pPr>
        <w:pStyle w:val="3"/>
        <w:jc w:val="center"/>
        <w:rPr>
          <w:rFonts w:hint="eastAsia" w:asciiTheme="minorEastAsia" w:hAnsiTheme="minorEastAsia" w:eastAsiaTheme="minorEastAsia" w:cstheme="minorEastAsia"/>
          <w:b/>
          <w:color w:val="auto"/>
          <w:kern w:val="44"/>
          <w:sz w:val="36"/>
          <w:szCs w:val="36"/>
          <w:highlight w:val="none"/>
        </w:rPr>
      </w:pPr>
    </w:p>
    <w:p w14:paraId="39F1D5A8">
      <w:pPr>
        <w:pStyle w:val="3"/>
        <w:jc w:val="center"/>
        <w:rPr>
          <w:rFonts w:hint="eastAsia" w:asciiTheme="minorEastAsia" w:hAnsiTheme="minorEastAsia" w:eastAsiaTheme="minorEastAsia" w:cstheme="minorEastAsia"/>
          <w:b/>
          <w:color w:val="auto"/>
          <w:kern w:val="44"/>
          <w:sz w:val="36"/>
          <w:szCs w:val="36"/>
          <w:highlight w:val="none"/>
        </w:rPr>
      </w:pPr>
    </w:p>
    <w:p w14:paraId="4F01E70D">
      <w:pPr>
        <w:pStyle w:val="3"/>
        <w:jc w:val="center"/>
        <w:rPr>
          <w:rFonts w:hint="eastAsia" w:asciiTheme="minorEastAsia" w:hAnsiTheme="minorEastAsia" w:eastAsiaTheme="minorEastAsia" w:cstheme="minorEastAsia"/>
          <w:b/>
          <w:color w:val="auto"/>
          <w:kern w:val="44"/>
          <w:sz w:val="36"/>
          <w:szCs w:val="36"/>
          <w:highlight w:val="none"/>
        </w:rPr>
      </w:pPr>
    </w:p>
    <w:p w14:paraId="2B36D63A">
      <w:pPr>
        <w:pStyle w:val="3"/>
        <w:jc w:val="center"/>
        <w:rPr>
          <w:rFonts w:hint="eastAsia" w:asciiTheme="minorEastAsia" w:hAnsiTheme="minorEastAsia" w:eastAsiaTheme="minorEastAsia" w:cstheme="minorEastAsia"/>
          <w:b/>
          <w:color w:val="auto"/>
          <w:kern w:val="44"/>
          <w:sz w:val="36"/>
          <w:szCs w:val="36"/>
          <w:highlight w:val="none"/>
        </w:rPr>
      </w:pPr>
    </w:p>
    <w:p w14:paraId="624985B8">
      <w:pPr>
        <w:pStyle w:val="3"/>
        <w:jc w:val="center"/>
        <w:rPr>
          <w:rFonts w:hint="eastAsia" w:asciiTheme="minorEastAsia" w:hAnsiTheme="minorEastAsia" w:eastAsiaTheme="minorEastAsia" w:cstheme="minorEastAsia"/>
          <w:b/>
          <w:color w:val="auto"/>
          <w:kern w:val="44"/>
          <w:sz w:val="36"/>
          <w:szCs w:val="36"/>
          <w:highlight w:val="none"/>
        </w:rPr>
      </w:pPr>
    </w:p>
    <w:p w14:paraId="678962F0">
      <w:pPr>
        <w:pStyle w:val="3"/>
        <w:jc w:val="center"/>
        <w:rPr>
          <w:rFonts w:hint="eastAsia" w:asciiTheme="minorEastAsia" w:hAnsiTheme="minorEastAsia" w:eastAsiaTheme="minorEastAsia" w:cstheme="minorEastAsia"/>
          <w:b/>
          <w:color w:val="auto"/>
          <w:kern w:val="44"/>
          <w:sz w:val="36"/>
          <w:szCs w:val="36"/>
          <w:highlight w:val="none"/>
        </w:rPr>
      </w:pPr>
    </w:p>
    <w:p w14:paraId="5FADEDA0">
      <w:pPr>
        <w:pStyle w:val="3"/>
        <w:jc w:val="center"/>
        <w:rPr>
          <w:rFonts w:hint="eastAsia" w:asciiTheme="minorEastAsia" w:hAnsiTheme="minorEastAsia" w:eastAsiaTheme="minorEastAsia" w:cstheme="minorEastAsia"/>
          <w:b/>
          <w:color w:val="auto"/>
          <w:kern w:val="44"/>
          <w:sz w:val="36"/>
          <w:szCs w:val="36"/>
          <w:highlight w:val="none"/>
        </w:rPr>
      </w:pPr>
    </w:p>
    <w:p w14:paraId="5D1AF787">
      <w:pPr>
        <w:pStyle w:val="3"/>
        <w:jc w:val="center"/>
        <w:rPr>
          <w:rFonts w:hint="eastAsia" w:asciiTheme="minorEastAsia" w:hAnsiTheme="minorEastAsia" w:eastAsiaTheme="minorEastAsia" w:cstheme="minorEastAsia"/>
          <w:b/>
          <w:color w:val="auto"/>
          <w:kern w:val="44"/>
          <w:sz w:val="36"/>
          <w:szCs w:val="36"/>
          <w:highlight w:val="none"/>
        </w:rPr>
      </w:pPr>
    </w:p>
    <w:p w14:paraId="22D8BEC3">
      <w:pPr>
        <w:pStyle w:val="3"/>
        <w:jc w:val="center"/>
        <w:rPr>
          <w:rFonts w:hint="eastAsia" w:asciiTheme="minorEastAsia" w:hAnsiTheme="minorEastAsia" w:eastAsiaTheme="minorEastAsia" w:cstheme="minorEastAsia"/>
          <w:b/>
          <w:color w:val="auto"/>
          <w:kern w:val="44"/>
          <w:sz w:val="36"/>
          <w:szCs w:val="36"/>
          <w:highlight w:val="none"/>
        </w:rPr>
      </w:pPr>
    </w:p>
    <w:p w14:paraId="2B01A5A0">
      <w:pPr>
        <w:pStyle w:val="3"/>
        <w:jc w:val="center"/>
        <w:rPr>
          <w:rFonts w:hint="eastAsia" w:asciiTheme="minorEastAsia" w:hAnsiTheme="minorEastAsia" w:eastAsiaTheme="minorEastAsia" w:cstheme="minorEastAsia"/>
          <w:b/>
          <w:color w:val="auto"/>
          <w:kern w:val="44"/>
          <w:sz w:val="36"/>
          <w:szCs w:val="36"/>
          <w:highlight w:val="none"/>
        </w:rPr>
      </w:pPr>
    </w:p>
    <w:p w14:paraId="1F8DD26D">
      <w:pPr>
        <w:pStyle w:val="3"/>
        <w:jc w:val="center"/>
        <w:rPr>
          <w:rFonts w:hint="eastAsia" w:asciiTheme="minorEastAsia" w:hAnsiTheme="minorEastAsia" w:eastAsiaTheme="minorEastAsia" w:cstheme="minorEastAsia"/>
          <w:b/>
          <w:color w:val="auto"/>
          <w:kern w:val="44"/>
          <w:sz w:val="36"/>
          <w:szCs w:val="36"/>
          <w:highlight w:val="none"/>
        </w:rPr>
      </w:pPr>
    </w:p>
    <w:p w14:paraId="17B3C696">
      <w:pPr>
        <w:pStyle w:val="3"/>
        <w:jc w:val="center"/>
        <w:rPr>
          <w:rFonts w:hint="eastAsia" w:asciiTheme="minorEastAsia" w:hAnsiTheme="minorEastAsia" w:eastAsiaTheme="minorEastAsia" w:cstheme="minorEastAsia"/>
          <w:b/>
          <w:color w:val="auto"/>
          <w:kern w:val="44"/>
          <w:sz w:val="36"/>
          <w:szCs w:val="36"/>
          <w:highlight w:val="none"/>
        </w:rPr>
      </w:pPr>
    </w:p>
    <w:p w14:paraId="4390D924">
      <w:pPr>
        <w:pStyle w:val="3"/>
        <w:jc w:val="center"/>
        <w:rPr>
          <w:rFonts w:hint="eastAsia" w:asciiTheme="minorEastAsia" w:hAnsiTheme="minorEastAsia" w:eastAsiaTheme="minorEastAsia" w:cstheme="minorEastAsia"/>
          <w:b/>
          <w:color w:val="auto"/>
          <w:kern w:val="44"/>
          <w:sz w:val="36"/>
          <w:szCs w:val="36"/>
          <w:highlight w:val="none"/>
        </w:rPr>
      </w:pPr>
    </w:p>
    <w:p w14:paraId="37B77FA7">
      <w:pPr>
        <w:pStyle w:val="3"/>
        <w:jc w:val="center"/>
        <w:rPr>
          <w:rFonts w:hint="eastAsia" w:asciiTheme="minorEastAsia" w:hAnsiTheme="minorEastAsia" w:eastAsiaTheme="minorEastAsia" w:cstheme="minorEastAsia"/>
          <w:b/>
          <w:color w:val="auto"/>
          <w:kern w:val="44"/>
          <w:sz w:val="36"/>
          <w:szCs w:val="36"/>
          <w:highlight w:val="none"/>
        </w:rPr>
      </w:pPr>
    </w:p>
    <w:p w14:paraId="4A9879F3">
      <w:pPr>
        <w:pStyle w:val="3"/>
        <w:jc w:val="center"/>
        <w:rPr>
          <w:rFonts w:hint="eastAsia" w:asciiTheme="minorEastAsia" w:hAnsiTheme="minorEastAsia" w:eastAsiaTheme="minorEastAsia" w:cstheme="minorEastAsia"/>
          <w:b/>
          <w:color w:val="auto"/>
          <w:kern w:val="44"/>
          <w:sz w:val="36"/>
          <w:szCs w:val="36"/>
          <w:highlight w:val="none"/>
        </w:rPr>
      </w:pPr>
    </w:p>
    <w:p w14:paraId="085D53CA">
      <w:pPr>
        <w:pStyle w:val="3"/>
        <w:jc w:val="center"/>
        <w:rPr>
          <w:rFonts w:hint="eastAsia" w:asciiTheme="minorEastAsia" w:hAnsiTheme="minorEastAsia" w:eastAsiaTheme="minorEastAsia" w:cstheme="minorEastAsia"/>
          <w:b/>
          <w:color w:val="auto"/>
          <w:kern w:val="44"/>
          <w:sz w:val="36"/>
          <w:szCs w:val="36"/>
          <w:highlight w:val="none"/>
        </w:rPr>
      </w:pPr>
    </w:p>
    <w:p w14:paraId="577047F0">
      <w:pPr>
        <w:pStyle w:val="3"/>
        <w:jc w:val="center"/>
        <w:rPr>
          <w:rFonts w:hint="eastAsia" w:asciiTheme="minorEastAsia" w:hAnsiTheme="minorEastAsia" w:eastAsiaTheme="minorEastAsia" w:cstheme="minorEastAsia"/>
          <w:b/>
          <w:color w:val="auto"/>
          <w:kern w:val="44"/>
          <w:sz w:val="36"/>
          <w:szCs w:val="36"/>
          <w:highlight w:val="none"/>
        </w:rPr>
      </w:pPr>
    </w:p>
    <w:p w14:paraId="3A5035CF">
      <w:pPr>
        <w:pStyle w:val="3"/>
        <w:jc w:val="center"/>
        <w:rPr>
          <w:rFonts w:hint="eastAsia" w:asciiTheme="minorEastAsia" w:hAnsiTheme="minorEastAsia" w:eastAsiaTheme="minorEastAsia" w:cstheme="minorEastAsia"/>
          <w:b/>
          <w:color w:val="auto"/>
          <w:kern w:val="44"/>
          <w:sz w:val="36"/>
          <w:szCs w:val="36"/>
          <w:highlight w:val="none"/>
        </w:rPr>
      </w:pPr>
    </w:p>
    <w:p w14:paraId="7E6B4C9D">
      <w:pPr>
        <w:pStyle w:val="3"/>
        <w:jc w:val="center"/>
        <w:rPr>
          <w:rFonts w:hint="eastAsia" w:asciiTheme="minorEastAsia" w:hAnsiTheme="minorEastAsia" w:eastAsiaTheme="minorEastAsia" w:cstheme="minorEastAsia"/>
          <w:b/>
          <w:color w:val="auto"/>
          <w:kern w:val="44"/>
          <w:sz w:val="36"/>
          <w:szCs w:val="36"/>
          <w:highlight w:val="none"/>
        </w:rPr>
      </w:pPr>
    </w:p>
    <w:p w14:paraId="22B9C93E">
      <w:pPr>
        <w:pStyle w:val="3"/>
        <w:jc w:val="center"/>
        <w:rPr>
          <w:rFonts w:hint="eastAsia" w:asciiTheme="minorEastAsia" w:hAnsiTheme="minorEastAsia" w:eastAsiaTheme="minorEastAsia" w:cstheme="minorEastAsia"/>
          <w:b/>
          <w:color w:val="auto"/>
          <w:kern w:val="44"/>
          <w:sz w:val="36"/>
          <w:szCs w:val="36"/>
          <w:highlight w:val="none"/>
        </w:rPr>
      </w:pPr>
    </w:p>
    <w:p w14:paraId="7592BF6F">
      <w:pPr>
        <w:pStyle w:val="3"/>
        <w:jc w:val="center"/>
        <w:rPr>
          <w:rFonts w:hint="eastAsia" w:asciiTheme="minorEastAsia" w:hAnsiTheme="minorEastAsia" w:eastAsiaTheme="minorEastAsia" w:cstheme="minorEastAsia"/>
          <w:b/>
          <w:color w:val="auto"/>
          <w:kern w:val="44"/>
          <w:sz w:val="36"/>
          <w:szCs w:val="36"/>
          <w:highlight w:val="none"/>
        </w:rPr>
      </w:pPr>
    </w:p>
    <w:p w14:paraId="22DDD17E">
      <w:pPr>
        <w:pStyle w:val="3"/>
        <w:jc w:val="center"/>
        <w:rPr>
          <w:rFonts w:hint="eastAsia" w:asciiTheme="minorEastAsia" w:hAnsiTheme="minorEastAsia" w:eastAsiaTheme="minorEastAsia" w:cstheme="minorEastAsia"/>
          <w:b/>
          <w:color w:val="auto"/>
          <w:kern w:val="44"/>
          <w:sz w:val="36"/>
          <w:szCs w:val="36"/>
          <w:highlight w:val="none"/>
        </w:rPr>
      </w:pPr>
    </w:p>
    <w:p w14:paraId="19AD120D">
      <w:pPr>
        <w:pStyle w:val="3"/>
        <w:jc w:val="center"/>
        <w:rPr>
          <w:rFonts w:hint="eastAsia" w:asciiTheme="minorEastAsia" w:hAnsiTheme="minorEastAsia" w:eastAsiaTheme="minorEastAsia" w:cstheme="minorEastAsia"/>
          <w:b/>
          <w:color w:val="auto"/>
          <w:kern w:val="44"/>
          <w:sz w:val="36"/>
          <w:szCs w:val="36"/>
          <w:highlight w:val="none"/>
        </w:rPr>
      </w:pPr>
    </w:p>
    <w:p w14:paraId="2DB7B8F0">
      <w:pPr>
        <w:pStyle w:val="3"/>
        <w:jc w:val="center"/>
        <w:rPr>
          <w:rFonts w:hint="eastAsia" w:asciiTheme="minorEastAsia" w:hAnsiTheme="minorEastAsia" w:eastAsiaTheme="minorEastAsia" w:cstheme="minorEastAsia"/>
          <w:b/>
          <w:color w:val="auto"/>
          <w:kern w:val="44"/>
          <w:sz w:val="36"/>
          <w:szCs w:val="36"/>
          <w:highlight w:val="none"/>
        </w:rPr>
      </w:pPr>
    </w:p>
    <w:p w14:paraId="23DA9194">
      <w:pPr>
        <w:pStyle w:val="3"/>
        <w:jc w:val="center"/>
        <w:rPr>
          <w:rFonts w:hint="eastAsia" w:asciiTheme="minorEastAsia" w:hAnsiTheme="minorEastAsia" w:eastAsiaTheme="minorEastAsia" w:cstheme="minorEastAsia"/>
          <w:b/>
          <w:color w:val="auto"/>
          <w:kern w:val="44"/>
          <w:sz w:val="36"/>
          <w:szCs w:val="36"/>
          <w:highlight w:val="none"/>
        </w:rPr>
      </w:pPr>
    </w:p>
    <w:p w14:paraId="538D574A">
      <w:pPr>
        <w:pStyle w:val="3"/>
        <w:jc w:val="center"/>
        <w:rPr>
          <w:rFonts w:asciiTheme="minorEastAsia" w:hAnsiTheme="minorEastAsia" w:eastAsiaTheme="minorEastAsia" w:cstheme="minorEastAsia"/>
          <w:b/>
          <w:color w:val="auto"/>
          <w:kern w:val="44"/>
          <w:szCs w:val="30"/>
          <w:highlight w:val="none"/>
        </w:rPr>
      </w:pPr>
      <w:bookmarkStart w:id="547" w:name="_Toc9816"/>
      <w:bookmarkStart w:id="548" w:name="_Toc26638"/>
      <w:bookmarkStart w:id="549" w:name="_Toc8121"/>
      <w:bookmarkStart w:id="550" w:name="_Toc26622"/>
      <w:bookmarkStart w:id="551" w:name="_Toc6918"/>
      <w:bookmarkStart w:id="552" w:name="_Toc22541"/>
      <w:bookmarkStart w:id="553" w:name="_Toc8821"/>
      <w:bookmarkStart w:id="554" w:name="_Toc23446"/>
      <w:bookmarkStart w:id="555" w:name="_Toc23943"/>
    </w:p>
    <w:p w14:paraId="4ED7D67F">
      <w:pPr>
        <w:pStyle w:val="3"/>
        <w:jc w:val="center"/>
        <w:rPr>
          <w:rFonts w:asciiTheme="minorEastAsia" w:hAnsiTheme="minorEastAsia" w:eastAsiaTheme="minorEastAsia" w:cstheme="minorEastAsia"/>
          <w:b/>
          <w:color w:val="auto"/>
          <w:kern w:val="44"/>
          <w:szCs w:val="30"/>
          <w:highlight w:val="none"/>
        </w:rPr>
      </w:pPr>
    </w:p>
    <w:p w14:paraId="0FFA1B91">
      <w:pPr>
        <w:pStyle w:val="3"/>
        <w:jc w:val="center"/>
        <w:rPr>
          <w:rFonts w:asciiTheme="minorEastAsia" w:hAnsiTheme="minorEastAsia" w:eastAsiaTheme="minorEastAsia" w:cstheme="minorEastAsia"/>
          <w:b/>
          <w:color w:val="auto"/>
          <w:kern w:val="44"/>
          <w:szCs w:val="30"/>
          <w:highlight w:val="none"/>
        </w:rPr>
      </w:pPr>
    </w:p>
    <w:p w14:paraId="3C6E7D95">
      <w:pPr>
        <w:pStyle w:val="3"/>
        <w:jc w:val="center"/>
        <w:rPr>
          <w:rFonts w:hint="default" w:asciiTheme="minorEastAsia" w:hAnsiTheme="minorEastAsia" w:eastAsiaTheme="minorEastAsia" w:cstheme="minorEastAsia"/>
          <w:b/>
          <w:color w:val="auto"/>
          <w:kern w:val="44"/>
          <w:szCs w:val="30"/>
          <w:highlight w:val="none"/>
        </w:rPr>
      </w:pPr>
      <w:bookmarkStart w:id="556" w:name="_Toc12766"/>
      <w:r>
        <w:rPr>
          <w:rFonts w:asciiTheme="minorEastAsia" w:hAnsiTheme="minorEastAsia" w:eastAsiaTheme="minorEastAsia" w:cstheme="minorEastAsia"/>
          <w:b/>
          <w:color w:val="auto"/>
          <w:kern w:val="44"/>
          <w:szCs w:val="30"/>
          <w:highlight w:val="none"/>
        </w:rPr>
        <w:t>第</w:t>
      </w:r>
      <w:r>
        <w:rPr>
          <w:rFonts w:hint="eastAsia" w:asciiTheme="minorEastAsia" w:hAnsiTheme="minorEastAsia" w:eastAsiaTheme="minorEastAsia" w:cstheme="minorEastAsia"/>
          <w:b/>
          <w:color w:val="auto"/>
          <w:kern w:val="44"/>
          <w:szCs w:val="30"/>
          <w:highlight w:val="none"/>
          <w:lang w:eastAsia="zh-CN"/>
        </w:rPr>
        <w:t>六</w:t>
      </w:r>
      <w:r>
        <w:rPr>
          <w:rFonts w:asciiTheme="minorEastAsia" w:hAnsiTheme="minorEastAsia" w:eastAsiaTheme="minorEastAsia" w:cstheme="minorEastAsia"/>
          <w:b/>
          <w:color w:val="auto"/>
          <w:kern w:val="44"/>
          <w:szCs w:val="30"/>
          <w:highlight w:val="none"/>
        </w:rPr>
        <w:t>章  廉政合同、预付款保函、支付保函</w:t>
      </w:r>
      <w:bookmarkEnd w:id="547"/>
      <w:bookmarkEnd w:id="548"/>
      <w:bookmarkEnd w:id="549"/>
      <w:bookmarkEnd w:id="550"/>
      <w:bookmarkEnd w:id="551"/>
      <w:bookmarkEnd w:id="552"/>
      <w:bookmarkEnd w:id="553"/>
      <w:bookmarkEnd w:id="554"/>
      <w:bookmarkEnd w:id="555"/>
      <w:bookmarkEnd w:id="556"/>
    </w:p>
    <w:p w14:paraId="3BD3114B">
      <w:pPr>
        <w:rPr>
          <w:rFonts w:hint="default" w:asciiTheme="minorEastAsia" w:hAnsiTheme="minorEastAsia" w:eastAsiaTheme="minorEastAsia" w:cstheme="minorEastAsia"/>
          <w:color w:val="auto"/>
          <w:highlight w:val="none"/>
        </w:rPr>
      </w:pPr>
    </w:p>
    <w:p w14:paraId="3201D991">
      <w:pPr>
        <w:pStyle w:val="5"/>
        <w:ind w:left="4511" w:leftChars="174" w:hanging="4093" w:hangingChars="1274"/>
        <w:jc w:val="center"/>
        <w:rPr>
          <w:rFonts w:asciiTheme="minorEastAsia" w:hAnsiTheme="minorEastAsia" w:eastAsiaTheme="minorEastAsia" w:cstheme="minorEastAsia"/>
          <w:bCs/>
          <w:color w:val="auto"/>
          <w:sz w:val="32"/>
          <w:szCs w:val="32"/>
          <w:highlight w:val="none"/>
        </w:rPr>
      </w:pPr>
      <w:bookmarkStart w:id="557" w:name="_Toc2994"/>
      <w:bookmarkStart w:id="558" w:name="_Toc5845"/>
      <w:bookmarkStart w:id="559" w:name="_Toc29713"/>
      <w:bookmarkStart w:id="560" w:name="_Toc16029"/>
      <w:bookmarkStart w:id="561" w:name="_Toc10193"/>
      <w:bookmarkStart w:id="562" w:name="_Toc30503"/>
      <w:bookmarkStart w:id="563" w:name="_Toc20232"/>
      <w:bookmarkStart w:id="564" w:name="_Toc32046"/>
      <w:bookmarkStart w:id="565" w:name="_Toc10603"/>
      <w:bookmarkStart w:id="566" w:name="_Toc5870"/>
      <w:bookmarkStart w:id="567" w:name="_Toc25938"/>
      <w:bookmarkStart w:id="568" w:name="_Toc2352"/>
      <w:r>
        <w:rPr>
          <w:rFonts w:hint="eastAsia" w:asciiTheme="minorEastAsia" w:hAnsiTheme="minorEastAsia" w:eastAsiaTheme="minorEastAsia" w:cstheme="minorEastAsia"/>
          <w:bCs/>
          <w:color w:val="auto"/>
          <w:sz w:val="32"/>
          <w:szCs w:val="32"/>
          <w:highlight w:val="none"/>
        </w:rPr>
        <w:t>廉政合同</w:t>
      </w:r>
      <w:bookmarkEnd w:id="557"/>
      <w:bookmarkEnd w:id="558"/>
      <w:bookmarkEnd w:id="559"/>
      <w:bookmarkEnd w:id="560"/>
      <w:bookmarkEnd w:id="561"/>
      <w:bookmarkEnd w:id="562"/>
      <w:bookmarkEnd w:id="563"/>
      <w:bookmarkEnd w:id="564"/>
      <w:bookmarkEnd w:id="565"/>
      <w:bookmarkEnd w:id="566"/>
      <w:bookmarkEnd w:id="567"/>
      <w:bookmarkEnd w:id="568"/>
    </w:p>
    <w:p w14:paraId="735EE423">
      <w:pPr>
        <w:tabs>
          <w:tab w:val="left" w:pos="9100"/>
        </w:tabs>
        <w:autoSpaceDE w:val="0"/>
        <w:autoSpaceDN w:val="0"/>
        <w:adjustRightInd w:val="0"/>
        <w:spacing w:line="460" w:lineRule="atLeast"/>
        <w:ind w:left="101" w:right="101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招标人：（全称）</w:t>
      </w:r>
      <w:r>
        <w:rPr>
          <w:rFonts w:asciiTheme="minorEastAsia" w:hAnsiTheme="minorEastAsia" w:eastAsiaTheme="minorEastAsia" w:cstheme="minorEastAsia"/>
          <w:color w:val="auto"/>
          <w:kern w:val="0"/>
          <w:highlight w:val="none"/>
          <w:u w:val="single"/>
        </w:rPr>
        <w:tab/>
      </w:r>
    </w:p>
    <w:p w14:paraId="5F3AF1F5">
      <w:pPr>
        <w:tabs>
          <w:tab w:val="left" w:pos="9100"/>
        </w:tabs>
        <w:autoSpaceDE w:val="0"/>
        <w:autoSpaceDN w:val="0"/>
        <w:adjustRightInd w:val="0"/>
        <w:spacing w:line="460" w:lineRule="atLeast"/>
        <w:ind w:left="101" w:right="101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中标人：（全称）</w:t>
      </w:r>
      <w:r>
        <w:rPr>
          <w:rFonts w:asciiTheme="minorEastAsia" w:hAnsiTheme="minorEastAsia" w:eastAsiaTheme="minorEastAsia" w:cstheme="minorEastAsia"/>
          <w:color w:val="auto"/>
          <w:kern w:val="0"/>
          <w:highlight w:val="none"/>
          <w:u w:val="single"/>
        </w:rPr>
        <w:tab/>
      </w:r>
    </w:p>
    <w:p w14:paraId="3610978B">
      <w:pPr>
        <w:autoSpaceDE w:val="0"/>
        <w:autoSpaceDN w:val="0"/>
        <w:adjustRightInd w:val="0"/>
        <w:spacing w:before="6" w:line="150" w:lineRule="exact"/>
        <w:jc w:val="left"/>
        <w:rPr>
          <w:rFonts w:hint="default" w:asciiTheme="minorEastAsia" w:hAnsiTheme="minorEastAsia" w:eastAsiaTheme="minorEastAsia" w:cstheme="minorEastAsia"/>
          <w:color w:val="auto"/>
          <w:kern w:val="0"/>
          <w:szCs w:val="15"/>
          <w:highlight w:val="none"/>
        </w:rPr>
      </w:pPr>
    </w:p>
    <w:p w14:paraId="45196651">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39C2EBE8">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3540DE5C">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position w:val="-3"/>
          <w:highlight w:val="none"/>
        </w:rPr>
        <w:t>根据国家、省有关廉政建设的规定，为做好合同工程的廉政建设，保证工程质量与施工安</w:t>
      </w:r>
      <w:r>
        <w:rPr>
          <w:rFonts w:asciiTheme="minorEastAsia" w:hAnsiTheme="minorEastAsia" w:eastAsiaTheme="minorEastAsia" w:cstheme="minorEastAsia"/>
          <w:color w:val="auto"/>
          <w:kern w:val="0"/>
          <w:highlight w:val="none"/>
        </w:rPr>
        <w:t>全，提高建设资金的有效使用和投资效益，合同双方当事人就加强合同工程的廉政建设，订立本合同。</w:t>
      </w:r>
    </w:p>
    <w:p w14:paraId="76769071">
      <w:pPr>
        <w:autoSpaceDE w:val="0"/>
        <w:autoSpaceDN w:val="0"/>
        <w:adjustRightInd w:val="0"/>
        <w:spacing w:line="360" w:lineRule="auto"/>
        <w:ind w:firstLine="482" w:firstLineChars="200"/>
        <w:jc w:val="left"/>
        <w:rPr>
          <w:rFonts w:hint="default" w:asciiTheme="minorEastAsia" w:hAnsiTheme="minorEastAsia" w:eastAsiaTheme="minorEastAsia" w:cstheme="minorEastAsia"/>
          <w:b/>
          <w:bCs/>
          <w:color w:val="auto"/>
          <w:spacing w:val="1"/>
          <w:kern w:val="0"/>
          <w:szCs w:val="28"/>
          <w:highlight w:val="none"/>
        </w:rPr>
      </w:pPr>
      <w:r>
        <w:rPr>
          <w:rFonts w:asciiTheme="minorEastAsia" w:hAnsiTheme="minorEastAsia" w:eastAsiaTheme="minorEastAsia" w:cstheme="minorEastAsia"/>
          <w:b/>
          <w:bCs/>
          <w:color w:val="auto"/>
          <w:kern w:val="0"/>
          <w:szCs w:val="28"/>
          <w:highlight w:val="none"/>
        </w:rPr>
        <w:t>1</w:t>
      </w:r>
      <w:r>
        <w:rPr>
          <w:rFonts w:asciiTheme="minorEastAsia" w:hAnsiTheme="minorEastAsia" w:eastAsiaTheme="minorEastAsia" w:cstheme="minorEastAsia"/>
          <w:b/>
          <w:bCs/>
          <w:color w:val="auto"/>
          <w:kern w:val="0"/>
          <w:szCs w:val="28"/>
          <w:highlight w:val="none"/>
        </w:rPr>
        <w:tab/>
      </w:r>
      <w:r>
        <w:rPr>
          <w:rFonts w:asciiTheme="minorEastAsia" w:hAnsiTheme="minorEastAsia" w:eastAsiaTheme="minorEastAsia" w:cstheme="minorEastAsia"/>
          <w:b/>
          <w:bCs/>
          <w:color w:val="auto"/>
          <w:spacing w:val="1"/>
          <w:kern w:val="0"/>
          <w:szCs w:val="28"/>
          <w:highlight w:val="none"/>
        </w:rPr>
        <w:t>双方权利和义务</w:t>
      </w:r>
    </w:p>
    <w:p w14:paraId="38B06935">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1.1</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严格遵守国家、省有关法律法规的规定。</w:t>
      </w:r>
    </w:p>
    <w:p w14:paraId="136B531F">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1.2</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严格执行合同工程一切合同文件，自觉按合同办事。</w:t>
      </w:r>
    </w:p>
    <w:p w14:paraId="573054E5">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1.3</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合同双方当事人的业务活动应坚持公平</w:t>
      </w:r>
      <w:r>
        <w:rPr>
          <w:rFonts w:asciiTheme="minorEastAsia" w:hAnsiTheme="minorEastAsia" w:eastAsiaTheme="minorEastAsia" w:cstheme="minorEastAsia"/>
          <w:color w:val="auto"/>
          <w:spacing w:val="-12"/>
          <w:kern w:val="0"/>
          <w:highlight w:val="none"/>
        </w:rPr>
        <w:t>、</w:t>
      </w:r>
      <w:r>
        <w:rPr>
          <w:rFonts w:asciiTheme="minorEastAsia" w:hAnsiTheme="minorEastAsia" w:eastAsiaTheme="minorEastAsia" w:cstheme="minorEastAsia"/>
          <w:color w:val="auto"/>
          <w:kern w:val="0"/>
          <w:highlight w:val="none"/>
        </w:rPr>
        <w:t>公开</w:t>
      </w:r>
      <w:r>
        <w:rPr>
          <w:rFonts w:asciiTheme="minorEastAsia" w:hAnsiTheme="minorEastAsia" w:eastAsiaTheme="minorEastAsia" w:cstheme="minorEastAsia"/>
          <w:color w:val="auto"/>
          <w:spacing w:val="-12"/>
          <w:kern w:val="0"/>
          <w:highlight w:val="none"/>
        </w:rPr>
        <w:t>、</w:t>
      </w:r>
      <w:r>
        <w:rPr>
          <w:rFonts w:asciiTheme="minorEastAsia" w:hAnsiTheme="minorEastAsia" w:eastAsiaTheme="minorEastAsia" w:cstheme="minorEastAsia"/>
          <w:color w:val="auto"/>
          <w:kern w:val="0"/>
          <w:highlight w:val="none"/>
        </w:rPr>
        <w:t>公正和诚信的原</w:t>
      </w:r>
      <w:r>
        <w:rPr>
          <w:rFonts w:asciiTheme="minorEastAsia" w:hAnsiTheme="minorEastAsia" w:eastAsiaTheme="minorEastAsia" w:cstheme="minorEastAsia"/>
          <w:color w:val="auto"/>
          <w:spacing w:val="-12"/>
          <w:kern w:val="0"/>
          <w:highlight w:val="none"/>
        </w:rPr>
        <w:t>则</w:t>
      </w:r>
      <w:r>
        <w:rPr>
          <w:rFonts w:asciiTheme="minorEastAsia" w:hAnsiTheme="minorEastAsia" w:eastAsiaTheme="minorEastAsia" w:cstheme="minorEastAsia"/>
          <w:color w:val="auto"/>
          <w:kern w:val="0"/>
          <w:highlight w:val="none"/>
        </w:rPr>
        <w:t>（法律认定的商业 秘密和合同文件另有规定除外</w:t>
      </w:r>
      <w:r>
        <w:rPr>
          <w:rFonts w:asciiTheme="minorEastAsia" w:hAnsiTheme="minorEastAsia" w:eastAsiaTheme="minorEastAsia" w:cstheme="minorEastAsia"/>
          <w:color w:val="auto"/>
          <w:spacing w:val="-120"/>
          <w:kern w:val="0"/>
          <w:highlight w:val="none"/>
        </w:rPr>
        <w:t>）</w:t>
      </w:r>
      <w:r>
        <w:rPr>
          <w:rFonts w:asciiTheme="minorEastAsia" w:hAnsiTheme="minorEastAsia" w:eastAsiaTheme="minorEastAsia" w:cstheme="minorEastAsia"/>
          <w:color w:val="auto"/>
          <w:kern w:val="0"/>
          <w:highlight w:val="none"/>
        </w:rPr>
        <w:t>，不得损害国家和集体利益，不得违反工程建设管理规章制度。</w:t>
      </w:r>
    </w:p>
    <w:p w14:paraId="244FC500">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1.4</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建立健全廉政制度</w:t>
      </w:r>
      <w:r>
        <w:rPr>
          <w:rFonts w:asciiTheme="minorEastAsia" w:hAnsiTheme="minorEastAsia" w:eastAsiaTheme="minorEastAsia" w:cstheme="minorEastAsia"/>
          <w:color w:val="auto"/>
          <w:spacing w:val="-10"/>
          <w:kern w:val="0"/>
          <w:highlight w:val="none"/>
        </w:rPr>
        <w:t>，</w:t>
      </w:r>
      <w:r>
        <w:rPr>
          <w:rFonts w:asciiTheme="minorEastAsia" w:hAnsiTheme="minorEastAsia" w:eastAsiaTheme="minorEastAsia" w:cstheme="minorEastAsia"/>
          <w:color w:val="auto"/>
          <w:kern w:val="0"/>
          <w:highlight w:val="none"/>
        </w:rPr>
        <w:t>开展廉政教育</w:t>
      </w:r>
      <w:r>
        <w:rPr>
          <w:rFonts w:asciiTheme="minorEastAsia" w:hAnsiTheme="minorEastAsia" w:eastAsiaTheme="minorEastAsia" w:cstheme="minorEastAsia"/>
          <w:color w:val="auto"/>
          <w:spacing w:val="-8"/>
          <w:kern w:val="0"/>
          <w:highlight w:val="none"/>
        </w:rPr>
        <w:t>，</w:t>
      </w:r>
      <w:r>
        <w:rPr>
          <w:rFonts w:asciiTheme="minorEastAsia" w:hAnsiTheme="minorEastAsia" w:eastAsiaTheme="minorEastAsia" w:cstheme="minorEastAsia"/>
          <w:color w:val="auto"/>
          <w:kern w:val="0"/>
          <w:highlight w:val="none"/>
        </w:rPr>
        <w:t>设立廉政告示牌</w:t>
      </w:r>
      <w:r>
        <w:rPr>
          <w:rFonts w:asciiTheme="minorEastAsia" w:hAnsiTheme="minorEastAsia" w:eastAsiaTheme="minorEastAsia" w:cstheme="minorEastAsia"/>
          <w:color w:val="auto"/>
          <w:spacing w:val="-8"/>
          <w:kern w:val="0"/>
          <w:highlight w:val="none"/>
        </w:rPr>
        <w:t>，</w:t>
      </w:r>
      <w:r>
        <w:rPr>
          <w:rFonts w:asciiTheme="minorEastAsia" w:hAnsiTheme="minorEastAsia" w:eastAsiaTheme="minorEastAsia" w:cstheme="minorEastAsia"/>
          <w:color w:val="auto"/>
          <w:kern w:val="0"/>
          <w:highlight w:val="none"/>
        </w:rPr>
        <w:t>公布举报电话</w:t>
      </w:r>
      <w:r>
        <w:rPr>
          <w:rFonts w:asciiTheme="minorEastAsia" w:hAnsiTheme="minorEastAsia" w:eastAsiaTheme="minorEastAsia" w:cstheme="minorEastAsia"/>
          <w:color w:val="auto"/>
          <w:spacing w:val="-8"/>
          <w:kern w:val="0"/>
          <w:highlight w:val="none"/>
        </w:rPr>
        <w:t>，</w:t>
      </w:r>
      <w:r>
        <w:rPr>
          <w:rFonts w:asciiTheme="minorEastAsia" w:hAnsiTheme="minorEastAsia" w:eastAsiaTheme="minorEastAsia" w:cstheme="minorEastAsia"/>
          <w:color w:val="auto"/>
          <w:kern w:val="0"/>
          <w:highlight w:val="none"/>
        </w:rPr>
        <w:t>监督并认真查 处违法违纪行为。</w:t>
      </w:r>
    </w:p>
    <w:p w14:paraId="59301082">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1.5</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发现对方在业务活动中有违反廉政建设规定的行为，应及时给予提醒和纠正。</w:t>
      </w:r>
    </w:p>
    <w:p w14:paraId="0A00460C">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1.6</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发现对方严重违反合同的行为</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有向其上级部门举报</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建议给予处理并要求告知处理 结果的权利。没有上级部门的，可按本合同第二部分《通用条款》第87 条规定处理。</w:t>
      </w:r>
    </w:p>
    <w:p w14:paraId="62124805">
      <w:pPr>
        <w:autoSpaceDE w:val="0"/>
        <w:autoSpaceDN w:val="0"/>
        <w:adjustRightInd w:val="0"/>
        <w:spacing w:line="360" w:lineRule="auto"/>
        <w:ind w:firstLine="482" w:firstLineChars="200"/>
        <w:jc w:val="left"/>
        <w:rPr>
          <w:rFonts w:hint="default" w:asciiTheme="minorEastAsia" w:hAnsiTheme="minorEastAsia" w:eastAsiaTheme="minorEastAsia" w:cstheme="minorEastAsia"/>
          <w:b/>
          <w:bCs/>
          <w:color w:val="auto"/>
          <w:spacing w:val="1"/>
          <w:kern w:val="0"/>
          <w:szCs w:val="28"/>
          <w:highlight w:val="none"/>
        </w:rPr>
      </w:pPr>
      <w:r>
        <w:rPr>
          <w:rFonts w:asciiTheme="minorEastAsia" w:hAnsiTheme="minorEastAsia" w:eastAsiaTheme="minorEastAsia" w:cstheme="minorEastAsia"/>
          <w:b/>
          <w:bCs/>
          <w:color w:val="auto"/>
          <w:kern w:val="0"/>
          <w:szCs w:val="28"/>
          <w:highlight w:val="none"/>
        </w:rPr>
        <w:t>2</w:t>
      </w:r>
      <w:r>
        <w:rPr>
          <w:rFonts w:asciiTheme="minorEastAsia" w:hAnsiTheme="minorEastAsia" w:eastAsiaTheme="minorEastAsia" w:cstheme="minorEastAsia"/>
          <w:b/>
          <w:bCs/>
          <w:color w:val="auto"/>
          <w:kern w:val="0"/>
          <w:szCs w:val="28"/>
          <w:highlight w:val="none"/>
        </w:rPr>
        <w:tab/>
      </w:r>
      <w:r>
        <w:rPr>
          <w:rFonts w:asciiTheme="minorEastAsia" w:hAnsiTheme="minorEastAsia" w:eastAsiaTheme="minorEastAsia" w:cstheme="minorEastAsia"/>
          <w:b/>
          <w:bCs/>
          <w:color w:val="auto"/>
          <w:spacing w:val="1"/>
          <w:kern w:val="0"/>
          <w:szCs w:val="28"/>
          <w:highlight w:val="none"/>
        </w:rPr>
        <w:t>招标人义务</w:t>
      </w:r>
    </w:p>
    <w:p w14:paraId="490E1C20">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2.1</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招标人及其工作人员不得索取或接受中标人的礼金</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有价证券和贵重物品</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不得在承 包人报销任何应由招标人或其工作人员个人支付的费用。</w:t>
      </w:r>
    </w:p>
    <w:p w14:paraId="56955487">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2.2</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招标人及其工作人员不得参加中标人安排的宴</w:t>
      </w:r>
      <w:r>
        <w:rPr>
          <w:rFonts w:asciiTheme="minorEastAsia" w:hAnsiTheme="minorEastAsia" w:eastAsiaTheme="minorEastAsia" w:cstheme="minorEastAsia"/>
          <w:color w:val="auto"/>
          <w:spacing w:val="-12"/>
          <w:kern w:val="0"/>
          <w:highlight w:val="none"/>
        </w:rPr>
        <w:t>请</w:t>
      </w:r>
      <w:r>
        <w:rPr>
          <w:rFonts w:asciiTheme="minorEastAsia" w:hAnsiTheme="minorEastAsia" w:eastAsiaTheme="minorEastAsia" w:cstheme="minorEastAsia"/>
          <w:color w:val="auto"/>
          <w:kern w:val="0"/>
          <w:highlight w:val="none"/>
        </w:rPr>
        <w:t>（工作餐除外</w:t>
      </w:r>
      <w:r>
        <w:rPr>
          <w:rFonts w:asciiTheme="minorEastAsia" w:hAnsiTheme="minorEastAsia" w:eastAsiaTheme="minorEastAsia" w:cstheme="minorEastAsia"/>
          <w:color w:val="auto"/>
          <w:spacing w:val="-12"/>
          <w:kern w:val="0"/>
          <w:highlight w:val="none"/>
        </w:rPr>
        <w:t>）</w:t>
      </w:r>
      <w:r>
        <w:rPr>
          <w:rFonts w:asciiTheme="minorEastAsia" w:hAnsiTheme="minorEastAsia" w:eastAsiaTheme="minorEastAsia" w:cstheme="minorEastAsia"/>
          <w:color w:val="auto"/>
          <w:kern w:val="0"/>
          <w:highlight w:val="none"/>
        </w:rPr>
        <w:t>和娱乐活动</w:t>
      </w:r>
      <w:r>
        <w:rPr>
          <w:rFonts w:asciiTheme="minorEastAsia" w:hAnsiTheme="minorEastAsia" w:eastAsiaTheme="minorEastAsia" w:cstheme="minorEastAsia"/>
          <w:color w:val="auto"/>
          <w:spacing w:val="-12"/>
          <w:kern w:val="0"/>
          <w:highlight w:val="none"/>
        </w:rPr>
        <w:t>，</w:t>
      </w:r>
      <w:r>
        <w:rPr>
          <w:rFonts w:asciiTheme="minorEastAsia" w:hAnsiTheme="minorEastAsia" w:eastAsiaTheme="minorEastAsia" w:cstheme="minorEastAsia"/>
          <w:color w:val="auto"/>
          <w:kern w:val="0"/>
          <w:highlight w:val="none"/>
        </w:rPr>
        <w:t>不得接受中标人提供的通讯、交通工具和高档办公用品等物品。</w:t>
      </w:r>
    </w:p>
    <w:p w14:paraId="70963D14">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position w:val="-2"/>
          <w:highlight w:val="none"/>
        </w:rPr>
        <w:t>2.3</w:t>
      </w:r>
      <w:r>
        <w:rPr>
          <w:rFonts w:asciiTheme="minorEastAsia" w:hAnsiTheme="minorEastAsia" w:eastAsiaTheme="minorEastAsia" w:cstheme="minorEastAsia"/>
          <w:color w:val="auto"/>
          <w:kern w:val="0"/>
          <w:position w:val="-2"/>
          <w:highlight w:val="none"/>
        </w:rPr>
        <w:tab/>
      </w:r>
      <w:r>
        <w:rPr>
          <w:rFonts w:asciiTheme="minorEastAsia" w:hAnsiTheme="minorEastAsia" w:eastAsiaTheme="minorEastAsia" w:cstheme="minorEastAsia"/>
          <w:color w:val="auto"/>
          <w:kern w:val="0"/>
          <w:position w:val="-2"/>
          <w:highlight w:val="none"/>
        </w:rPr>
        <w:t>招标人及其工作人员不得要求或者接受中标人为其住房装修</w:t>
      </w:r>
      <w:r>
        <w:rPr>
          <w:rFonts w:asciiTheme="minorEastAsia" w:hAnsiTheme="minorEastAsia" w:eastAsiaTheme="minorEastAsia" w:cstheme="minorEastAsia"/>
          <w:color w:val="auto"/>
          <w:spacing w:val="-18"/>
          <w:kern w:val="0"/>
          <w:position w:val="-2"/>
          <w:highlight w:val="none"/>
        </w:rPr>
        <w:t>、</w:t>
      </w:r>
      <w:r>
        <w:rPr>
          <w:rFonts w:asciiTheme="minorEastAsia" w:hAnsiTheme="minorEastAsia" w:eastAsiaTheme="minorEastAsia" w:cstheme="minorEastAsia"/>
          <w:color w:val="auto"/>
          <w:kern w:val="0"/>
          <w:position w:val="-2"/>
          <w:highlight w:val="none"/>
        </w:rPr>
        <w:t>婚丧嫁娶活动</w:t>
      </w:r>
      <w:r>
        <w:rPr>
          <w:rFonts w:asciiTheme="minorEastAsia" w:hAnsiTheme="minorEastAsia" w:eastAsiaTheme="minorEastAsia" w:cstheme="minorEastAsia"/>
          <w:color w:val="auto"/>
          <w:spacing w:val="-18"/>
          <w:kern w:val="0"/>
          <w:position w:val="-2"/>
          <w:highlight w:val="none"/>
        </w:rPr>
        <w:t>、</w:t>
      </w:r>
      <w:r>
        <w:rPr>
          <w:rFonts w:asciiTheme="minorEastAsia" w:hAnsiTheme="minorEastAsia" w:eastAsiaTheme="minorEastAsia" w:cstheme="minorEastAsia"/>
          <w:color w:val="auto"/>
          <w:kern w:val="0"/>
          <w:position w:val="-2"/>
          <w:highlight w:val="none"/>
        </w:rPr>
        <w:t>配偶子</w:t>
      </w:r>
      <w:r>
        <w:rPr>
          <w:rFonts w:asciiTheme="minorEastAsia" w:hAnsiTheme="minorEastAsia" w:eastAsiaTheme="minorEastAsia" w:cstheme="minorEastAsia"/>
          <w:color w:val="auto"/>
          <w:kern w:val="0"/>
          <w:highlight w:val="none"/>
        </w:rPr>
        <w:t>女工作安排以及出国出境、旅游等提供方便。</w:t>
      </w:r>
    </w:p>
    <w:p w14:paraId="7AA090DB">
      <w:pPr>
        <w:autoSpaceDE w:val="0"/>
        <w:autoSpaceDN w:val="0"/>
        <w:adjustRightInd w:val="0"/>
        <w:spacing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 xml:space="preserve">2.4 </w:t>
      </w:r>
      <w:r>
        <w:rPr>
          <w:rFonts w:asciiTheme="minorEastAsia" w:hAnsiTheme="minorEastAsia" w:eastAsiaTheme="minorEastAsia" w:cstheme="minorEastAsia"/>
          <w:color w:val="auto"/>
          <w:spacing w:val="2"/>
          <w:kern w:val="0"/>
          <w:highlight w:val="none"/>
        </w:rPr>
        <w:t>招标人及其工作人员不得以任何理由向中标人推荐</w:t>
      </w:r>
      <w:r>
        <w:rPr>
          <w:rFonts w:asciiTheme="minorEastAsia" w:hAnsiTheme="minorEastAsia" w:eastAsiaTheme="minorEastAsia" w:cstheme="minorEastAsia"/>
          <w:color w:val="auto"/>
          <w:spacing w:val="1"/>
          <w:kern w:val="0"/>
          <w:highlight w:val="none"/>
        </w:rPr>
        <w:t>分</w:t>
      </w:r>
      <w:r>
        <w:rPr>
          <w:rFonts w:asciiTheme="minorEastAsia" w:hAnsiTheme="minorEastAsia" w:eastAsiaTheme="minorEastAsia" w:cstheme="minorEastAsia"/>
          <w:color w:val="auto"/>
          <w:spacing w:val="2"/>
          <w:kern w:val="0"/>
          <w:highlight w:val="none"/>
        </w:rPr>
        <w:t xml:space="preserve">包人、推销材料和工程设备，不 </w:t>
      </w:r>
      <w:r>
        <w:rPr>
          <w:rFonts w:asciiTheme="minorEastAsia" w:hAnsiTheme="minorEastAsia" w:eastAsiaTheme="minorEastAsia" w:cstheme="minorEastAsia"/>
          <w:color w:val="auto"/>
          <w:kern w:val="0"/>
          <w:highlight w:val="none"/>
        </w:rPr>
        <w:t>得要求中标人购买合同以外的材料和工程设备。</w:t>
      </w:r>
    </w:p>
    <w:p w14:paraId="02B7A8BF">
      <w:pPr>
        <w:autoSpaceDE w:val="0"/>
        <w:autoSpaceDN w:val="0"/>
        <w:adjustRightInd w:val="0"/>
        <w:spacing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2.5</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招标人及其工作人员要秉公办事</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不准营私舞弊</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不准利用职权私自为合同工程安排 施工队伍，也不得从事与合同工程有关的各种有偿中介活动。</w:t>
      </w:r>
    </w:p>
    <w:p w14:paraId="78F548E2">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 xml:space="preserve">2.6 </w:t>
      </w:r>
      <w:r>
        <w:rPr>
          <w:rFonts w:asciiTheme="minorEastAsia" w:hAnsiTheme="minorEastAsia" w:eastAsiaTheme="minorEastAsia" w:cstheme="minorEastAsia"/>
          <w:color w:val="auto"/>
          <w:spacing w:val="2"/>
          <w:kern w:val="0"/>
          <w:highlight w:val="none"/>
        </w:rPr>
        <w:t>招标人及其工作人员（含其配偶、子女）不得从事</w:t>
      </w:r>
      <w:r>
        <w:rPr>
          <w:rFonts w:asciiTheme="minorEastAsia" w:hAnsiTheme="minorEastAsia" w:eastAsiaTheme="minorEastAsia" w:cstheme="minorEastAsia"/>
          <w:color w:val="auto"/>
          <w:spacing w:val="1"/>
          <w:kern w:val="0"/>
          <w:highlight w:val="none"/>
        </w:rPr>
        <w:t>与</w:t>
      </w:r>
      <w:r>
        <w:rPr>
          <w:rFonts w:asciiTheme="minorEastAsia" w:hAnsiTheme="minorEastAsia" w:eastAsiaTheme="minorEastAsia" w:cstheme="minorEastAsia"/>
          <w:color w:val="auto"/>
          <w:spacing w:val="2"/>
          <w:kern w:val="0"/>
          <w:highlight w:val="none"/>
        </w:rPr>
        <w:t xml:space="preserve">合同工程有关的材料和工程设备 </w:t>
      </w:r>
      <w:r>
        <w:rPr>
          <w:rFonts w:asciiTheme="minorEastAsia" w:hAnsiTheme="minorEastAsia" w:eastAsiaTheme="minorEastAsia" w:cstheme="minorEastAsia"/>
          <w:color w:val="auto"/>
          <w:kern w:val="0"/>
          <w:highlight w:val="none"/>
        </w:rPr>
        <w:t>供应、工程分包、劳务等经济活动。</w:t>
      </w:r>
    </w:p>
    <w:p w14:paraId="3900AF80">
      <w:pPr>
        <w:autoSpaceDE w:val="0"/>
        <w:autoSpaceDN w:val="0"/>
        <w:adjustRightInd w:val="0"/>
        <w:spacing w:before="72" w:line="360" w:lineRule="auto"/>
        <w:ind w:right="185" w:firstLine="482" w:firstLineChars="200"/>
        <w:jc w:val="left"/>
        <w:rPr>
          <w:rFonts w:hint="default" w:asciiTheme="minorEastAsia" w:hAnsiTheme="minorEastAsia" w:eastAsiaTheme="minorEastAsia" w:cstheme="minorEastAsia"/>
          <w:b/>
          <w:bCs/>
          <w:color w:val="auto"/>
          <w:spacing w:val="1"/>
          <w:kern w:val="0"/>
          <w:szCs w:val="28"/>
          <w:highlight w:val="none"/>
        </w:rPr>
      </w:pPr>
      <w:r>
        <w:rPr>
          <w:rFonts w:asciiTheme="minorEastAsia" w:hAnsiTheme="minorEastAsia" w:eastAsiaTheme="minorEastAsia" w:cstheme="minorEastAsia"/>
          <w:b/>
          <w:bCs/>
          <w:color w:val="auto"/>
          <w:kern w:val="0"/>
          <w:szCs w:val="28"/>
          <w:highlight w:val="none"/>
        </w:rPr>
        <w:t>3</w:t>
      </w:r>
      <w:r>
        <w:rPr>
          <w:rFonts w:asciiTheme="minorEastAsia" w:hAnsiTheme="minorEastAsia" w:eastAsiaTheme="minorEastAsia" w:cstheme="minorEastAsia"/>
          <w:b/>
          <w:bCs/>
          <w:color w:val="auto"/>
          <w:kern w:val="0"/>
          <w:szCs w:val="28"/>
          <w:highlight w:val="none"/>
        </w:rPr>
        <w:tab/>
      </w:r>
      <w:r>
        <w:rPr>
          <w:rFonts w:asciiTheme="minorEastAsia" w:hAnsiTheme="minorEastAsia" w:eastAsiaTheme="minorEastAsia" w:cstheme="minorEastAsia"/>
          <w:b/>
          <w:bCs/>
          <w:color w:val="auto"/>
          <w:spacing w:val="1"/>
          <w:kern w:val="0"/>
          <w:szCs w:val="28"/>
          <w:highlight w:val="none"/>
        </w:rPr>
        <w:t>中标人义务</w:t>
      </w:r>
    </w:p>
    <w:p w14:paraId="48564A3D">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3.1</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中标人不得以任何理由向招标人及其工作人员行贿或馈赠礼金</w:t>
      </w:r>
      <w:r>
        <w:rPr>
          <w:rFonts w:asciiTheme="minorEastAsia" w:hAnsiTheme="minorEastAsia" w:eastAsiaTheme="minorEastAsia" w:cstheme="minorEastAsia"/>
          <w:color w:val="auto"/>
          <w:spacing w:val="-78"/>
          <w:kern w:val="0"/>
          <w:highlight w:val="none"/>
        </w:rPr>
        <w:t>、</w:t>
      </w:r>
      <w:r>
        <w:rPr>
          <w:rFonts w:asciiTheme="minorEastAsia" w:hAnsiTheme="minorEastAsia" w:eastAsiaTheme="minorEastAsia" w:cstheme="minorEastAsia"/>
          <w:color w:val="auto"/>
          <w:kern w:val="0"/>
          <w:highlight w:val="none"/>
        </w:rPr>
        <w:t>有价证券</w:t>
      </w:r>
      <w:r>
        <w:rPr>
          <w:rFonts w:asciiTheme="minorEastAsia" w:hAnsiTheme="minorEastAsia" w:eastAsiaTheme="minorEastAsia" w:cstheme="minorEastAsia"/>
          <w:color w:val="auto"/>
          <w:spacing w:val="-78"/>
          <w:kern w:val="0"/>
          <w:highlight w:val="none"/>
        </w:rPr>
        <w:t>、</w:t>
      </w:r>
      <w:r>
        <w:rPr>
          <w:rFonts w:asciiTheme="minorEastAsia" w:hAnsiTheme="minorEastAsia" w:eastAsiaTheme="minorEastAsia" w:cstheme="minorEastAsia"/>
          <w:color w:val="auto"/>
          <w:kern w:val="0"/>
          <w:highlight w:val="none"/>
        </w:rPr>
        <w:t>贵重礼品。</w:t>
      </w:r>
    </w:p>
    <w:p w14:paraId="1FD28AC9">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3.2</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spacing w:val="5"/>
          <w:kern w:val="0"/>
          <w:highlight w:val="none"/>
        </w:rPr>
        <w:t>中标人不得以任何名义为招标人及其</w:t>
      </w:r>
      <w:r>
        <w:rPr>
          <w:rFonts w:asciiTheme="minorEastAsia" w:hAnsiTheme="minorEastAsia" w:eastAsiaTheme="minorEastAsia" w:cstheme="minorEastAsia"/>
          <w:color w:val="auto"/>
          <w:spacing w:val="4"/>
          <w:kern w:val="0"/>
          <w:highlight w:val="none"/>
        </w:rPr>
        <w:t>工</w:t>
      </w:r>
      <w:r>
        <w:rPr>
          <w:rFonts w:asciiTheme="minorEastAsia" w:hAnsiTheme="minorEastAsia" w:eastAsiaTheme="minorEastAsia" w:cstheme="minorEastAsia"/>
          <w:color w:val="auto"/>
          <w:spacing w:val="6"/>
          <w:kern w:val="0"/>
          <w:highlight w:val="none"/>
        </w:rPr>
        <w:t xml:space="preserve">作人员报销应由招标人或其工作人员个人支 </w:t>
      </w:r>
      <w:r>
        <w:rPr>
          <w:rFonts w:asciiTheme="minorEastAsia" w:hAnsiTheme="minorEastAsia" w:eastAsiaTheme="minorEastAsia" w:cstheme="minorEastAsia"/>
          <w:color w:val="auto"/>
          <w:kern w:val="0"/>
          <w:highlight w:val="none"/>
        </w:rPr>
        <w:t>付的任何费用。</w:t>
      </w:r>
    </w:p>
    <w:p w14:paraId="54A22412">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3.3</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中标人不得以任何理由安排招标人及其工作人员参加宴</w:t>
      </w:r>
      <w:r>
        <w:rPr>
          <w:rFonts w:asciiTheme="minorEastAsia" w:hAnsiTheme="minorEastAsia" w:eastAsiaTheme="minorEastAsia" w:cstheme="minorEastAsia"/>
          <w:color w:val="auto"/>
          <w:spacing w:val="-78"/>
          <w:kern w:val="0"/>
          <w:highlight w:val="none"/>
        </w:rPr>
        <w:t>请</w:t>
      </w:r>
      <w:r>
        <w:rPr>
          <w:rFonts w:asciiTheme="minorEastAsia" w:hAnsiTheme="minorEastAsia" w:eastAsiaTheme="minorEastAsia" w:cstheme="minorEastAsia"/>
          <w:color w:val="auto"/>
          <w:kern w:val="0"/>
          <w:highlight w:val="none"/>
        </w:rPr>
        <w:t>（工作餐除外</w:t>
      </w:r>
      <w:r>
        <w:rPr>
          <w:rFonts w:asciiTheme="minorEastAsia" w:hAnsiTheme="minorEastAsia" w:eastAsiaTheme="minorEastAsia" w:cstheme="minorEastAsia"/>
          <w:color w:val="auto"/>
          <w:spacing w:val="-78"/>
          <w:kern w:val="0"/>
          <w:highlight w:val="none"/>
        </w:rPr>
        <w:t>）</w:t>
      </w:r>
      <w:r>
        <w:rPr>
          <w:rFonts w:asciiTheme="minorEastAsia" w:hAnsiTheme="minorEastAsia" w:eastAsiaTheme="minorEastAsia" w:cstheme="minorEastAsia"/>
          <w:color w:val="auto"/>
          <w:kern w:val="0"/>
          <w:highlight w:val="none"/>
        </w:rPr>
        <w:t>及娱乐活动。</w:t>
      </w:r>
    </w:p>
    <w:p w14:paraId="5F39FBDA">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3.4</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中标人不得为招标人和个人购置或提供通讯、交通工具和高档办公用品等物品。</w:t>
      </w:r>
    </w:p>
    <w:p w14:paraId="21ADC953">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3.5</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中标人不得为招标人及其工作人员的住房装修</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婚丧嫁娶活动</w:t>
      </w:r>
      <w:r>
        <w:rPr>
          <w:rFonts w:asciiTheme="minorEastAsia" w:hAnsiTheme="minorEastAsia" w:eastAsiaTheme="minorEastAsia" w:cstheme="minorEastAsia"/>
          <w:color w:val="auto"/>
          <w:spacing w:val="-18"/>
          <w:kern w:val="0"/>
          <w:highlight w:val="none"/>
        </w:rPr>
        <w:t>、</w:t>
      </w:r>
      <w:r>
        <w:rPr>
          <w:rFonts w:asciiTheme="minorEastAsia" w:hAnsiTheme="minorEastAsia" w:eastAsiaTheme="minorEastAsia" w:cstheme="minorEastAsia"/>
          <w:color w:val="auto"/>
          <w:kern w:val="0"/>
          <w:highlight w:val="none"/>
        </w:rPr>
        <w:t>配偶子女工作安排以 及出国出境、旅游等提供方便。</w:t>
      </w:r>
    </w:p>
    <w:p w14:paraId="23C1DBEE">
      <w:pPr>
        <w:autoSpaceDE w:val="0"/>
        <w:autoSpaceDN w:val="0"/>
        <w:adjustRightInd w:val="0"/>
        <w:spacing w:before="72" w:line="360" w:lineRule="auto"/>
        <w:ind w:right="185" w:firstLine="482" w:firstLineChars="200"/>
        <w:jc w:val="left"/>
        <w:rPr>
          <w:rFonts w:hint="default" w:asciiTheme="minorEastAsia" w:hAnsiTheme="minorEastAsia" w:eastAsiaTheme="minorEastAsia" w:cstheme="minorEastAsia"/>
          <w:b/>
          <w:bCs/>
          <w:color w:val="auto"/>
          <w:spacing w:val="1"/>
          <w:kern w:val="0"/>
          <w:szCs w:val="28"/>
          <w:highlight w:val="none"/>
        </w:rPr>
      </w:pPr>
      <w:r>
        <w:rPr>
          <w:rFonts w:asciiTheme="minorEastAsia" w:hAnsiTheme="minorEastAsia" w:eastAsiaTheme="minorEastAsia" w:cstheme="minorEastAsia"/>
          <w:b/>
          <w:bCs/>
          <w:color w:val="auto"/>
          <w:kern w:val="0"/>
          <w:szCs w:val="28"/>
          <w:highlight w:val="none"/>
        </w:rPr>
        <w:t>4</w:t>
      </w:r>
      <w:r>
        <w:rPr>
          <w:rFonts w:asciiTheme="minorEastAsia" w:hAnsiTheme="minorEastAsia" w:eastAsiaTheme="minorEastAsia" w:cstheme="minorEastAsia"/>
          <w:b/>
          <w:bCs/>
          <w:color w:val="auto"/>
          <w:kern w:val="0"/>
          <w:szCs w:val="28"/>
          <w:highlight w:val="none"/>
        </w:rPr>
        <w:tab/>
      </w:r>
      <w:r>
        <w:rPr>
          <w:rFonts w:asciiTheme="minorEastAsia" w:hAnsiTheme="minorEastAsia" w:eastAsiaTheme="minorEastAsia" w:cstheme="minorEastAsia"/>
          <w:b/>
          <w:bCs/>
          <w:color w:val="auto"/>
          <w:spacing w:val="1"/>
          <w:kern w:val="0"/>
          <w:szCs w:val="28"/>
          <w:highlight w:val="none"/>
        </w:rPr>
        <w:t>违约责任</w:t>
      </w:r>
    </w:p>
    <w:p w14:paraId="7928B131">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4.1</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招标人及其工作人员违反本合同第1 条和第2 条规定</w:t>
      </w:r>
      <w:r>
        <w:rPr>
          <w:rFonts w:asciiTheme="minorEastAsia" w:hAnsiTheme="minorEastAsia" w:eastAsiaTheme="minorEastAsia" w:cstheme="minorEastAsia"/>
          <w:color w:val="auto"/>
          <w:spacing w:val="-36"/>
          <w:kern w:val="0"/>
          <w:highlight w:val="none"/>
        </w:rPr>
        <w:t>，</w:t>
      </w:r>
      <w:r>
        <w:rPr>
          <w:rFonts w:asciiTheme="minorEastAsia" w:hAnsiTheme="minorEastAsia" w:eastAsiaTheme="minorEastAsia" w:cstheme="minorEastAsia"/>
          <w:color w:val="auto"/>
          <w:kern w:val="0"/>
          <w:highlight w:val="none"/>
        </w:rPr>
        <w:t>应按照廉政建设的有关规定给 予处分；涉嫌犯罪的，移交司法机关追究刑事责任；给中标人造成损失的，应予赔偿。</w:t>
      </w:r>
    </w:p>
    <w:p w14:paraId="6D4D159B">
      <w:pPr>
        <w:autoSpaceDE w:val="0"/>
        <w:autoSpaceDN w:val="0"/>
        <w:adjustRightInd w:val="0"/>
        <w:spacing w:before="72" w:line="360" w:lineRule="auto"/>
        <w:ind w:right="185"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4.2</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中标人及其工作人员违反本合同第1 条和第3 条规定</w:t>
      </w:r>
      <w:r>
        <w:rPr>
          <w:rFonts w:asciiTheme="minorEastAsia" w:hAnsiTheme="minorEastAsia" w:eastAsiaTheme="minorEastAsia" w:cstheme="minorEastAsia"/>
          <w:color w:val="auto"/>
          <w:spacing w:val="-36"/>
          <w:kern w:val="0"/>
          <w:highlight w:val="none"/>
        </w:rPr>
        <w:t>，</w:t>
      </w:r>
      <w:r>
        <w:rPr>
          <w:rFonts w:asciiTheme="minorEastAsia" w:hAnsiTheme="minorEastAsia" w:eastAsiaTheme="minorEastAsia" w:cstheme="minorEastAsia"/>
          <w:color w:val="auto"/>
          <w:kern w:val="0"/>
          <w:highlight w:val="none"/>
        </w:rPr>
        <w:t>应按照廉政建设的有关规定给 予处分</w:t>
      </w:r>
      <w:r>
        <w:rPr>
          <w:rFonts w:asciiTheme="minorEastAsia" w:hAnsiTheme="minorEastAsia" w:eastAsiaTheme="minorEastAsia" w:cstheme="minorEastAsia"/>
          <w:color w:val="auto"/>
          <w:spacing w:val="-24"/>
          <w:kern w:val="0"/>
          <w:highlight w:val="none"/>
        </w:rPr>
        <w:t>；</w:t>
      </w:r>
      <w:r>
        <w:rPr>
          <w:rFonts w:asciiTheme="minorEastAsia" w:hAnsiTheme="minorEastAsia" w:eastAsiaTheme="minorEastAsia" w:cstheme="minorEastAsia"/>
          <w:color w:val="auto"/>
          <w:kern w:val="0"/>
          <w:highlight w:val="none"/>
        </w:rPr>
        <w:t>情节严重的</w:t>
      </w:r>
      <w:r>
        <w:rPr>
          <w:rFonts w:asciiTheme="minorEastAsia" w:hAnsiTheme="minorEastAsia" w:eastAsiaTheme="minorEastAsia" w:cstheme="minorEastAsia"/>
          <w:color w:val="auto"/>
          <w:spacing w:val="-24"/>
          <w:kern w:val="0"/>
          <w:highlight w:val="none"/>
        </w:rPr>
        <w:t>，</w:t>
      </w:r>
      <w:r>
        <w:rPr>
          <w:rFonts w:asciiTheme="minorEastAsia" w:hAnsiTheme="minorEastAsia" w:eastAsiaTheme="minorEastAsia" w:cstheme="minorEastAsia"/>
          <w:color w:val="auto"/>
          <w:kern w:val="0"/>
          <w:highlight w:val="none"/>
        </w:rPr>
        <w:t>给予中标人1～3 年内不得进入工程建设市场的处罚</w:t>
      </w:r>
      <w:r>
        <w:rPr>
          <w:rFonts w:asciiTheme="minorEastAsia" w:hAnsiTheme="minorEastAsia" w:eastAsiaTheme="minorEastAsia" w:cstheme="minorEastAsia"/>
          <w:color w:val="auto"/>
          <w:spacing w:val="-24"/>
          <w:kern w:val="0"/>
          <w:highlight w:val="none"/>
        </w:rPr>
        <w:t>；</w:t>
      </w:r>
      <w:r>
        <w:rPr>
          <w:rFonts w:asciiTheme="minorEastAsia" w:hAnsiTheme="minorEastAsia" w:eastAsiaTheme="minorEastAsia" w:cstheme="minorEastAsia"/>
          <w:color w:val="auto"/>
          <w:kern w:val="0"/>
          <w:highlight w:val="none"/>
        </w:rPr>
        <w:t>涉嫌犯罪的</w:t>
      </w:r>
      <w:r>
        <w:rPr>
          <w:rFonts w:asciiTheme="minorEastAsia" w:hAnsiTheme="minorEastAsia" w:eastAsiaTheme="minorEastAsia" w:cstheme="minorEastAsia"/>
          <w:color w:val="auto"/>
          <w:spacing w:val="-24"/>
          <w:kern w:val="0"/>
          <w:highlight w:val="none"/>
        </w:rPr>
        <w:t>，</w:t>
      </w:r>
      <w:r>
        <w:rPr>
          <w:rFonts w:asciiTheme="minorEastAsia" w:hAnsiTheme="minorEastAsia" w:eastAsiaTheme="minorEastAsia" w:cstheme="minorEastAsia"/>
          <w:color w:val="auto"/>
          <w:kern w:val="0"/>
          <w:highlight w:val="none"/>
        </w:rPr>
        <w:t>移交 司法机关追究刑事责任；给招标人造成损失的，应予赔偿；</w:t>
      </w:r>
    </w:p>
    <w:p w14:paraId="7A469897">
      <w:pPr>
        <w:autoSpaceDE w:val="0"/>
        <w:autoSpaceDN w:val="0"/>
        <w:adjustRightInd w:val="0"/>
        <w:spacing w:before="16" w:line="360" w:lineRule="auto"/>
        <w:jc w:val="left"/>
        <w:rPr>
          <w:rFonts w:hint="default" w:asciiTheme="minorEastAsia" w:hAnsiTheme="minorEastAsia" w:eastAsiaTheme="minorEastAsia" w:cstheme="minorEastAsia"/>
          <w:color w:val="auto"/>
          <w:kern w:val="0"/>
          <w:szCs w:val="28"/>
          <w:highlight w:val="none"/>
        </w:rPr>
      </w:pPr>
      <w:r>
        <w:rPr>
          <w:rFonts w:asciiTheme="minorEastAsia" w:hAnsiTheme="minorEastAsia" w:eastAsiaTheme="minorEastAsia" w:cstheme="minorEastAsia"/>
          <w:b/>
          <w:bCs/>
          <w:color w:val="auto"/>
          <w:kern w:val="0"/>
          <w:szCs w:val="28"/>
          <w:highlight w:val="none"/>
        </w:rPr>
        <w:t xml:space="preserve">    5</w:t>
      </w:r>
      <w:r>
        <w:rPr>
          <w:rFonts w:asciiTheme="minorEastAsia" w:hAnsiTheme="minorEastAsia" w:eastAsiaTheme="minorEastAsia" w:cstheme="minorEastAsia"/>
          <w:b/>
          <w:bCs/>
          <w:color w:val="auto"/>
          <w:spacing w:val="1"/>
          <w:kern w:val="0"/>
          <w:szCs w:val="28"/>
          <w:highlight w:val="none"/>
        </w:rPr>
        <w:t>双方约定</w:t>
      </w:r>
    </w:p>
    <w:p w14:paraId="6A3CB527">
      <w:pPr>
        <w:autoSpaceDE w:val="0"/>
        <w:autoSpaceDN w:val="0"/>
        <w:adjustRightInd w:val="0"/>
        <w:spacing w:line="360" w:lineRule="auto"/>
        <w:ind w:right="184" w:firstLine="484"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spacing w:val="1"/>
          <w:kern w:val="0"/>
          <w:highlight w:val="none"/>
        </w:rPr>
        <w:t>本合同由合同双方当事人或其上</w:t>
      </w:r>
      <w:r>
        <w:rPr>
          <w:rFonts w:asciiTheme="minorEastAsia" w:hAnsiTheme="minorEastAsia" w:eastAsiaTheme="minorEastAsia" w:cstheme="minorEastAsia"/>
          <w:color w:val="auto"/>
          <w:kern w:val="0"/>
          <w:highlight w:val="none"/>
        </w:rPr>
        <w:t>级</w:t>
      </w:r>
      <w:r>
        <w:rPr>
          <w:rFonts w:asciiTheme="minorEastAsia" w:hAnsiTheme="minorEastAsia" w:eastAsiaTheme="minorEastAsia" w:cstheme="minorEastAsia"/>
          <w:color w:val="auto"/>
          <w:spacing w:val="1"/>
          <w:kern w:val="0"/>
          <w:highlight w:val="none"/>
        </w:rPr>
        <w:t>部门负责监督执行，并由合</w:t>
      </w:r>
      <w:r>
        <w:rPr>
          <w:rFonts w:asciiTheme="minorEastAsia" w:hAnsiTheme="minorEastAsia" w:eastAsiaTheme="minorEastAsia" w:cstheme="minorEastAsia"/>
          <w:color w:val="auto"/>
          <w:kern w:val="0"/>
          <w:highlight w:val="none"/>
        </w:rPr>
        <w:t>同</w:t>
      </w:r>
      <w:r>
        <w:rPr>
          <w:rFonts w:asciiTheme="minorEastAsia" w:hAnsiTheme="minorEastAsia" w:eastAsiaTheme="minorEastAsia" w:cstheme="minorEastAsia"/>
          <w:color w:val="auto"/>
          <w:spacing w:val="1"/>
          <w:kern w:val="0"/>
          <w:highlight w:val="none"/>
        </w:rPr>
        <w:t xml:space="preserve">双方当事人或其上级部门 </w:t>
      </w:r>
      <w:r>
        <w:rPr>
          <w:rFonts w:asciiTheme="minorEastAsia" w:hAnsiTheme="minorEastAsia" w:eastAsiaTheme="minorEastAsia" w:cstheme="minorEastAsia"/>
          <w:color w:val="auto"/>
          <w:kern w:val="0"/>
          <w:highlight w:val="none"/>
        </w:rPr>
        <w:t>相互约请对本合同执行情况进行检查。</w:t>
      </w:r>
    </w:p>
    <w:p w14:paraId="5E842695">
      <w:pPr>
        <w:autoSpaceDE w:val="0"/>
        <w:autoSpaceDN w:val="0"/>
        <w:adjustRightInd w:val="0"/>
        <w:spacing w:line="360" w:lineRule="auto"/>
        <w:ind w:right="184" w:firstLine="482" w:firstLineChars="200"/>
        <w:jc w:val="left"/>
        <w:rPr>
          <w:rFonts w:hint="default" w:asciiTheme="minorEastAsia" w:hAnsiTheme="minorEastAsia" w:eastAsiaTheme="minorEastAsia" w:cstheme="minorEastAsia"/>
          <w:b/>
          <w:bCs/>
          <w:color w:val="auto"/>
          <w:kern w:val="0"/>
          <w:szCs w:val="28"/>
          <w:highlight w:val="none"/>
        </w:rPr>
      </w:pPr>
      <w:r>
        <w:rPr>
          <w:rFonts w:asciiTheme="minorEastAsia" w:hAnsiTheme="minorEastAsia" w:eastAsiaTheme="minorEastAsia" w:cstheme="minorEastAsia"/>
          <w:b/>
          <w:bCs/>
          <w:color w:val="auto"/>
          <w:kern w:val="0"/>
          <w:szCs w:val="28"/>
          <w:highlight w:val="none"/>
        </w:rPr>
        <w:t>6</w:t>
      </w:r>
      <w:r>
        <w:rPr>
          <w:rFonts w:asciiTheme="minorEastAsia" w:hAnsiTheme="minorEastAsia" w:eastAsiaTheme="minorEastAsia" w:cstheme="minorEastAsia"/>
          <w:b/>
          <w:bCs/>
          <w:color w:val="auto"/>
          <w:kern w:val="0"/>
          <w:szCs w:val="28"/>
          <w:highlight w:val="none"/>
        </w:rPr>
        <w:tab/>
      </w:r>
      <w:r>
        <w:rPr>
          <w:rFonts w:asciiTheme="minorEastAsia" w:hAnsiTheme="minorEastAsia" w:eastAsiaTheme="minorEastAsia" w:cstheme="minorEastAsia"/>
          <w:b/>
          <w:bCs/>
          <w:color w:val="auto"/>
          <w:kern w:val="0"/>
          <w:szCs w:val="28"/>
          <w:highlight w:val="none"/>
        </w:rPr>
        <w:t xml:space="preserve"> 合同法律效力</w:t>
      </w:r>
    </w:p>
    <w:p w14:paraId="78404456">
      <w:pPr>
        <w:autoSpaceDE w:val="0"/>
        <w:autoSpaceDN w:val="0"/>
        <w:adjustRightInd w:val="0"/>
        <w:spacing w:line="360" w:lineRule="auto"/>
        <w:ind w:right="184"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本合同作为（工程名称） 工程施工合同的附件，与施工合同具有同等的法律效力。</w:t>
      </w:r>
    </w:p>
    <w:p w14:paraId="45C1CF39">
      <w:pPr>
        <w:autoSpaceDE w:val="0"/>
        <w:autoSpaceDN w:val="0"/>
        <w:adjustRightInd w:val="0"/>
        <w:spacing w:line="360" w:lineRule="auto"/>
        <w:ind w:right="184" w:firstLine="482" w:firstLineChars="200"/>
        <w:jc w:val="left"/>
        <w:rPr>
          <w:rFonts w:hint="default" w:asciiTheme="minorEastAsia" w:hAnsiTheme="minorEastAsia" w:eastAsiaTheme="minorEastAsia" w:cstheme="minorEastAsia"/>
          <w:color w:val="auto"/>
          <w:kern w:val="0"/>
          <w:szCs w:val="28"/>
          <w:highlight w:val="none"/>
        </w:rPr>
      </w:pPr>
      <w:r>
        <w:rPr>
          <w:rFonts w:asciiTheme="minorEastAsia" w:hAnsiTheme="minorEastAsia" w:eastAsiaTheme="minorEastAsia" w:cstheme="minorEastAsia"/>
          <w:b/>
          <w:bCs/>
          <w:color w:val="auto"/>
          <w:kern w:val="0"/>
          <w:szCs w:val="28"/>
          <w:highlight w:val="none"/>
        </w:rPr>
        <w:t>7</w:t>
      </w:r>
      <w:r>
        <w:rPr>
          <w:rFonts w:asciiTheme="minorEastAsia" w:hAnsiTheme="minorEastAsia" w:eastAsiaTheme="minorEastAsia" w:cstheme="minorEastAsia"/>
          <w:b/>
          <w:bCs/>
          <w:color w:val="auto"/>
          <w:kern w:val="0"/>
          <w:szCs w:val="28"/>
          <w:highlight w:val="none"/>
        </w:rPr>
        <w:tab/>
      </w:r>
      <w:r>
        <w:rPr>
          <w:rFonts w:asciiTheme="minorEastAsia" w:hAnsiTheme="minorEastAsia" w:eastAsiaTheme="minorEastAsia" w:cstheme="minorEastAsia"/>
          <w:b/>
          <w:bCs/>
          <w:color w:val="auto"/>
          <w:spacing w:val="1"/>
          <w:kern w:val="0"/>
          <w:szCs w:val="28"/>
          <w:highlight w:val="none"/>
        </w:rPr>
        <w:t>合同生效</w:t>
      </w:r>
    </w:p>
    <w:p w14:paraId="60581DB3">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本合同自合同双方当事人签署之日起生效，至合同工程竣工验收合格之日后失效。</w:t>
      </w:r>
    </w:p>
    <w:p w14:paraId="0127269A">
      <w:pPr>
        <w:autoSpaceDE w:val="0"/>
        <w:autoSpaceDN w:val="0"/>
        <w:adjustRightInd w:val="0"/>
        <w:spacing w:line="360" w:lineRule="auto"/>
        <w:ind w:firstLine="482" w:firstLineChars="200"/>
        <w:jc w:val="left"/>
        <w:rPr>
          <w:rFonts w:hint="default" w:asciiTheme="minorEastAsia" w:hAnsiTheme="minorEastAsia" w:eastAsiaTheme="minorEastAsia" w:cstheme="minorEastAsia"/>
          <w:b/>
          <w:bCs/>
          <w:color w:val="auto"/>
          <w:spacing w:val="1"/>
          <w:kern w:val="0"/>
          <w:szCs w:val="28"/>
          <w:highlight w:val="none"/>
        </w:rPr>
      </w:pPr>
      <w:r>
        <w:rPr>
          <w:rFonts w:asciiTheme="minorEastAsia" w:hAnsiTheme="minorEastAsia" w:eastAsiaTheme="minorEastAsia" w:cstheme="minorEastAsia"/>
          <w:b/>
          <w:bCs/>
          <w:color w:val="auto"/>
          <w:kern w:val="0"/>
          <w:szCs w:val="28"/>
          <w:highlight w:val="none"/>
        </w:rPr>
        <w:t>8</w:t>
      </w:r>
      <w:r>
        <w:rPr>
          <w:rFonts w:asciiTheme="minorEastAsia" w:hAnsiTheme="minorEastAsia" w:eastAsiaTheme="minorEastAsia" w:cstheme="minorEastAsia"/>
          <w:b/>
          <w:bCs/>
          <w:color w:val="auto"/>
          <w:kern w:val="0"/>
          <w:szCs w:val="28"/>
          <w:highlight w:val="none"/>
        </w:rPr>
        <w:tab/>
      </w:r>
      <w:r>
        <w:rPr>
          <w:rFonts w:asciiTheme="minorEastAsia" w:hAnsiTheme="minorEastAsia" w:eastAsiaTheme="minorEastAsia" w:cstheme="minorEastAsia"/>
          <w:b/>
          <w:bCs/>
          <w:color w:val="auto"/>
          <w:spacing w:val="1"/>
          <w:kern w:val="0"/>
          <w:szCs w:val="28"/>
          <w:highlight w:val="none"/>
        </w:rPr>
        <w:t>合同份数</w:t>
      </w:r>
    </w:p>
    <w:p w14:paraId="3DF79021">
      <w:p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本合同一</w:t>
      </w:r>
      <w:r>
        <w:rPr>
          <w:rFonts w:asciiTheme="minorEastAsia" w:hAnsiTheme="minorEastAsia" w:eastAsiaTheme="minorEastAsia" w:cstheme="minorEastAsia"/>
          <w:color w:val="auto"/>
          <w:spacing w:val="1"/>
          <w:kern w:val="0"/>
          <w:highlight w:val="none"/>
        </w:rPr>
        <w:t>式</w:t>
      </w:r>
      <w:r>
        <w:rPr>
          <w:rFonts w:asciiTheme="minorEastAsia" w:hAnsiTheme="minorEastAsia" w:eastAsiaTheme="minorEastAsia" w:cstheme="minorEastAsia"/>
          <w:color w:val="auto"/>
          <w:kern w:val="0"/>
          <w:highlight w:val="none"/>
        </w:rPr>
        <w:t>份，合同双方当事人各</w:t>
      </w:r>
      <w:r>
        <w:rPr>
          <w:rFonts w:asciiTheme="minorEastAsia" w:hAnsiTheme="minorEastAsia" w:eastAsiaTheme="minorEastAsia" w:cstheme="minorEastAsia"/>
          <w:color w:val="auto"/>
          <w:spacing w:val="2"/>
          <w:kern w:val="0"/>
          <w:highlight w:val="none"/>
        </w:rPr>
        <w:t>执</w:t>
      </w:r>
      <w:r>
        <w:rPr>
          <w:rFonts w:asciiTheme="minorEastAsia" w:hAnsiTheme="minorEastAsia" w:eastAsiaTheme="minorEastAsia" w:cstheme="minorEastAsia"/>
          <w:color w:val="auto"/>
          <w:spacing w:val="1"/>
          <w:kern w:val="0"/>
          <w:highlight w:val="none"/>
        </w:rPr>
        <w:t>份。有上级部门的，合同双方当事人应各送</w:t>
      </w:r>
      <w:r>
        <w:rPr>
          <w:rFonts w:asciiTheme="minorEastAsia" w:hAnsiTheme="minorEastAsia" w:eastAsiaTheme="minorEastAsia" w:cstheme="minorEastAsia"/>
          <w:color w:val="auto"/>
          <w:kern w:val="0"/>
          <w:highlight w:val="none"/>
        </w:rPr>
        <w:t>交其上级部门一份。</w:t>
      </w:r>
    </w:p>
    <w:p w14:paraId="68F8EFE6">
      <w:pPr>
        <w:autoSpaceDE w:val="0"/>
        <w:autoSpaceDN w:val="0"/>
        <w:adjustRightInd w:val="0"/>
        <w:spacing w:before="3" w:line="130" w:lineRule="exact"/>
        <w:jc w:val="left"/>
        <w:rPr>
          <w:rFonts w:hint="default" w:asciiTheme="minorEastAsia" w:hAnsiTheme="minorEastAsia" w:eastAsiaTheme="minorEastAsia" w:cstheme="minorEastAsia"/>
          <w:color w:val="auto"/>
          <w:kern w:val="0"/>
          <w:szCs w:val="13"/>
          <w:highlight w:val="none"/>
        </w:rPr>
      </w:pPr>
    </w:p>
    <w:p w14:paraId="5F80D057">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7098EAF7">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52C87938">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0E88748C">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1763CFC6">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28922DAD">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12D11161">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17D894B8">
      <w:pPr>
        <w:autoSpaceDE w:val="0"/>
        <w:autoSpaceDN w:val="0"/>
        <w:adjustRightInd w:val="0"/>
        <w:spacing w:line="200" w:lineRule="exact"/>
        <w:jc w:val="left"/>
        <w:rPr>
          <w:rFonts w:hint="default" w:asciiTheme="minorEastAsia" w:hAnsiTheme="minorEastAsia" w:eastAsiaTheme="minorEastAsia" w:cstheme="minorEastAsia"/>
          <w:color w:val="auto"/>
          <w:kern w:val="0"/>
          <w:highlight w:val="none"/>
        </w:rPr>
      </w:pPr>
    </w:p>
    <w:p w14:paraId="5C0C7464">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 xml:space="preserve">     发 包 人</w:t>
      </w:r>
      <w:r>
        <w:rPr>
          <w:rFonts w:asciiTheme="minorEastAsia" w:hAnsiTheme="minorEastAsia" w:eastAsiaTheme="minorEastAsia" w:cstheme="minorEastAsia"/>
          <w:color w:val="auto"/>
          <w:spacing w:val="-120"/>
          <w:kern w:val="0"/>
          <w:highlight w:val="none"/>
        </w:rPr>
        <w:t>：</w:t>
      </w:r>
      <w:r>
        <w:rPr>
          <w:rFonts w:asciiTheme="minorEastAsia" w:hAnsiTheme="minorEastAsia" w:eastAsiaTheme="minorEastAsia" w:cstheme="minorEastAsia"/>
          <w:color w:val="auto"/>
          <w:kern w:val="0"/>
          <w:highlight w:val="none"/>
        </w:rPr>
        <w:t>（公章）</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 xml:space="preserve">                    承 包 人 </w:t>
      </w:r>
      <w:r>
        <w:rPr>
          <w:rFonts w:asciiTheme="minorEastAsia" w:hAnsiTheme="minorEastAsia" w:eastAsiaTheme="minorEastAsia" w:cstheme="minorEastAsia"/>
          <w:color w:val="auto"/>
          <w:spacing w:val="-120"/>
          <w:kern w:val="0"/>
          <w:highlight w:val="none"/>
        </w:rPr>
        <w:t>：</w:t>
      </w:r>
      <w:r>
        <w:rPr>
          <w:rFonts w:asciiTheme="minorEastAsia" w:hAnsiTheme="minorEastAsia" w:eastAsiaTheme="minorEastAsia" w:cstheme="minorEastAsia"/>
          <w:color w:val="auto"/>
          <w:kern w:val="0"/>
          <w:highlight w:val="none"/>
        </w:rPr>
        <w:t xml:space="preserve">（公章） </w:t>
      </w:r>
    </w:p>
    <w:p w14:paraId="573C1346">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 xml:space="preserve">     法定代表人</w:t>
      </w:r>
      <w:r>
        <w:rPr>
          <w:rFonts w:asciiTheme="minorEastAsia" w:hAnsiTheme="minorEastAsia" w:eastAsiaTheme="minorEastAsia" w:cstheme="minorEastAsia"/>
          <w:color w:val="auto"/>
          <w:spacing w:val="-120"/>
          <w:kern w:val="0"/>
          <w:highlight w:val="none"/>
        </w:rPr>
        <w:t>：</w:t>
      </w:r>
      <w:r>
        <w:rPr>
          <w:rFonts w:asciiTheme="minorEastAsia" w:hAnsiTheme="minorEastAsia" w:eastAsiaTheme="minorEastAsia" w:cstheme="minorEastAsia"/>
          <w:color w:val="auto"/>
          <w:kern w:val="0"/>
          <w:highlight w:val="none"/>
        </w:rPr>
        <w:t>（签字）</w:t>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ab/>
      </w:r>
      <w:r>
        <w:rPr>
          <w:rFonts w:asciiTheme="minorEastAsia" w:hAnsiTheme="minorEastAsia" w:eastAsiaTheme="minorEastAsia" w:cstheme="minorEastAsia"/>
          <w:color w:val="auto"/>
          <w:kern w:val="0"/>
          <w:highlight w:val="none"/>
        </w:rPr>
        <w:t xml:space="preserve">                 法定代表人</w:t>
      </w:r>
      <w:r>
        <w:rPr>
          <w:rFonts w:asciiTheme="minorEastAsia" w:hAnsiTheme="minorEastAsia" w:eastAsiaTheme="minorEastAsia" w:cstheme="minorEastAsia"/>
          <w:color w:val="auto"/>
          <w:spacing w:val="-120"/>
          <w:kern w:val="0"/>
          <w:highlight w:val="none"/>
        </w:rPr>
        <w:t>：</w:t>
      </w:r>
      <w:r>
        <w:rPr>
          <w:rFonts w:asciiTheme="minorEastAsia" w:hAnsiTheme="minorEastAsia" w:eastAsiaTheme="minorEastAsia" w:cstheme="minorEastAsia"/>
          <w:color w:val="auto"/>
          <w:kern w:val="0"/>
          <w:highlight w:val="none"/>
        </w:rPr>
        <w:t xml:space="preserve">（签字） </w:t>
      </w:r>
    </w:p>
    <w:p w14:paraId="43E5EE29">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auto"/>
          <w:kern w:val="0"/>
          <w:highlight w:val="none"/>
          <w:u w:val="single"/>
        </w:rPr>
      </w:pPr>
      <w:r>
        <w:rPr>
          <w:rFonts w:asciiTheme="minorEastAsia" w:hAnsiTheme="minorEastAsia" w:eastAsiaTheme="minorEastAsia" w:cstheme="minorEastAsia"/>
          <w:color w:val="auto"/>
          <w:kern w:val="0"/>
          <w:highlight w:val="none"/>
        </w:rPr>
        <w:t xml:space="preserve">     联系电话：</w:t>
      </w:r>
      <w:r>
        <w:rPr>
          <w:rFonts w:asciiTheme="minorEastAsia" w:hAnsiTheme="minorEastAsia" w:eastAsiaTheme="minorEastAsia" w:cstheme="minorEastAsia"/>
          <w:color w:val="auto"/>
          <w:kern w:val="0"/>
          <w:highlight w:val="none"/>
          <w:u w:val="single"/>
        </w:rPr>
        <w:tab/>
      </w:r>
      <w:r>
        <w:rPr>
          <w:rFonts w:asciiTheme="minorEastAsia" w:hAnsiTheme="minorEastAsia" w:eastAsiaTheme="minorEastAsia" w:cstheme="minorEastAsia"/>
          <w:color w:val="auto"/>
          <w:kern w:val="0"/>
          <w:highlight w:val="none"/>
          <w:u w:val="single"/>
        </w:rPr>
        <w:tab/>
      </w:r>
      <w:r>
        <w:rPr>
          <w:rFonts w:asciiTheme="minorEastAsia" w:hAnsiTheme="minorEastAsia" w:eastAsiaTheme="minorEastAsia" w:cstheme="minorEastAsia"/>
          <w:color w:val="auto"/>
          <w:kern w:val="0"/>
          <w:highlight w:val="none"/>
        </w:rPr>
        <w:t xml:space="preserve">                     联系电话：</w:t>
      </w:r>
    </w:p>
    <w:p w14:paraId="255B539D">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 xml:space="preserve">     上级部门：（公章）                     上级部门：（公章）</w:t>
      </w:r>
    </w:p>
    <w:p w14:paraId="0F36E6B3">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auto"/>
          <w:kern w:val="0"/>
          <w:highlight w:val="none"/>
        </w:rPr>
      </w:pPr>
    </w:p>
    <w:p w14:paraId="00237920">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auto"/>
          <w:kern w:val="0"/>
          <w:highlight w:val="none"/>
        </w:rPr>
      </w:pPr>
    </w:p>
    <w:p w14:paraId="387E5D40">
      <w:pPr>
        <w:autoSpaceDE w:val="0"/>
        <w:autoSpaceDN w:val="0"/>
        <w:adjustRightInd w:val="0"/>
        <w:spacing w:line="400" w:lineRule="exact"/>
        <w:ind w:firstLine="480" w:firstLineChars="200"/>
        <w:jc w:val="left"/>
        <w:rPr>
          <w:rFonts w:hint="default"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t xml:space="preserve">          年   月    日                                年   月   日</w:t>
      </w:r>
    </w:p>
    <w:p w14:paraId="55219ACB">
      <w:pPr>
        <w:spacing w:line="360" w:lineRule="auto"/>
        <w:rPr>
          <w:rFonts w:hint="default" w:asciiTheme="minorEastAsia" w:hAnsiTheme="minorEastAsia" w:eastAsiaTheme="minorEastAsia" w:cstheme="minorEastAsia"/>
          <w:b/>
          <w:bCs/>
          <w:color w:val="auto"/>
          <w:sz w:val="32"/>
          <w:szCs w:val="32"/>
          <w:highlight w:val="none"/>
        </w:rPr>
      </w:pPr>
    </w:p>
    <w:p w14:paraId="739A5A4D">
      <w:pPr>
        <w:pStyle w:val="5"/>
        <w:ind w:left="4511" w:leftChars="174" w:hanging="4093" w:hangingChars="1274"/>
        <w:jc w:val="center"/>
        <w:rPr>
          <w:rFonts w:asciiTheme="minorEastAsia" w:hAnsiTheme="minorEastAsia" w:eastAsiaTheme="minorEastAsia" w:cstheme="minorEastAsia"/>
          <w:bCs/>
          <w:color w:val="auto"/>
          <w:sz w:val="32"/>
          <w:szCs w:val="32"/>
          <w:highlight w:val="none"/>
        </w:rPr>
      </w:pPr>
      <w:bookmarkStart w:id="569" w:name="_Toc11559"/>
      <w:bookmarkStart w:id="570" w:name="_Toc20715"/>
      <w:bookmarkStart w:id="571" w:name="_Toc28513"/>
      <w:bookmarkStart w:id="572" w:name="_Toc18530"/>
      <w:bookmarkStart w:id="573" w:name="_Toc29017"/>
      <w:bookmarkStart w:id="574" w:name="_Toc6897"/>
      <w:bookmarkStart w:id="575" w:name="_Toc24859"/>
      <w:bookmarkStart w:id="576" w:name="_Toc126"/>
      <w:r>
        <w:rPr>
          <w:rFonts w:hint="eastAsia" w:asciiTheme="minorEastAsia" w:hAnsiTheme="minorEastAsia" w:eastAsiaTheme="minorEastAsia" w:cstheme="minorEastAsia"/>
          <w:bCs/>
          <w:color w:val="auto"/>
          <w:sz w:val="32"/>
          <w:szCs w:val="32"/>
          <w:highlight w:val="none"/>
        </w:rPr>
        <w:br w:type="page"/>
      </w:r>
      <w:bookmarkStart w:id="577" w:name="_Toc22063"/>
      <w:bookmarkStart w:id="578" w:name="_Toc10245"/>
      <w:bookmarkStart w:id="579" w:name="_Toc28197"/>
      <w:bookmarkStart w:id="580" w:name="_Toc30796"/>
      <w:r>
        <w:rPr>
          <w:rFonts w:hint="eastAsia" w:asciiTheme="minorEastAsia" w:hAnsiTheme="minorEastAsia" w:eastAsiaTheme="minorEastAsia" w:cstheme="minorEastAsia"/>
          <w:bCs/>
          <w:color w:val="auto"/>
          <w:sz w:val="32"/>
          <w:szCs w:val="32"/>
          <w:highlight w:val="none"/>
        </w:rPr>
        <w:t>履约保函</w:t>
      </w:r>
      <w:bookmarkEnd w:id="569"/>
      <w:bookmarkEnd w:id="570"/>
      <w:bookmarkEnd w:id="571"/>
      <w:bookmarkEnd w:id="572"/>
      <w:bookmarkEnd w:id="573"/>
      <w:bookmarkEnd w:id="574"/>
      <w:bookmarkEnd w:id="575"/>
      <w:bookmarkEnd w:id="576"/>
      <w:bookmarkEnd w:id="577"/>
      <w:bookmarkEnd w:id="578"/>
      <w:bookmarkEnd w:id="579"/>
      <w:bookmarkEnd w:id="580"/>
    </w:p>
    <w:p w14:paraId="395343F0">
      <w:pPr>
        <w:spacing w:line="360" w:lineRule="auto"/>
        <w:jc w:val="center"/>
        <w:rPr>
          <w:rFonts w:hint="default" w:asciiTheme="minorEastAsia" w:hAnsiTheme="minorEastAsia" w:eastAsiaTheme="minorEastAsia" w:cstheme="minorEastAsia"/>
          <w:b/>
          <w:bCs/>
          <w:color w:val="auto"/>
          <w:sz w:val="32"/>
          <w:szCs w:val="32"/>
          <w:highlight w:val="none"/>
        </w:rPr>
      </w:pPr>
    </w:p>
    <w:p w14:paraId="4E5F5227">
      <w:pPr>
        <w:wordWrap w:val="0"/>
        <w:spacing w:line="360" w:lineRule="auto"/>
        <w:jc w:val="right"/>
        <w:rPr>
          <w:rFonts w:hint="default"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 xml:space="preserve">编号：           </w:t>
      </w:r>
    </w:p>
    <w:p w14:paraId="25203CA4">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申请人：</w:t>
      </w:r>
    </w:p>
    <w:p w14:paraId="265027AC">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0BD1991E">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受益人：</w:t>
      </w:r>
    </w:p>
    <w:p w14:paraId="19ECDA59">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4934F3C6">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开立人：</w:t>
      </w:r>
    </w:p>
    <w:p w14:paraId="3622C158">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0FCA095E">
      <w:pPr>
        <w:spacing w:line="360" w:lineRule="auto"/>
        <w:rPr>
          <w:rFonts w:hint="default" w:asciiTheme="minorEastAsia" w:hAnsiTheme="minorEastAsia" w:eastAsiaTheme="minorEastAsia" w:cstheme="minorEastAsia"/>
          <w:color w:val="auto"/>
          <w:szCs w:val="24"/>
          <w:highlight w:val="none"/>
        </w:rPr>
      </w:pPr>
    </w:p>
    <w:p w14:paraId="34BE6BB7">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（受益人名称）： </w:t>
      </w:r>
    </w:p>
    <w:p w14:paraId="1A8ADA44">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鉴于（以下简称“受益人”）与（以下简称“申请人”）于年月日就工程（以下简称“本工程”）施工和有关事项协商一致共同签订</w:t>
      </w:r>
      <w:r>
        <w:rPr>
          <w:rFonts w:asciiTheme="minorEastAsia" w:hAnsiTheme="minorEastAsia" w:eastAsiaTheme="minorEastAsia" w:cstheme="minorEastAsia"/>
          <w:color w:val="auto"/>
          <w:szCs w:val="24"/>
          <w:highlight w:val="none"/>
          <w:u w:val="single"/>
        </w:rPr>
        <w:t>《        》</w:t>
      </w:r>
      <w:r>
        <w:rPr>
          <w:rFonts w:asciiTheme="minorEastAsia" w:hAnsiTheme="minorEastAsia" w:eastAsiaTheme="minorEastAsia" w:cstheme="minorEastAsia"/>
          <w:color w:val="auto"/>
          <w:szCs w:val="24"/>
          <w:highlight w:val="none"/>
        </w:rPr>
        <w:t xml:space="preserve">（以下简称“基础合同”），我方（即“开立人”）根据基础合同了解到申请人为基础合同项下之中标人，受益人为基础合同项下之招标人，基于申请人的请求，我方同意就申请人履行与贵方签订的基础合同项下的义务，向贵方提供不可撤销、不可转让的见索即付独立保函（以下简称“本保函”）。 </w:t>
      </w:r>
    </w:p>
    <w:p w14:paraId="3D6E054B">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一、本保函担保范围：中标人未按照基础合同的约定履行义务，应当向贵方承担的违约责任和赔偿因此造成的损失、利息、律师费、诉讼费用等实现债权的费用。</w:t>
      </w:r>
    </w:p>
    <w:p w14:paraId="1EEDF5A6">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二、本保函担保金额最高不超过人民币（大写）元（¥）。 </w:t>
      </w:r>
    </w:p>
    <w:p w14:paraId="213E3604">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三、本保函有效期自开立之日起至基础合同约定的缺陷责任期后日止，最迟不超过年月日。 </w:t>
      </w:r>
    </w:p>
    <w:p w14:paraId="0FB7E117">
      <w:pPr>
        <w:spacing w:line="360" w:lineRule="auto"/>
        <w:ind w:firstLine="48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四、我方承诺，在收到受益人发来的书面付款通知后的日内无条件支付，前述书面付款通知即为付款要求之单据，且应满足以下要求：</w:t>
      </w:r>
    </w:p>
    <w:p w14:paraId="67092C1F">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（1）付款通知到达的日期在本保函的有效期内；</w:t>
      </w:r>
    </w:p>
    <w:p w14:paraId="710CC5AF">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（2）载明要求支付的金额；</w:t>
      </w:r>
    </w:p>
    <w:p w14:paraId="46E4218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（3）载明申请人违反合同义务的条款和内容；</w:t>
      </w:r>
    </w:p>
    <w:p w14:paraId="0C585AFB">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（4）声明不存在合同文件约定或我国法律规定免除申请人或开立人支付责任的情形；</w:t>
      </w:r>
    </w:p>
    <w:p w14:paraId="351ABCEB">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（5）付款通知应在本保函有效期内到达的地址是：。</w:t>
      </w:r>
    </w:p>
    <w:p w14:paraId="47083664">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受益人发出的书面付款通知应由其为鉴明受益人法定代表人（负责人）或授权代理人签字并加盖公章。</w:t>
      </w:r>
    </w:p>
    <w:p w14:paraId="721E77E8">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五、本保函项下的权利不得转让，不得设定担保。贵方未经我方书面同意转 让本保函或其项下任何权利，对我方不发生法律效力。 </w:t>
      </w:r>
    </w:p>
    <w:p w14:paraId="1DE2F49D">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六、与本保函有关的基础合同不成立、不生效、无效、被撤销、被解除，不影响本保函的独立有效。 </w:t>
      </w:r>
    </w:p>
    <w:p w14:paraId="26F68597">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763BE3AF">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八、本保函适用的法律为中华人民共和国法律，争议裁判管辖地为中华人民共和国。 </w:t>
      </w:r>
    </w:p>
    <w:p w14:paraId="07FCDD2A">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九、本保函自我方法定代表人或授权代表签字并加盖公章之日起生效。 </w:t>
      </w:r>
    </w:p>
    <w:p w14:paraId="0F0632BE">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开 立 人：                              （公章） </w:t>
      </w:r>
    </w:p>
    <w:p w14:paraId="7CA0A569">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法定代表人（或授权代表）：               （签字） </w:t>
      </w:r>
    </w:p>
    <w:p w14:paraId="5F4AA7D5">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地    址：                                       </w:t>
      </w:r>
    </w:p>
    <w:p w14:paraId="444557EE">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邮政编码：                 </w:t>
      </w:r>
    </w:p>
    <w:p w14:paraId="0B92C9F2">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电    话：                 </w:t>
      </w:r>
    </w:p>
    <w:p w14:paraId="2CEE689A">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传    真：                 </w:t>
      </w:r>
    </w:p>
    <w:p w14:paraId="411F8276">
      <w:pPr>
        <w:spacing w:line="360" w:lineRule="auto"/>
        <w:ind w:firstLine="480" w:firstLineChars="200"/>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szCs w:val="24"/>
          <w:highlight w:val="none"/>
        </w:rPr>
        <w:t xml:space="preserve">开立时间：      年      月    </w:t>
      </w:r>
    </w:p>
    <w:p w14:paraId="089EFA20">
      <w:pPr>
        <w:spacing w:line="374" w:lineRule="auto"/>
        <w:ind w:left="698" w:right="524"/>
        <w:jc w:val="left"/>
        <w:rPr>
          <w:rFonts w:hint="default" w:asciiTheme="minorEastAsia" w:hAnsiTheme="minorEastAsia" w:eastAsiaTheme="minorEastAsia" w:cstheme="minorEastAsia"/>
          <w:strike/>
          <w:color w:val="auto"/>
          <w:szCs w:val="24"/>
          <w:highlight w:val="none"/>
        </w:rPr>
        <w:sectPr>
          <w:headerReference r:id="rId7" w:type="default"/>
          <w:footerReference r:id="rId8" w:type="default"/>
          <w:pgSz w:w="11907" w:h="16840"/>
          <w:pgMar w:top="1247" w:right="1474" w:bottom="1247" w:left="1361" w:header="680" w:footer="680" w:gutter="0"/>
          <w:cols w:space="720" w:num="1"/>
        </w:sectPr>
      </w:pPr>
    </w:p>
    <w:p w14:paraId="41B8EE53">
      <w:pPr>
        <w:pStyle w:val="54"/>
        <w:spacing w:line="440" w:lineRule="exact"/>
        <w:ind w:firstLine="0" w:firstLineChars="0"/>
        <w:rPr>
          <w:rFonts w:asciiTheme="minorEastAsia" w:hAnsiTheme="minorEastAsia" w:eastAsiaTheme="minorEastAsia" w:cstheme="minorEastAsia"/>
          <w:dstrike/>
          <w:color w:val="auto"/>
          <w:kern w:val="0"/>
          <w:highlight w:val="none"/>
        </w:rPr>
      </w:pPr>
    </w:p>
    <w:p w14:paraId="0377C4DE">
      <w:pPr>
        <w:pStyle w:val="5"/>
        <w:ind w:left="4511" w:leftChars="174" w:hanging="4093" w:hangingChars="1274"/>
        <w:jc w:val="center"/>
        <w:rPr>
          <w:rFonts w:asciiTheme="minorEastAsia" w:hAnsiTheme="minorEastAsia" w:eastAsiaTheme="minorEastAsia" w:cstheme="minorEastAsia"/>
          <w:bCs/>
          <w:color w:val="auto"/>
          <w:sz w:val="32"/>
          <w:szCs w:val="32"/>
          <w:highlight w:val="none"/>
        </w:rPr>
      </w:pPr>
      <w:bookmarkStart w:id="581" w:name="_Toc24975"/>
      <w:bookmarkStart w:id="582" w:name="_Toc3190"/>
      <w:bookmarkStart w:id="583" w:name="_Toc31569"/>
      <w:bookmarkStart w:id="584" w:name="_Toc4560"/>
      <w:bookmarkStart w:id="585" w:name="_Toc19146"/>
      <w:bookmarkStart w:id="586" w:name="_Toc15298"/>
      <w:bookmarkStart w:id="587" w:name="_Toc2375"/>
      <w:bookmarkStart w:id="588" w:name="_Toc20309"/>
      <w:bookmarkStart w:id="589" w:name="_Toc3541"/>
      <w:bookmarkStart w:id="590" w:name="_Toc26369"/>
      <w:bookmarkStart w:id="591" w:name="_Toc3712"/>
      <w:bookmarkStart w:id="592" w:name="_Toc4768"/>
      <w:r>
        <w:rPr>
          <w:rFonts w:hint="eastAsia" w:asciiTheme="minorEastAsia" w:hAnsiTheme="minorEastAsia" w:eastAsiaTheme="minorEastAsia" w:cstheme="minorEastAsia"/>
          <w:bCs/>
          <w:color w:val="auto"/>
          <w:sz w:val="32"/>
          <w:szCs w:val="32"/>
          <w:highlight w:val="none"/>
        </w:rPr>
        <w:t>预付款保函</w:t>
      </w:r>
      <w:bookmarkEnd w:id="581"/>
      <w:bookmarkEnd w:id="582"/>
      <w:bookmarkEnd w:id="583"/>
      <w:bookmarkEnd w:id="584"/>
      <w:bookmarkEnd w:id="585"/>
      <w:bookmarkEnd w:id="586"/>
      <w:bookmarkEnd w:id="587"/>
      <w:bookmarkEnd w:id="588"/>
      <w:bookmarkEnd w:id="589"/>
      <w:bookmarkEnd w:id="590"/>
      <w:bookmarkEnd w:id="591"/>
      <w:bookmarkEnd w:id="592"/>
    </w:p>
    <w:p w14:paraId="6F05AEEF">
      <w:pPr>
        <w:wordWrap w:val="0"/>
        <w:spacing w:line="360" w:lineRule="auto"/>
        <w:jc w:val="right"/>
        <w:rPr>
          <w:rFonts w:hint="default"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 xml:space="preserve">编号：           </w:t>
      </w:r>
    </w:p>
    <w:p w14:paraId="45307EF0">
      <w:pPr>
        <w:spacing w:line="360" w:lineRule="auto"/>
        <w:rPr>
          <w:rFonts w:hint="default" w:asciiTheme="minorEastAsia" w:hAnsiTheme="minorEastAsia" w:eastAsiaTheme="minorEastAsia" w:cstheme="minorEastAsia"/>
          <w:color w:val="auto"/>
          <w:szCs w:val="24"/>
          <w:highlight w:val="none"/>
        </w:rPr>
      </w:pPr>
    </w:p>
    <w:p w14:paraId="18B3F44A">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申请人：</w:t>
      </w:r>
    </w:p>
    <w:p w14:paraId="32CABE68">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3820E0D7">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受益人：</w:t>
      </w:r>
    </w:p>
    <w:p w14:paraId="1DF9C672">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0EC7F570">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开立人：</w:t>
      </w:r>
    </w:p>
    <w:p w14:paraId="4F9B49D5">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1B97DE2D">
      <w:pPr>
        <w:spacing w:line="360" w:lineRule="auto"/>
        <w:rPr>
          <w:rFonts w:hint="default" w:asciiTheme="minorEastAsia" w:hAnsiTheme="minorEastAsia" w:eastAsiaTheme="minorEastAsia" w:cstheme="minorEastAsia"/>
          <w:color w:val="auto"/>
          <w:szCs w:val="24"/>
          <w:highlight w:val="none"/>
        </w:rPr>
      </w:pPr>
    </w:p>
    <w:p w14:paraId="51577E4E">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（受益人名称）： </w:t>
      </w:r>
    </w:p>
    <w:p w14:paraId="17D371E8">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鉴于（以下简称“受益人”）与（以下简称“申请人”）于年月日就工程（以下简称“本工程”）施工和有关事项协商一致共同签订</w:t>
      </w:r>
      <w:r>
        <w:rPr>
          <w:rFonts w:asciiTheme="minorEastAsia" w:hAnsiTheme="minorEastAsia" w:eastAsiaTheme="minorEastAsia" w:cstheme="minorEastAsia"/>
          <w:color w:val="auto"/>
          <w:szCs w:val="24"/>
          <w:highlight w:val="none"/>
          <w:u w:val="single"/>
        </w:rPr>
        <w:t>《        》</w:t>
      </w:r>
      <w:r>
        <w:rPr>
          <w:rFonts w:asciiTheme="minorEastAsia" w:hAnsiTheme="minorEastAsia" w:eastAsiaTheme="minorEastAsia" w:cstheme="minorEastAsia"/>
          <w:color w:val="auto"/>
          <w:szCs w:val="24"/>
          <w:highlight w:val="none"/>
        </w:rPr>
        <w:t xml:space="preserve">（以下简称“基础合同”），我方（即“开立人”）根据主合同了解到申请人为主合同项下之中标人，受益人为主合同项下之招标人，基于申请人的请求，我方同意就申请人按照合同约定正确和合理地为合同目的使用预付款，向贵方提供不可撤销、不可转让的见索即付独立保函（以下简称“本保函”）。 </w:t>
      </w:r>
    </w:p>
    <w:p w14:paraId="77FEF97D">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4FFD98A2">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二、本保函担保金额最高不超过人民币（大写）元（¥）。 </w:t>
      </w:r>
    </w:p>
    <w:p w14:paraId="7E1765F3">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三、本保函有效期自开立之日起至招标人全额扣回预付款后日止，最迟不超过年月日。</w:t>
      </w:r>
    </w:p>
    <w:p w14:paraId="216CDE7F">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四、我方承诺，在收到受益人发来的书面付款通知后的日内无条件支付，前述书面付款通知即为付款要求之单据，且应满足以下要求：</w:t>
      </w:r>
    </w:p>
    <w:p w14:paraId="004D1ECF">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（1）付款通知到达的日期在本保函的有效期内；</w:t>
      </w:r>
    </w:p>
    <w:p w14:paraId="130255B8">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（2）载明要求支付的金额；</w:t>
      </w:r>
    </w:p>
    <w:p w14:paraId="6C461458">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（3）载明申请人违反合同义务的条款和内容；</w:t>
      </w:r>
    </w:p>
    <w:p w14:paraId="374149E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（4）声明不存在合同文件约定或我国法律规定免除申请人或开立人支付责任的情形；</w:t>
      </w:r>
    </w:p>
    <w:p w14:paraId="7B3888B4">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（5）付款通知应在本保函有效期内到达的地址是：。</w:t>
      </w:r>
    </w:p>
    <w:p w14:paraId="1E962499">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受益人发出的书面付款通知应由其为鉴明受益人法定代表人（负责人）或授权代理人签字并加盖公章。</w:t>
      </w:r>
    </w:p>
    <w:p w14:paraId="0C1D80D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五、本保函项下的权利不得转让，不得设定担保。贵方未经我方书面同意转 让本保函或其项下任何权利，对我方不发生法律效力。 </w:t>
      </w:r>
    </w:p>
    <w:p w14:paraId="6221BF3D">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六、与本保函有关的基础合同不成立、不生效、无效、被撤销、被解除，不影响本保函的独立有效。 </w:t>
      </w:r>
    </w:p>
    <w:p w14:paraId="5DD5C6C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19FF0AB2">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八、本保函适用的法律为中华人民共和国法律，争议裁判管辖地为中华人民共和国。 </w:t>
      </w:r>
    </w:p>
    <w:p w14:paraId="4E02B30E">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九、本保函自我方法定代表人或授权代表签字并加盖公章之日起生效。 </w:t>
      </w:r>
    </w:p>
    <w:p w14:paraId="1CA3B4E6">
      <w:pPr>
        <w:spacing w:line="360" w:lineRule="auto"/>
        <w:ind w:firstLine="480" w:firstLineChars="200"/>
        <w:rPr>
          <w:rFonts w:hint="default" w:asciiTheme="minorEastAsia" w:hAnsiTheme="minorEastAsia" w:eastAsiaTheme="minorEastAsia" w:cstheme="minorEastAsia"/>
          <w:color w:val="auto"/>
          <w:szCs w:val="24"/>
          <w:highlight w:val="none"/>
        </w:rPr>
      </w:pPr>
    </w:p>
    <w:p w14:paraId="00ECE7FF">
      <w:pPr>
        <w:spacing w:line="360" w:lineRule="auto"/>
        <w:ind w:firstLine="480" w:firstLineChars="200"/>
        <w:rPr>
          <w:rFonts w:hint="default" w:asciiTheme="minorEastAsia" w:hAnsiTheme="minorEastAsia" w:eastAsiaTheme="minorEastAsia" w:cstheme="minorEastAsia"/>
          <w:color w:val="auto"/>
          <w:szCs w:val="24"/>
          <w:highlight w:val="none"/>
        </w:rPr>
      </w:pPr>
    </w:p>
    <w:p w14:paraId="3B54549E">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开 立 人：                              （公章） </w:t>
      </w:r>
    </w:p>
    <w:p w14:paraId="3818E265">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法定代表人（或授权代表）：               （签字） </w:t>
      </w:r>
    </w:p>
    <w:p w14:paraId="6C64AC4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地    址：                                       </w:t>
      </w:r>
    </w:p>
    <w:p w14:paraId="3C4842B3">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邮政编码：                 </w:t>
      </w:r>
    </w:p>
    <w:p w14:paraId="661CF12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电    话：                 </w:t>
      </w:r>
    </w:p>
    <w:p w14:paraId="615A48BD">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传    真：                 </w:t>
      </w:r>
    </w:p>
    <w:p w14:paraId="02483F54">
      <w:pPr>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开立时间：      年      月        日</w:t>
      </w:r>
    </w:p>
    <w:p w14:paraId="1B7DF728">
      <w:pPr>
        <w:ind w:firstLine="480" w:firstLineChars="200"/>
        <w:rPr>
          <w:rFonts w:hint="default" w:asciiTheme="minorEastAsia" w:hAnsiTheme="minorEastAsia" w:eastAsiaTheme="minorEastAsia" w:cstheme="minorEastAsia"/>
          <w:color w:val="auto"/>
          <w:szCs w:val="24"/>
          <w:highlight w:val="none"/>
        </w:rPr>
      </w:pPr>
    </w:p>
    <w:p w14:paraId="6E19983E">
      <w:pPr>
        <w:rPr>
          <w:rFonts w:hint="default" w:asciiTheme="minorEastAsia" w:hAnsiTheme="minorEastAsia" w:eastAsiaTheme="minorEastAsia" w:cstheme="minorEastAsia"/>
          <w:color w:val="auto"/>
          <w:highlight w:val="none"/>
        </w:rPr>
      </w:pPr>
    </w:p>
    <w:p w14:paraId="2D1FC0D3">
      <w:pPr>
        <w:rPr>
          <w:rFonts w:hint="default" w:asciiTheme="minorEastAsia" w:hAnsiTheme="minorEastAsia" w:eastAsiaTheme="minorEastAsia" w:cstheme="minorEastAsia"/>
          <w:color w:val="auto"/>
          <w:highlight w:val="none"/>
        </w:rPr>
      </w:pPr>
    </w:p>
    <w:p w14:paraId="42557619">
      <w:pPr>
        <w:rPr>
          <w:rFonts w:hint="default" w:asciiTheme="minorEastAsia" w:hAnsiTheme="minorEastAsia" w:eastAsiaTheme="minorEastAsia" w:cstheme="minorEastAsia"/>
          <w:color w:val="auto"/>
          <w:highlight w:val="none"/>
        </w:rPr>
      </w:pPr>
      <w:bookmarkStart w:id="593" w:name="_Toc6524"/>
    </w:p>
    <w:p w14:paraId="55D38C19">
      <w:pPr>
        <w:rPr>
          <w:rFonts w:hint="default" w:asciiTheme="minorEastAsia" w:hAnsiTheme="minorEastAsia" w:eastAsiaTheme="minorEastAsia" w:cstheme="minorEastAsia"/>
          <w:color w:val="auto"/>
          <w:highlight w:val="none"/>
        </w:rPr>
      </w:pPr>
    </w:p>
    <w:p w14:paraId="381C08B5">
      <w:pPr>
        <w:pStyle w:val="5"/>
        <w:ind w:left="3488" w:leftChars="174" w:hanging="3070" w:hangingChars="1274"/>
        <w:jc w:val="center"/>
        <w:rPr>
          <w:rFonts w:asciiTheme="minorEastAsia" w:hAnsiTheme="minorEastAsia" w:eastAsiaTheme="minorEastAsia" w:cstheme="minorEastAsia"/>
          <w:bCs/>
          <w:color w:val="auto"/>
          <w:szCs w:val="32"/>
          <w:highlight w:val="none"/>
        </w:rPr>
      </w:pPr>
      <w:bookmarkStart w:id="594" w:name="_Toc25691"/>
      <w:bookmarkStart w:id="595" w:name="_Toc18000"/>
      <w:bookmarkStart w:id="596" w:name="_Toc3493"/>
      <w:bookmarkStart w:id="597" w:name="_Toc1606"/>
      <w:bookmarkStart w:id="598" w:name="_Toc7920"/>
      <w:bookmarkStart w:id="599" w:name="_Toc27131"/>
      <w:bookmarkStart w:id="600" w:name="_Toc12376"/>
      <w:bookmarkStart w:id="601" w:name="_Toc1401"/>
      <w:r>
        <w:rPr>
          <w:rFonts w:hint="eastAsia" w:asciiTheme="minorEastAsia" w:hAnsiTheme="minorEastAsia" w:eastAsiaTheme="minorEastAsia" w:cstheme="minorEastAsia"/>
          <w:color w:val="auto"/>
          <w:highlight w:val="none"/>
        </w:rPr>
        <w:br w:type="page"/>
      </w:r>
      <w:bookmarkStart w:id="602" w:name="_Toc9772"/>
      <w:bookmarkStart w:id="603" w:name="_Toc14563"/>
      <w:bookmarkStart w:id="604" w:name="_Toc32625"/>
      <w:bookmarkStart w:id="605" w:name="_Toc24613"/>
      <w:r>
        <w:rPr>
          <w:rFonts w:hint="eastAsia" w:asciiTheme="minorEastAsia" w:hAnsiTheme="minorEastAsia" w:eastAsiaTheme="minorEastAsia" w:cstheme="minorEastAsia"/>
          <w:bCs/>
          <w:color w:val="auto"/>
          <w:sz w:val="32"/>
          <w:szCs w:val="32"/>
          <w:highlight w:val="none"/>
        </w:rPr>
        <w:t>支付保函</w:t>
      </w:r>
      <w:bookmarkEnd w:id="593"/>
      <w:bookmarkEnd w:id="594"/>
      <w:bookmarkEnd w:id="595"/>
      <w:bookmarkEnd w:id="596"/>
      <w:bookmarkEnd w:id="597"/>
      <w:bookmarkEnd w:id="598"/>
      <w:bookmarkEnd w:id="599"/>
      <w:bookmarkEnd w:id="600"/>
      <w:bookmarkEnd w:id="601"/>
      <w:bookmarkEnd w:id="602"/>
      <w:bookmarkEnd w:id="603"/>
      <w:bookmarkEnd w:id="604"/>
      <w:bookmarkEnd w:id="605"/>
    </w:p>
    <w:p w14:paraId="4CB625BE">
      <w:pPr>
        <w:wordWrap w:val="0"/>
        <w:spacing w:line="360" w:lineRule="auto"/>
        <w:jc w:val="right"/>
        <w:rPr>
          <w:rFonts w:hint="default" w:asciiTheme="minorEastAsia" w:hAnsiTheme="minorEastAsia" w:eastAsiaTheme="minorEastAsia" w:cstheme="minorEastAsia"/>
          <w:color w:val="auto"/>
          <w:szCs w:val="21"/>
          <w:highlight w:val="none"/>
        </w:rPr>
      </w:pPr>
      <w:r>
        <w:rPr>
          <w:rFonts w:asciiTheme="minorEastAsia" w:hAnsiTheme="minorEastAsia" w:eastAsiaTheme="minorEastAsia" w:cstheme="minorEastAsia"/>
          <w:color w:val="auto"/>
          <w:szCs w:val="21"/>
          <w:highlight w:val="none"/>
        </w:rPr>
        <w:t xml:space="preserve">编号：           </w:t>
      </w:r>
    </w:p>
    <w:p w14:paraId="2145CBC7">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申请人：</w:t>
      </w:r>
    </w:p>
    <w:p w14:paraId="4EF19F54">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6F0109CC">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受益人：</w:t>
      </w:r>
    </w:p>
    <w:p w14:paraId="77345085">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33224BFD">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开立人：</w:t>
      </w:r>
    </w:p>
    <w:p w14:paraId="2DD83904">
      <w:pPr>
        <w:spacing w:line="360" w:lineRule="auto"/>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  地址：</w:t>
      </w:r>
    </w:p>
    <w:p w14:paraId="417E7FA9">
      <w:pPr>
        <w:spacing w:line="360" w:lineRule="auto"/>
        <w:rPr>
          <w:rFonts w:hint="default" w:asciiTheme="minorEastAsia" w:hAnsiTheme="minorEastAsia" w:eastAsiaTheme="minorEastAsia" w:cstheme="minorEastAsia"/>
          <w:color w:val="auto"/>
          <w:szCs w:val="24"/>
          <w:highlight w:val="none"/>
        </w:rPr>
      </w:pPr>
    </w:p>
    <w:p w14:paraId="50D0E5B4">
      <w:pPr>
        <w:spacing w:line="360" w:lineRule="auto"/>
        <w:rPr>
          <w:rFonts w:hint="default" w:asciiTheme="minorEastAsia" w:hAnsiTheme="minorEastAsia" w:eastAsiaTheme="minorEastAsia" w:cstheme="minorEastAsia"/>
          <w:color w:val="auto"/>
          <w:szCs w:val="24"/>
          <w:highlight w:val="none"/>
        </w:rPr>
      </w:pPr>
      <w:bookmarkStart w:id="606" w:name="_Hlk40355074"/>
      <w:r>
        <w:rPr>
          <w:rFonts w:asciiTheme="minorEastAsia" w:hAnsiTheme="minorEastAsia" w:eastAsiaTheme="minorEastAsia" w:cstheme="minorEastAsia"/>
          <w:color w:val="auto"/>
          <w:szCs w:val="24"/>
          <w:highlight w:val="none"/>
        </w:rPr>
        <w:t xml:space="preserve">（受益人名称）： </w:t>
      </w:r>
    </w:p>
    <w:bookmarkEnd w:id="606"/>
    <w:p w14:paraId="68C6F80F">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鉴于（以下简称“受益人”）与（以下简称“申请人”）于年月日就工程（以下简称“本工程”）施工和有关事项协商一致共同签订</w:t>
      </w:r>
      <w:r>
        <w:rPr>
          <w:rFonts w:asciiTheme="minorEastAsia" w:hAnsiTheme="minorEastAsia" w:eastAsiaTheme="minorEastAsia" w:cstheme="minorEastAsia"/>
          <w:color w:val="auto"/>
          <w:szCs w:val="24"/>
          <w:highlight w:val="none"/>
          <w:u w:val="single"/>
        </w:rPr>
        <w:t>《        》</w:t>
      </w:r>
      <w:r>
        <w:rPr>
          <w:rFonts w:asciiTheme="minorEastAsia" w:hAnsiTheme="minorEastAsia" w:eastAsiaTheme="minorEastAsia" w:cstheme="minorEastAsia"/>
          <w:color w:val="auto"/>
          <w:szCs w:val="24"/>
          <w:highlight w:val="none"/>
        </w:rPr>
        <w:t xml:space="preserve">（以下简称“基础合同”），我方（即“开立人”）根据基础合同了解到申请人为基础合同项下之招标人，受益人为基础合同项下之中标人，基于申请人的请求，我方同意就申请人履行与贵方签订的基础合同项下的工程款（指基础合同约定的除工程质量保修金以外的工程款）付款义务，向贵方提供不可撤销、不可转让的见索即付独立保函（以下简称“本保函”）。 </w:t>
      </w:r>
    </w:p>
    <w:p w14:paraId="58E533D0">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一、本保函担保范围：申请人未履行基础合同约定的工程款支付义务，应当向贵方承担的违约责任和赔偿因此造成的损失、利息、律师费、诉讼费用等实现债权的费用。</w:t>
      </w:r>
    </w:p>
    <w:p w14:paraId="3DD9C63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二、本保函担保金额最高不超过人民币（大写）元（¥）。 </w:t>
      </w:r>
    </w:p>
    <w:p w14:paraId="058B524D">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三、本保函有效期自开立之日起至基础合同约定的除工程质量保修金以外的全部工程结算款项支付之日后日止，最迟不超过年月日。 </w:t>
      </w:r>
    </w:p>
    <w:p w14:paraId="2671B5E0">
      <w:pPr>
        <w:spacing w:line="360" w:lineRule="auto"/>
        <w:ind w:firstLine="48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四、我方承诺，在收到受益人发来的书面付款通知后的日内无条件支付，前述书面付款通知即为付款要求之单据，且应满足以下要求：</w:t>
      </w:r>
    </w:p>
    <w:p w14:paraId="4474D2B8">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（1）付款通知到达的日期在本保函的有效期内；</w:t>
      </w:r>
    </w:p>
    <w:p w14:paraId="7B5F38A0">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（2）载明要求支付的金额；</w:t>
      </w:r>
    </w:p>
    <w:p w14:paraId="275880E5">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（3）载明申请人违反合同义务的条款和内容；</w:t>
      </w:r>
    </w:p>
    <w:p w14:paraId="277D38AA">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（4）声明不存在合同文件约定或我国法律规定免除申请人或开立人支付责任的情形；</w:t>
      </w:r>
    </w:p>
    <w:p w14:paraId="4877B0CF">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（5）付款通知应在本保函有效期内到达的地址是：。</w:t>
      </w:r>
    </w:p>
    <w:p w14:paraId="12FCEC1A">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受益人发出的书面付款通知应由其为鉴明受益人法定代表人（负责人）或授权代理人签字并加盖公章。</w:t>
      </w:r>
    </w:p>
    <w:p w14:paraId="1D1C31A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五、本保函项下的权利不得转让，不得设定担保。贵方未经我方书面同意转 让本保函或其项下任何权利，对我方不发生法律效力。 </w:t>
      </w:r>
    </w:p>
    <w:p w14:paraId="5D71C4E2">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六、与本保函有关的基础合同不成立、不生效、无效、被撤销、被解除，不影响本保函的独立有效。 </w:t>
      </w:r>
    </w:p>
    <w:p w14:paraId="3AA97AA0">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7659B8D1">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八、本保函适用的法律为中华人民共和国法律，争议裁判管辖地为中华人民共和国。 </w:t>
      </w:r>
    </w:p>
    <w:p w14:paraId="73E6077E">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九、本保函自我方法定代表人</w:t>
      </w:r>
      <w:bookmarkStart w:id="607" w:name="_Hlk58487855"/>
      <w:r>
        <w:rPr>
          <w:rFonts w:asciiTheme="minorEastAsia" w:hAnsiTheme="minorEastAsia" w:eastAsiaTheme="minorEastAsia" w:cstheme="minorEastAsia"/>
          <w:color w:val="auto"/>
          <w:szCs w:val="24"/>
          <w:highlight w:val="none"/>
        </w:rPr>
        <w:t>或授权代表</w:t>
      </w:r>
      <w:bookmarkEnd w:id="607"/>
      <w:r>
        <w:rPr>
          <w:rFonts w:asciiTheme="minorEastAsia" w:hAnsiTheme="minorEastAsia" w:eastAsiaTheme="minorEastAsia" w:cstheme="minorEastAsia"/>
          <w:color w:val="auto"/>
          <w:szCs w:val="24"/>
          <w:highlight w:val="none"/>
        </w:rPr>
        <w:t xml:space="preserve">签字并加盖公章之日起生效。 </w:t>
      </w:r>
    </w:p>
    <w:p w14:paraId="7D352C6C">
      <w:pPr>
        <w:spacing w:line="360" w:lineRule="auto"/>
        <w:ind w:firstLine="480" w:firstLineChars="200"/>
        <w:rPr>
          <w:rFonts w:hint="default" w:asciiTheme="minorEastAsia" w:hAnsiTheme="minorEastAsia" w:eastAsiaTheme="minorEastAsia" w:cstheme="minorEastAsia"/>
          <w:color w:val="auto"/>
          <w:szCs w:val="24"/>
          <w:highlight w:val="none"/>
        </w:rPr>
      </w:pPr>
    </w:p>
    <w:p w14:paraId="020C8996">
      <w:pPr>
        <w:spacing w:line="360" w:lineRule="auto"/>
        <w:ind w:firstLine="480" w:firstLineChars="200"/>
        <w:rPr>
          <w:rFonts w:hint="default" w:asciiTheme="minorEastAsia" w:hAnsiTheme="minorEastAsia" w:eastAsiaTheme="minorEastAsia" w:cstheme="minorEastAsia"/>
          <w:color w:val="auto"/>
          <w:szCs w:val="24"/>
          <w:highlight w:val="none"/>
        </w:rPr>
      </w:pPr>
    </w:p>
    <w:p w14:paraId="44E04DEC">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开 立 人：                              （公章） </w:t>
      </w:r>
    </w:p>
    <w:p w14:paraId="2BD0F866">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法定代表人（或授权代表）：               （签字） </w:t>
      </w:r>
    </w:p>
    <w:p w14:paraId="71C2CB34">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地    址：                                       </w:t>
      </w:r>
    </w:p>
    <w:p w14:paraId="51B88187">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邮政编码：                 </w:t>
      </w:r>
    </w:p>
    <w:p w14:paraId="78D8B056">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电    话：                 </w:t>
      </w:r>
    </w:p>
    <w:p w14:paraId="194A1529">
      <w:pPr>
        <w:spacing w:line="360" w:lineRule="auto"/>
        <w:ind w:firstLine="480" w:firstLineChars="200"/>
        <w:rPr>
          <w:rFonts w:hint="default" w:asciiTheme="minorEastAsia" w:hAnsiTheme="minorEastAsia" w:eastAsiaTheme="minorEastAsia" w:cstheme="minorEastAsia"/>
          <w:color w:val="auto"/>
          <w:szCs w:val="24"/>
          <w:highlight w:val="none"/>
        </w:rPr>
      </w:pPr>
      <w:r>
        <w:rPr>
          <w:rFonts w:asciiTheme="minorEastAsia" w:hAnsiTheme="minorEastAsia" w:eastAsiaTheme="minorEastAsia" w:cstheme="minorEastAsia"/>
          <w:color w:val="auto"/>
          <w:szCs w:val="24"/>
          <w:highlight w:val="none"/>
        </w:rPr>
        <w:t xml:space="preserve">传    真：                 </w:t>
      </w:r>
    </w:p>
    <w:p w14:paraId="3831A9D2">
      <w:pPr>
        <w:spacing w:line="360" w:lineRule="auto"/>
        <w:ind w:firstLine="480" w:firstLineChars="200"/>
        <w:rPr>
          <w:rFonts w:hint="default"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szCs w:val="24"/>
          <w:highlight w:val="none"/>
        </w:rPr>
        <w:t>开立时间：      年      月        日</w:t>
      </w:r>
    </w:p>
    <w:p w14:paraId="4882FE06">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p>
    <w:p w14:paraId="4F021EA8">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p>
    <w:p w14:paraId="0B4AC69B">
      <w:pPr>
        <w:pStyle w:val="27"/>
        <w:rPr>
          <w:rFonts w:hint="eastAsia"/>
          <w:color w:val="auto"/>
          <w:highlight w:val="none"/>
        </w:rPr>
      </w:pPr>
    </w:p>
    <w:p w14:paraId="5DAB25F6">
      <w:pPr>
        <w:pStyle w:val="27"/>
        <w:rPr>
          <w:rFonts w:hint="eastAsia"/>
          <w:color w:val="auto"/>
          <w:highlight w:val="none"/>
        </w:rPr>
      </w:pPr>
    </w:p>
    <w:p w14:paraId="5A979E51">
      <w:pPr>
        <w:pStyle w:val="27"/>
        <w:rPr>
          <w:rFonts w:hint="eastAsia"/>
          <w:color w:val="auto"/>
          <w:highlight w:val="none"/>
        </w:rPr>
      </w:pPr>
    </w:p>
    <w:p w14:paraId="1706870F">
      <w:pPr>
        <w:pStyle w:val="27"/>
        <w:rPr>
          <w:rFonts w:hint="eastAsia"/>
          <w:color w:val="auto"/>
          <w:highlight w:val="none"/>
        </w:rPr>
      </w:pPr>
    </w:p>
    <w:p w14:paraId="1FCA586B">
      <w:pPr>
        <w:pStyle w:val="27"/>
        <w:rPr>
          <w:rFonts w:hint="eastAsia"/>
          <w:color w:val="auto"/>
          <w:highlight w:val="none"/>
        </w:rPr>
      </w:pPr>
    </w:p>
    <w:p w14:paraId="6070C4F2">
      <w:pPr>
        <w:pStyle w:val="27"/>
        <w:rPr>
          <w:rFonts w:hint="eastAsia"/>
          <w:color w:val="auto"/>
          <w:highlight w:val="none"/>
        </w:rPr>
      </w:pPr>
    </w:p>
    <w:p w14:paraId="70E2F261">
      <w:pPr>
        <w:pStyle w:val="27"/>
        <w:rPr>
          <w:rFonts w:hint="eastAsia"/>
          <w:color w:val="auto"/>
          <w:highlight w:val="none"/>
        </w:rPr>
      </w:pPr>
    </w:p>
    <w:p w14:paraId="736B026E">
      <w:pPr>
        <w:pStyle w:val="27"/>
        <w:rPr>
          <w:rFonts w:hint="eastAsia"/>
          <w:color w:val="auto"/>
          <w:highlight w:val="none"/>
        </w:rPr>
      </w:pPr>
    </w:p>
    <w:p w14:paraId="0934D5BF">
      <w:pPr>
        <w:pStyle w:val="27"/>
        <w:rPr>
          <w:rFonts w:hint="eastAsia"/>
          <w:color w:val="auto"/>
          <w:highlight w:val="none"/>
        </w:rPr>
      </w:pPr>
    </w:p>
    <w:p w14:paraId="31581DF8">
      <w:pPr>
        <w:pStyle w:val="27"/>
        <w:rPr>
          <w:rFonts w:hint="eastAsia"/>
          <w:color w:val="auto"/>
          <w:highlight w:val="none"/>
        </w:rPr>
      </w:pPr>
    </w:p>
    <w:p w14:paraId="68F4345C">
      <w:pPr>
        <w:pStyle w:val="27"/>
        <w:rPr>
          <w:rFonts w:hint="eastAsia"/>
          <w:color w:val="auto"/>
          <w:highlight w:val="none"/>
        </w:rPr>
      </w:pPr>
    </w:p>
    <w:p w14:paraId="1BBF5DBF">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bookmarkStart w:id="608" w:name="_Toc22182"/>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eastAsia="zh-CN"/>
        </w:rPr>
        <w:t>七</w:t>
      </w:r>
      <w:r>
        <w:rPr>
          <w:rFonts w:hint="eastAsia" w:asciiTheme="minorEastAsia" w:hAnsiTheme="minorEastAsia" w:eastAsiaTheme="minorEastAsia" w:cstheme="minorEastAsia"/>
          <w:b/>
          <w:color w:val="auto"/>
          <w:kern w:val="44"/>
          <w:sz w:val="36"/>
          <w:szCs w:val="36"/>
          <w:highlight w:val="none"/>
        </w:rPr>
        <w:t xml:space="preserve">章  </w:t>
      </w:r>
      <w:bookmarkEnd w:id="426"/>
      <w:bookmarkEnd w:id="427"/>
      <w:bookmarkEnd w:id="428"/>
      <w:bookmarkEnd w:id="429"/>
      <w:bookmarkEnd w:id="537"/>
      <w:r>
        <w:rPr>
          <w:rFonts w:hint="eastAsia" w:asciiTheme="minorEastAsia" w:hAnsiTheme="minorEastAsia" w:eastAsiaTheme="minorEastAsia" w:cstheme="minorEastAsia"/>
          <w:b/>
          <w:color w:val="auto"/>
          <w:kern w:val="44"/>
          <w:sz w:val="36"/>
          <w:szCs w:val="36"/>
          <w:highlight w:val="none"/>
        </w:rPr>
        <w:t>建设工程合同</w:t>
      </w:r>
      <w:bookmarkEnd w:id="538"/>
      <w:bookmarkEnd w:id="539"/>
      <w:bookmarkEnd w:id="540"/>
      <w:bookmarkEnd w:id="541"/>
      <w:bookmarkEnd w:id="542"/>
      <w:bookmarkEnd w:id="543"/>
      <w:bookmarkEnd w:id="544"/>
      <w:bookmarkEnd w:id="545"/>
      <w:bookmarkEnd w:id="546"/>
      <w:bookmarkEnd w:id="608"/>
    </w:p>
    <w:p w14:paraId="0F897F45">
      <w:pPr>
        <w:rPr>
          <w:rFonts w:hint="eastAsia" w:asciiTheme="minorEastAsia" w:hAnsiTheme="minorEastAsia" w:eastAsiaTheme="minorEastAsia" w:cstheme="minorEastAsia"/>
          <w:color w:val="auto"/>
          <w:highlight w:val="none"/>
        </w:rPr>
      </w:pPr>
    </w:p>
    <w:p w14:paraId="730BB770">
      <w:pPr>
        <w:rPr>
          <w:rFonts w:hint="eastAsia" w:asciiTheme="minorEastAsia" w:hAnsiTheme="minorEastAsia" w:eastAsiaTheme="minorEastAsia" w:cstheme="minorEastAsia"/>
          <w:color w:val="auto"/>
          <w:highlight w:val="none"/>
        </w:rPr>
      </w:pPr>
    </w:p>
    <w:bookmarkEnd w:id="430"/>
    <w:bookmarkEnd w:id="431"/>
    <w:p w14:paraId="005528F3">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略。总承包合同参照住房城乡建设部、国家工商行政管理总局制定的《建设项目工程总承包合同（示范文本）》GF-2020-0216。</w:t>
      </w:r>
    </w:p>
    <w:p w14:paraId="24B25B65">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施工合同按广东省建设厅《广东省建设工程标准施工合同》范本（2009）执行。</w:t>
      </w:r>
    </w:p>
    <w:p w14:paraId="1DCDC40D">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设计合同按住房城乡建设部、国家工商行政管理总局制定《建设工程设计合同示范文本（市政公用工程）》（GF-2015-0209）、《建设工程设计合同示范文本（专业建设工程）》（GF-2015-0210）执行。 </w:t>
      </w:r>
    </w:p>
    <w:p w14:paraId="3CDCE4E6">
      <w:pPr>
        <w:spacing w:line="420" w:lineRule="atLeast"/>
        <w:ind w:firstLine="480" w:firstLineChars="200"/>
        <w:rPr>
          <w:rFonts w:hint="eastAsia" w:asciiTheme="minorEastAsia" w:hAnsiTheme="minorEastAsia" w:eastAsiaTheme="minorEastAsia" w:cstheme="minorEastAsia"/>
          <w:color w:val="auto"/>
          <w:highlight w:val="none"/>
        </w:rPr>
      </w:pPr>
    </w:p>
    <w:p w14:paraId="2C83B56E">
      <w:pPr>
        <w:spacing w:line="420" w:lineRule="atLeast"/>
        <w:ind w:firstLine="480" w:firstLineChars="200"/>
        <w:rPr>
          <w:rFonts w:hint="eastAsia" w:asciiTheme="minorEastAsia" w:hAnsiTheme="minorEastAsia" w:eastAsiaTheme="minorEastAsia" w:cstheme="minorEastAsia"/>
          <w:color w:val="auto"/>
          <w:highlight w:val="none"/>
        </w:rPr>
      </w:pPr>
    </w:p>
    <w:p w14:paraId="4BBD6249">
      <w:pPr>
        <w:rPr>
          <w:rFonts w:hint="eastAsia" w:asciiTheme="minorEastAsia" w:hAnsiTheme="minorEastAsia" w:eastAsiaTheme="minorEastAsia" w:cstheme="minorEastAsia"/>
          <w:color w:val="auto"/>
          <w:highlight w:val="none"/>
        </w:rPr>
      </w:pPr>
    </w:p>
    <w:sectPr>
      <w:headerReference r:id="rId9" w:type="default"/>
      <w:footerReference r:id="rId10" w:type="default"/>
      <w:endnotePr>
        <w:numFmt w:val="decimal"/>
      </w:endnotePr>
      <w:pgSz w:w="11905" w:h="16838"/>
      <w:pgMar w:top="1134" w:right="1134" w:bottom="1134" w:left="1417" w:header="850" w:footer="992" w:gutter="0"/>
      <w:pgNumType w:fmt="decimal"/>
      <w:cols w:space="0" w:num="1"/>
      <w:rtlGutter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FZXiaoBiaoSongB05S">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03362">
    <w:pPr>
      <w:pStyle w:val="63"/>
      <w:tabs>
        <w:tab w:val="left" w:pos="4803"/>
        <w:tab w:val="clear" w:pos="4153"/>
      </w:tabs>
    </w:pPr>
    <w:r>
      <w:rPr>
        <w:rFonts w:hint="eastAsia"/>
      </w:rPr>
      <w:tab/>
    </w:r>
  </w:p>
  <w:p w14:paraId="40C258FE">
    <w:pPr>
      <w:pStyle w:val="6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8D077">
    <w:pPr>
      <w:pStyle w:val="63"/>
      <w:tabs>
        <w:tab w:val="left" w:pos="4803"/>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B545A3">
                          <w:pPr>
                            <w:pStyle w:val="14"/>
                          </w:pPr>
                          <w:r>
                            <w:fldChar w:fldCharType="begin"/>
                          </w:r>
                          <w:r>
                            <w:instrText xml:space="preserve"> PAGE  \* MERGEFORMAT </w:instrText>
                          </w:r>
                          <w:r>
                            <w:fldChar w:fldCharType="separate"/>
                          </w:r>
                          <w:r>
                            <w:t>１</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PkP8kBAACZ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xw+Q/yQEAAJkDAAAOAAAAAAAAAAEAIAAAAB4BAABkcnMvZTJvRG9j&#10;LnhtbFBLBQYAAAAABgAGAFkBAABZBQAAAAA=&#10;">
              <v:fill on="f" focussize="0,0"/>
              <v:stroke on="f"/>
              <v:imagedata o:title=""/>
              <o:lock v:ext="edit" aspectratio="f"/>
              <v:textbox inset="0mm,0mm,0mm,0mm" style="mso-fit-shape-to-text:t;">
                <w:txbxContent>
                  <w:p w14:paraId="56B545A3">
                    <w:pPr>
                      <w:pStyle w:val="14"/>
                    </w:pPr>
                    <w:r>
                      <w:fldChar w:fldCharType="begin"/>
                    </w:r>
                    <w:r>
                      <w:instrText xml:space="preserve"> PAGE  \* MERGEFORMAT </w:instrText>
                    </w:r>
                    <w:r>
                      <w:fldChar w:fldCharType="separate"/>
                    </w:r>
                    <w:r>
                      <w:t>１</w:t>
                    </w:r>
                    <w:r>
                      <w:fldChar w:fldCharType="end"/>
                    </w:r>
                  </w:p>
                </w:txbxContent>
              </v:textbox>
            </v:shape>
          </w:pict>
        </mc:Fallback>
      </mc:AlternateContent>
    </w:r>
    <w:r>
      <w:rPr>
        <w:rFonts w:hint="eastAsia"/>
      </w:rPr>
      <w:tab/>
    </w:r>
  </w:p>
  <w:p w14:paraId="21EB2C10">
    <w:pPr>
      <w:pStyle w:val="6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B44B6">
    <w:pPr>
      <w:pStyle w:val="63"/>
      <w:tabs>
        <w:tab w:val="left" w:pos="4803"/>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1C43C">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６４</w:t>
                          </w:r>
                          <w:r>
                            <w:rPr>
                              <w:rFonts w:hint="default"/>
                            </w:rPr>
                            <w:fldChar w:fldCharType="end"/>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COztjLAQAAnAMAAA4AAAAAAAAAAQAgAAAAHgEAAGRycy9lMm9E&#10;b2MueG1sUEsFBgAAAAAGAAYAWQEAAFsFAAAAAA==&#10;">
              <v:fill on="f" focussize="0,0"/>
              <v:stroke on="f"/>
              <v:imagedata o:title=""/>
              <o:lock v:ext="edit" aspectratio="f"/>
              <v:textbox inset="0mm,0mm,0mm,0mm" style="mso-fit-shape-to-text:t;">
                <w:txbxContent>
                  <w:p w14:paraId="6791C43C">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６４</w:t>
                    </w:r>
                    <w:r>
                      <w:rPr>
                        <w:rFonts w:hint="default"/>
                      </w:rPr>
                      <w:fldChar w:fldCharType="end"/>
                    </w:r>
                  </w:p>
                </w:txbxContent>
              </v:textbox>
            </v:shape>
          </w:pict>
        </mc:Fallback>
      </mc:AlternateContent>
    </w:r>
    <w:r>
      <w:rPr>
        <w:rFonts w:hint="eastAsia"/>
      </w:rPr>
      <w:tab/>
    </w:r>
  </w:p>
  <w:p w14:paraId="579C4CA9">
    <w:pPr>
      <w:pStyle w:val="6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E9C8F">
    <w:pPr>
      <w:pStyle w:val="14"/>
      <w:jc w:val="center"/>
      <w:rPr>
        <w:rFonts w:hint="default"/>
        <w:szCs w:val="24"/>
      </w:rPr>
    </w:pPr>
    <w:r>
      <w:rPr>
        <w:rFonts w:hint="default"/>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00406A">
                          <w:pPr>
                            <w:pStyle w:val="14"/>
                            <w:rPr>
                              <w:rFonts w:hint="default"/>
                            </w:rPr>
                          </w:pPr>
                          <w:r>
                            <w:fldChar w:fldCharType="begin"/>
                          </w:r>
                          <w:r>
                            <w:instrText xml:space="preserve"> PAGE  \* MERGEFORMAT </w:instrText>
                          </w:r>
                          <w:r>
                            <w:fldChar w:fldCharType="separate"/>
                          </w:r>
                          <w:r>
                            <w:rPr>
                              <w:rFonts w:hint="default"/>
                            </w:rPr>
                            <w:t>120</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U4UQnM0BAACnAwAADgAAAAAAAAABACAAAAAeAQAAZHJzL2Uy&#10;b0RvYy54bWxQSwUGAAAAAAYABgBZAQAAXQUAAAAA&#10;">
              <v:fill on="f" focussize="0,0"/>
              <v:stroke on="f"/>
              <v:imagedata o:title=""/>
              <o:lock v:ext="edit" aspectratio="f"/>
              <v:textbox inset="0mm,0mm,0mm,0mm" style="mso-fit-shape-to-text:t;">
                <w:txbxContent>
                  <w:p w14:paraId="7000406A">
                    <w:pPr>
                      <w:pStyle w:val="14"/>
                      <w:rPr>
                        <w:rFonts w:hint="default"/>
                      </w:rPr>
                    </w:pPr>
                    <w:r>
                      <w:fldChar w:fldCharType="begin"/>
                    </w:r>
                    <w:r>
                      <w:instrText xml:space="preserve"> PAGE  \* MERGEFORMAT </w:instrText>
                    </w:r>
                    <w:r>
                      <w:fldChar w:fldCharType="separate"/>
                    </w:r>
                    <w:r>
                      <w:rPr>
                        <w:rFonts w:hint="default"/>
                      </w:rPr>
                      <w:t>120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ABE80">
    <w:pPr>
      <w:pStyle w:val="14"/>
      <w:jc w:val="center"/>
      <w:rPr>
        <w:rFonts w:hint="default"/>
        <w:szCs w:val="24"/>
      </w:rPr>
    </w:pPr>
    <w:r>
      <w:rPr>
        <w:rFonts w:hint="defaul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3840" cy="126365"/>
              <wp:effectExtent l="0" t="0" r="0" b="0"/>
              <wp:wrapNone/>
              <wp:docPr id="3" name="文本框 1034"/>
              <wp:cNvGraphicFramePr/>
              <a:graphic xmlns:a="http://schemas.openxmlformats.org/drawingml/2006/main">
                <a:graphicData uri="http://schemas.microsoft.com/office/word/2010/wordprocessingShape">
                  <wps:wsp>
                    <wps:cNvSpPr txBox="1"/>
                    <wps:spPr>
                      <a:xfrm>
                        <a:off x="0" y="0"/>
                        <a:ext cx="243840" cy="126365"/>
                      </a:xfrm>
                      <a:prstGeom prst="rect">
                        <a:avLst/>
                      </a:prstGeom>
                      <a:noFill/>
                      <a:ln>
                        <a:noFill/>
                      </a:ln>
                    </wps:spPr>
                    <wps:txbx>
                      <w:txbxContent>
                        <w:p w14:paraId="0115650F">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７６</w:t>
                          </w:r>
                          <w:r>
                            <w:rPr>
                              <w:rFonts w:hint="default"/>
                            </w:rPr>
                            <w:fldChar w:fldCharType="end"/>
                          </w:r>
                        </w:p>
                      </w:txbxContent>
                    </wps:txbx>
                    <wps:bodyPr wrap="square" lIns="0" tIns="0" rIns="0" bIns="0" upright="1">
                      <a:noAutofit/>
                    </wps:bodyPr>
                  </wps:wsp>
                </a:graphicData>
              </a:graphic>
            </wp:anchor>
          </w:drawing>
        </mc:Choice>
        <mc:Fallback>
          <w:pict>
            <v:shape id="文本框 1034" o:spid="_x0000_s1026" o:spt="202" type="#_x0000_t202" style="position:absolute;left:0pt;margin-top:0pt;height:9.95pt;width:19.2pt;mso-position-horizontal:center;mso-position-horizontal-relative:margin;z-index:251659264;mso-width-relative:page;mso-height-relative:page;" filled="f" stroked="f" coordsize="21600,21600" o:gfxdata="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Q00UbTAAAAAwEAAA8AAAAAAAAAAQAgAAAAIgAAAGRy&#10;cy9kb3ducmV2LnhtbFBLAQIUABQAAAAIAIdO4kB3iz6a0QEAAJwDAAAOAAAAAAAAAAEAIAAAACIB&#10;AABkcnMvZTJvRG9jLnhtbFBLBQYAAAAABgAGAFkBAABlBQAAAAA=&#10;">
              <v:fill on="f" focussize="0,0"/>
              <v:stroke on="f"/>
              <v:imagedata o:title=""/>
              <o:lock v:ext="edit" aspectratio="f"/>
              <v:textbox inset="0mm,0mm,0mm,0mm">
                <w:txbxContent>
                  <w:p w14:paraId="0115650F">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７６</w:t>
                    </w:r>
                    <w:r>
                      <w:rPr>
                        <w:rFonts w:hint="default"/>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9A3E1">
    <w:pPr>
      <w:jc w:val="center"/>
      <w:rPr>
        <w:rFonts w:hint="default"/>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B598">
    <w:pPr>
      <w:pStyle w:val="15"/>
      <w:pBdr>
        <w:bottom w:val="none" w:color="auto" w:sz="0" w:space="0"/>
      </w:pBdr>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459E0">
    <w:pPr>
      <w:pStyle w:val="15"/>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ABDD9F"/>
    <w:multiLevelType w:val="singleLevel"/>
    <w:tmpl w:val="CFABDD9F"/>
    <w:lvl w:ilvl="0" w:tentative="0">
      <w:start w:val="1"/>
      <w:numFmt w:val="decimal"/>
      <w:suff w:val="nothing"/>
      <w:lvlText w:val="（%1）"/>
      <w:lvlJc w:val="left"/>
    </w:lvl>
  </w:abstractNum>
  <w:abstractNum w:abstractNumId="1">
    <w:nsid w:val="116A4141"/>
    <w:multiLevelType w:val="singleLevel"/>
    <w:tmpl w:val="116A4141"/>
    <w:lvl w:ilvl="0" w:tentative="0">
      <w:start w:val="1"/>
      <w:numFmt w:val="decimal"/>
      <w:lvlText w:val="%1."/>
      <w:lvlJc w:val="left"/>
      <w:pPr>
        <w:tabs>
          <w:tab w:val="left" w:pos="312"/>
        </w:tabs>
      </w:pPr>
      <w:rPr>
        <w:rFonts w:hint="default" w:ascii="宋体" w:hAnsi="宋体" w:eastAsia="宋体" w:cs="宋体"/>
        <w:b w:val="0"/>
        <w:bCs w:val="0"/>
      </w:rPr>
    </w:lvl>
  </w:abstractNum>
  <w:abstractNum w:abstractNumId="2">
    <w:nsid w:val="20ADDDEE"/>
    <w:multiLevelType w:val="singleLevel"/>
    <w:tmpl w:val="20ADDDEE"/>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hideSpellingErrors/>
  <w:trackRevisions w:val="1"/>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wODVlY2VhN2YyM2M3OTE2NzVhMzBhN2IzN2U4YzgifQ=="/>
  </w:docVars>
  <w:rsids>
    <w:rsidRoot w:val="4C5944B1"/>
    <w:rsid w:val="000F7646"/>
    <w:rsid w:val="001E0850"/>
    <w:rsid w:val="00281ECB"/>
    <w:rsid w:val="002F176F"/>
    <w:rsid w:val="003A1942"/>
    <w:rsid w:val="003E2709"/>
    <w:rsid w:val="005E6BB8"/>
    <w:rsid w:val="0064163D"/>
    <w:rsid w:val="007C3F91"/>
    <w:rsid w:val="008C4168"/>
    <w:rsid w:val="00901845"/>
    <w:rsid w:val="00936991"/>
    <w:rsid w:val="00943625"/>
    <w:rsid w:val="00954357"/>
    <w:rsid w:val="00954A54"/>
    <w:rsid w:val="00A322B9"/>
    <w:rsid w:val="00A80EA7"/>
    <w:rsid w:val="00AF685C"/>
    <w:rsid w:val="00B16179"/>
    <w:rsid w:val="00B37196"/>
    <w:rsid w:val="00C04E0C"/>
    <w:rsid w:val="00CB07F4"/>
    <w:rsid w:val="00CD4D5B"/>
    <w:rsid w:val="00D561CD"/>
    <w:rsid w:val="00DA5A23"/>
    <w:rsid w:val="00E76514"/>
    <w:rsid w:val="00ED4B12"/>
    <w:rsid w:val="012053FD"/>
    <w:rsid w:val="016A5229"/>
    <w:rsid w:val="01D230AA"/>
    <w:rsid w:val="025738F9"/>
    <w:rsid w:val="02665093"/>
    <w:rsid w:val="03413A39"/>
    <w:rsid w:val="03614C71"/>
    <w:rsid w:val="03724869"/>
    <w:rsid w:val="03EC2B12"/>
    <w:rsid w:val="04360B53"/>
    <w:rsid w:val="04C5488E"/>
    <w:rsid w:val="05AF4437"/>
    <w:rsid w:val="05BD348C"/>
    <w:rsid w:val="05C72C4A"/>
    <w:rsid w:val="0694486B"/>
    <w:rsid w:val="07C83357"/>
    <w:rsid w:val="08915791"/>
    <w:rsid w:val="08C47915"/>
    <w:rsid w:val="092752BD"/>
    <w:rsid w:val="09C2734F"/>
    <w:rsid w:val="0AA572D2"/>
    <w:rsid w:val="0ABC6C41"/>
    <w:rsid w:val="0AD7112E"/>
    <w:rsid w:val="0B3C389E"/>
    <w:rsid w:val="0B633415"/>
    <w:rsid w:val="0CC53C5B"/>
    <w:rsid w:val="0D5374B9"/>
    <w:rsid w:val="0D611BD6"/>
    <w:rsid w:val="0DC7755F"/>
    <w:rsid w:val="0DD759F4"/>
    <w:rsid w:val="0DDF6F9F"/>
    <w:rsid w:val="0DF73507"/>
    <w:rsid w:val="0DFB23C6"/>
    <w:rsid w:val="0E323572"/>
    <w:rsid w:val="0E532A37"/>
    <w:rsid w:val="0F0A0D37"/>
    <w:rsid w:val="0F87344A"/>
    <w:rsid w:val="0F930041"/>
    <w:rsid w:val="0FB24E29"/>
    <w:rsid w:val="0FF30054"/>
    <w:rsid w:val="10152198"/>
    <w:rsid w:val="101C0036"/>
    <w:rsid w:val="10BD6F35"/>
    <w:rsid w:val="10ED3781"/>
    <w:rsid w:val="111E43B6"/>
    <w:rsid w:val="122A5805"/>
    <w:rsid w:val="12F93383"/>
    <w:rsid w:val="13156E63"/>
    <w:rsid w:val="136F33BB"/>
    <w:rsid w:val="13D27BED"/>
    <w:rsid w:val="13D44784"/>
    <w:rsid w:val="143C0CA7"/>
    <w:rsid w:val="143E4F65"/>
    <w:rsid w:val="14BB6070"/>
    <w:rsid w:val="154E2175"/>
    <w:rsid w:val="1606331B"/>
    <w:rsid w:val="17C6385E"/>
    <w:rsid w:val="182757CA"/>
    <w:rsid w:val="18BD67FB"/>
    <w:rsid w:val="18CA5813"/>
    <w:rsid w:val="19002378"/>
    <w:rsid w:val="199A279A"/>
    <w:rsid w:val="1A0C3421"/>
    <w:rsid w:val="1A3B37AF"/>
    <w:rsid w:val="1A803388"/>
    <w:rsid w:val="1A937147"/>
    <w:rsid w:val="1A98475D"/>
    <w:rsid w:val="1AA650CC"/>
    <w:rsid w:val="1B8316E7"/>
    <w:rsid w:val="1BC03F6C"/>
    <w:rsid w:val="1BC11A92"/>
    <w:rsid w:val="1BC62A56"/>
    <w:rsid w:val="1BF75DAD"/>
    <w:rsid w:val="1C6061C5"/>
    <w:rsid w:val="1CAE2016"/>
    <w:rsid w:val="1CDE71ED"/>
    <w:rsid w:val="1CF540E9"/>
    <w:rsid w:val="1DC85359"/>
    <w:rsid w:val="1DD17DF6"/>
    <w:rsid w:val="1E37603B"/>
    <w:rsid w:val="1E480248"/>
    <w:rsid w:val="1E5310C7"/>
    <w:rsid w:val="1E787E3F"/>
    <w:rsid w:val="1E8F40C9"/>
    <w:rsid w:val="1EAA5FC0"/>
    <w:rsid w:val="1F6C0986"/>
    <w:rsid w:val="1F9951FF"/>
    <w:rsid w:val="20315438"/>
    <w:rsid w:val="20605594"/>
    <w:rsid w:val="20B144DF"/>
    <w:rsid w:val="20C80F30"/>
    <w:rsid w:val="218C669E"/>
    <w:rsid w:val="21933ED0"/>
    <w:rsid w:val="21C422DC"/>
    <w:rsid w:val="221F7512"/>
    <w:rsid w:val="22325486"/>
    <w:rsid w:val="22583E86"/>
    <w:rsid w:val="231B77CA"/>
    <w:rsid w:val="235B27CC"/>
    <w:rsid w:val="23A1327F"/>
    <w:rsid w:val="23BE3486"/>
    <w:rsid w:val="24831FDA"/>
    <w:rsid w:val="24F44686"/>
    <w:rsid w:val="25186BC6"/>
    <w:rsid w:val="2578303A"/>
    <w:rsid w:val="257D5076"/>
    <w:rsid w:val="25E707F7"/>
    <w:rsid w:val="266F2816"/>
    <w:rsid w:val="268F110A"/>
    <w:rsid w:val="26AE028C"/>
    <w:rsid w:val="26B13D68"/>
    <w:rsid w:val="27202E8E"/>
    <w:rsid w:val="27520628"/>
    <w:rsid w:val="276E106B"/>
    <w:rsid w:val="27745DC1"/>
    <w:rsid w:val="27A26C1B"/>
    <w:rsid w:val="28335AC5"/>
    <w:rsid w:val="28471B63"/>
    <w:rsid w:val="284E28FF"/>
    <w:rsid w:val="28CA1F8E"/>
    <w:rsid w:val="29471828"/>
    <w:rsid w:val="2A1E362B"/>
    <w:rsid w:val="2A3B7436"/>
    <w:rsid w:val="2A7F1496"/>
    <w:rsid w:val="2A994305"/>
    <w:rsid w:val="2ACA62AF"/>
    <w:rsid w:val="2AEA4B61"/>
    <w:rsid w:val="2B6F4C50"/>
    <w:rsid w:val="2BC41856"/>
    <w:rsid w:val="2BCD7225"/>
    <w:rsid w:val="2BE25476"/>
    <w:rsid w:val="2C1E652C"/>
    <w:rsid w:val="2C6C5134"/>
    <w:rsid w:val="2D67695C"/>
    <w:rsid w:val="2DE8495E"/>
    <w:rsid w:val="2E222864"/>
    <w:rsid w:val="2E5A3DAC"/>
    <w:rsid w:val="2E84707B"/>
    <w:rsid w:val="2F34284F"/>
    <w:rsid w:val="2F364819"/>
    <w:rsid w:val="2F7E7F6E"/>
    <w:rsid w:val="2F8530AA"/>
    <w:rsid w:val="300D424E"/>
    <w:rsid w:val="30550C55"/>
    <w:rsid w:val="30C20279"/>
    <w:rsid w:val="30EB7EB3"/>
    <w:rsid w:val="322C1F03"/>
    <w:rsid w:val="32EA1265"/>
    <w:rsid w:val="33784CD4"/>
    <w:rsid w:val="341D1AA5"/>
    <w:rsid w:val="34961543"/>
    <w:rsid w:val="349E076A"/>
    <w:rsid w:val="34A55F9D"/>
    <w:rsid w:val="34AB28E5"/>
    <w:rsid w:val="35374178"/>
    <w:rsid w:val="360F7B72"/>
    <w:rsid w:val="364B0698"/>
    <w:rsid w:val="365437D6"/>
    <w:rsid w:val="36662ED8"/>
    <w:rsid w:val="36B30C79"/>
    <w:rsid w:val="3748158D"/>
    <w:rsid w:val="37BF542C"/>
    <w:rsid w:val="37EC30AA"/>
    <w:rsid w:val="37ED2BA2"/>
    <w:rsid w:val="38A37C93"/>
    <w:rsid w:val="38B44A00"/>
    <w:rsid w:val="397321C6"/>
    <w:rsid w:val="3A546D53"/>
    <w:rsid w:val="3A791A5E"/>
    <w:rsid w:val="3AAF722D"/>
    <w:rsid w:val="3AD959D6"/>
    <w:rsid w:val="3B8A6E91"/>
    <w:rsid w:val="3C8F6A2B"/>
    <w:rsid w:val="3D204801"/>
    <w:rsid w:val="3D361E88"/>
    <w:rsid w:val="3D9646D4"/>
    <w:rsid w:val="3E06185A"/>
    <w:rsid w:val="3E0D42F0"/>
    <w:rsid w:val="3E5326EF"/>
    <w:rsid w:val="3E6C6EAB"/>
    <w:rsid w:val="3FB672B0"/>
    <w:rsid w:val="3FBA2948"/>
    <w:rsid w:val="3FEA0D08"/>
    <w:rsid w:val="3FEC4F30"/>
    <w:rsid w:val="4058526F"/>
    <w:rsid w:val="419D277C"/>
    <w:rsid w:val="41B80A7C"/>
    <w:rsid w:val="42E71760"/>
    <w:rsid w:val="42EF1218"/>
    <w:rsid w:val="42FE6FA4"/>
    <w:rsid w:val="433834AB"/>
    <w:rsid w:val="43BA548F"/>
    <w:rsid w:val="442C7B41"/>
    <w:rsid w:val="4434569B"/>
    <w:rsid w:val="44384D79"/>
    <w:rsid w:val="44D54ACD"/>
    <w:rsid w:val="44FC2F53"/>
    <w:rsid w:val="45080F98"/>
    <w:rsid w:val="45575091"/>
    <w:rsid w:val="46144D30"/>
    <w:rsid w:val="46C40504"/>
    <w:rsid w:val="46C9350A"/>
    <w:rsid w:val="47A9386C"/>
    <w:rsid w:val="484418FD"/>
    <w:rsid w:val="487429ED"/>
    <w:rsid w:val="48D6451F"/>
    <w:rsid w:val="49543DC1"/>
    <w:rsid w:val="495E6E4F"/>
    <w:rsid w:val="49635DB3"/>
    <w:rsid w:val="497004D0"/>
    <w:rsid w:val="49B47DF2"/>
    <w:rsid w:val="49DA50AD"/>
    <w:rsid w:val="4A5A2CA6"/>
    <w:rsid w:val="4AB12B4E"/>
    <w:rsid w:val="4AB94E26"/>
    <w:rsid w:val="4B1C0D81"/>
    <w:rsid w:val="4B8B5A32"/>
    <w:rsid w:val="4BCA3049"/>
    <w:rsid w:val="4BDA43E6"/>
    <w:rsid w:val="4C150901"/>
    <w:rsid w:val="4C1E4213"/>
    <w:rsid w:val="4C360633"/>
    <w:rsid w:val="4C3E47FC"/>
    <w:rsid w:val="4C5944B1"/>
    <w:rsid w:val="4CA92723"/>
    <w:rsid w:val="4CCE5535"/>
    <w:rsid w:val="4D1F6494"/>
    <w:rsid w:val="4DA13BFE"/>
    <w:rsid w:val="4DB43308"/>
    <w:rsid w:val="4E116276"/>
    <w:rsid w:val="4E267A1C"/>
    <w:rsid w:val="4E74636C"/>
    <w:rsid w:val="4EA156A7"/>
    <w:rsid w:val="4F227AD6"/>
    <w:rsid w:val="4FE76521"/>
    <w:rsid w:val="4FFB23BC"/>
    <w:rsid w:val="503C1418"/>
    <w:rsid w:val="507408A5"/>
    <w:rsid w:val="508A67B9"/>
    <w:rsid w:val="50B45146"/>
    <w:rsid w:val="510D60A7"/>
    <w:rsid w:val="511B58E8"/>
    <w:rsid w:val="51AC406F"/>
    <w:rsid w:val="51AC7506"/>
    <w:rsid w:val="52041695"/>
    <w:rsid w:val="52181704"/>
    <w:rsid w:val="527D5A23"/>
    <w:rsid w:val="52CB5771"/>
    <w:rsid w:val="531F3A56"/>
    <w:rsid w:val="53446578"/>
    <w:rsid w:val="54161C73"/>
    <w:rsid w:val="54195D84"/>
    <w:rsid w:val="544B707A"/>
    <w:rsid w:val="545822D5"/>
    <w:rsid w:val="54A454D1"/>
    <w:rsid w:val="55127CB6"/>
    <w:rsid w:val="55985036"/>
    <w:rsid w:val="55FE3948"/>
    <w:rsid w:val="56290384"/>
    <w:rsid w:val="56B20706"/>
    <w:rsid w:val="56F73FDE"/>
    <w:rsid w:val="57D91936"/>
    <w:rsid w:val="590B1FC3"/>
    <w:rsid w:val="594C0407"/>
    <w:rsid w:val="59682F71"/>
    <w:rsid w:val="599975CF"/>
    <w:rsid w:val="59B420CA"/>
    <w:rsid w:val="59DD570D"/>
    <w:rsid w:val="5A5836E3"/>
    <w:rsid w:val="5AC26C59"/>
    <w:rsid w:val="5AE34FA5"/>
    <w:rsid w:val="5B1D63D9"/>
    <w:rsid w:val="5B8D4F11"/>
    <w:rsid w:val="5BA32F4B"/>
    <w:rsid w:val="5BB015C1"/>
    <w:rsid w:val="5BF22FC6"/>
    <w:rsid w:val="5C207B33"/>
    <w:rsid w:val="5C3272B7"/>
    <w:rsid w:val="5CBC7ECE"/>
    <w:rsid w:val="5DEC347B"/>
    <w:rsid w:val="5E062D59"/>
    <w:rsid w:val="5E364526"/>
    <w:rsid w:val="5F217E4A"/>
    <w:rsid w:val="5FD924D3"/>
    <w:rsid w:val="5FE570CA"/>
    <w:rsid w:val="61731EE4"/>
    <w:rsid w:val="61AD08C4"/>
    <w:rsid w:val="621B16F3"/>
    <w:rsid w:val="62447573"/>
    <w:rsid w:val="62AD76C0"/>
    <w:rsid w:val="62C507C9"/>
    <w:rsid w:val="62D11B87"/>
    <w:rsid w:val="62E21FE6"/>
    <w:rsid w:val="63422A85"/>
    <w:rsid w:val="63424833"/>
    <w:rsid w:val="6390559E"/>
    <w:rsid w:val="63A05300"/>
    <w:rsid w:val="63B53257"/>
    <w:rsid w:val="649B244D"/>
    <w:rsid w:val="65B45AA6"/>
    <w:rsid w:val="65D5198E"/>
    <w:rsid w:val="65F80991"/>
    <w:rsid w:val="671209F1"/>
    <w:rsid w:val="67464E73"/>
    <w:rsid w:val="676E3ED8"/>
    <w:rsid w:val="680A4FA3"/>
    <w:rsid w:val="68430893"/>
    <w:rsid w:val="688A4CB2"/>
    <w:rsid w:val="68DE4FFE"/>
    <w:rsid w:val="6949691B"/>
    <w:rsid w:val="69735746"/>
    <w:rsid w:val="69B336FA"/>
    <w:rsid w:val="69C211C0"/>
    <w:rsid w:val="69F5538A"/>
    <w:rsid w:val="6A2C57E1"/>
    <w:rsid w:val="6AC65D4A"/>
    <w:rsid w:val="6AFA04F5"/>
    <w:rsid w:val="6BB1415A"/>
    <w:rsid w:val="6C3F4006"/>
    <w:rsid w:val="6C4F72C1"/>
    <w:rsid w:val="6C946959"/>
    <w:rsid w:val="6CEB1A97"/>
    <w:rsid w:val="6CFF5543"/>
    <w:rsid w:val="6D172781"/>
    <w:rsid w:val="6D73217F"/>
    <w:rsid w:val="6DFD5F26"/>
    <w:rsid w:val="6E105C5A"/>
    <w:rsid w:val="6E290AC9"/>
    <w:rsid w:val="6E9817AB"/>
    <w:rsid w:val="6F697559"/>
    <w:rsid w:val="6FD17E5B"/>
    <w:rsid w:val="704C4F43"/>
    <w:rsid w:val="70633D9B"/>
    <w:rsid w:val="70D74E5A"/>
    <w:rsid w:val="70D867D7"/>
    <w:rsid w:val="715E081E"/>
    <w:rsid w:val="71765B16"/>
    <w:rsid w:val="71BE07BD"/>
    <w:rsid w:val="72807126"/>
    <w:rsid w:val="72987FCC"/>
    <w:rsid w:val="731D097F"/>
    <w:rsid w:val="73830AA1"/>
    <w:rsid w:val="73B9469D"/>
    <w:rsid w:val="74176B51"/>
    <w:rsid w:val="74485A21"/>
    <w:rsid w:val="75095803"/>
    <w:rsid w:val="753A04DC"/>
    <w:rsid w:val="75623F7A"/>
    <w:rsid w:val="75950E53"/>
    <w:rsid w:val="762B12B5"/>
    <w:rsid w:val="764364A0"/>
    <w:rsid w:val="76EA0007"/>
    <w:rsid w:val="77130569"/>
    <w:rsid w:val="775742CE"/>
    <w:rsid w:val="77784870"/>
    <w:rsid w:val="77AB3E76"/>
    <w:rsid w:val="77FC724F"/>
    <w:rsid w:val="78362429"/>
    <w:rsid w:val="785D5870"/>
    <w:rsid w:val="7867397C"/>
    <w:rsid w:val="78B272C4"/>
    <w:rsid w:val="78D8531B"/>
    <w:rsid w:val="78FE2050"/>
    <w:rsid w:val="7961180F"/>
    <w:rsid w:val="799F60E4"/>
    <w:rsid w:val="79F859C9"/>
    <w:rsid w:val="7A067F11"/>
    <w:rsid w:val="7A401675"/>
    <w:rsid w:val="7A603412"/>
    <w:rsid w:val="7A77467B"/>
    <w:rsid w:val="7AB20E73"/>
    <w:rsid w:val="7B087CB8"/>
    <w:rsid w:val="7B0E3521"/>
    <w:rsid w:val="7B33791E"/>
    <w:rsid w:val="7BB63A0E"/>
    <w:rsid w:val="7C035749"/>
    <w:rsid w:val="7C857813"/>
    <w:rsid w:val="7CB51C83"/>
    <w:rsid w:val="7CBE4AD3"/>
    <w:rsid w:val="7CF60710"/>
    <w:rsid w:val="7D86598A"/>
    <w:rsid w:val="7E762BF0"/>
    <w:rsid w:val="7EDE145C"/>
    <w:rsid w:val="7EF75D51"/>
    <w:rsid w:val="7F231565"/>
    <w:rsid w:val="7F631961"/>
    <w:rsid w:val="7FCA5830"/>
    <w:rsid w:val="EF11CDE6"/>
    <w:rsid w:val="FBFA38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宋体" w:hAnsi="等线" w:eastAsia="等线"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link w:val="65"/>
    <w:qFormat/>
    <w:uiPriority w:val="0"/>
    <w:pPr>
      <w:autoSpaceDE w:val="0"/>
      <w:autoSpaceDN w:val="0"/>
      <w:adjustRightInd w:val="0"/>
      <w:jc w:val="left"/>
      <w:outlineLvl w:val="1"/>
    </w:pPr>
    <w:rPr>
      <w:kern w:val="0"/>
    </w:rPr>
  </w:style>
  <w:style w:type="paragraph" w:styleId="5">
    <w:name w:val="heading 3"/>
    <w:basedOn w:val="1"/>
    <w:next w:val="1"/>
    <w:link w:val="43"/>
    <w:qFormat/>
    <w:uiPriority w:val="0"/>
    <w:pPr>
      <w:keepNext/>
      <w:keepLines/>
      <w:outlineLvl w:val="2"/>
    </w:pPr>
    <w:rPr>
      <w:rFonts w:hint="default" w:ascii="Times New Roman" w:hAnsi="Times New Roman" w:eastAsia="宋体"/>
      <w:b/>
    </w:rPr>
  </w:style>
  <w:style w:type="paragraph" w:styleId="2">
    <w:name w:val="heading 4"/>
    <w:basedOn w:val="1"/>
    <w:next w:val="1"/>
    <w:qFormat/>
    <w:uiPriority w:val="0"/>
    <w:pPr>
      <w:keepNext/>
      <w:keepLines/>
      <w:spacing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qFormat/>
    <w:uiPriority w:val="0"/>
    <w:pPr>
      <w:jc w:val="left"/>
    </w:pPr>
    <w:rPr>
      <w:rFonts w:hint="default" w:ascii="Times New Roman" w:hAnsi="Times New Roman" w:eastAsia="宋体"/>
      <w:sz w:val="21"/>
    </w:rPr>
  </w:style>
  <w:style w:type="paragraph" w:styleId="8">
    <w:name w:val="Body Text"/>
    <w:basedOn w:val="1"/>
    <w:qFormat/>
    <w:uiPriority w:val="0"/>
  </w:style>
  <w:style w:type="paragraph" w:styleId="9">
    <w:name w:val="Body Text Indent"/>
    <w:basedOn w:val="1"/>
    <w:qFormat/>
    <w:uiPriority w:val="0"/>
    <w:pPr>
      <w:ind w:firstLine="560" w:firstLineChars="200"/>
    </w:pPr>
  </w:style>
  <w:style w:type="paragraph" w:styleId="10">
    <w:name w:val="toc 3"/>
    <w:basedOn w:val="1"/>
    <w:next w:val="1"/>
    <w:qFormat/>
    <w:uiPriority w:val="39"/>
    <w:pPr>
      <w:ind w:left="840" w:leftChars="400"/>
    </w:pPr>
  </w:style>
  <w:style w:type="paragraph" w:styleId="11">
    <w:name w:val="Plain Text"/>
    <w:basedOn w:val="1"/>
    <w:qFormat/>
    <w:uiPriority w:val="0"/>
    <w:rPr>
      <w:rFonts w:ascii="宋体" w:hAnsi="Courier New" w:eastAsia="楷体_GB2312"/>
      <w:kern w:val="0"/>
      <w:sz w:val="20"/>
      <w:szCs w:val="24"/>
    </w:rPr>
  </w:style>
  <w:style w:type="paragraph" w:styleId="12">
    <w:name w:val="Body Text Indent 2"/>
    <w:basedOn w:val="1"/>
    <w:qFormat/>
    <w:uiPriority w:val="0"/>
    <w:pPr>
      <w:spacing w:line="480" w:lineRule="auto"/>
      <w:ind w:firstLine="561"/>
    </w:pPr>
  </w:style>
  <w:style w:type="paragraph" w:styleId="13">
    <w:name w:val="Balloon Text"/>
    <w:basedOn w:val="1"/>
    <w:link w:val="64"/>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6">
    <w:name w:val="toc 1"/>
    <w:basedOn w:val="17"/>
    <w:next w:val="1"/>
    <w:qFormat/>
    <w:uiPriority w:val="39"/>
  </w:style>
  <w:style w:type="paragraph" w:styleId="17">
    <w:name w:val="index 1"/>
    <w:basedOn w:val="1"/>
    <w:next w:val="1"/>
    <w:unhideWhenUsed/>
    <w:qFormat/>
    <w:uiPriority w:val="0"/>
  </w:style>
  <w:style w:type="paragraph" w:styleId="18">
    <w:name w:val="toc 2"/>
    <w:basedOn w:val="1"/>
    <w:next w:val="1"/>
    <w:qFormat/>
    <w:uiPriority w:val="39"/>
    <w:pPr>
      <w:ind w:left="420" w:leftChars="200"/>
    </w:pPr>
  </w:style>
  <w:style w:type="paragraph" w:styleId="19">
    <w:name w:val="Body Text 2"/>
    <w:basedOn w:val="1"/>
    <w:qFormat/>
    <w:uiPriority w:val="0"/>
    <w:pPr>
      <w:spacing w:line="500" w:lineRule="exact"/>
    </w:pPr>
  </w:style>
  <w:style w:type="paragraph" w:styleId="20">
    <w:name w:val="Normal (Web)"/>
    <w:basedOn w:val="1"/>
    <w:qFormat/>
    <w:uiPriority w:val="0"/>
    <w:pPr>
      <w:widowControl/>
      <w:spacing w:beforeAutospacing="1" w:afterAutospacing="1"/>
      <w:jc w:val="left"/>
    </w:pPr>
    <w:rPr>
      <w:rFonts w:hAnsi="宋体" w:cs="宋体"/>
      <w:color w:val="000000"/>
      <w:kern w:val="0"/>
      <w:szCs w:val="24"/>
    </w:rPr>
  </w:style>
  <w:style w:type="paragraph" w:styleId="21">
    <w:name w:val="Body Text First Indent 2"/>
    <w:basedOn w:val="9"/>
    <w:qFormat/>
    <w:uiPriority w:val="0"/>
    <w:pPr>
      <w:tabs>
        <w:tab w:val="left" w:pos="0"/>
      </w:tabs>
      <w:ind w:firstLine="420"/>
    </w:pPr>
  </w:style>
  <w:style w:type="character" w:styleId="24">
    <w:name w:val="Strong"/>
    <w:basedOn w:val="23"/>
    <w:qFormat/>
    <w:uiPriority w:val="0"/>
    <w:rPr>
      <w:b/>
    </w:rPr>
  </w:style>
  <w:style w:type="paragraph" w:customStyle="1" w:styleId="25">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7">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8">
    <w:name w:val="标题 1 New"/>
    <w:basedOn w:val="27"/>
    <w:next w:val="27"/>
    <w:qFormat/>
    <w:uiPriority w:val="0"/>
    <w:pPr>
      <w:autoSpaceDE w:val="0"/>
      <w:autoSpaceDN w:val="0"/>
      <w:adjustRightInd w:val="0"/>
      <w:jc w:val="left"/>
      <w:outlineLvl w:val="0"/>
    </w:pPr>
    <w:rPr>
      <w:kern w:val="0"/>
      <w:sz w:val="30"/>
    </w:rPr>
  </w:style>
  <w:style w:type="paragraph" w:customStyle="1" w:styleId="29">
    <w:name w:val="标题 2 New New"/>
    <w:basedOn w:val="27"/>
    <w:next w:val="27"/>
    <w:qFormat/>
    <w:uiPriority w:val="0"/>
    <w:pPr>
      <w:autoSpaceDE w:val="0"/>
      <w:autoSpaceDN w:val="0"/>
      <w:adjustRightInd w:val="0"/>
      <w:jc w:val="left"/>
      <w:outlineLvl w:val="1"/>
    </w:pPr>
    <w:rPr>
      <w:kern w:val="0"/>
    </w:rPr>
  </w:style>
  <w:style w:type="paragraph" w:customStyle="1" w:styleId="3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Normal Indent1"/>
    <w:basedOn w:val="1"/>
    <w:qFormat/>
    <w:uiPriority w:val="0"/>
    <w:pPr>
      <w:widowControl/>
      <w:spacing w:line="360" w:lineRule="auto"/>
      <w:ind w:firstLine="420"/>
      <w:jc w:val="left"/>
    </w:pPr>
    <w:rPr>
      <w:rFonts w:hAnsi="Times New Roman"/>
      <w:kern w:val="0"/>
      <w:sz w:val="20"/>
    </w:rPr>
  </w:style>
  <w:style w:type="paragraph" w:customStyle="1" w:styleId="32">
    <w:name w:val="正文缩进1"/>
    <w:basedOn w:val="1"/>
    <w:qFormat/>
    <w:uiPriority w:val="0"/>
    <w:pPr>
      <w:widowControl/>
      <w:spacing w:line="360" w:lineRule="auto"/>
      <w:ind w:firstLine="420"/>
      <w:jc w:val="left"/>
    </w:pPr>
    <w:rPr>
      <w:rFonts w:hAnsi="Times New Roman"/>
      <w:kern w:val="0"/>
      <w:sz w:val="20"/>
    </w:rPr>
  </w:style>
  <w:style w:type="paragraph" w:customStyle="1" w:styleId="33">
    <w:name w:val="样式 宋体 行距: 1.5 倍行距"/>
    <w:basedOn w:val="34"/>
    <w:next w:val="1"/>
    <w:qFormat/>
    <w:uiPriority w:val="0"/>
    <w:pPr>
      <w:jc w:val="center"/>
    </w:pPr>
    <w:rPr>
      <w:rFonts w:ascii="Times New Roman" w:hAnsi="Times New Roman" w:cs="Times New Roman"/>
      <w:b/>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3"/>
    <w:qFormat/>
    <w:uiPriority w:val="0"/>
    <w:pPr>
      <w:widowControl w:val="0"/>
      <w:jc w:val="both"/>
    </w:pPr>
    <w:rPr>
      <w:rFonts w:ascii="Calibri" w:hAnsi="Calibri" w:eastAsia="宋体" w:cs="黑体"/>
      <w:kern w:val="2"/>
      <w:sz w:val="21"/>
      <w:szCs w:val="24"/>
      <w:lang w:val="en-US" w:eastAsia="zh-CN" w:bidi="ar-SA"/>
    </w:rPr>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33"/>
    <w:qFormat/>
    <w:uiPriority w:val="0"/>
    <w:pPr>
      <w:widowControl w:val="0"/>
      <w:jc w:val="both"/>
    </w:pPr>
    <w:rPr>
      <w:rFonts w:ascii="Calibri" w:hAnsi="Calibri" w:eastAsia="宋体" w:cs="黑体"/>
      <w:kern w:val="2"/>
      <w:sz w:val="21"/>
      <w:szCs w:val="24"/>
      <w:lang w:val="en-US" w:eastAsia="zh-CN" w:bidi="ar-SA"/>
    </w:rPr>
  </w:style>
  <w:style w:type="paragraph" w:customStyle="1" w:styleId="36">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Bodoni MT" w:hAnsi="Bodoni MT" w:eastAsia="宋体" w:cs="Bodoni MT"/>
      <w:kern w:val="2"/>
      <w:sz w:val="21"/>
      <w:szCs w:val="24"/>
      <w:lang w:val="en-US" w:eastAsia="zh-CN" w:bidi="ar-SA"/>
    </w:rPr>
  </w:style>
  <w:style w:type="paragraph" w:customStyle="1" w:styleId="37">
    <w:name w:val="正文文本缩进 New New"/>
    <w:basedOn w:val="27"/>
    <w:qFormat/>
    <w:uiPriority w:val="0"/>
    <w:pPr>
      <w:ind w:firstLine="560" w:firstLineChars="200"/>
    </w:pPr>
  </w:style>
  <w:style w:type="paragraph" w:customStyle="1" w:styleId="38">
    <w:name w:val="正文文本缩进 3 New"/>
    <w:basedOn w:val="27"/>
    <w:qFormat/>
    <w:uiPriority w:val="0"/>
    <w:pPr>
      <w:ind w:firstLine="560"/>
    </w:pPr>
    <w:rPr>
      <w:color w:val="FF0000"/>
    </w:rPr>
  </w:style>
  <w:style w:type="paragraph" w:customStyle="1" w:styleId="39">
    <w:name w:val="标题 3 New New New"/>
    <w:basedOn w:val="40"/>
    <w:next w:val="40"/>
    <w:qFormat/>
    <w:uiPriority w:val="0"/>
    <w:pPr>
      <w:keepNext/>
      <w:keepLines/>
      <w:jc w:val="center"/>
      <w:outlineLvl w:val="2"/>
    </w:pPr>
    <w:rPr>
      <w:sz w:val="24"/>
    </w:rPr>
  </w:style>
  <w:style w:type="paragraph" w:customStyle="1" w:styleId="40">
    <w:name w:val="正文缩进 New"/>
    <w:basedOn w:val="41"/>
    <w:qFormat/>
    <w:uiPriority w:val="0"/>
    <w:pPr>
      <w:widowControl/>
      <w:ind w:firstLine="420"/>
      <w:jc w:val="left"/>
    </w:pPr>
    <w:rPr>
      <w:kern w:val="0"/>
      <w:sz w:val="20"/>
    </w:rPr>
  </w:style>
  <w:style w:type="paragraph" w:customStyle="1" w:styleId="41">
    <w:name w:val="正文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2">
    <w:name w:val="正文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3">
    <w:name w:val="标题 3 Char"/>
    <w:link w:val="5"/>
    <w:qFormat/>
    <w:uiPriority w:val="0"/>
    <w:rPr>
      <w:rFonts w:hint="default" w:ascii="Times New Roman" w:hAnsi="Times New Roman" w:eastAsia="宋体"/>
      <w:b/>
    </w:rPr>
  </w:style>
  <w:style w:type="character" w:customStyle="1" w:styleId="44">
    <w:name w:val="NormalCharacter"/>
    <w:semiHidden/>
    <w:qFormat/>
    <w:uiPriority w:val="0"/>
    <w:rPr>
      <w:rFonts w:ascii="宋体"/>
      <w:kern w:val="2"/>
      <w:sz w:val="24"/>
      <w:lang w:val="en-US" w:eastAsia="zh-CN" w:bidi="ar-SA"/>
    </w:rPr>
  </w:style>
  <w:style w:type="paragraph" w:customStyle="1" w:styleId="45">
    <w:name w:val="标题 2 New New New"/>
    <w:basedOn w:val="46"/>
    <w:next w:val="46"/>
    <w:qFormat/>
    <w:uiPriority w:val="0"/>
    <w:pPr>
      <w:autoSpaceDE w:val="0"/>
      <w:autoSpaceDN w:val="0"/>
      <w:adjustRightInd w:val="0"/>
      <w:jc w:val="left"/>
      <w:outlineLvl w:val="1"/>
    </w:pPr>
  </w:style>
  <w:style w:type="paragraph" w:customStyle="1" w:styleId="46">
    <w:name w:val="正文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7">
    <w:name w:val="普通(网站) New"/>
    <w:basedOn w:val="48"/>
    <w:qFormat/>
    <w:uiPriority w:val="0"/>
    <w:rPr>
      <w:sz w:val="24"/>
    </w:rPr>
  </w:style>
  <w:style w:type="paragraph" w:customStyle="1" w:styleId="4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9">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
    <w:name w:val="YJ22 Char"/>
    <w:link w:val="53"/>
    <w:qFormat/>
    <w:uiPriority w:val="0"/>
    <w:rPr>
      <w:rFonts w:ascii="Times New Roman" w:hAnsi="宋体"/>
      <w:b/>
      <w:kern w:val="0"/>
      <w:sz w:val="20"/>
    </w:rPr>
  </w:style>
  <w:style w:type="paragraph" w:customStyle="1" w:styleId="53">
    <w:name w:val="YJ22"/>
    <w:basedOn w:val="27"/>
    <w:next w:val="27"/>
    <w:link w:val="52"/>
    <w:qFormat/>
    <w:uiPriority w:val="0"/>
    <w:pPr>
      <w:autoSpaceDE w:val="0"/>
      <w:autoSpaceDN w:val="0"/>
      <w:adjustRightInd w:val="0"/>
      <w:jc w:val="left"/>
      <w:outlineLvl w:val="1"/>
    </w:pPr>
    <w:rPr>
      <w:rFonts w:ascii="Times New Roman" w:hAnsi="宋体"/>
      <w:b/>
      <w:kern w:val="0"/>
      <w:sz w:val="20"/>
    </w:rPr>
  </w:style>
  <w:style w:type="paragraph" w:customStyle="1" w:styleId="54">
    <w:name w:val="正文文本缩进 New"/>
    <w:basedOn w:val="55"/>
    <w:qFormat/>
    <w:uiPriority w:val="0"/>
    <w:pPr>
      <w:ind w:firstLine="560" w:firstLineChars="200"/>
    </w:pPr>
  </w:style>
  <w:style w:type="paragraph" w:customStyle="1" w:styleId="55">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6">
    <w:name w:val="正文文本缩进 New New New New"/>
    <w:basedOn w:val="57"/>
    <w:qFormat/>
    <w:uiPriority w:val="0"/>
    <w:pPr>
      <w:ind w:firstLine="560" w:firstLineChars="200"/>
    </w:pPr>
    <w:rPr>
      <w:szCs w:val="28"/>
    </w:rPr>
  </w:style>
  <w:style w:type="paragraph" w:customStyle="1" w:styleId="57">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8">
    <w:name w:val="正文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正文文本缩进 New New New New New New New"/>
    <w:basedOn w:val="58"/>
    <w:qFormat/>
    <w:uiPriority w:val="0"/>
    <w:pPr>
      <w:ind w:left="420" w:leftChars="200"/>
    </w:pPr>
    <w:rPr>
      <w:szCs w:val="24"/>
    </w:rPr>
  </w:style>
  <w:style w:type="paragraph" w:customStyle="1" w:styleId="60">
    <w:name w:val="正文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正文文本缩进 New New New New New New New New"/>
    <w:basedOn w:val="60"/>
    <w:qFormat/>
    <w:uiPriority w:val="0"/>
    <w:pPr>
      <w:ind w:left="420" w:leftChars="200"/>
    </w:pPr>
    <w:rPr>
      <w:szCs w:val="24"/>
    </w:rPr>
  </w:style>
  <w:style w:type="paragraph" w:customStyle="1" w:styleId="62">
    <w:name w:val="正文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页脚 New"/>
    <w:basedOn w:val="27"/>
    <w:qFormat/>
    <w:uiPriority w:val="0"/>
    <w:pPr>
      <w:widowControl/>
      <w:tabs>
        <w:tab w:val="center" w:pos="4153"/>
        <w:tab w:val="right" w:pos="8306"/>
      </w:tabs>
      <w:snapToGrid w:val="0"/>
      <w:jc w:val="left"/>
    </w:pPr>
    <w:rPr>
      <w:kern w:val="0"/>
      <w:sz w:val="18"/>
    </w:rPr>
  </w:style>
  <w:style w:type="character" w:customStyle="1" w:styleId="64">
    <w:name w:val="批注框文本 Char"/>
    <w:basedOn w:val="23"/>
    <w:link w:val="13"/>
    <w:qFormat/>
    <w:uiPriority w:val="0"/>
    <w:rPr>
      <w:rFonts w:ascii="宋体" w:hAnsi="等线" w:eastAsia="等线" w:cs="Times New Roman"/>
      <w:kern w:val="2"/>
      <w:sz w:val="18"/>
      <w:szCs w:val="18"/>
    </w:rPr>
  </w:style>
  <w:style w:type="character" w:customStyle="1" w:styleId="65">
    <w:name w:val="标题 2 Char"/>
    <w:link w:val="4"/>
    <w:qFormat/>
    <w:uiPriority w:val="0"/>
    <w:rPr>
      <w:kern w:val="0"/>
    </w:rPr>
  </w:style>
  <w:style w:type="paragraph" w:customStyle="1" w:styleId="66">
    <w:name w:val="Default"/>
    <w:next w:val="6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6'"/>
    <w:basedOn w:val="1"/>
    <w:next w:val="68"/>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68">
    <w:name w:val="AOHead3"/>
    <w:basedOn w:val="1"/>
    <w:next w:val="1"/>
    <w:qFormat/>
    <w:uiPriority w:val="0"/>
    <w:pPr>
      <w:widowControl/>
      <w:autoSpaceDE/>
      <w:autoSpaceDN/>
      <w:spacing w:before="0" w:after="0" w:line="360" w:lineRule="auto"/>
      <w:ind w:left="1260" w:firstLine="0"/>
      <w:jc w:val="both"/>
      <w:outlineLvl w:val="2"/>
    </w:pPr>
    <w:rPr>
      <w:rFonts w:ascii="宋体" w:hAnsi="Times New Roman" w:eastAsia="宋体" w:cs="Times New Roman"/>
      <w:color w:val="0000FF"/>
      <w:sz w:val="24"/>
    </w:rPr>
  </w:style>
  <w:style w:type="paragraph" w:customStyle="1" w:styleId="69">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0">
    <w:name w:val="正文文本缩进 31"/>
    <w:basedOn w:val="1"/>
    <w:qFormat/>
    <w:uiPriority w:val="0"/>
    <w:pPr>
      <w:ind w:firstLine="570"/>
    </w:pPr>
    <w:rPr>
      <w:color w:val="0000FF"/>
      <w:kern w:val="0"/>
      <w:sz w:val="24"/>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84</Pages>
  <Words>4791</Words>
  <Characters>5131</Characters>
  <Lines>731</Lines>
  <Paragraphs>205</Paragraphs>
  <TotalTime>6</TotalTime>
  <ScaleCrop>false</ScaleCrop>
  <LinksUpToDate>false</LinksUpToDate>
  <CharactersWithSpaces>5256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2023-11-10T18:36:00Z</dcterms:created>
  <dc:creator>Chen~小璇</dc:creator>
  <cp:lastModifiedBy>蒲公英</cp:lastModifiedBy>
  <cp:lastPrinted>2025-07-27T11:57:00Z</cp:lastPrinted>
  <dcterms:modified xsi:type="dcterms:W3CDTF">2025-07-28T02:22:33Z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316005C41314436199449B568C3C88C2_13</vt:lpwstr>
  </property>
  <property fmtid="{D5CDD505-2E9C-101B-9397-08002B2CF9AE}" pid="4" name="KSOTemplateDocerSaveRecord">
    <vt:lpwstr>eyJoZGlkIjoiOWNmMDJhNWZlMzA2MjFjODJkYTdhNjU2ZWJkMWE0NDgiLCJ1c2VySWQiOiI1ODUwNjU1MTEifQ==</vt:lpwstr>
  </property>
  <property fmtid="{D5CDD505-2E9C-101B-9397-08002B2CF9AE}" pid="5" name="ribbonExt">
    <vt:lpwstr>{"WPSExtOfficeTab":{"OnGetEnabled":false,"OnGetVisible":false}}</vt:lpwstr>
  </property>
</Properties>
</file>