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50DE9">
      <w:pPr>
        <w:pStyle w:val="21"/>
        <w:snapToGrid w:val="0"/>
        <w:spacing w:before="120" w:beforeLines="50" w:line="360" w:lineRule="auto"/>
        <w:ind w:left="-480" w:leftChars="-200" w:right="204" w:rightChars="85" w:firstLine="481" w:firstLineChars="109"/>
        <w:jc w:val="center"/>
        <w:rPr>
          <w:rStyle w:val="22"/>
          <w:rFonts w:hint="eastAsia" w:ascii="宋体" w:hAnsi="宋体" w:eastAsia="宋体" w:cs="宋体"/>
          <w:b/>
          <w:bCs/>
          <w:color w:val="auto"/>
          <w:kern w:val="0"/>
          <w:sz w:val="44"/>
          <w:szCs w:val="44"/>
          <w:highlight w:val="none"/>
          <w:lang w:eastAsia="zh-CN"/>
        </w:rPr>
      </w:pPr>
      <w:r>
        <w:rPr>
          <w:rStyle w:val="22"/>
          <w:rFonts w:hint="eastAsia" w:ascii="宋体" w:hAnsi="宋体" w:eastAsia="宋体" w:cs="宋体"/>
          <w:b/>
          <w:bCs/>
          <w:color w:val="auto"/>
          <w:kern w:val="0"/>
          <w:sz w:val="44"/>
          <w:szCs w:val="44"/>
          <w:highlight w:val="none"/>
          <w:lang w:eastAsia="zh-CN"/>
        </w:rPr>
        <w:t>广东省南雄市2026年和美乡村建设项目-湖口镇施工</w:t>
      </w:r>
    </w:p>
    <w:p w14:paraId="318B62E3">
      <w:pPr>
        <w:pStyle w:val="21"/>
        <w:snapToGrid w:val="0"/>
        <w:spacing w:line="360" w:lineRule="auto"/>
        <w:jc w:val="center"/>
        <w:rPr>
          <w:rStyle w:val="22"/>
          <w:rFonts w:hint="eastAsia" w:ascii="宋体" w:hAnsi="宋体" w:eastAsia="宋体" w:cs="宋体"/>
          <w:b/>
          <w:bCs/>
          <w:color w:val="auto"/>
          <w:kern w:val="0"/>
          <w:sz w:val="48"/>
          <w:szCs w:val="48"/>
          <w:highlight w:val="none"/>
        </w:rPr>
      </w:pPr>
    </w:p>
    <w:p w14:paraId="52F4DAF9">
      <w:pPr>
        <w:pStyle w:val="21"/>
        <w:snapToGrid w:val="0"/>
        <w:spacing w:line="360" w:lineRule="auto"/>
        <w:jc w:val="center"/>
        <w:rPr>
          <w:rStyle w:val="22"/>
          <w:rFonts w:hint="eastAsia" w:ascii="宋体" w:hAnsi="宋体" w:eastAsia="宋体" w:cs="宋体"/>
          <w:b/>
          <w:bCs/>
          <w:color w:val="auto"/>
          <w:kern w:val="0"/>
          <w:sz w:val="48"/>
          <w:szCs w:val="48"/>
          <w:highlight w:val="none"/>
        </w:rPr>
      </w:pPr>
    </w:p>
    <w:p w14:paraId="3A6A3E4F">
      <w:pPr>
        <w:pStyle w:val="21"/>
        <w:snapToGrid w:val="0"/>
        <w:jc w:val="center"/>
        <w:rPr>
          <w:rStyle w:val="22"/>
          <w:rFonts w:hint="eastAsia" w:ascii="宋体" w:hAnsi="宋体" w:eastAsia="宋体" w:cs="宋体"/>
          <w:b/>
          <w:bCs/>
          <w:color w:val="auto"/>
          <w:kern w:val="0"/>
          <w:sz w:val="84"/>
          <w:szCs w:val="84"/>
          <w:highlight w:val="none"/>
        </w:rPr>
      </w:pPr>
      <w:r>
        <w:rPr>
          <w:rStyle w:val="22"/>
          <w:rFonts w:hint="eastAsia" w:ascii="宋体" w:hAnsi="宋体" w:eastAsia="宋体" w:cs="宋体"/>
          <w:b/>
          <w:bCs/>
          <w:color w:val="auto"/>
          <w:kern w:val="0"/>
          <w:sz w:val="72"/>
          <w:szCs w:val="72"/>
          <w:highlight w:val="none"/>
        </w:rPr>
        <w:t>招标文件</w:t>
      </w:r>
    </w:p>
    <w:p w14:paraId="3835FD6B">
      <w:pPr>
        <w:pStyle w:val="21"/>
        <w:snapToGrid w:val="0"/>
        <w:spacing w:line="360" w:lineRule="auto"/>
        <w:jc w:val="center"/>
        <w:rPr>
          <w:rStyle w:val="22"/>
          <w:rFonts w:hint="eastAsia" w:ascii="宋体" w:hAnsi="宋体" w:eastAsia="宋体" w:cs="宋体"/>
          <w:b/>
          <w:bCs/>
          <w:color w:val="auto"/>
          <w:kern w:val="0"/>
          <w:sz w:val="48"/>
          <w:szCs w:val="48"/>
          <w:highlight w:val="none"/>
        </w:rPr>
      </w:pPr>
    </w:p>
    <w:p w14:paraId="7EC5F2E8">
      <w:pPr>
        <w:pStyle w:val="21"/>
        <w:snapToGrid w:val="0"/>
        <w:spacing w:line="360" w:lineRule="auto"/>
        <w:jc w:val="center"/>
        <w:rPr>
          <w:rStyle w:val="22"/>
          <w:rFonts w:hint="eastAsia" w:ascii="宋体" w:hAnsi="宋体" w:eastAsia="宋体" w:cs="宋体"/>
          <w:b/>
          <w:bCs/>
          <w:color w:val="auto"/>
          <w:kern w:val="0"/>
          <w:sz w:val="48"/>
          <w:szCs w:val="48"/>
          <w:highlight w:val="none"/>
        </w:rPr>
      </w:pPr>
    </w:p>
    <w:p w14:paraId="2FDB2A35">
      <w:pPr>
        <w:pStyle w:val="21"/>
        <w:snapToGrid w:val="0"/>
        <w:spacing w:line="360" w:lineRule="auto"/>
        <w:jc w:val="center"/>
        <w:rPr>
          <w:rStyle w:val="22"/>
          <w:rFonts w:hint="eastAsia" w:ascii="宋体" w:hAnsi="宋体" w:eastAsia="宋体" w:cs="宋体"/>
          <w:b/>
          <w:bCs/>
          <w:color w:val="auto"/>
          <w:kern w:val="0"/>
          <w:sz w:val="48"/>
          <w:szCs w:val="48"/>
          <w:highlight w:val="none"/>
        </w:rPr>
      </w:pPr>
    </w:p>
    <w:tbl>
      <w:tblPr>
        <w:tblStyle w:val="18"/>
        <w:tblW w:w="10213" w:type="dxa"/>
        <w:jc w:val="center"/>
        <w:tblLayout w:type="fixed"/>
        <w:tblCellMar>
          <w:top w:w="0" w:type="dxa"/>
          <w:left w:w="0" w:type="dxa"/>
          <w:bottom w:w="0" w:type="dxa"/>
          <w:right w:w="0" w:type="dxa"/>
        </w:tblCellMar>
      </w:tblPr>
      <w:tblGrid>
        <w:gridCol w:w="5364"/>
        <w:gridCol w:w="4849"/>
      </w:tblGrid>
      <w:tr w14:paraId="4784E557">
        <w:tblPrEx>
          <w:tblCellMar>
            <w:top w:w="0" w:type="dxa"/>
            <w:left w:w="0" w:type="dxa"/>
            <w:bottom w:w="0" w:type="dxa"/>
            <w:right w:w="0" w:type="dxa"/>
          </w:tblCellMar>
        </w:tblPrEx>
        <w:trPr>
          <w:trHeight w:val="990" w:hRule="atLeast"/>
          <w:jc w:val="center"/>
        </w:trPr>
        <w:tc>
          <w:tcPr>
            <w:tcW w:w="5364" w:type="dxa"/>
            <w:noWrap w:val="0"/>
            <w:vAlign w:val="center"/>
          </w:tcPr>
          <w:p w14:paraId="0319EA87">
            <w:pPr>
              <w:pStyle w:val="23"/>
              <w:snapToGrid w:val="0"/>
              <w:spacing w:line="240" w:lineRule="auto"/>
              <w:jc w:val="distribute"/>
              <w:rPr>
                <w:rStyle w:val="22"/>
                <w:rFonts w:hint="eastAsia" w:ascii="宋体" w:hAnsi="宋体" w:eastAsia="宋体" w:cs="宋体"/>
                <w:color w:val="auto"/>
                <w:kern w:val="0"/>
                <w:sz w:val="28"/>
                <w:szCs w:val="28"/>
                <w:highlight w:val="none"/>
              </w:rPr>
            </w:pPr>
            <w:r>
              <w:rPr>
                <w:rStyle w:val="22"/>
                <w:rFonts w:hint="eastAsia" w:ascii="宋体" w:hAnsi="宋体" w:eastAsia="宋体" w:cs="宋体"/>
                <w:color w:val="auto"/>
                <w:kern w:val="0"/>
                <w:sz w:val="28"/>
                <w:szCs w:val="28"/>
                <w:highlight w:val="none"/>
              </w:rPr>
              <w:t xml:space="preserve"> 招  标  人（盖单位章）：</w:t>
            </w:r>
          </w:p>
        </w:tc>
        <w:tc>
          <w:tcPr>
            <w:tcW w:w="4849" w:type="dxa"/>
            <w:noWrap w:val="0"/>
            <w:vAlign w:val="center"/>
          </w:tcPr>
          <w:p w14:paraId="35AD6962">
            <w:pPr>
              <w:pStyle w:val="23"/>
              <w:snapToGrid w:val="0"/>
              <w:spacing w:line="240" w:lineRule="auto"/>
              <w:rPr>
                <w:rStyle w:val="22"/>
                <w:rFonts w:hint="eastAsia" w:ascii="宋体" w:hAnsi="宋体" w:eastAsia="宋体" w:cs="宋体"/>
                <w:color w:val="auto"/>
                <w:kern w:val="0"/>
                <w:sz w:val="28"/>
                <w:szCs w:val="28"/>
                <w:highlight w:val="none"/>
                <w:lang w:eastAsia="zh-CN"/>
              </w:rPr>
            </w:pPr>
            <w:r>
              <w:rPr>
                <w:rStyle w:val="22"/>
                <w:rFonts w:hint="eastAsia" w:hAnsi="宋体" w:cs="宋体"/>
                <w:color w:val="auto"/>
                <w:kern w:val="0"/>
                <w:sz w:val="28"/>
                <w:szCs w:val="28"/>
                <w:highlight w:val="none"/>
                <w:lang w:eastAsia="zh-CN"/>
              </w:rPr>
              <w:t>南雄市湖口镇人民政府</w:t>
            </w:r>
          </w:p>
        </w:tc>
      </w:tr>
      <w:tr w14:paraId="0B2ED462">
        <w:tblPrEx>
          <w:tblCellMar>
            <w:top w:w="0" w:type="dxa"/>
            <w:left w:w="0" w:type="dxa"/>
            <w:bottom w:w="0" w:type="dxa"/>
            <w:right w:w="0" w:type="dxa"/>
          </w:tblCellMar>
        </w:tblPrEx>
        <w:trPr>
          <w:trHeight w:val="812" w:hRule="atLeast"/>
          <w:jc w:val="center"/>
        </w:trPr>
        <w:tc>
          <w:tcPr>
            <w:tcW w:w="5364" w:type="dxa"/>
            <w:noWrap w:val="0"/>
            <w:vAlign w:val="center"/>
          </w:tcPr>
          <w:p w14:paraId="2C130CE3">
            <w:pPr>
              <w:pStyle w:val="23"/>
              <w:snapToGrid w:val="0"/>
              <w:spacing w:line="240" w:lineRule="auto"/>
              <w:jc w:val="distribute"/>
              <w:rPr>
                <w:rStyle w:val="22"/>
                <w:rFonts w:hint="eastAsia" w:ascii="宋体" w:hAnsi="宋体" w:eastAsia="宋体" w:cs="宋体"/>
                <w:color w:val="auto"/>
                <w:kern w:val="0"/>
                <w:sz w:val="28"/>
                <w:szCs w:val="28"/>
                <w:highlight w:val="none"/>
              </w:rPr>
            </w:pPr>
            <w:r>
              <w:rPr>
                <w:rStyle w:val="22"/>
                <w:rFonts w:hint="eastAsia" w:ascii="宋体" w:hAnsi="宋体" w:eastAsia="宋体" w:cs="宋体"/>
                <w:color w:val="auto"/>
                <w:kern w:val="0"/>
                <w:sz w:val="28"/>
                <w:szCs w:val="28"/>
                <w:highlight w:val="none"/>
              </w:rPr>
              <w:t xml:space="preserve"> 招标人工作领导小组负责人（签字）：</w:t>
            </w:r>
          </w:p>
        </w:tc>
        <w:tc>
          <w:tcPr>
            <w:tcW w:w="4849" w:type="dxa"/>
            <w:noWrap w:val="0"/>
            <w:vAlign w:val="center"/>
          </w:tcPr>
          <w:p w14:paraId="793D8EF0">
            <w:pPr>
              <w:pStyle w:val="23"/>
              <w:snapToGrid w:val="0"/>
              <w:spacing w:line="240" w:lineRule="auto"/>
              <w:rPr>
                <w:rStyle w:val="22"/>
                <w:rFonts w:hint="eastAsia" w:ascii="宋体" w:hAnsi="宋体" w:eastAsia="宋体" w:cs="宋体"/>
                <w:color w:val="auto"/>
                <w:kern w:val="0"/>
                <w:sz w:val="28"/>
                <w:szCs w:val="28"/>
                <w:highlight w:val="none"/>
              </w:rPr>
            </w:pPr>
          </w:p>
        </w:tc>
      </w:tr>
      <w:tr w14:paraId="10240212">
        <w:tblPrEx>
          <w:tblCellMar>
            <w:top w:w="0" w:type="dxa"/>
            <w:left w:w="0" w:type="dxa"/>
            <w:bottom w:w="0" w:type="dxa"/>
            <w:right w:w="0" w:type="dxa"/>
          </w:tblCellMar>
        </w:tblPrEx>
        <w:trPr>
          <w:trHeight w:val="807" w:hRule="atLeast"/>
          <w:jc w:val="center"/>
        </w:trPr>
        <w:tc>
          <w:tcPr>
            <w:tcW w:w="5364" w:type="dxa"/>
            <w:noWrap w:val="0"/>
            <w:vAlign w:val="center"/>
          </w:tcPr>
          <w:p w14:paraId="4F28EC58">
            <w:pPr>
              <w:pStyle w:val="23"/>
              <w:snapToGrid w:val="0"/>
              <w:spacing w:line="240" w:lineRule="auto"/>
              <w:jc w:val="distribute"/>
              <w:rPr>
                <w:rStyle w:val="22"/>
                <w:rFonts w:hint="eastAsia" w:ascii="宋体" w:hAnsi="宋体" w:eastAsia="宋体" w:cs="宋体"/>
                <w:color w:val="auto"/>
                <w:kern w:val="0"/>
                <w:sz w:val="28"/>
                <w:szCs w:val="28"/>
                <w:highlight w:val="none"/>
              </w:rPr>
            </w:pPr>
            <w:r>
              <w:rPr>
                <w:rStyle w:val="22"/>
                <w:rFonts w:hint="eastAsia" w:ascii="宋体" w:hAnsi="宋体" w:eastAsia="宋体" w:cs="宋体"/>
                <w:color w:val="auto"/>
                <w:kern w:val="0"/>
                <w:sz w:val="28"/>
                <w:szCs w:val="28"/>
                <w:highlight w:val="none"/>
              </w:rPr>
              <w:t xml:space="preserve"> 招 标 代 理 机 构 （盖单位章）：</w:t>
            </w:r>
          </w:p>
        </w:tc>
        <w:tc>
          <w:tcPr>
            <w:tcW w:w="4849" w:type="dxa"/>
            <w:noWrap w:val="0"/>
            <w:vAlign w:val="center"/>
          </w:tcPr>
          <w:p w14:paraId="23C712C8">
            <w:pPr>
              <w:pStyle w:val="23"/>
              <w:snapToGrid w:val="0"/>
              <w:spacing w:line="240" w:lineRule="auto"/>
              <w:rPr>
                <w:rStyle w:val="22"/>
                <w:rFonts w:hint="eastAsia" w:ascii="宋体" w:hAnsi="宋体" w:eastAsia="宋体" w:cs="宋体"/>
                <w:color w:val="auto"/>
                <w:kern w:val="0"/>
                <w:sz w:val="28"/>
                <w:szCs w:val="28"/>
                <w:highlight w:val="none"/>
                <w:lang w:eastAsia="zh-CN"/>
              </w:rPr>
            </w:pPr>
            <w:r>
              <w:rPr>
                <w:rStyle w:val="22"/>
                <w:rFonts w:hint="eastAsia" w:hAnsi="宋体"/>
                <w:color w:val="auto"/>
                <w:kern w:val="0"/>
                <w:sz w:val="28"/>
                <w:szCs w:val="28"/>
                <w:highlight w:val="none"/>
                <w:lang w:eastAsia="zh-CN"/>
              </w:rPr>
              <w:t>海通国际设计有限公司</w:t>
            </w:r>
          </w:p>
        </w:tc>
      </w:tr>
      <w:tr w14:paraId="3EA98199">
        <w:tblPrEx>
          <w:tblCellMar>
            <w:top w:w="0" w:type="dxa"/>
            <w:left w:w="0" w:type="dxa"/>
            <w:bottom w:w="0" w:type="dxa"/>
            <w:right w:w="0" w:type="dxa"/>
          </w:tblCellMar>
        </w:tblPrEx>
        <w:trPr>
          <w:trHeight w:val="931" w:hRule="atLeast"/>
          <w:jc w:val="center"/>
        </w:trPr>
        <w:tc>
          <w:tcPr>
            <w:tcW w:w="5364" w:type="dxa"/>
            <w:noWrap w:val="0"/>
            <w:vAlign w:val="center"/>
          </w:tcPr>
          <w:p w14:paraId="41BEE3C0">
            <w:pPr>
              <w:pStyle w:val="23"/>
              <w:snapToGrid w:val="0"/>
              <w:spacing w:line="240" w:lineRule="auto"/>
              <w:jc w:val="distribute"/>
              <w:rPr>
                <w:rStyle w:val="22"/>
                <w:rFonts w:hint="eastAsia" w:ascii="宋体" w:hAnsi="宋体" w:eastAsia="宋体" w:cs="宋体"/>
                <w:color w:val="auto"/>
                <w:kern w:val="0"/>
                <w:sz w:val="28"/>
                <w:szCs w:val="28"/>
                <w:highlight w:val="none"/>
              </w:rPr>
            </w:pPr>
            <w:r>
              <w:rPr>
                <w:rStyle w:val="22"/>
                <w:rFonts w:hint="eastAsia" w:ascii="宋体" w:hAnsi="宋体" w:eastAsia="宋体" w:cs="宋体"/>
                <w:color w:val="auto"/>
                <w:kern w:val="0"/>
                <w:sz w:val="28"/>
                <w:szCs w:val="28"/>
                <w:highlight w:val="none"/>
              </w:rPr>
              <w:t xml:space="preserve"> 招标文件编制人（签字）：</w:t>
            </w:r>
          </w:p>
        </w:tc>
        <w:tc>
          <w:tcPr>
            <w:tcW w:w="4849" w:type="dxa"/>
            <w:noWrap w:val="0"/>
            <w:vAlign w:val="center"/>
          </w:tcPr>
          <w:p w14:paraId="4DC6F984">
            <w:pPr>
              <w:pStyle w:val="23"/>
              <w:snapToGrid w:val="0"/>
              <w:spacing w:line="240" w:lineRule="auto"/>
              <w:rPr>
                <w:rStyle w:val="22"/>
                <w:rFonts w:hint="eastAsia" w:ascii="宋体" w:hAnsi="宋体" w:eastAsia="宋体" w:cs="宋体"/>
                <w:color w:val="auto"/>
                <w:kern w:val="0"/>
                <w:sz w:val="28"/>
                <w:szCs w:val="28"/>
                <w:highlight w:val="none"/>
              </w:rPr>
            </w:pPr>
          </w:p>
        </w:tc>
      </w:tr>
      <w:tr w14:paraId="4835769F">
        <w:tblPrEx>
          <w:tblCellMar>
            <w:top w:w="0" w:type="dxa"/>
            <w:left w:w="0" w:type="dxa"/>
            <w:bottom w:w="0" w:type="dxa"/>
            <w:right w:w="0" w:type="dxa"/>
          </w:tblCellMar>
        </w:tblPrEx>
        <w:trPr>
          <w:trHeight w:val="901" w:hRule="atLeast"/>
          <w:jc w:val="center"/>
        </w:trPr>
        <w:tc>
          <w:tcPr>
            <w:tcW w:w="5364" w:type="dxa"/>
            <w:noWrap w:val="0"/>
            <w:vAlign w:val="center"/>
          </w:tcPr>
          <w:p w14:paraId="60DF49AC">
            <w:pPr>
              <w:pStyle w:val="23"/>
              <w:snapToGrid w:val="0"/>
              <w:spacing w:line="240" w:lineRule="auto"/>
              <w:jc w:val="distribute"/>
              <w:rPr>
                <w:rStyle w:val="22"/>
                <w:rFonts w:hint="eastAsia" w:ascii="宋体" w:hAnsi="宋体" w:eastAsia="宋体" w:cs="宋体"/>
                <w:color w:val="auto"/>
                <w:kern w:val="0"/>
                <w:sz w:val="28"/>
                <w:szCs w:val="28"/>
                <w:highlight w:val="none"/>
              </w:rPr>
            </w:pPr>
            <w:r>
              <w:rPr>
                <w:rStyle w:val="22"/>
                <w:rFonts w:hint="eastAsia" w:ascii="宋体" w:hAnsi="宋体" w:eastAsia="宋体" w:cs="宋体"/>
                <w:color w:val="auto"/>
                <w:kern w:val="0"/>
                <w:sz w:val="28"/>
                <w:szCs w:val="28"/>
                <w:highlight w:val="none"/>
              </w:rPr>
              <w:t xml:space="preserve"> 招标代理机构项目负责人（签字）：</w:t>
            </w:r>
          </w:p>
        </w:tc>
        <w:tc>
          <w:tcPr>
            <w:tcW w:w="4849" w:type="dxa"/>
            <w:noWrap w:val="0"/>
            <w:vAlign w:val="center"/>
          </w:tcPr>
          <w:p w14:paraId="0FC1475D">
            <w:pPr>
              <w:pStyle w:val="23"/>
              <w:snapToGrid w:val="0"/>
              <w:spacing w:line="240" w:lineRule="auto"/>
              <w:rPr>
                <w:rStyle w:val="22"/>
                <w:rFonts w:hint="eastAsia" w:ascii="宋体" w:hAnsi="宋体" w:eastAsia="宋体" w:cs="宋体"/>
                <w:color w:val="auto"/>
                <w:kern w:val="0"/>
                <w:sz w:val="28"/>
                <w:szCs w:val="28"/>
                <w:highlight w:val="none"/>
              </w:rPr>
            </w:pPr>
          </w:p>
        </w:tc>
      </w:tr>
      <w:tr w14:paraId="42530440">
        <w:tblPrEx>
          <w:tblCellMar>
            <w:top w:w="0" w:type="dxa"/>
            <w:left w:w="0" w:type="dxa"/>
            <w:bottom w:w="0" w:type="dxa"/>
            <w:right w:w="0" w:type="dxa"/>
          </w:tblCellMar>
        </w:tblPrEx>
        <w:trPr>
          <w:trHeight w:val="800" w:hRule="atLeast"/>
          <w:jc w:val="center"/>
        </w:trPr>
        <w:tc>
          <w:tcPr>
            <w:tcW w:w="5364" w:type="dxa"/>
            <w:noWrap w:val="0"/>
            <w:vAlign w:val="center"/>
          </w:tcPr>
          <w:p w14:paraId="251CF5E3">
            <w:pPr>
              <w:pStyle w:val="23"/>
              <w:snapToGrid w:val="0"/>
              <w:spacing w:line="240" w:lineRule="auto"/>
              <w:jc w:val="distribute"/>
              <w:rPr>
                <w:rStyle w:val="22"/>
                <w:rFonts w:hint="eastAsia" w:ascii="宋体" w:hAnsi="宋体" w:eastAsia="宋体" w:cs="宋体"/>
                <w:color w:val="auto"/>
                <w:kern w:val="0"/>
                <w:sz w:val="28"/>
                <w:szCs w:val="28"/>
                <w:highlight w:val="none"/>
              </w:rPr>
            </w:pPr>
            <w:r>
              <w:rPr>
                <w:rStyle w:val="22"/>
                <w:rFonts w:hint="eastAsia" w:ascii="宋体" w:hAnsi="宋体" w:eastAsia="宋体" w:cs="宋体"/>
                <w:color w:val="auto"/>
                <w:kern w:val="0"/>
                <w:sz w:val="28"/>
                <w:szCs w:val="28"/>
                <w:highlight w:val="none"/>
              </w:rPr>
              <w:t xml:space="preserve"> 招标文件编制日期：</w:t>
            </w:r>
          </w:p>
        </w:tc>
        <w:tc>
          <w:tcPr>
            <w:tcW w:w="4849" w:type="dxa"/>
            <w:noWrap w:val="0"/>
            <w:vAlign w:val="center"/>
          </w:tcPr>
          <w:p w14:paraId="2031F796">
            <w:pPr>
              <w:pStyle w:val="23"/>
              <w:snapToGrid w:val="0"/>
              <w:spacing w:line="240" w:lineRule="auto"/>
              <w:rPr>
                <w:rStyle w:val="22"/>
                <w:rFonts w:hint="default" w:ascii="宋体" w:hAnsi="宋体" w:eastAsia="宋体" w:cs="宋体"/>
                <w:color w:val="auto"/>
                <w:kern w:val="0"/>
                <w:sz w:val="28"/>
                <w:szCs w:val="28"/>
                <w:highlight w:val="none"/>
                <w:lang w:val="en-US" w:eastAsia="zh-CN"/>
              </w:rPr>
            </w:pPr>
            <w:r>
              <w:rPr>
                <w:rStyle w:val="22"/>
                <w:rFonts w:hint="eastAsia" w:hAnsi="宋体" w:cs="宋体"/>
                <w:color w:val="auto"/>
                <w:kern w:val="0"/>
                <w:sz w:val="28"/>
                <w:szCs w:val="28"/>
                <w:highlight w:val="none"/>
                <w:lang w:val="en-US" w:eastAsia="zh-CN"/>
              </w:rPr>
              <w:t>2026年9月</w:t>
            </w:r>
          </w:p>
        </w:tc>
      </w:tr>
    </w:tbl>
    <w:p w14:paraId="0B91C72C">
      <w:pPr>
        <w:tabs>
          <w:tab w:val="left" w:pos="4935"/>
        </w:tabs>
        <w:snapToGrid w:val="0"/>
        <w:spacing w:line="440" w:lineRule="exact"/>
        <w:rPr>
          <w:rStyle w:val="22"/>
          <w:rFonts w:hint="eastAsia" w:ascii="宋体" w:hAnsi="宋体" w:eastAsia="宋体" w:cs="宋体"/>
          <w:b/>
          <w:bCs/>
          <w:color w:val="auto"/>
          <w:kern w:val="0"/>
          <w:sz w:val="28"/>
          <w:szCs w:val="28"/>
          <w:highlight w:val="none"/>
        </w:rPr>
        <w:sectPr>
          <w:footerReference r:id="rId5" w:type="default"/>
          <w:endnotePr>
            <w:numFmt w:val="decimal"/>
          </w:endnotePr>
          <w:pgSz w:w="11906" w:h="16838"/>
          <w:pgMar w:top="1701" w:right="1015" w:bottom="1417" w:left="1531" w:header="850" w:footer="992" w:gutter="0"/>
          <w:pgNumType w:start="1"/>
          <w:cols w:space="720" w:num="1"/>
          <w:docGrid w:linePitch="327" w:charSpace="0"/>
        </w:sectPr>
      </w:pPr>
    </w:p>
    <w:p w14:paraId="60765932">
      <w:pPr>
        <w:tabs>
          <w:tab w:val="left" w:pos="4935"/>
        </w:tabs>
        <w:snapToGrid w:val="0"/>
        <w:spacing w:line="440" w:lineRule="exact"/>
        <w:jc w:val="center"/>
        <w:rPr>
          <w:rStyle w:val="22"/>
          <w:rFonts w:hint="eastAsia" w:ascii="宋体" w:hAnsi="宋体" w:eastAsia="宋体" w:cs="宋体"/>
          <w:b/>
          <w:bCs/>
          <w:color w:val="auto"/>
          <w:kern w:val="0"/>
          <w:sz w:val="36"/>
          <w:szCs w:val="36"/>
          <w:highlight w:val="none"/>
        </w:rPr>
      </w:pPr>
      <w:r>
        <w:rPr>
          <w:rStyle w:val="22"/>
          <w:rFonts w:hint="eastAsia" w:ascii="宋体" w:hAnsi="宋体" w:eastAsia="宋体" w:cs="宋体"/>
          <w:b/>
          <w:bCs/>
          <w:color w:val="auto"/>
          <w:kern w:val="0"/>
          <w:sz w:val="36"/>
          <w:szCs w:val="36"/>
          <w:highlight w:val="none"/>
        </w:rPr>
        <w:br w:type="page"/>
      </w:r>
      <w:r>
        <w:rPr>
          <w:rStyle w:val="22"/>
          <w:rFonts w:hint="eastAsia" w:ascii="宋体" w:hAnsi="宋体" w:eastAsia="宋体" w:cs="宋体"/>
          <w:b/>
          <w:bCs/>
          <w:color w:val="auto"/>
          <w:kern w:val="0"/>
          <w:sz w:val="36"/>
          <w:szCs w:val="36"/>
          <w:highlight w:val="none"/>
        </w:rPr>
        <w:t>目   录</w:t>
      </w:r>
    </w:p>
    <w:p w14:paraId="5C734730">
      <w:pPr>
        <w:spacing w:line="240" w:lineRule="auto"/>
        <w:jc w:val="center"/>
        <w:rPr>
          <w:rFonts w:hint="eastAsia" w:ascii="宋体" w:hAnsi="宋体" w:eastAsia="宋体" w:cs="宋体"/>
          <w:color w:val="auto"/>
          <w:highlight w:val="none"/>
        </w:rPr>
      </w:pPr>
    </w:p>
    <w:p w14:paraId="10237BC8">
      <w:pPr>
        <w:pStyle w:val="13"/>
        <w:tabs>
          <w:tab w:val="right" w:leader="dot" w:pos="8844"/>
        </w:tabs>
        <w:rPr>
          <w:color w:val="auto"/>
          <w:highlight w:val="none"/>
        </w:rPr>
      </w:pPr>
      <w:r>
        <w:rPr>
          <w:rStyle w:val="22"/>
          <w:rFonts w:hint="eastAsia" w:ascii="宋体" w:hAnsi="宋体" w:eastAsia="宋体" w:cs="宋体"/>
          <w:color w:val="auto"/>
          <w:highlight w:val="none"/>
        </w:rPr>
        <w:fldChar w:fldCharType="begin"/>
      </w:r>
      <w:r>
        <w:rPr>
          <w:rStyle w:val="22"/>
          <w:rFonts w:hint="eastAsia" w:ascii="宋体" w:hAnsi="宋体" w:eastAsia="宋体" w:cs="宋体"/>
          <w:color w:val="auto"/>
          <w:highlight w:val="none"/>
        </w:rPr>
        <w:instrText xml:space="preserve">TOC \o "1-2" \h \u </w:instrText>
      </w:r>
      <w:r>
        <w:rPr>
          <w:rStyle w:val="22"/>
          <w:rFonts w:hint="eastAsia" w:ascii="宋体" w:hAnsi="宋体" w:eastAsia="宋体" w:cs="宋体"/>
          <w:color w:val="auto"/>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_Toc6102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4"/>
          <w:highlight w:val="none"/>
        </w:rPr>
        <w:t>第一章 投标人须知</w:t>
      </w:r>
      <w:r>
        <w:rPr>
          <w:color w:val="auto"/>
          <w:highlight w:val="none"/>
        </w:rPr>
        <w:tab/>
      </w:r>
      <w:r>
        <w:rPr>
          <w:color w:val="auto"/>
          <w:highlight w:val="none"/>
        </w:rPr>
        <w:fldChar w:fldCharType="begin"/>
      </w:r>
      <w:r>
        <w:rPr>
          <w:color w:val="auto"/>
          <w:highlight w:val="none"/>
        </w:rPr>
        <w:instrText xml:space="preserve"> PAGEREF _Toc6102 \h </w:instrText>
      </w:r>
      <w:r>
        <w:rPr>
          <w:color w:val="auto"/>
          <w:highlight w:val="none"/>
        </w:rPr>
        <w:fldChar w:fldCharType="separate"/>
      </w:r>
      <w:r>
        <w:rPr>
          <w:color w:val="auto"/>
          <w:highlight w:val="none"/>
        </w:rPr>
        <w:t>1</w:t>
      </w:r>
      <w:r>
        <w:rPr>
          <w:color w:val="auto"/>
          <w:highlight w:val="none"/>
        </w:rPr>
        <w:fldChar w:fldCharType="end"/>
      </w:r>
      <w:r>
        <w:rPr>
          <w:rFonts w:hint="eastAsia" w:ascii="宋体" w:hAnsi="宋体" w:eastAsia="宋体" w:cs="宋体"/>
          <w:color w:val="auto"/>
          <w:highlight w:val="none"/>
        </w:rPr>
        <w:fldChar w:fldCharType="end"/>
      </w:r>
    </w:p>
    <w:p w14:paraId="0CB36797">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_Toc23819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第一节 投标人须知前附表</w:t>
      </w:r>
      <w:r>
        <w:rPr>
          <w:color w:val="auto"/>
          <w:highlight w:val="none"/>
        </w:rPr>
        <w:tab/>
      </w:r>
      <w:r>
        <w:rPr>
          <w:color w:val="auto"/>
          <w:highlight w:val="none"/>
        </w:rPr>
        <w:fldChar w:fldCharType="begin"/>
      </w:r>
      <w:r>
        <w:rPr>
          <w:color w:val="auto"/>
          <w:highlight w:val="none"/>
        </w:rPr>
        <w:instrText xml:space="preserve"> PAGEREF _Toc23819 \h </w:instrText>
      </w:r>
      <w:r>
        <w:rPr>
          <w:color w:val="auto"/>
          <w:highlight w:val="none"/>
        </w:rPr>
        <w:fldChar w:fldCharType="separate"/>
      </w:r>
      <w:r>
        <w:rPr>
          <w:color w:val="auto"/>
          <w:highlight w:val="none"/>
        </w:rPr>
        <w:t>1</w:t>
      </w:r>
      <w:r>
        <w:rPr>
          <w:color w:val="auto"/>
          <w:highlight w:val="none"/>
        </w:rPr>
        <w:fldChar w:fldCharType="end"/>
      </w:r>
      <w:r>
        <w:rPr>
          <w:rFonts w:hint="eastAsia" w:ascii="宋体" w:hAnsi="宋体" w:eastAsia="宋体" w:cs="宋体"/>
          <w:color w:val="auto"/>
          <w:highlight w:val="none"/>
        </w:rPr>
        <w:fldChar w:fldCharType="end"/>
      </w:r>
    </w:p>
    <w:p w14:paraId="6F87F521">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_Toc4906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第二节 重要事项时间地点一览表</w:t>
      </w:r>
      <w:r>
        <w:rPr>
          <w:color w:val="auto"/>
          <w:highlight w:val="none"/>
        </w:rPr>
        <w:tab/>
      </w:r>
      <w:r>
        <w:rPr>
          <w:color w:val="auto"/>
          <w:highlight w:val="none"/>
        </w:rPr>
        <w:fldChar w:fldCharType="begin"/>
      </w:r>
      <w:r>
        <w:rPr>
          <w:color w:val="auto"/>
          <w:highlight w:val="none"/>
        </w:rPr>
        <w:instrText xml:space="preserve"> PAGEREF _Toc4906 \h </w:instrText>
      </w:r>
      <w:r>
        <w:rPr>
          <w:color w:val="auto"/>
          <w:highlight w:val="none"/>
        </w:rPr>
        <w:fldChar w:fldCharType="separate"/>
      </w:r>
      <w:r>
        <w:rPr>
          <w:color w:val="auto"/>
          <w:highlight w:val="none"/>
        </w:rPr>
        <w:t>7</w:t>
      </w:r>
      <w:r>
        <w:rPr>
          <w:color w:val="auto"/>
          <w:highlight w:val="none"/>
        </w:rPr>
        <w:fldChar w:fldCharType="end"/>
      </w:r>
      <w:r>
        <w:rPr>
          <w:rFonts w:hint="eastAsia" w:ascii="宋体" w:hAnsi="宋体" w:eastAsia="宋体" w:cs="宋体"/>
          <w:color w:val="auto"/>
          <w:highlight w:val="none"/>
        </w:rPr>
        <w:fldChar w:fldCharType="end"/>
      </w:r>
    </w:p>
    <w:p w14:paraId="6F53C8DE">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_Toc9729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4"/>
          <w:highlight w:val="none"/>
        </w:rPr>
        <w:t>第三节 投标人须知正文</w:t>
      </w:r>
      <w:r>
        <w:rPr>
          <w:color w:val="auto"/>
          <w:highlight w:val="none"/>
        </w:rPr>
        <w:tab/>
      </w:r>
      <w:r>
        <w:rPr>
          <w:color w:val="auto"/>
          <w:highlight w:val="none"/>
        </w:rPr>
        <w:fldChar w:fldCharType="begin"/>
      </w:r>
      <w:r>
        <w:rPr>
          <w:color w:val="auto"/>
          <w:highlight w:val="none"/>
        </w:rPr>
        <w:instrText xml:space="preserve"> PAGEREF _Toc9729 \h </w:instrText>
      </w:r>
      <w:r>
        <w:rPr>
          <w:color w:val="auto"/>
          <w:highlight w:val="none"/>
        </w:rPr>
        <w:fldChar w:fldCharType="separate"/>
      </w:r>
      <w:r>
        <w:rPr>
          <w:color w:val="auto"/>
          <w:highlight w:val="none"/>
        </w:rPr>
        <w:t>8</w:t>
      </w:r>
      <w:r>
        <w:rPr>
          <w:color w:val="auto"/>
          <w:highlight w:val="none"/>
        </w:rPr>
        <w:fldChar w:fldCharType="end"/>
      </w:r>
      <w:r>
        <w:rPr>
          <w:rFonts w:hint="eastAsia" w:ascii="宋体" w:hAnsi="宋体" w:eastAsia="宋体" w:cs="宋体"/>
          <w:color w:val="auto"/>
          <w:highlight w:val="none"/>
        </w:rPr>
        <w:fldChar w:fldCharType="end"/>
      </w:r>
    </w:p>
    <w:p w14:paraId="19F111CB">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_Toc14995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第四节 否决投标条件</w:t>
      </w:r>
      <w:r>
        <w:rPr>
          <w:color w:val="auto"/>
          <w:highlight w:val="none"/>
        </w:rPr>
        <w:tab/>
      </w:r>
      <w:r>
        <w:rPr>
          <w:color w:val="auto"/>
          <w:highlight w:val="none"/>
        </w:rPr>
        <w:fldChar w:fldCharType="begin"/>
      </w:r>
      <w:r>
        <w:rPr>
          <w:color w:val="auto"/>
          <w:highlight w:val="none"/>
        </w:rPr>
        <w:instrText xml:space="preserve"> PAGEREF _Toc14995 \h </w:instrText>
      </w:r>
      <w:r>
        <w:rPr>
          <w:color w:val="auto"/>
          <w:highlight w:val="none"/>
        </w:rPr>
        <w:fldChar w:fldCharType="separate"/>
      </w:r>
      <w:r>
        <w:rPr>
          <w:color w:val="auto"/>
          <w:highlight w:val="none"/>
        </w:rPr>
        <w:t>34</w:t>
      </w:r>
      <w:r>
        <w:rPr>
          <w:color w:val="auto"/>
          <w:highlight w:val="none"/>
        </w:rPr>
        <w:fldChar w:fldCharType="end"/>
      </w:r>
      <w:r>
        <w:rPr>
          <w:rFonts w:hint="eastAsia" w:ascii="宋体" w:hAnsi="宋体" w:eastAsia="宋体" w:cs="宋体"/>
          <w:color w:val="auto"/>
          <w:highlight w:val="none"/>
        </w:rPr>
        <w:fldChar w:fldCharType="end"/>
      </w:r>
    </w:p>
    <w:p w14:paraId="45FBB200">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_Toc3979 </w:instrText>
      </w:r>
      <w:r>
        <w:rPr>
          <w:rFonts w:hint="eastAsia" w:ascii="宋体" w:hAnsi="宋体" w:eastAsia="宋体" w:cs="宋体"/>
          <w:color w:val="auto"/>
          <w:highlight w:val="none"/>
        </w:rPr>
        <w:fldChar w:fldCharType="separate"/>
      </w:r>
      <w:r>
        <w:rPr>
          <w:rFonts w:hint="eastAsia" w:ascii="Times New Roman" w:hAnsi="宋体" w:eastAsia="宋体" w:cs="Times New Roman"/>
          <w:bCs/>
          <w:color w:val="auto"/>
          <w:highlight w:val="none"/>
        </w:rPr>
        <w:t>第</w:t>
      </w:r>
      <w:r>
        <w:rPr>
          <w:rFonts w:hint="eastAsia" w:ascii="Times New Roman" w:hAnsi="宋体" w:eastAsia="宋体" w:cs="Times New Roman"/>
          <w:bCs/>
          <w:color w:val="auto"/>
          <w:highlight w:val="none"/>
          <w:lang w:val="en-US" w:eastAsia="zh-CN"/>
        </w:rPr>
        <w:t>五</w:t>
      </w:r>
      <w:r>
        <w:rPr>
          <w:rFonts w:hint="eastAsia" w:ascii="Times New Roman" w:hAnsi="宋体" w:eastAsia="宋体" w:cs="Times New Roman"/>
          <w:bCs/>
          <w:color w:val="auto"/>
          <w:highlight w:val="none"/>
        </w:rPr>
        <w:t>节 定标</w:t>
      </w:r>
      <w:r>
        <w:rPr>
          <w:rFonts w:hint="eastAsia" w:ascii="Times New Roman" w:hAnsi="宋体" w:eastAsia="宋体" w:cs="Times New Roman"/>
          <w:bCs/>
          <w:color w:val="auto"/>
          <w:highlight w:val="none"/>
          <w:lang w:eastAsia="zh-CN"/>
        </w:rPr>
        <w:t>规定</w:t>
      </w:r>
      <w:r>
        <w:rPr>
          <w:rFonts w:hint="eastAsia" w:ascii="Times New Roman" w:hAnsi="宋体" w:eastAsia="宋体" w:cs="Times New Roman"/>
          <w:bCs/>
          <w:color w:val="auto"/>
          <w:highlight w:val="none"/>
          <w:lang w:val="en-US" w:eastAsia="zh-CN"/>
        </w:rPr>
        <w:t>及细则</w:t>
      </w:r>
      <w:r>
        <w:rPr>
          <w:color w:val="auto"/>
          <w:highlight w:val="none"/>
        </w:rPr>
        <w:tab/>
      </w:r>
      <w:r>
        <w:rPr>
          <w:color w:val="auto"/>
          <w:highlight w:val="none"/>
        </w:rPr>
        <w:fldChar w:fldCharType="begin"/>
      </w:r>
      <w:r>
        <w:rPr>
          <w:color w:val="auto"/>
          <w:highlight w:val="none"/>
        </w:rPr>
        <w:instrText xml:space="preserve"> PAGEREF _Toc3979 \h </w:instrText>
      </w:r>
      <w:r>
        <w:rPr>
          <w:color w:val="auto"/>
          <w:highlight w:val="none"/>
        </w:rPr>
        <w:fldChar w:fldCharType="separate"/>
      </w:r>
      <w:r>
        <w:rPr>
          <w:color w:val="auto"/>
          <w:highlight w:val="none"/>
        </w:rPr>
        <w:t>37</w:t>
      </w:r>
      <w:r>
        <w:rPr>
          <w:color w:val="auto"/>
          <w:highlight w:val="none"/>
        </w:rPr>
        <w:fldChar w:fldCharType="end"/>
      </w:r>
      <w:r>
        <w:rPr>
          <w:rFonts w:hint="eastAsia" w:ascii="宋体" w:hAnsi="宋体" w:eastAsia="宋体" w:cs="宋体"/>
          <w:color w:val="auto"/>
          <w:highlight w:val="none"/>
        </w:rPr>
        <w:fldChar w:fldCharType="end"/>
      </w:r>
    </w:p>
    <w:p w14:paraId="159B4730">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_Toc10952 </w:instrText>
      </w:r>
      <w:r>
        <w:rPr>
          <w:rFonts w:hint="eastAsia" w:ascii="宋体" w:hAnsi="宋体" w:eastAsia="宋体" w:cs="宋体"/>
          <w:color w:val="auto"/>
          <w:highlight w:val="none"/>
        </w:rPr>
        <w:fldChar w:fldCharType="separate"/>
      </w:r>
      <w:r>
        <w:rPr>
          <w:rFonts w:hint="eastAsia" w:ascii="Times New Roman" w:hAnsi="宋体" w:eastAsia="宋体" w:cs="Times New Roman"/>
          <w:bCs/>
          <w:color w:val="auto"/>
          <w:szCs w:val="24"/>
          <w:highlight w:val="none"/>
        </w:rPr>
        <w:t>第</w:t>
      </w:r>
      <w:r>
        <w:rPr>
          <w:rFonts w:hint="eastAsia" w:ascii="Times New Roman" w:hAnsi="宋体" w:eastAsia="宋体" w:cs="Times New Roman"/>
          <w:bCs/>
          <w:color w:val="auto"/>
          <w:szCs w:val="24"/>
          <w:highlight w:val="none"/>
          <w:lang w:val="en-US" w:eastAsia="zh-CN"/>
        </w:rPr>
        <w:t>六</w:t>
      </w:r>
      <w:r>
        <w:rPr>
          <w:rFonts w:hint="eastAsia" w:ascii="Times New Roman" w:hAnsi="宋体" w:eastAsia="宋体" w:cs="Times New Roman"/>
          <w:bCs/>
          <w:color w:val="auto"/>
          <w:szCs w:val="24"/>
          <w:highlight w:val="none"/>
        </w:rPr>
        <w:t>节 中标人确认</w:t>
      </w:r>
      <w:r>
        <w:rPr>
          <w:color w:val="auto"/>
          <w:highlight w:val="none"/>
        </w:rPr>
        <w:tab/>
      </w:r>
      <w:r>
        <w:rPr>
          <w:color w:val="auto"/>
          <w:highlight w:val="none"/>
        </w:rPr>
        <w:fldChar w:fldCharType="begin"/>
      </w:r>
      <w:r>
        <w:rPr>
          <w:color w:val="auto"/>
          <w:highlight w:val="none"/>
        </w:rPr>
        <w:instrText xml:space="preserve"> PAGEREF _Toc10952 \h </w:instrText>
      </w:r>
      <w:r>
        <w:rPr>
          <w:color w:val="auto"/>
          <w:highlight w:val="none"/>
        </w:rPr>
        <w:fldChar w:fldCharType="separate"/>
      </w:r>
      <w:r>
        <w:rPr>
          <w:color w:val="auto"/>
          <w:highlight w:val="none"/>
        </w:rPr>
        <w:t>40</w:t>
      </w:r>
      <w:r>
        <w:rPr>
          <w:color w:val="auto"/>
          <w:highlight w:val="none"/>
        </w:rPr>
        <w:fldChar w:fldCharType="end"/>
      </w:r>
      <w:r>
        <w:rPr>
          <w:rFonts w:hint="eastAsia" w:ascii="宋体" w:hAnsi="宋体" w:eastAsia="宋体" w:cs="宋体"/>
          <w:color w:val="auto"/>
          <w:highlight w:val="none"/>
        </w:rPr>
        <w:fldChar w:fldCharType="end"/>
      </w:r>
    </w:p>
    <w:p w14:paraId="56FE8C6B">
      <w:pPr>
        <w:pStyle w:val="13"/>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_Toc21527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第二章 中标人须知</w:t>
      </w:r>
      <w:r>
        <w:rPr>
          <w:color w:val="auto"/>
          <w:highlight w:val="none"/>
        </w:rPr>
        <w:tab/>
      </w:r>
      <w:r>
        <w:rPr>
          <w:color w:val="auto"/>
          <w:highlight w:val="none"/>
        </w:rPr>
        <w:fldChar w:fldCharType="begin"/>
      </w:r>
      <w:r>
        <w:rPr>
          <w:color w:val="auto"/>
          <w:highlight w:val="none"/>
        </w:rPr>
        <w:instrText xml:space="preserve"> PAGEREF _Toc21527 \h </w:instrText>
      </w:r>
      <w:r>
        <w:rPr>
          <w:color w:val="auto"/>
          <w:highlight w:val="none"/>
        </w:rPr>
        <w:fldChar w:fldCharType="separate"/>
      </w:r>
      <w:r>
        <w:rPr>
          <w:color w:val="auto"/>
          <w:highlight w:val="none"/>
        </w:rPr>
        <w:t>42</w:t>
      </w:r>
      <w:r>
        <w:rPr>
          <w:color w:val="auto"/>
          <w:highlight w:val="none"/>
        </w:rPr>
        <w:fldChar w:fldCharType="end"/>
      </w:r>
      <w:r>
        <w:rPr>
          <w:rFonts w:hint="eastAsia" w:ascii="宋体" w:hAnsi="宋体" w:eastAsia="宋体" w:cs="宋体"/>
          <w:color w:val="auto"/>
          <w:highlight w:val="none"/>
        </w:rPr>
        <w:fldChar w:fldCharType="end"/>
      </w:r>
    </w:p>
    <w:p w14:paraId="119389A3">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_Toc19147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1．中标通知书</w:t>
      </w:r>
      <w:r>
        <w:rPr>
          <w:color w:val="auto"/>
          <w:highlight w:val="none"/>
        </w:rPr>
        <w:tab/>
      </w:r>
      <w:r>
        <w:rPr>
          <w:color w:val="auto"/>
          <w:highlight w:val="none"/>
        </w:rPr>
        <w:fldChar w:fldCharType="begin"/>
      </w:r>
      <w:r>
        <w:rPr>
          <w:color w:val="auto"/>
          <w:highlight w:val="none"/>
        </w:rPr>
        <w:instrText xml:space="preserve"> PAGEREF _Toc19147 \h </w:instrText>
      </w:r>
      <w:r>
        <w:rPr>
          <w:color w:val="auto"/>
          <w:highlight w:val="none"/>
        </w:rPr>
        <w:fldChar w:fldCharType="separate"/>
      </w:r>
      <w:r>
        <w:rPr>
          <w:color w:val="auto"/>
          <w:highlight w:val="none"/>
        </w:rPr>
        <w:t>42</w:t>
      </w:r>
      <w:r>
        <w:rPr>
          <w:color w:val="auto"/>
          <w:highlight w:val="none"/>
        </w:rPr>
        <w:fldChar w:fldCharType="end"/>
      </w:r>
      <w:r>
        <w:rPr>
          <w:rFonts w:hint="eastAsia" w:ascii="宋体" w:hAnsi="宋体" w:eastAsia="宋体" w:cs="宋体"/>
          <w:color w:val="auto"/>
          <w:highlight w:val="none"/>
        </w:rPr>
        <w:fldChar w:fldCharType="end"/>
      </w:r>
    </w:p>
    <w:p w14:paraId="197A3874">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_Toc9149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2．中标结果公示</w:t>
      </w:r>
      <w:r>
        <w:rPr>
          <w:color w:val="auto"/>
          <w:highlight w:val="none"/>
        </w:rPr>
        <w:tab/>
      </w:r>
      <w:r>
        <w:rPr>
          <w:color w:val="auto"/>
          <w:highlight w:val="none"/>
        </w:rPr>
        <w:fldChar w:fldCharType="begin"/>
      </w:r>
      <w:r>
        <w:rPr>
          <w:color w:val="auto"/>
          <w:highlight w:val="none"/>
        </w:rPr>
        <w:instrText xml:space="preserve"> PAGEREF _Toc9149 \h </w:instrText>
      </w:r>
      <w:r>
        <w:rPr>
          <w:color w:val="auto"/>
          <w:highlight w:val="none"/>
        </w:rPr>
        <w:fldChar w:fldCharType="separate"/>
      </w:r>
      <w:r>
        <w:rPr>
          <w:color w:val="auto"/>
          <w:highlight w:val="none"/>
        </w:rPr>
        <w:t>42</w:t>
      </w:r>
      <w:r>
        <w:rPr>
          <w:color w:val="auto"/>
          <w:highlight w:val="none"/>
        </w:rPr>
        <w:fldChar w:fldCharType="end"/>
      </w:r>
      <w:r>
        <w:rPr>
          <w:rFonts w:hint="eastAsia" w:ascii="宋体" w:hAnsi="宋体" w:eastAsia="宋体" w:cs="宋体"/>
          <w:color w:val="auto"/>
          <w:highlight w:val="none"/>
        </w:rPr>
        <w:fldChar w:fldCharType="end"/>
      </w:r>
    </w:p>
    <w:p w14:paraId="54D055FD">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_Toc25322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3．履约保证</w:t>
      </w:r>
      <w:r>
        <w:rPr>
          <w:color w:val="auto"/>
          <w:highlight w:val="none"/>
        </w:rPr>
        <w:tab/>
      </w:r>
      <w:r>
        <w:rPr>
          <w:color w:val="auto"/>
          <w:highlight w:val="none"/>
        </w:rPr>
        <w:fldChar w:fldCharType="begin"/>
      </w:r>
      <w:r>
        <w:rPr>
          <w:color w:val="auto"/>
          <w:highlight w:val="none"/>
        </w:rPr>
        <w:instrText xml:space="preserve"> PAGEREF _Toc25322 \h </w:instrText>
      </w:r>
      <w:r>
        <w:rPr>
          <w:color w:val="auto"/>
          <w:highlight w:val="none"/>
        </w:rPr>
        <w:fldChar w:fldCharType="separate"/>
      </w:r>
      <w:r>
        <w:rPr>
          <w:color w:val="auto"/>
          <w:highlight w:val="none"/>
        </w:rPr>
        <w:t>42</w:t>
      </w:r>
      <w:r>
        <w:rPr>
          <w:color w:val="auto"/>
          <w:highlight w:val="none"/>
        </w:rPr>
        <w:fldChar w:fldCharType="end"/>
      </w:r>
      <w:r>
        <w:rPr>
          <w:rFonts w:hint="eastAsia" w:ascii="宋体" w:hAnsi="宋体" w:eastAsia="宋体" w:cs="宋体"/>
          <w:color w:val="auto"/>
          <w:highlight w:val="none"/>
        </w:rPr>
        <w:fldChar w:fldCharType="end"/>
      </w:r>
    </w:p>
    <w:p w14:paraId="4D25A1EC">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_Toc967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4．合同订立</w:t>
      </w:r>
      <w:r>
        <w:rPr>
          <w:color w:val="auto"/>
          <w:highlight w:val="none"/>
        </w:rPr>
        <w:tab/>
      </w:r>
      <w:r>
        <w:rPr>
          <w:color w:val="auto"/>
          <w:highlight w:val="none"/>
        </w:rPr>
        <w:fldChar w:fldCharType="begin"/>
      </w:r>
      <w:r>
        <w:rPr>
          <w:color w:val="auto"/>
          <w:highlight w:val="none"/>
        </w:rPr>
        <w:instrText xml:space="preserve"> PAGEREF _Toc967 \h </w:instrText>
      </w:r>
      <w:r>
        <w:rPr>
          <w:color w:val="auto"/>
          <w:highlight w:val="none"/>
        </w:rPr>
        <w:fldChar w:fldCharType="separate"/>
      </w:r>
      <w:r>
        <w:rPr>
          <w:color w:val="auto"/>
          <w:highlight w:val="none"/>
        </w:rPr>
        <w:t>43</w:t>
      </w:r>
      <w:r>
        <w:rPr>
          <w:color w:val="auto"/>
          <w:highlight w:val="none"/>
        </w:rPr>
        <w:fldChar w:fldCharType="end"/>
      </w:r>
      <w:r>
        <w:rPr>
          <w:rFonts w:hint="eastAsia" w:ascii="宋体" w:hAnsi="宋体" w:eastAsia="宋体" w:cs="宋体"/>
          <w:color w:val="auto"/>
          <w:highlight w:val="none"/>
        </w:rPr>
        <w:fldChar w:fldCharType="end"/>
      </w:r>
    </w:p>
    <w:p w14:paraId="33203184">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_Toc4278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5．放弃中标的处理</w:t>
      </w:r>
      <w:r>
        <w:rPr>
          <w:color w:val="auto"/>
          <w:highlight w:val="none"/>
        </w:rPr>
        <w:tab/>
      </w:r>
      <w:r>
        <w:rPr>
          <w:color w:val="auto"/>
          <w:highlight w:val="none"/>
        </w:rPr>
        <w:fldChar w:fldCharType="begin"/>
      </w:r>
      <w:r>
        <w:rPr>
          <w:color w:val="auto"/>
          <w:highlight w:val="none"/>
        </w:rPr>
        <w:instrText xml:space="preserve"> PAGEREF _Toc4278 \h </w:instrText>
      </w:r>
      <w:r>
        <w:rPr>
          <w:color w:val="auto"/>
          <w:highlight w:val="none"/>
        </w:rPr>
        <w:fldChar w:fldCharType="separate"/>
      </w:r>
      <w:r>
        <w:rPr>
          <w:color w:val="auto"/>
          <w:highlight w:val="none"/>
        </w:rPr>
        <w:t>44</w:t>
      </w:r>
      <w:r>
        <w:rPr>
          <w:color w:val="auto"/>
          <w:highlight w:val="none"/>
        </w:rPr>
        <w:fldChar w:fldCharType="end"/>
      </w:r>
      <w:r>
        <w:rPr>
          <w:rFonts w:hint="eastAsia" w:ascii="宋体" w:hAnsi="宋体" w:eastAsia="宋体" w:cs="宋体"/>
          <w:color w:val="auto"/>
          <w:highlight w:val="none"/>
        </w:rPr>
        <w:fldChar w:fldCharType="end"/>
      </w:r>
    </w:p>
    <w:p w14:paraId="703AF2DD">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_Toc15171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6．专业工程分包</w:t>
      </w:r>
      <w:r>
        <w:rPr>
          <w:color w:val="auto"/>
          <w:highlight w:val="none"/>
        </w:rPr>
        <w:tab/>
      </w:r>
      <w:r>
        <w:rPr>
          <w:color w:val="auto"/>
          <w:highlight w:val="none"/>
        </w:rPr>
        <w:fldChar w:fldCharType="begin"/>
      </w:r>
      <w:r>
        <w:rPr>
          <w:color w:val="auto"/>
          <w:highlight w:val="none"/>
        </w:rPr>
        <w:instrText xml:space="preserve"> PAGEREF _Toc15171 \h </w:instrText>
      </w:r>
      <w:r>
        <w:rPr>
          <w:color w:val="auto"/>
          <w:highlight w:val="none"/>
        </w:rPr>
        <w:fldChar w:fldCharType="separate"/>
      </w:r>
      <w:r>
        <w:rPr>
          <w:color w:val="auto"/>
          <w:highlight w:val="none"/>
        </w:rPr>
        <w:t>45</w:t>
      </w:r>
      <w:r>
        <w:rPr>
          <w:color w:val="auto"/>
          <w:highlight w:val="none"/>
        </w:rPr>
        <w:fldChar w:fldCharType="end"/>
      </w:r>
      <w:r>
        <w:rPr>
          <w:rFonts w:hint="eastAsia" w:ascii="宋体" w:hAnsi="宋体" w:eastAsia="宋体" w:cs="宋体"/>
          <w:color w:val="auto"/>
          <w:highlight w:val="none"/>
        </w:rPr>
        <w:fldChar w:fldCharType="end"/>
      </w:r>
    </w:p>
    <w:p w14:paraId="202506B2">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_Toc10173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7．工人工资支付专用账户</w:t>
      </w:r>
      <w:r>
        <w:rPr>
          <w:color w:val="auto"/>
          <w:highlight w:val="none"/>
        </w:rPr>
        <w:tab/>
      </w:r>
      <w:r>
        <w:rPr>
          <w:color w:val="auto"/>
          <w:highlight w:val="none"/>
        </w:rPr>
        <w:fldChar w:fldCharType="begin"/>
      </w:r>
      <w:r>
        <w:rPr>
          <w:color w:val="auto"/>
          <w:highlight w:val="none"/>
        </w:rPr>
        <w:instrText xml:space="preserve"> PAGEREF _Toc10173 \h </w:instrText>
      </w:r>
      <w:r>
        <w:rPr>
          <w:color w:val="auto"/>
          <w:highlight w:val="none"/>
        </w:rPr>
        <w:fldChar w:fldCharType="separate"/>
      </w:r>
      <w:r>
        <w:rPr>
          <w:color w:val="auto"/>
          <w:highlight w:val="none"/>
        </w:rPr>
        <w:t>45</w:t>
      </w:r>
      <w:r>
        <w:rPr>
          <w:color w:val="auto"/>
          <w:highlight w:val="none"/>
        </w:rPr>
        <w:fldChar w:fldCharType="end"/>
      </w:r>
      <w:r>
        <w:rPr>
          <w:rFonts w:hint="eastAsia" w:ascii="宋体" w:hAnsi="宋体" w:eastAsia="宋体" w:cs="宋体"/>
          <w:color w:val="auto"/>
          <w:highlight w:val="none"/>
        </w:rPr>
        <w:fldChar w:fldCharType="end"/>
      </w:r>
    </w:p>
    <w:p w14:paraId="3A7DF705">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_Toc15708 </w:instrText>
      </w:r>
      <w:r>
        <w:rPr>
          <w:rFonts w:hint="eastAsia" w:ascii="宋体" w:hAnsi="宋体" w:eastAsia="宋体" w:cs="宋体"/>
          <w:color w:val="auto"/>
          <w:highlight w:val="none"/>
        </w:rPr>
        <w:fldChar w:fldCharType="separate"/>
      </w:r>
      <w:r>
        <w:rPr>
          <w:rFonts w:hint="eastAsia" w:hAnsi="宋体" w:cs="宋体"/>
          <w:bCs/>
          <w:color w:val="auto"/>
          <w:kern w:val="0"/>
          <w:highlight w:val="none"/>
          <w:lang w:val="en-US" w:eastAsia="zh-CN"/>
        </w:rPr>
        <w:t>8</w:t>
      </w:r>
      <w:r>
        <w:rPr>
          <w:rFonts w:hint="eastAsia" w:ascii="宋体" w:hAnsi="宋体" w:eastAsia="宋体" w:cs="宋体"/>
          <w:bCs/>
          <w:color w:val="auto"/>
          <w:kern w:val="0"/>
          <w:highlight w:val="none"/>
        </w:rPr>
        <w:t>．工期进度</w:t>
      </w:r>
      <w:r>
        <w:rPr>
          <w:color w:val="auto"/>
          <w:highlight w:val="none"/>
        </w:rPr>
        <w:tab/>
      </w:r>
      <w:r>
        <w:rPr>
          <w:color w:val="auto"/>
          <w:highlight w:val="none"/>
        </w:rPr>
        <w:fldChar w:fldCharType="begin"/>
      </w:r>
      <w:r>
        <w:rPr>
          <w:color w:val="auto"/>
          <w:highlight w:val="none"/>
        </w:rPr>
        <w:instrText xml:space="preserve"> PAGEREF _Toc15708 \h </w:instrText>
      </w:r>
      <w:r>
        <w:rPr>
          <w:color w:val="auto"/>
          <w:highlight w:val="none"/>
        </w:rPr>
        <w:fldChar w:fldCharType="separate"/>
      </w:r>
      <w:r>
        <w:rPr>
          <w:color w:val="auto"/>
          <w:highlight w:val="none"/>
        </w:rPr>
        <w:t>45</w:t>
      </w:r>
      <w:r>
        <w:rPr>
          <w:color w:val="auto"/>
          <w:highlight w:val="none"/>
        </w:rPr>
        <w:fldChar w:fldCharType="end"/>
      </w:r>
      <w:r>
        <w:rPr>
          <w:rFonts w:hint="eastAsia" w:ascii="宋体" w:hAnsi="宋体" w:eastAsia="宋体" w:cs="宋体"/>
          <w:color w:val="auto"/>
          <w:highlight w:val="none"/>
        </w:rPr>
        <w:fldChar w:fldCharType="end"/>
      </w:r>
    </w:p>
    <w:p w14:paraId="7971272C">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_Toc19723 </w:instrText>
      </w:r>
      <w:r>
        <w:rPr>
          <w:rFonts w:hint="eastAsia" w:ascii="宋体" w:hAnsi="宋体" w:eastAsia="宋体" w:cs="宋体"/>
          <w:color w:val="auto"/>
          <w:highlight w:val="none"/>
        </w:rPr>
        <w:fldChar w:fldCharType="separate"/>
      </w:r>
      <w:r>
        <w:rPr>
          <w:rFonts w:hint="eastAsia" w:hAnsi="宋体" w:cs="宋体"/>
          <w:bCs/>
          <w:color w:val="auto"/>
          <w:kern w:val="0"/>
          <w:highlight w:val="none"/>
          <w:lang w:val="en-US" w:eastAsia="zh-CN"/>
        </w:rPr>
        <w:t>9</w:t>
      </w:r>
      <w:r>
        <w:rPr>
          <w:rFonts w:hint="eastAsia" w:ascii="宋体" w:hAnsi="宋体" w:eastAsia="宋体" w:cs="宋体"/>
          <w:bCs/>
          <w:color w:val="auto"/>
          <w:kern w:val="0"/>
          <w:highlight w:val="none"/>
        </w:rPr>
        <w:t>．项目管理机构</w:t>
      </w:r>
      <w:r>
        <w:rPr>
          <w:color w:val="auto"/>
          <w:highlight w:val="none"/>
        </w:rPr>
        <w:tab/>
      </w:r>
      <w:r>
        <w:rPr>
          <w:color w:val="auto"/>
          <w:highlight w:val="none"/>
        </w:rPr>
        <w:fldChar w:fldCharType="begin"/>
      </w:r>
      <w:r>
        <w:rPr>
          <w:color w:val="auto"/>
          <w:highlight w:val="none"/>
        </w:rPr>
        <w:instrText xml:space="preserve"> PAGEREF _Toc19723 \h </w:instrText>
      </w:r>
      <w:r>
        <w:rPr>
          <w:color w:val="auto"/>
          <w:highlight w:val="none"/>
        </w:rPr>
        <w:fldChar w:fldCharType="separate"/>
      </w:r>
      <w:r>
        <w:rPr>
          <w:color w:val="auto"/>
          <w:highlight w:val="none"/>
        </w:rPr>
        <w:t>46</w:t>
      </w:r>
      <w:r>
        <w:rPr>
          <w:color w:val="auto"/>
          <w:highlight w:val="none"/>
        </w:rPr>
        <w:fldChar w:fldCharType="end"/>
      </w:r>
      <w:r>
        <w:rPr>
          <w:rFonts w:hint="eastAsia" w:ascii="宋体" w:hAnsi="宋体" w:eastAsia="宋体" w:cs="宋体"/>
          <w:color w:val="auto"/>
          <w:highlight w:val="none"/>
        </w:rPr>
        <w:fldChar w:fldCharType="end"/>
      </w:r>
    </w:p>
    <w:p w14:paraId="176E7039">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_Toc18255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hAnsi="宋体" w:cs="宋体"/>
          <w:bCs/>
          <w:color w:val="auto"/>
          <w:kern w:val="0"/>
          <w:highlight w:val="none"/>
          <w:lang w:val="en-US" w:eastAsia="zh-CN"/>
        </w:rPr>
        <w:t>0</w:t>
      </w:r>
      <w:r>
        <w:rPr>
          <w:rFonts w:hint="eastAsia" w:ascii="宋体" w:hAnsi="宋体" w:eastAsia="宋体" w:cs="宋体"/>
          <w:bCs/>
          <w:color w:val="auto"/>
          <w:kern w:val="0"/>
          <w:highlight w:val="none"/>
        </w:rPr>
        <w:t>．现场管理</w:t>
      </w:r>
      <w:r>
        <w:rPr>
          <w:color w:val="auto"/>
          <w:highlight w:val="none"/>
        </w:rPr>
        <w:tab/>
      </w:r>
      <w:r>
        <w:rPr>
          <w:color w:val="auto"/>
          <w:highlight w:val="none"/>
        </w:rPr>
        <w:fldChar w:fldCharType="begin"/>
      </w:r>
      <w:r>
        <w:rPr>
          <w:color w:val="auto"/>
          <w:highlight w:val="none"/>
        </w:rPr>
        <w:instrText xml:space="preserve"> PAGEREF _Toc18255 \h </w:instrText>
      </w:r>
      <w:r>
        <w:rPr>
          <w:color w:val="auto"/>
          <w:highlight w:val="none"/>
        </w:rPr>
        <w:fldChar w:fldCharType="separate"/>
      </w:r>
      <w:r>
        <w:rPr>
          <w:color w:val="auto"/>
          <w:highlight w:val="none"/>
        </w:rPr>
        <w:t>46</w:t>
      </w:r>
      <w:r>
        <w:rPr>
          <w:color w:val="auto"/>
          <w:highlight w:val="none"/>
        </w:rPr>
        <w:fldChar w:fldCharType="end"/>
      </w:r>
      <w:r>
        <w:rPr>
          <w:rFonts w:hint="eastAsia" w:ascii="宋体" w:hAnsi="宋体" w:eastAsia="宋体" w:cs="宋体"/>
          <w:color w:val="auto"/>
          <w:highlight w:val="none"/>
        </w:rPr>
        <w:fldChar w:fldCharType="end"/>
      </w:r>
    </w:p>
    <w:p w14:paraId="4FC3553B">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_Toc19388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hAnsi="宋体" w:cs="宋体"/>
          <w:bCs/>
          <w:color w:val="auto"/>
          <w:kern w:val="0"/>
          <w:highlight w:val="none"/>
          <w:lang w:val="en-US" w:eastAsia="zh-CN"/>
        </w:rPr>
        <w:t>1</w:t>
      </w:r>
      <w:r>
        <w:rPr>
          <w:rFonts w:hint="eastAsia" w:ascii="宋体" w:hAnsi="宋体" w:eastAsia="宋体" w:cs="宋体"/>
          <w:bCs/>
          <w:color w:val="auto"/>
          <w:kern w:val="0"/>
          <w:highlight w:val="none"/>
        </w:rPr>
        <w:t>．监督实施</w:t>
      </w:r>
      <w:r>
        <w:rPr>
          <w:color w:val="auto"/>
          <w:highlight w:val="none"/>
        </w:rPr>
        <w:tab/>
      </w:r>
      <w:r>
        <w:rPr>
          <w:color w:val="auto"/>
          <w:highlight w:val="none"/>
        </w:rPr>
        <w:fldChar w:fldCharType="begin"/>
      </w:r>
      <w:r>
        <w:rPr>
          <w:color w:val="auto"/>
          <w:highlight w:val="none"/>
        </w:rPr>
        <w:instrText xml:space="preserve"> PAGEREF _Toc19388 \h </w:instrText>
      </w:r>
      <w:r>
        <w:rPr>
          <w:color w:val="auto"/>
          <w:highlight w:val="none"/>
        </w:rPr>
        <w:fldChar w:fldCharType="separate"/>
      </w:r>
      <w:r>
        <w:rPr>
          <w:color w:val="auto"/>
          <w:highlight w:val="none"/>
        </w:rPr>
        <w:t>47</w:t>
      </w:r>
      <w:r>
        <w:rPr>
          <w:color w:val="auto"/>
          <w:highlight w:val="none"/>
        </w:rPr>
        <w:fldChar w:fldCharType="end"/>
      </w:r>
      <w:r>
        <w:rPr>
          <w:rFonts w:hint="eastAsia" w:ascii="宋体" w:hAnsi="宋体" w:eastAsia="宋体" w:cs="宋体"/>
          <w:color w:val="auto"/>
          <w:highlight w:val="none"/>
        </w:rPr>
        <w:fldChar w:fldCharType="end"/>
      </w:r>
    </w:p>
    <w:p w14:paraId="65115CB7">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_Toc22328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hAnsi="宋体" w:cs="宋体"/>
          <w:bCs/>
          <w:color w:val="auto"/>
          <w:kern w:val="0"/>
          <w:highlight w:val="none"/>
          <w:lang w:val="en-US" w:eastAsia="zh-CN"/>
        </w:rPr>
        <w:t>2</w:t>
      </w:r>
      <w:r>
        <w:rPr>
          <w:rFonts w:hint="eastAsia" w:ascii="宋体" w:hAnsi="宋体" w:eastAsia="宋体" w:cs="宋体"/>
          <w:bCs/>
          <w:color w:val="auto"/>
          <w:kern w:val="0"/>
          <w:highlight w:val="none"/>
        </w:rPr>
        <w:t>．主材的采购和使用</w:t>
      </w:r>
      <w:r>
        <w:rPr>
          <w:color w:val="auto"/>
          <w:highlight w:val="none"/>
        </w:rPr>
        <w:tab/>
      </w:r>
      <w:r>
        <w:rPr>
          <w:color w:val="auto"/>
          <w:highlight w:val="none"/>
        </w:rPr>
        <w:fldChar w:fldCharType="begin"/>
      </w:r>
      <w:r>
        <w:rPr>
          <w:color w:val="auto"/>
          <w:highlight w:val="none"/>
        </w:rPr>
        <w:instrText xml:space="preserve"> PAGEREF _Toc22328 \h </w:instrText>
      </w:r>
      <w:r>
        <w:rPr>
          <w:color w:val="auto"/>
          <w:highlight w:val="none"/>
        </w:rPr>
        <w:fldChar w:fldCharType="separate"/>
      </w:r>
      <w:r>
        <w:rPr>
          <w:color w:val="auto"/>
          <w:highlight w:val="none"/>
        </w:rPr>
        <w:t>47</w:t>
      </w:r>
      <w:r>
        <w:rPr>
          <w:color w:val="auto"/>
          <w:highlight w:val="none"/>
        </w:rPr>
        <w:fldChar w:fldCharType="end"/>
      </w:r>
      <w:r>
        <w:rPr>
          <w:rFonts w:hint="eastAsia" w:ascii="宋体" w:hAnsi="宋体" w:eastAsia="宋体" w:cs="宋体"/>
          <w:color w:val="auto"/>
          <w:highlight w:val="none"/>
        </w:rPr>
        <w:fldChar w:fldCharType="end"/>
      </w:r>
    </w:p>
    <w:p w14:paraId="213816AF">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_Toc21291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hAnsi="宋体" w:cs="宋体"/>
          <w:bCs/>
          <w:color w:val="auto"/>
          <w:kern w:val="0"/>
          <w:highlight w:val="none"/>
          <w:lang w:val="en-US" w:eastAsia="zh-CN"/>
        </w:rPr>
        <w:t>3</w:t>
      </w:r>
      <w:r>
        <w:rPr>
          <w:rFonts w:hint="eastAsia" w:ascii="宋体" w:hAnsi="宋体" w:eastAsia="宋体" w:cs="宋体"/>
          <w:bCs/>
          <w:color w:val="auto"/>
          <w:kern w:val="0"/>
          <w:highlight w:val="none"/>
        </w:rPr>
        <w:t>．竣工资料移交</w:t>
      </w:r>
      <w:r>
        <w:rPr>
          <w:color w:val="auto"/>
          <w:highlight w:val="none"/>
        </w:rPr>
        <w:tab/>
      </w:r>
      <w:r>
        <w:rPr>
          <w:color w:val="auto"/>
          <w:highlight w:val="none"/>
        </w:rPr>
        <w:fldChar w:fldCharType="begin"/>
      </w:r>
      <w:r>
        <w:rPr>
          <w:color w:val="auto"/>
          <w:highlight w:val="none"/>
        </w:rPr>
        <w:instrText xml:space="preserve"> PAGEREF _Toc21291 \h </w:instrText>
      </w:r>
      <w:r>
        <w:rPr>
          <w:color w:val="auto"/>
          <w:highlight w:val="none"/>
        </w:rPr>
        <w:fldChar w:fldCharType="separate"/>
      </w:r>
      <w:r>
        <w:rPr>
          <w:color w:val="auto"/>
          <w:highlight w:val="none"/>
        </w:rPr>
        <w:t>47</w:t>
      </w:r>
      <w:r>
        <w:rPr>
          <w:color w:val="auto"/>
          <w:highlight w:val="none"/>
        </w:rPr>
        <w:fldChar w:fldCharType="end"/>
      </w:r>
      <w:r>
        <w:rPr>
          <w:rFonts w:hint="eastAsia" w:ascii="宋体" w:hAnsi="宋体" w:eastAsia="宋体" w:cs="宋体"/>
          <w:color w:val="auto"/>
          <w:highlight w:val="none"/>
        </w:rPr>
        <w:fldChar w:fldCharType="end"/>
      </w:r>
    </w:p>
    <w:p w14:paraId="1F937E8D">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_Toc2569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hAnsi="宋体" w:cs="宋体"/>
          <w:bCs/>
          <w:color w:val="auto"/>
          <w:kern w:val="0"/>
          <w:highlight w:val="none"/>
          <w:lang w:val="en-US" w:eastAsia="zh-CN"/>
        </w:rPr>
        <w:t>4</w:t>
      </w:r>
      <w:r>
        <w:rPr>
          <w:rFonts w:hint="eastAsia" w:ascii="宋体" w:hAnsi="宋体" w:eastAsia="宋体" w:cs="宋体"/>
          <w:bCs/>
          <w:color w:val="auto"/>
          <w:kern w:val="0"/>
          <w:highlight w:val="none"/>
        </w:rPr>
        <w:t>．质量保证</w:t>
      </w:r>
      <w:r>
        <w:rPr>
          <w:color w:val="auto"/>
          <w:highlight w:val="none"/>
        </w:rPr>
        <w:tab/>
      </w:r>
      <w:r>
        <w:rPr>
          <w:color w:val="auto"/>
          <w:highlight w:val="none"/>
        </w:rPr>
        <w:fldChar w:fldCharType="begin"/>
      </w:r>
      <w:r>
        <w:rPr>
          <w:color w:val="auto"/>
          <w:highlight w:val="none"/>
        </w:rPr>
        <w:instrText xml:space="preserve"> PAGEREF _Toc2569 \h </w:instrText>
      </w:r>
      <w:r>
        <w:rPr>
          <w:color w:val="auto"/>
          <w:highlight w:val="none"/>
        </w:rPr>
        <w:fldChar w:fldCharType="separate"/>
      </w:r>
      <w:r>
        <w:rPr>
          <w:color w:val="auto"/>
          <w:highlight w:val="none"/>
        </w:rPr>
        <w:t>47</w:t>
      </w:r>
      <w:r>
        <w:rPr>
          <w:color w:val="auto"/>
          <w:highlight w:val="none"/>
        </w:rPr>
        <w:fldChar w:fldCharType="end"/>
      </w:r>
      <w:r>
        <w:rPr>
          <w:rFonts w:hint="eastAsia" w:ascii="宋体" w:hAnsi="宋体" w:eastAsia="宋体" w:cs="宋体"/>
          <w:color w:val="auto"/>
          <w:highlight w:val="none"/>
        </w:rPr>
        <w:fldChar w:fldCharType="end"/>
      </w:r>
    </w:p>
    <w:p w14:paraId="71C24A7A">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_Toc4991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hAnsi="宋体" w:cs="宋体"/>
          <w:bCs/>
          <w:color w:val="auto"/>
          <w:kern w:val="0"/>
          <w:highlight w:val="none"/>
          <w:lang w:val="en-US" w:eastAsia="zh-CN"/>
        </w:rPr>
        <w:t>5</w:t>
      </w:r>
      <w:r>
        <w:rPr>
          <w:rFonts w:hint="eastAsia" w:ascii="宋体" w:hAnsi="宋体" w:eastAsia="宋体" w:cs="宋体"/>
          <w:bCs/>
          <w:color w:val="auto"/>
          <w:kern w:val="0"/>
          <w:highlight w:val="none"/>
        </w:rPr>
        <w:t>．不良行为处理</w:t>
      </w:r>
      <w:r>
        <w:rPr>
          <w:color w:val="auto"/>
          <w:highlight w:val="none"/>
        </w:rPr>
        <w:tab/>
      </w:r>
      <w:r>
        <w:rPr>
          <w:color w:val="auto"/>
          <w:highlight w:val="none"/>
        </w:rPr>
        <w:fldChar w:fldCharType="begin"/>
      </w:r>
      <w:r>
        <w:rPr>
          <w:color w:val="auto"/>
          <w:highlight w:val="none"/>
        </w:rPr>
        <w:instrText xml:space="preserve"> PAGEREF _Toc4991 \h </w:instrText>
      </w:r>
      <w:r>
        <w:rPr>
          <w:color w:val="auto"/>
          <w:highlight w:val="none"/>
        </w:rPr>
        <w:fldChar w:fldCharType="separate"/>
      </w:r>
      <w:r>
        <w:rPr>
          <w:color w:val="auto"/>
          <w:highlight w:val="none"/>
        </w:rPr>
        <w:t>48</w:t>
      </w:r>
      <w:r>
        <w:rPr>
          <w:color w:val="auto"/>
          <w:highlight w:val="none"/>
        </w:rPr>
        <w:fldChar w:fldCharType="end"/>
      </w:r>
      <w:r>
        <w:rPr>
          <w:rFonts w:hint="eastAsia" w:ascii="宋体" w:hAnsi="宋体" w:eastAsia="宋体" w:cs="宋体"/>
          <w:color w:val="auto"/>
          <w:highlight w:val="none"/>
        </w:rPr>
        <w:fldChar w:fldCharType="end"/>
      </w:r>
    </w:p>
    <w:p w14:paraId="4FB68A78">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_Toc8801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ascii="宋体" w:hAnsi="宋体" w:cs="宋体"/>
          <w:bCs/>
          <w:color w:val="auto"/>
          <w:kern w:val="0"/>
          <w:highlight w:val="none"/>
          <w:lang w:val="en-US" w:eastAsia="zh-CN"/>
        </w:rPr>
        <w:t>6</w:t>
      </w:r>
      <w:r>
        <w:rPr>
          <w:rFonts w:hint="eastAsia" w:ascii="宋体" w:hAnsi="宋体" w:eastAsia="宋体" w:cs="宋体"/>
          <w:bCs/>
          <w:color w:val="auto"/>
          <w:kern w:val="0"/>
          <w:highlight w:val="none"/>
        </w:rPr>
        <w:t>．信用评价条款内容</w:t>
      </w:r>
      <w:r>
        <w:rPr>
          <w:color w:val="auto"/>
          <w:highlight w:val="none"/>
        </w:rPr>
        <w:tab/>
      </w:r>
      <w:r>
        <w:rPr>
          <w:color w:val="auto"/>
          <w:highlight w:val="none"/>
        </w:rPr>
        <w:fldChar w:fldCharType="begin"/>
      </w:r>
      <w:r>
        <w:rPr>
          <w:color w:val="auto"/>
          <w:highlight w:val="none"/>
        </w:rPr>
        <w:instrText xml:space="preserve"> PAGEREF _Toc8801 \h </w:instrText>
      </w:r>
      <w:r>
        <w:rPr>
          <w:color w:val="auto"/>
          <w:highlight w:val="none"/>
        </w:rPr>
        <w:fldChar w:fldCharType="separate"/>
      </w:r>
      <w:r>
        <w:rPr>
          <w:color w:val="auto"/>
          <w:highlight w:val="none"/>
        </w:rPr>
        <w:t>48</w:t>
      </w:r>
      <w:r>
        <w:rPr>
          <w:color w:val="auto"/>
          <w:highlight w:val="none"/>
        </w:rPr>
        <w:fldChar w:fldCharType="end"/>
      </w:r>
      <w:r>
        <w:rPr>
          <w:rFonts w:hint="eastAsia" w:ascii="宋体" w:hAnsi="宋体" w:eastAsia="宋体" w:cs="宋体"/>
          <w:color w:val="auto"/>
          <w:highlight w:val="none"/>
        </w:rPr>
        <w:fldChar w:fldCharType="end"/>
      </w:r>
    </w:p>
    <w:p w14:paraId="6B2482DD">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_Toc5020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1</w:t>
      </w:r>
      <w:r>
        <w:rPr>
          <w:rFonts w:hint="eastAsia" w:hAnsi="宋体" w:cs="宋体"/>
          <w:bCs/>
          <w:color w:val="auto"/>
          <w:highlight w:val="none"/>
          <w:lang w:val="en-US" w:eastAsia="zh-CN"/>
        </w:rPr>
        <w:t>7</w:t>
      </w:r>
      <w:r>
        <w:rPr>
          <w:rFonts w:hint="eastAsia" w:ascii="宋体" w:hAnsi="宋体" w:eastAsia="宋体" w:cs="宋体"/>
          <w:bCs/>
          <w:color w:val="auto"/>
          <w:highlight w:val="none"/>
        </w:rPr>
        <w:t>．其他事项</w:t>
      </w:r>
      <w:r>
        <w:rPr>
          <w:color w:val="auto"/>
          <w:highlight w:val="none"/>
        </w:rPr>
        <w:tab/>
      </w:r>
      <w:r>
        <w:rPr>
          <w:color w:val="auto"/>
          <w:highlight w:val="none"/>
        </w:rPr>
        <w:fldChar w:fldCharType="begin"/>
      </w:r>
      <w:r>
        <w:rPr>
          <w:color w:val="auto"/>
          <w:highlight w:val="none"/>
        </w:rPr>
        <w:instrText xml:space="preserve"> PAGEREF _Toc5020 \h </w:instrText>
      </w:r>
      <w:r>
        <w:rPr>
          <w:color w:val="auto"/>
          <w:highlight w:val="none"/>
        </w:rPr>
        <w:fldChar w:fldCharType="separate"/>
      </w:r>
      <w:r>
        <w:rPr>
          <w:color w:val="auto"/>
          <w:highlight w:val="none"/>
        </w:rPr>
        <w:t>48</w:t>
      </w:r>
      <w:r>
        <w:rPr>
          <w:color w:val="auto"/>
          <w:highlight w:val="none"/>
        </w:rPr>
        <w:fldChar w:fldCharType="end"/>
      </w:r>
      <w:r>
        <w:rPr>
          <w:rFonts w:hint="eastAsia" w:ascii="宋体" w:hAnsi="宋体" w:eastAsia="宋体" w:cs="宋体"/>
          <w:color w:val="auto"/>
          <w:highlight w:val="none"/>
        </w:rPr>
        <w:fldChar w:fldCharType="end"/>
      </w:r>
    </w:p>
    <w:p w14:paraId="67997DB4">
      <w:pPr>
        <w:pStyle w:val="13"/>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_Toc18225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4"/>
          <w:highlight w:val="none"/>
        </w:rPr>
        <w:t>第三章 拟签订合同的主要条款</w:t>
      </w:r>
      <w:r>
        <w:rPr>
          <w:color w:val="auto"/>
          <w:highlight w:val="none"/>
        </w:rPr>
        <w:tab/>
      </w:r>
      <w:r>
        <w:rPr>
          <w:color w:val="auto"/>
          <w:highlight w:val="none"/>
        </w:rPr>
        <w:fldChar w:fldCharType="begin"/>
      </w:r>
      <w:r>
        <w:rPr>
          <w:color w:val="auto"/>
          <w:highlight w:val="none"/>
        </w:rPr>
        <w:instrText xml:space="preserve"> PAGEREF _Toc18225 \h </w:instrText>
      </w:r>
      <w:r>
        <w:rPr>
          <w:color w:val="auto"/>
          <w:highlight w:val="none"/>
        </w:rPr>
        <w:fldChar w:fldCharType="separate"/>
      </w:r>
      <w:r>
        <w:rPr>
          <w:color w:val="auto"/>
          <w:highlight w:val="none"/>
        </w:rPr>
        <w:t>54</w:t>
      </w:r>
      <w:r>
        <w:rPr>
          <w:color w:val="auto"/>
          <w:highlight w:val="none"/>
        </w:rPr>
        <w:fldChar w:fldCharType="end"/>
      </w:r>
      <w:r>
        <w:rPr>
          <w:rFonts w:hint="eastAsia" w:ascii="宋体" w:hAnsi="宋体" w:eastAsia="宋体" w:cs="宋体"/>
          <w:color w:val="auto"/>
          <w:highlight w:val="none"/>
        </w:rPr>
        <w:fldChar w:fldCharType="end"/>
      </w:r>
    </w:p>
    <w:p w14:paraId="7BD21E07">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_Toc13267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1．工程承包方式</w:t>
      </w:r>
      <w:r>
        <w:rPr>
          <w:color w:val="auto"/>
          <w:highlight w:val="none"/>
        </w:rPr>
        <w:tab/>
      </w:r>
      <w:r>
        <w:rPr>
          <w:color w:val="auto"/>
          <w:highlight w:val="none"/>
        </w:rPr>
        <w:fldChar w:fldCharType="begin"/>
      </w:r>
      <w:r>
        <w:rPr>
          <w:color w:val="auto"/>
          <w:highlight w:val="none"/>
        </w:rPr>
        <w:instrText xml:space="preserve"> PAGEREF _Toc13267 \h </w:instrText>
      </w:r>
      <w:r>
        <w:rPr>
          <w:color w:val="auto"/>
          <w:highlight w:val="none"/>
        </w:rPr>
        <w:fldChar w:fldCharType="separate"/>
      </w:r>
      <w:r>
        <w:rPr>
          <w:color w:val="auto"/>
          <w:highlight w:val="none"/>
        </w:rPr>
        <w:t>54</w:t>
      </w:r>
      <w:r>
        <w:rPr>
          <w:color w:val="auto"/>
          <w:highlight w:val="none"/>
        </w:rPr>
        <w:fldChar w:fldCharType="end"/>
      </w:r>
      <w:r>
        <w:rPr>
          <w:rFonts w:hint="eastAsia" w:ascii="宋体" w:hAnsi="宋体" w:eastAsia="宋体" w:cs="宋体"/>
          <w:color w:val="auto"/>
          <w:highlight w:val="none"/>
        </w:rPr>
        <w:fldChar w:fldCharType="end"/>
      </w:r>
    </w:p>
    <w:p w14:paraId="5DA75066">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_Toc16445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2．工程结算原则</w:t>
      </w:r>
      <w:r>
        <w:rPr>
          <w:color w:val="auto"/>
          <w:highlight w:val="none"/>
        </w:rPr>
        <w:tab/>
      </w:r>
      <w:r>
        <w:rPr>
          <w:color w:val="auto"/>
          <w:highlight w:val="none"/>
        </w:rPr>
        <w:fldChar w:fldCharType="begin"/>
      </w:r>
      <w:r>
        <w:rPr>
          <w:color w:val="auto"/>
          <w:highlight w:val="none"/>
        </w:rPr>
        <w:instrText xml:space="preserve"> PAGEREF _Toc16445 \h </w:instrText>
      </w:r>
      <w:r>
        <w:rPr>
          <w:color w:val="auto"/>
          <w:highlight w:val="none"/>
        </w:rPr>
        <w:fldChar w:fldCharType="separate"/>
      </w:r>
      <w:r>
        <w:rPr>
          <w:color w:val="auto"/>
          <w:highlight w:val="none"/>
        </w:rPr>
        <w:t>54</w:t>
      </w:r>
      <w:r>
        <w:rPr>
          <w:color w:val="auto"/>
          <w:highlight w:val="none"/>
        </w:rPr>
        <w:fldChar w:fldCharType="end"/>
      </w:r>
      <w:r>
        <w:rPr>
          <w:rFonts w:hint="eastAsia" w:ascii="宋体" w:hAnsi="宋体" w:eastAsia="宋体" w:cs="宋体"/>
          <w:color w:val="auto"/>
          <w:highlight w:val="none"/>
        </w:rPr>
        <w:fldChar w:fldCharType="end"/>
      </w:r>
    </w:p>
    <w:p w14:paraId="473E7B55">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_Toc10938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3. 工程付款办法</w:t>
      </w:r>
      <w:r>
        <w:rPr>
          <w:color w:val="auto"/>
          <w:highlight w:val="none"/>
        </w:rPr>
        <w:tab/>
      </w:r>
      <w:r>
        <w:rPr>
          <w:color w:val="auto"/>
          <w:highlight w:val="none"/>
        </w:rPr>
        <w:fldChar w:fldCharType="begin"/>
      </w:r>
      <w:r>
        <w:rPr>
          <w:color w:val="auto"/>
          <w:highlight w:val="none"/>
        </w:rPr>
        <w:instrText xml:space="preserve"> PAGEREF _Toc10938 \h </w:instrText>
      </w:r>
      <w:r>
        <w:rPr>
          <w:color w:val="auto"/>
          <w:highlight w:val="none"/>
        </w:rPr>
        <w:fldChar w:fldCharType="separate"/>
      </w:r>
      <w:r>
        <w:rPr>
          <w:color w:val="auto"/>
          <w:highlight w:val="none"/>
        </w:rPr>
        <w:t>61</w:t>
      </w:r>
      <w:r>
        <w:rPr>
          <w:color w:val="auto"/>
          <w:highlight w:val="none"/>
        </w:rPr>
        <w:fldChar w:fldCharType="end"/>
      </w:r>
      <w:r>
        <w:rPr>
          <w:rFonts w:hint="eastAsia" w:ascii="宋体" w:hAnsi="宋体" w:eastAsia="宋体" w:cs="宋体"/>
          <w:color w:val="auto"/>
          <w:highlight w:val="none"/>
        </w:rPr>
        <w:fldChar w:fldCharType="end"/>
      </w:r>
    </w:p>
    <w:p w14:paraId="146287C0">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_Toc26629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4．专用合同条款</w:t>
      </w:r>
      <w:r>
        <w:rPr>
          <w:color w:val="auto"/>
          <w:highlight w:val="none"/>
        </w:rPr>
        <w:tab/>
      </w:r>
      <w:r>
        <w:rPr>
          <w:color w:val="auto"/>
          <w:highlight w:val="none"/>
        </w:rPr>
        <w:fldChar w:fldCharType="begin"/>
      </w:r>
      <w:r>
        <w:rPr>
          <w:color w:val="auto"/>
          <w:highlight w:val="none"/>
        </w:rPr>
        <w:instrText xml:space="preserve"> PAGEREF _Toc26629 \h </w:instrText>
      </w:r>
      <w:r>
        <w:rPr>
          <w:color w:val="auto"/>
          <w:highlight w:val="none"/>
        </w:rPr>
        <w:fldChar w:fldCharType="separate"/>
      </w:r>
      <w:r>
        <w:rPr>
          <w:color w:val="auto"/>
          <w:highlight w:val="none"/>
        </w:rPr>
        <w:t>63</w:t>
      </w:r>
      <w:r>
        <w:rPr>
          <w:color w:val="auto"/>
          <w:highlight w:val="none"/>
        </w:rPr>
        <w:fldChar w:fldCharType="end"/>
      </w:r>
      <w:r>
        <w:rPr>
          <w:rFonts w:hint="eastAsia" w:ascii="宋体" w:hAnsi="宋体" w:eastAsia="宋体" w:cs="宋体"/>
          <w:color w:val="auto"/>
          <w:highlight w:val="none"/>
        </w:rPr>
        <w:fldChar w:fldCharType="end"/>
      </w:r>
    </w:p>
    <w:p w14:paraId="67E3242A">
      <w:pPr>
        <w:pStyle w:val="13"/>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_Toc30224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第四章 技术要求</w:t>
      </w:r>
      <w:r>
        <w:rPr>
          <w:color w:val="auto"/>
          <w:highlight w:val="none"/>
        </w:rPr>
        <w:tab/>
      </w:r>
      <w:r>
        <w:rPr>
          <w:color w:val="auto"/>
          <w:highlight w:val="none"/>
        </w:rPr>
        <w:fldChar w:fldCharType="begin"/>
      </w:r>
      <w:r>
        <w:rPr>
          <w:color w:val="auto"/>
          <w:highlight w:val="none"/>
        </w:rPr>
        <w:instrText xml:space="preserve"> PAGEREF _Toc30224 \h </w:instrText>
      </w:r>
      <w:r>
        <w:rPr>
          <w:color w:val="auto"/>
          <w:highlight w:val="none"/>
        </w:rPr>
        <w:fldChar w:fldCharType="separate"/>
      </w:r>
      <w:r>
        <w:rPr>
          <w:color w:val="auto"/>
          <w:highlight w:val="none"/>
        </w:rPr>
        <w:t>87</w:t>
      </w:r>
      <w:r>
        <w:rPr>
          <w:color w:val="auto"/>
          <w:highlight w:val="none"/>
        </w:rPr>
        <w:fldChar w:fldCharType="end"/>
      </w:r>
      <w:r>
        <w:rPr>
          <w:rFonts w:hint="eastAsia" w:ascii="宋体" w:hAnsi="宋体" w:eastAsia="宋体" w:cs="宋体"/>
          <w:color w:val="auto"/>
          <w:highlight w:val="none"/>
        </w:rPr>
        <w:fldChar w:fldCharType="end"/>
      </w:r>
    </w:p>
    <w:p w14:paraId="31888EB3">
      <w:pPr>
        <w:pStyle w:val="13"/>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_Toc1434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第五章 图纸和招标工程量清单</w:t>
      </w:r>
      <w:r>
        <w:rPr>
          <w:color w:val="auto"/>
          <w:highlight w:val="none"/>
        </w:rPr>
        <w:tab/>
      </w:r>
      <w:r>
        <w:rPr>
          <w:color w:val="auto"/>
          <w:highlight w:val="none"/>
        </w:rPr>
        <w:fldChar w:fldCharType="begin"/>
      </w:r>
      <w:r>
        <w:rPr>
          <w:color w:val="auto"/>
          <w:highlight w:val="none"/>
        </w:rPr>
        <w:instrText xml:space="preserve"> PAGEREF _Toc1434 \h </w:instrText>
      </w:r>
      <w:r>
        <w:rPr>
          <w:color w:val="auto"/>
          <w:highlight w:val="none"/>
        </w:rPr>
        <w:fldChar w:fldCharType="separate"/>
      </w:r>
      <w:r>
        <w:rPr>
          <w:color w:val="auto"/>
          <w:highlight w:val="none"/>
        </w:rPr>
        <w:t>89</w:t>
      </w:r>
      <w:r>
        <w:rPr>
          <w:color w:val="auto"/>
          <w:highlight w:val="none"/>
        </w:rPr>
        <w:fldChar w:fldCharType="end"/>
      </w:r>
      <w:r>
        <w:rPr>
          <w:rFonts w:hint="eastAsia" w:ascii="宋体" w:hAnsi="宋体" w:eastAsia="宋体" w:cs="宋体"/>
          <w:color w:val="auto"/>
          <w:highlight w:val="none"/>
        </w:rPr>
        <w:fldChar w:fldCharType="end"/>
      </w:r>
    </w:p>
    <w:p w14:paraId="1E4AD4B8">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_Toc18345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1．图纸</w:t>
      </w:r>
      <w:r>
        <w:rPr>
          <w:color w:val="auto"/>
          <w:highlight w:val="none"/>
        </w:rPr>
        <w:tab/>
      </w:r>
      <w:r>
        <w:rPr>
          <w:color w:val="auto"/>
          <w:highlight w:val="none"/>
        </w:rPr>
        <w:fldChar w:fldCharType="begin"/>
      </w:r>
      <w:r>
        <w:rPr>
          <w:color w:val="auto"/>
          <w:highlight w:val="none"/>
        </w:rPr>
        <w:instrText xml:space="preserve"> PAGEREF _Toc18345 \h </w:instrText>
      </w:r>
      <w:r>
        <w:rPr>
          <w:color w:val="auto"/>
          <w:highlight w:val="none"/>
        </w:rPr>
        <w:fldChar w:fldCharType="separate"/>
      </w:r>
      <w:r>
        <w:rPr>
          <w:color w:val="auto"/>
          <w:highlight w:val="none"/>
        </w:rPr>
        <w:t>89</w:t>
      </w:r>
      <w:r>
        <w:rPr>
          <w:color w:val="auto"/>
          <w:highlight w:val="none"/>
        </w:rPr>
        <w:fldChar w:fldCharType="end"/>
      </w:r>
      <w:r>
        <w:rPr>
          <w:rFonts w:hint="eastAsia" w:ascii="宋体" w:hAnsi="宋体" w:eastAsia="宋体" w:cs="宋体"/>
          <w:color w:val="auto"/>
          <w:highlight w:val="none"/>
        </w:rPr>
        <w:fldChar w:fldCharType="end"/>
      </w:r>
    </w:p>
    <w:p w14:paraId="7B190F1F">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_Toc5733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2．招标工程量清单</w:t>
      </w:r>
      <w:r>
        <w:rPr>
          <w:color w:val="auto"/>
          <w:highlight w:val="none"/>
        </w:rPr>
        <w:tab/>
      </w:r>
      <w:r>
        <w:rPr>
          <w:color w:val="auto"/>
          <w:highlight w:val="none"/>
        </w:rPr>
        <w:fldChar w:fldCharType="begin"/>
      </w:r>
      <w:r>
        <w:rPr>
          <w:color w:val="auto"/>
          <w:highlight w:val="none"/>
        </w:rPr>
        <w:instrText xml:space="preserve"> PAGEREF _Toc5733 \h </w:instrText>
      </w:r>
      <w:r>
        <w:rPr>
          <w:color w:val="auto"/>
          <w:highlight w:val="none"/>
        </w:rPr>
        <w:fldChar w:fldCharType="separate"/>
      </w:r>
      <w:r>
        <w:rPr>
          <w:color w:val="auto"/>
          <w:highlight w:val="none"/>
        </w:rPr>
        <w:t>89</w:t>
      </w:r>
      <w:r>
        <w:rPr>
          <w:color w:val="auto"/>
          <w:highlight w:val="none"/>
        </w:rPr>
        <w:fldChar w:fldCharType="end"/>
      </w:r>
      <w:r>
        <w:rPr>
          <w:rFonts w:hint="eastAsia" w:ascii="宋体" w:hAnsi="宋体" w:eastAsia="宋体" w:cs="宋体"/>
          <w:color w:val="auto"/>
          <w:highlight w:val="none"/>
        </w:rPr>
        <w:fldChar w:fldCharType="end"/>
      </w:r>
    </w:p>
    <w:p w14:paraId="455A8302">
      <w:pPr>
        <w:pStyle w:val="13"/>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_Toc30375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第六章 投标文件格式</w:t>
      </w:r>
      <w:r>
        <w:rPr>
          <w:color w:val="auto"/>
          <w:highlight w:val="none"/>
        </w:rPr>
        <w:tab/>
      </w:r>
      <w:r>
        <w:rPr>
          <w:color w:val="auto"/>
          <w:highlight w:val="none"/>
        </w:rPr>
        <w:fldChar w:fldCharType="begin"/>
      </w:r>
      <w:r>
        <w:rPr>
          <w:color w:val="auto"/>
          <w:highlight w:val="none"/>
        </w:rPr>
        <w:instrText xml:space="preserve"> PAGEREF _Toc30375 \h </w:instrText>
      </w:r>
      <w:r>
        <w:rPr>
          <w:color w:val="auto"/>
          <w:highlight w:val="none"/>
        </w:rPr>
        <w:fldChar w:fldCharType="separate"/>
      </w:r>
      <w:r>
        <w:rPr>
          <w:color w:val="auto"/>
          <w:highlight w:val="none"/>
        </w:rPr>
        <w:t>90</w:t>
      </w:r>
      <w:r>
        <w:rPr>
          <w:color w:val="auto"/>
          <w:highlight w:val="none"/>
        </w:rPr>
        <w:fldChar w:fldCharType="end"/>
      </w:r>
      <w:r>
        <w:rPr>
          <w:rFonts w:hint="eastAsia" w:ascii="宋体" w:hAnsi="宋体" w:eastAsia="宋体" w:cs="宋体"/>
          <w:color w:val="auto"/>
          <w:highlight w:val="none"/>
        </w:rPr>
        <w:fldChar w:fldCharType="end"/>
      </w:r>
    </w:p>
    <w:p w14:paraId="00C5893E">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_Toc3825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格式一 封面</w:t>
      </w:r>
      <w:r>
        <w:rPr>
          <w:color w:val="auto"/>
          <w:highlight w:val="none"/>
        </w:rPr>
        <w:tab/>
      </w:r>
      <w:r>
        <w:rPr>
          <w:color w:val="auto"/>
          <w:highlight w:val="none"/>
        </w:rPr>
        <w:fldChar w:fldCharType="begin"/>
      </w:r>
      <w:r>
        <w:rPr>
          <w:color w:val="auto"/>
          <w:highlight w:val="none"/>
        </w:rPr>
        <w:instrText xml:space="preserve"> PAGEREF _Toc3825 \h </w:instrText>
      </w:r>
      <w:r>
        <w:rPr>
          <w:color w:val="auto"/>
          <w:highlight w:val="none"/>
        </w:rPr>
        <w:fldChar w:fldCharType="separate"/>
      </w:r>
      <w:r>
        <w:rPr>
          <w:color w:val="auto"/>
          <w:highlight w:val="none"/>
        </w:rPr>
        <w:t>90</w:t>
      </w:r>
      <w:r>
        <w:rPr>
          <w:color w:val="auto"/>
          <w:highlight w:val="none"/>
        </w:rPr>
        <w:fldChar w:fldCharType="end"/>
      </w:r>
      <w:r>
        <w:rPr>
          <w:rFonts w:hint="eastAsia" w:ascii="宋体" w:hAnsi="宋体" w:eastAsia="宋体" w:cs="宋体"/>
          <w:color w:val="auto"/>
          <w:highlight w:val="none"/>
        </w:rPr>
        <w:fldChar w:fldCharType="end"/>
      </w:r>
    </w:p>
    <w:p w14:paraId="335E783C">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_Toc32654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格式二 投标函</w:t>
      </w:r>
      <w:r>
        <w:rPr>
          <w:color w:val="auto"/>
          <w:highlight w:val="none"/>
        </w:rPr>
        <w:tab/>
      </w:r>
      <w:r>
        <w:rPr>
          <w:color w:val="auto"/>
          <w:highlight w:val="none"/>
        </w:rPr>
        <w:fldChar w:fldCharType="begin"/>
      </w:r>
      <w:r>
        <w:rPr>
          <w:color w:val="auto"/>
          <w:highlight w:val="none"/>
        </w:rPr>
        <w:instrText xml:space="preserve"> PAGEREF _Toc32654 \h </w:instrText>
      </w:r>
      <w:r>
        <w:rPr>
          <w:color w:val="auto"/>
          <w:highlight w:val="none"/>
        </w:rPr>
        <w:fldChar w:fldCharType="separate"/>
      </w:r>
      <w:r>
        <w:rPr>
          <w:color w:val="auto"/>
          <w:highlight w:val="none"/>
        </w:rPr>
        <w:t>91</w:t>
      </w:r>
      <w:r>
        <w:rPr>
          <w:color w:val="auto"/>
          <w:highlight w:val="none"/>
        </w:rPr>
        <w:fldChar w:fldCharType="end"/>
      </w:r>
      <w:r>
        <w:rPr>
          <w:rFonts w:hint="eastAsia" w:ascii="宋体" w:hAnsi="宋体" w:eastAsia="宋体" w:cs="宋体"/>
          <w:color w:val="auto"/>
          <w:highlight w:val="none"/>
        </w:rPr>
        <w:fldChar w:fldCharType="end"/>
      </w:r>
    </w:p>
    <w:p w14:paraId="7332DA0C">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_Toc4917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1"/>
          <w:highlight w:val="none"/>
        </w:rPr>
        <w:t>格式三 各项承诺一览表</w:t>
      </w:r>
      <w:r>
        <w:rPr>
          <w:color w:val="auto"/>
          <w:highlight w:val="none"/>
        </w:rPr>
        <w:tab/>
      </w:r>
      <w:r>
        <w:rPr>
          <w:color w:val="auto"/>
          <w:highlight w:val="none"/>
        </w:rPr>
        <w:fldChar w:fldCharType="begin"/>
      </w:r>
      <w:r>
        <w:rPr>
          <w:color w:val="auto"/>
          <w:highlight w:val="none"/>
        </w:rPr>
        <w:instrText xml:space="preserve"> PAGEREF _Toc4917 \h </w:instrText>
      </w:r>
      <w:r>
        <w:rPr>
          <w:color w:val="auto"/>
          <w:highlight w:val="none"/>
        </w:rPr>
        <w:fldChar w:fldCharType="separate"/>
      </w:r>
      <w:r>
        <w:rPr>
          <w:color w:val="auto"/>
          <w:highlight w:val="none"/>
        </w:rPr>
        <w:t>92</w:t>
      </w:r>
      <w:r>
        <w:rPr>
          <w:color w:val="auto"/>
          <w:highlight w:val="none"/>
        </w:rPr>
        <w:fldChar w:fldCharType="end"/>
      </w:r>
      <w:r>
        <w:rPr>
          <w:rFonts w:hint="eastAsia" w:ascii="宋体" w:hAnsi="宋体" w:eastAsia="宋体" w:cs="宋体"/>
          <w:color w:val="auto"/>
          <w:highlight w:val="none"/>
        </w:rPr>
        <w:fldChar w:fldCharType="end"/>
      </w:r>
    </w:p>
    <w:p w14:paraId="6E983F78">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_Toc12795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格式四 授权委托书</w:t>
      </w:r>
      <w:r>
        <w:rPr>
          <w:color w:val="auto"/>
          <w:highlight w:val="none"/>
        </w:rPr>
        <w:tab/>
      </w:r>
      <w:r>
        <w:rPr>
          <w:color w:val="auto"/>
          <w:highlight w:val="none"/>
        </w:rPr>
        <w:fldChar w:fldCharType="begin"/>
      </w:r>
      <w:r>
        <w:rPr>
          <w:color w:val="auto"/>
          <w:highlight w:val="none"/>
        </w:rPr>
        <w:instrText xml:space="preserve"> PAGEREF _Toc12795 \h </w:instrText>
      </w:r>
      <w:r>
        <w:rPr>
          <w:color w:val="auto"/>
          <w:highlight w:val="none"/>
        </w:rPr>
        <w:fldChar w:fldCharType="separate"/>
      </w:r>
      <w:r>
        <w:rPr>
          <w:color w:val="auto"/>
          <w:highlight w:val="none"/>
        </w:rPr>
        <w:t>94</w:t>
      </w:r>
      <w:r>
        <w:rPr>
          <w:color w:val="auto"/>
          <w:highlight w:val="none"/>
        </w:rPr>
        <w:fldChar w:fldCharType="end"/>
      </w:r>
      <w:r>
        <w:rPr>
          <w:rFonts w:hint="eastAsia" w:ascii="宋体" w:hAnsi="宋体" w:eastAsia="宋体" w:cs="宋体"/>
          <w:color w:val="auto"/>
          <w:highlight w:val="none"/>
        </w:rPr>
        <w:fldChar w:fldCharType="end"/>
      </w:r>
    </w:p>
    <w:p w14:paraId="41E63230">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_Toc27116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格式五 法定代表人身份证明</w:t>
      </w:r>
      <w:r>
        <w:rPr>
          <w:color w:val="auto"/>
          <w:highlight w:val="none"/>
        </w:rPr>
        <w:tab/>
      </w:r>
      <w:r>
        <w:rPr>
          <w:color w:val="auto"/>
          <w:highlight w:val="none"/>
        </w:rPr>
        <w:fldChar w:fldCharType="begin"/>
      </w:r>
      <w:r>
        <w:rPr>
          <w:color w:val="auto"/>
          <w:highlight w:val="none"/>
        </w:rPr>
        <w:instrText xml:space="preserve"> PAGEREF _Toc27116 \h </w:instrText>
      </w:r>
      <w:r>
        <w:rPr>
          <w:color w:val="auto"/>
          <w:highlight w:val="none"/>
        </w:rPr>
        <w:fldChar w:fldCharType="separate"/>
      </w:r>
      <w:r>
        <w:rPr>
          <w:color w:val="auto"/>
          <w:highlight w:val="none"/>
        </w:rPr>
        <w:t>95</w:t>
      </w:r>
      <w:r>
        <w:rPr>
          <w:color w:val="auto"/>
          <w:highlight w:val="none"/>
        </w:rPr>
        <w:fldChar w:fldCharType="end"/>
      </w:r>
      <w:r>
        <w:rPr>
          <w:rFonts w:hint="eastAsia" w:ascii="宋体" w:hAnsi="宋体" w:eastAsia="宋体" w:cs="宋体"/>
          <w:color w:val="auto"/>
          <w:highlight w:val="none"/>
        </w:rPr>
        <w:fldChar w:fldCharType="end"/>
      </w:r>
    </w:p>
    <w:p w14:paraId="61B38563">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_Toc24831 </w:instrText>
      </w:r>
      <w:r>
        <w:rPr>
          <w:rFonts w:hint="eastAsia" w:ascii="宋体" w:hAnsi="宋体" w:eastAsia="宋体" w:cs="宋体"/>
          <w:color w:val="auto"/>
          <w:highlight w:val="none"/>
        </w:rPr>
        <w:fldChar w:fldCharType="separate"/>
      </w:r>
      <w:r>
        <w:rPr>
          <w:rFonts w:ascii="Times New Roman" w:hAnsi="宋体" w:eastAsia="宋体" w:cs="Times New Roman"/>
          <w:bCs/>
          <w:color w:val="auto"/>
          <w:szCs w:val="21"/>
          <w:highlight w:val="none"/>
        </w:rPr>
        <w:t>格式</w:t>
      </w:r>
      <w:r>
        <w:rPr>
          <w:rFonts w:hint="eastAsia" w:ascii="Times New Roman" w:hAnsi="宋体" w:eastAsia="宋体" w:cs="Times New Roman"/>
          <w:bCs/>
          <w:color w:val="auto"/>
          <w:szCs w:val="21"/>
          <w:highlight w:val="none"/>
          <w:lang w:eastAsia="zh-CN"/>
        </w:rPr>
        <w:t>六</w:t>
      </w:r>
      <w:r>
        <w:rPr>
          <w:rFonts w:ascii="Times New Roman" w:hAnsi="宋体" w:eastAsia="宋体" w:cs="Times New Roman"/>
          <w:bCs/>
          <w:color w:val="auto"/>
          <w:szCs w:val="21"/>
          <w:highlight w:val="none"/>
        </w:rPr>
        <w:t xml:space="preserve"> </w:t>
      </w:r>
      <w:r>
        <w:rPr>
          <w:rFonts w:hint="eastAsia" w:ascii="Times New Roman" w:hAnsi="宋体" w:eastAsia="宋体" w:cs="Times New Roman"/>
          <w:bCs/>
          <w:color w:val="auto"/>
          <w:szCs w:val="21"/>
          <w:highlight w:val="none"/>
        </w:rPr>
        <w:t>联合体协议书</w:t>
      </w:r>
      <w:r>
        <w:rPr>
          <w:color w:val="auto"/>
          <w:highlight w:val="none"/>
        </w:rPr>
        <w:tab/>
      </w:r>
      <w:r>
        <w:rPr>
          <w:color w:val="auto"/>
          <w:highlight w:val="none"/>
        </w:rPr>
        <w:fldChar w:fldCharType="begin"/>
      </w:r>
      <w:r>
        <w:rPr>
          <w:color w:val="auto"/>
          <w:highlight w:val="none"/>
        </w:rPr>
        <w:instrText xml:space="preserve"> PAGEREF _Toc24831 \h </w:instrText>
      </w:r>
      <w:r>
        <w:rPr>
          <w:color w:val="auto"/>
          <w:highlight w:val="none"/>
        </w:rPr>
        <w:fldChar w:fldCharType="separate"/>
      </w:r>
      <w:r>
        <w:rPr>
          <w:color w:val="auto"/>
          <w:highlight w:val="none"/>
        </w:rPr>
        <w:t>96</w:t>
      </w:r>
      <w:r>
        <w:rPr>
          <w:color w:val="auto"/>
          <w:highlight w:val="none"/>
        </w:rPr>
        <w:fldChar w:fldCharType="end"/>
      </w:r>
      <w:r>
        <w:rPr>
          <w:rFonts w:hint="eastAsia" w:ascii="宋体" w:hAnsi="宋体" w:eastAsia="宋体" w:cs="宋体"/>
          <w:color w:val="auto"/>
          <w:highlight w:val="none"/>
        </w:rPr>
        <w:fldChar w:fldCharType="end"/>
      </w:r>
    </w:p>
    <w:p w14:paraId="26668918">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_Toc19459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w:t>
      </w:r>
      <w:r>
        <w:rPr>
          <w:rFonts w:hint="eastAsia" w:hAnsi="宋体" w:cs="宋体"/>
          <w:bCs/>
          <w:color w:val="auto"/>
          <w:szCs w:val="21"/>
          <w:highlight w:val="none"/>
          <w:lang w:val="en-US" w:eastAsia="zh-CN"/>
        </w:rPr>
        <w:t>七</w:t>
      </w:r>
      <w:r>
        <w:rPr>
          <w:rFonts w:hint="eastAsia" w:ascii="宋体" w:hAnsi="宋体" w:eastAsia="宋体" w:cs="宋体"/>
          <w:bCs/>
          <w:color w:val="auto"/>
          <w:szCs w:val="21"/>
          <w:highlight w:val="none"/>
        </w:rPr>
        <w:t xml:space="preserve"> 投标人基本情况表</w:t>
      </w:r>
      <w:r>
        <w:rPr>
          <w:color w:val="auto"/>
          <w:highlight w:val="none"/>
        </w:rPr>
        <w:tab/>
      </w:r>
      <w:r>
        <w:rPr>
          <w:color w:val="auto"/>
          <w:highlight w:val="none"/>
        </w:rPr>
        <w:fldChar w:fldCharType="begin"/>
      </w:r>
      <w:r>
        <w:rPr>
          <w:color w:val="auto"/>
          <w:highlight w:val="none"/>
        </w:rPr>
        <w:instrText xml:space="preserve"> PAGEREF _Toc19459 \h </w:instrText>
      </w:r>
      <w:r>
        <w:rPr>
          <w:color w:val="auto"/>
          <w:highlight w:val="none"/>
        </w:rPr>
        <w:fldChar w:fldCharType="separate"/>
      </w:r>
      <w:r>
        <w:rPr>
          <w:color w:val="auto"/>
          <w:highlight w:val="none"/>
        </w:rPr>
        <w:t>98</w:t>
      </w:r>
      <w:r>
        <w:rPr>
          <w:color w:val="auto"/>
          <w:highlight w:val="none"/>
        </w:rPr>
        <w:fldChar w:fldCharType="end"/>
      </w:r>
      <w:r>
        <w:rPr>
          <w:rFonts w:hint="eastAsia" w:ascii="宋体" w:hAnsi="宋体" w:eastAsia="宋体" w:cs="宋体"/>
          <w:color w:val="auto"/>
          <w:highlight w:val="none"/>
        </w:rPr>
        <w:fldChar w:fldCharType="end"/>
      </w:r>
    </w:p>
    <w:p w14:paraId="61C34D8E">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_Toc21362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w:t>
      </w:r>
      <w:r>
        <w:rPr>
          <w:rFonts w:hint="eastAsia" w:hAnsi="宋体" w:cs="宋体"/>
          <w:bCs/>
          <w:color w:val="auto"/>
          <w:szCs w:val="21"/>
          <w:highlight w:val="none"/>
          <w:lang w:val="en-US" w:eastAsia="zh-CN"/>
        </w:rPr>
        <w:t>八</w:t>
      </w:r>
      <w:r>
        <w:rPr>
          <w:rFonts w:hint="eastAsia" w:ascii="宋体" w:hAnsi="宋体" w:eastAsia="宋体" w:cs="宋体"/>
          <w:bCs/>
          <w:color w:val="auto"/>
          <w:szCs w:val="21"/>
          <w:highlight w:val="none"/>
        </w:rPr>
        <w:t xml:space="preserve"> 项目经理简历表</w:t>
      </w:r>
      <w:r>
        <w:rPr>
          <w:color w:val="auto"/>
          <w:highlight w:val="none"/>
        </w:rPr>
        <w:tab/>
      </w:r>
      <w:r>
        <w:rPr>
          <w:color w:val="auto"/>
          <w:highlight w:val="none"/>
        </w:rPr>
        <w:fldChar w:fldCharType="begin"/>
      </w:r>
      <w:r>
        <w:rPr>
          <w:color w:val="auto"/>
          <w:highlight w:val="none"/>
        </w:rPr>
        <w:instrText xml:space="preserve"> PAGEREF _Toc21362 \h </w:instrText>
      </w:r>
      <w:r>
        <w:rPr>
          <w:color w:val="auto"/>
          <w:highlight w:val="none"/>
        </w:rPr>
        <w:fldChar w:fldCharType="separate"/>
      </w:r>
      <w:r>
        <w:rPr>
          <w:color w:val="auto"/>
          <w:highlight w:val="none"/>
        </w:rPr>
        <w:t>99</w:t>
      </w:r>
      <w:r>
        <w:rPr>
          <w:color w:val="auto"/>
          <w:highlight w:val="none"/>
        </w:rPr>
        <w:fldChar w:fldCharType="end"/>
      </w:r>
      <w:r>
        <w:rPr>
          <w:rFonts w:hint="eastAsia" w:ascii="宋体" w:hAnsi="宋体" w:eastAsia="宋体" w:cs="宋体"/>
          <w:color w:val="auto"/>
          <w:highlight w:val="none"/>
        </w:rPr>
        <w:fldChar w:fldCharType="end"/>
      </w:r>
    </w:p>
    <w:p w14:paraId="33F5343C">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_Toc30757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szCs w:val="21"/>
          <w:highlight w:val="none"/>
        </w:rPr>
        <w:t>格式</w:t>
      </w:r>
      <w:r>
        <w:rPr>
          <w:rFonts w:hint="eastAsia" w:hAnsi="宋体" w:cs="宋体"/>
          <w:bCs/>
          <w:color w:val="auto"/>
          <w:kern w:val="0"/>
          <w:szCs w:val="21"/>
          <w:highlight w:val="none"/>
          <w:lang w:val="en-US" w:eastAsia="zh-CN"/>
        </w:rPr>
        <w:t>九</w:t>
      </w:r>
      <w:r>
        <w:rPr>
          <w:rFonts w:hint="eastAsia" w:ascii="宋体" w:hAnsi="宋体" w:eastAsia="宋体" w:cs="宋体"/>
          <w:bCs/>
          <w:color w:val="auto"/>
          <w:kern w:val="0"/>
          <w:szCs w:val="21"/>
          <w:highlight w:val="none"/>
        </w:rPr>
        <w:t xml:space="preserve"> 项目经理任职声明</w:t>
      </w:r>
      <w:r>
        <w:rPr>
          <w:color w:val="auto"/>
          <w:highlight w:val="none"/>
        </w:rPr>
        <w:tab/>
      </w:r>
      <w:r>
        <w:rPr>
          <w:color w:val="auto"/>
          <w:highlight w:val="none"/>
        </w:rPr>
        <w:fldChar w:fldCharType="begin"/>
      </w:r>
      <w:r>
        <w:rPr>
          <w:color w:val="auto"/>
          <w:highlight w:val="none"/>
        </w:rPr>
        <w:instrText xml:space="preserve"> PAGEREF _Toc30757 \h </w:instrText>
      </w:r>
      <w:r>
        <w:rPr>
          <w:color w:val="auto"/>
          <w:highlight w:val="none"/>
        </w:rPr>
        <w:fldChar w:fldCharType="separate"/>
      </w:r>
      <w:r>
        <w:rPr>
          <w:color w:val="auto"/>
          <w:highlight w:val="none"/>
        </w:rPr>
        <w:t>100</w:t>
      </w:r>
      <w:r>
        <w:rPr>
          <w:color w:val="auto"/>
          <w:highlight w:val="none"/>
        </w:rPr>
        <w:fldChar w:fldCharType="end"/>
      </w:r>
      <w:r>
        <w:rPr>
          <w:rFonts w:hint="eastAsia" w:ascii="宋体" w:hAnsi="宋体" w:eastAsia="宋体" w:cs="宋体"/>
          <w:color w:val="auto"/>
          <w:highlight w:val="none"/>
        </w:rPr>
        <w:fldChar w:fldCharType="end"/>
      </w:r>
    </w:p>
    <w:p w14:paraId="451EB946">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_Toc23480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w:t>
      </w:r>
      <w:r>
        <w:rPr>
          <w:rFonts w:hint="eastAsia" w:hAnsi="宋体" w:cs="宋体"/>
          <w:bCs/>
          <w:color w:val="auto"/>
          <w:szCs w:val="21"/>
          <w:highlight w:val="none"/>
          <w:lang w:val="en-US" w:eastAsia="zh-CN"/>
        </w:rPr>
        <w:t>十</w:t>
      </w:r>
      <w:r>
        <w:rPr>
          <w:rFonts w:hint="eastAsia" w:ascii="宋体" w:hAnsi="宋体" w:eastAsia="宋体" w:cs="宋体"/>
          <w:bCs/>
          <w:color w:val="auto"/>
          <w:szCs w:val="21"/>
          <w:highlight w:val="none"/>
        </w:rPr>
        <w:t xml:space="preserve"> 项目技术负责人简历表</w:t>
      </w:r>
      <w:r>
        <w:rPr>
          <w:color w:val="auto"/>
          <w:highlight w:val="none"/>
        </w:rPr>
        <w:tab/>
      </w:r>
      <w:r>
        <w:rPr>
          <w:color w:val="auto"/>
          <w:highlight w:val="none"/>
        </w:rPr>
        <w:fldChar w:fldCharType="begin"/>
      </w:r>
      <w:r>
        <w:rPr>
          <w:color w:val="auto"/>
          <w:highlight w:val="none"/>
        </w:rPr>
        <w:instrText xml:space="preserve"> PAGEREF _Toc23480 \h </w:instrText>
      </w:r>
      <w:r>
        <w:rPr>
          <w:color w:val="auto"/>
          <w:highlight w:val="none"/>
        </w:rPr>
        <w:fldChar w:fldCharType="separate"/>
      </w:r>
      <w:r>
        <w:rPr>
          <w:color w:val="auto"/>
          <w:highlight w:val="none"/>
        </w:rPr>
        <w:t>101</w:t>
      </w:r>
      <w:r>
        <w:rPr>
          <w:color w:val="auto"/>
          <w:highlight w:val="none"/>
        </w:rPr>
        <w:fldChar w:fldCharType="end"/>
      </w:r>
      <w:r>
        <w:rPr>
          <w:rFonts w:hint="eastAsia" w:ascii="宋体" w:hAnsi="宋体" w:eastAsia="宋体" w:cs="宋体"/>
          <w:color w:val="auto"/>
          <w:highlight w:val="none"/>
        </w:rPr>
        <w:fldChar w:fldCharType="end"/>
      </w:r>
    </w:p>
    <w:p w14:paraId="405A0552">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_Toc29673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格式十</w:t>
      </w:r>
      <w:r>
        <w:rPr>
          <w:rFonts w:hint="eastAsia" w:hAnsi="宋体" w:cs="宋体"/>
          <w:bCs/>
          <w:color w:val="auto"/>
          <w:szCs w:val="21"/>
          <w:highlight w:val="none"/>
          <w:lang w:val="en-US" w:eastAsia="zh-CN"/>
        </w:rPr>
        <w:t>一</w:t>
      </w:r>
      <w:r>
        <w:rPr>
          <w:rFonts w:hint="eastAsia" w:ascii="宋体" w:hAnsi="宋体" w:eastAsia="宋体" w:cs="宋体"/>
          <w:bCs/>
          <w:color w:val="auto"/>
          <w:szCs w:val="21"/>
          <w:highlight w:val="none"/>
        </w:rPr>
        <w:t xml:space="preserve"> 专职安全员简历表</w:t>
      </w:r>
      <w:r>
        <w:rPr>
          <w:color w:val="auto"/>
          <w:highlight w:val="none"/>
        </w:rPr>
        <w:tab/>
      </w:r>
      <w:r>
        <w:rPr>
          <w:color w:val="auto"/>
          <w:highlight w:val="none"/>
        </w:rPr>
        <w:fldChar w:fldCharType="begin"/>
      </w:r>
      <w:r>
        <w:rPr>
          <w:color w:val="auto"/>
          <w:highlight w:val="none"/>
        </w:rPr>
        <w:instrText xml:space="preserve"> PAGEREF _Toc29673 \h </w:instrText>
      </w:r>
      <w:r>
        <w:rPr>
          <w:color w:val="auto"/>
          <w:highlight w:val="none"/>
        </w:rPr>
        <w:fldChar w:fldCharType="separate"/>
      </w:r>
      <w:r>
        <w:rPr>
          <w:color w:val="auto"/>
          <w:highlight w:val="none"/>
        </w:rPr>
        <w:t>102</w:t>
      </w:r>
      <w:r>
        <w:rPr>
          <w:color w:val="auto"/>
          <w:highlight w:val="none"/>
        </w:rPr>
        <w:fldChar w:fldCharType="end"/>
      </w:r>
      <w:r>
        <w:rPr>
          <w:rFonts w:hint="eastAsia" w:ascii="宋体" w:hAnsi="宋体" w:eastAsia="宋体" w:cs="宋体"/>
          <w:color w:val="auto"/>
          <w:highlight w:val="none"/>
        </w:rPr>
        <w:fldChar w:fldCharType="end"/>
      </w:r>
    </w:p>
    <w:p w14:paraId="4E4626BC">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_Toc31435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格式十</w:t>
      </w:r>
      <w:r>
        <w:rPr>
          <w:rFonts w:hint="eastAsia" w:hAnsi="宋体" w:cs="宋体"/>
          <w:bCs/>
          <w:color w:val="auto"/>
          <w:szCs w:val="21"/>
          <w:highlight w:val="none"/>
          <w:lang w:val="en-US" w:eastAsia="zh-CN"/>
        </w:rPr>
        <w:t>二</w:t>
      </w:r>
      <w:r>
        <w:rPr>
          <w:rFonts w:hint="eastAsia" w:ascii="宋体" w:hAnsi="宋体" w:eastAsia="宋体" w:cs="宋体"/>
          <w:bCs/>
          <w:color w:val="auto"/>
          <w:szCs w:val="21"/>
          <w:highlight w:val="none"/>
        </w:rPr>
        <w:t xml:space="preserve"> 项目管理机构组成表</w:t>
      </w:r>
      <w:r>
        <w:rPr>
          <w:color w:val="auto"/>
          <w:highlight w:val="none"/>
        </w:rPr>
        <w:tab/>
      </w:r>
      <w:r>
        <w:rPr>
          <w:color w:val="auto"/>
          <w:highlight w:val="none"/>
        </w:rPr>
        <w:fldChar w:fldCharType="begin"/>
      </w:r>
      <w:r>
        <w:rPr>
          <w:color w:val="auto"/>
          <w:highlight w:val="none"/>
        </w:rPr>
        <w:instrText xml:space="preserve"> PAGEREF _Toc31435 \h </w:instrText>
      </w:r>
      <w:r>
        <w:rPr>
          <w:color w:val="auto"/>
          <w:highlight w:val="none"/>
        </w:rPr>
        <w:fldChar w:fldCharType="separate"/>
      </w:r>
      <w:r>
        <w:rPr>
          <w:color w:val="auto"/>
          <w:highlight w:val="none"/>
        </w:rPr>
        <w:t>103</w:t>
      </w:r>
      <w:r>
        <w:rPr>
          <w:color w:val="auto"/>
          <w:highlight w:val="none"/>
        </w:rPr>
        <w:fldChar w:fldCharType="end"/>
      </w:r>
      <w:r>
        <w:rPr>
          <w:rFonts w:hint="eastAsia" w:ascii="宋体" w:hAnsi="宋体" w:eastAsia="宋体" w:cs="宋体"/>
          <w:color w:val="auto"/>
          <w:highlight w:val="none"/>
        </w:rPr>
        <w:fldChar w:fldCharType="end"/>
      </w:r>
    </w:p>
    <w:p w14:paraId="6E8BAB5C">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_Toc28465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lang w:val="en-US" w:eastAsia="zh-CN"/>
        </w:rPr>
        <w:t>格式十</w:t>
      </w:r>
      <w:r>
        <w:rPr>
          <w:rFonts w:hint="eastAsia" w:ascii="宋体" w:hAnsi="宋体" w:cs="宋体"/>
          <w:bCs/>
          <w:color w:val="auto"/>
          <w:szCs w:val="21"/>
          <w:highlight w:val="none"/>
          <w:lang w:val="en-US" w:eastAsia="zh-CN"/>
        </w:rPr>
        <w:t>三</w:t>
      </w:r>
      <w:r>
        <w:rPr>
          <w:rFonts w:hint="eastAsia" w:ascii="宋体" w:hAnsi="宋体" w:eastAsia="宋体" w:cs="宋体"/>
          <w:bCs/>
          <w:color w:val="auto"/>
          <w:szCs w:val="21"/>
          <w:highlight w:val="none"/>
          <w:lang w:val="en-US" w:eastAsia="zh-CN"/>
        </w:rPr>
        <w:t xml:space="preserve"> 建造师查询页（有效期+建造师签字）</w:t>
      </w:r>
      <w:r>
        <w:rPr>
          <w:color w:val="auto"/>
          <w:highlight w:val="none"/>
        </w:rPr>
        <w:tab/>
      </w:r>
      <w:r>
        <w:rPr>
          <w:color w:val="auto"/>
          <w:highlight w:val="none"/>
        </w:rPr>
        <w:fldChar w:fldCharType="begin"/>
      </w:r>
      <w:r>
        <w:rPr>
          <w:color w:val="auto"/>
          <w:highlight w:val="none"/>
        </w:rPr>
        <w:instrText xml:space="preserve"> PAGEREF _Toc28465 \h </w:instrText>
      </w:r>
      <w:r>
        <w:rPr>
          <w:color w:val="auto"/>
          <w:highlight w:val="none"/>
        </w:rPr>
        <w:fldChar w:fldCharType="separate"/>
      </w:r>
      <w:r>
        <w:rPr>
          <w:color w:val="auto"/>
          <w:highlight w:val="none"/>
        </w:rPr>
        <w:t>104</w:t>
      </w:r>
      <w:r>
        <w:rPr>
          <w:color w:val="auto"/>
          <w:highlight w:val="none"/>
        </w:rPr>
        <w:fldChar w:fldCharType="end"/>
      </w:r>
      <w:r>
        <w:rPr>
          <w:rFonts w:hint="eastAsia" w:ascii="宋体" w:hAnsi="宋体" w:eastAsia="宋体" w:cs="宋体"/>
          <w:color w:val="auto"/>
          <w:highlight w:val="none"/>
        </w:rPr>
        <w:fldChar w:fldCharType="end"/>
      </w:r>
    </w:p>
    <w:p w14:paraId="6197B7C0">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_Toc20623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lang w:val="en-US" w:eastAsia="zh-CN"/>
        </w:rPr>
        <w:t>格式十四 危险性较大的分部分项工程清单及超过一定规模的危险性较大的分部分项工程清单</w:t>
      </w:r>
      <w:r>
        <w:rPr>
          <w:color w:val="auto"/>
          <w:highlight w:val="none"/>
        </w:rPr>
        <w:tab/>
      </w:r>
      <w:r>
        <w:rPr>
          <w:color w:val="auto"/>
          <w:highlight w:val="none"/>
        </w:rPr>
        <w:fldChar w:fldCharType="begin"/>
      </w:r>
      <w:r>
        <w:rPr>
          <w:color w:val="auto"/>
          <w:highlight w:val="none"/>
        </w:rPr>
        <w:instrText xml:space="preserve"> PAGEREF _Toc20623 \h </w:instrText>
      </w:r>
      <w:r>
        <w:rPr>
          <w:color w:val="auto"/>
          <w:highlight w:val="none"/>
        </w:rPr>
        <w:fldChar w:fldCharType="separate"/>
      </w:r>
      <w:r>
        <w:rPr>
          <w:color w:val="auto"/>
          <w:highlight w:val="none"/>
        </w:rPr>
        <w:t>105</w:t>
      </w:r>
      <w:r>
        <w:rPr>
          <w:color w:val="auto"/>
          <w:highlight w:val="none"/>
        </w:rPr>
        <w:fldChar w:fldCharType="end"/>
      </w:r>
      <w:r>
        <w:rPr>
          <w:rFonts w:hint="eastAsia" w:ascii="宋体" w:hAnsi="宋体" w:eastAsia="宋体" w:cs="宋体"/>
          <w:color w:val="auto"/>
          <w:highlight w:val="none"/>
        </w:rPr>
        <w:fldChar w:fldCharType="end"/>
      </w:r>
    </w:p>
    <w:p w14:paraId="640EA803">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_Toc9141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lang w:val="en-US" w:eastAsia="zh-CN"/>
        </w:rPr>
        <w:t>格式十五 定标文件封面</w:t>
      </w:r>
      <w:r>
        <w:rPr>
          <w:color w:val="auto"/>
          <w:highlight w:val="none"/>
        </w:rPr>
        <w:tab/>
      </w:r>
      <w:r>
        <w:rPr>
          <w:color w:val="auto"/>
          <w:highlight w:val="none"/>
        </w:rPr>
        <w:fldChar w:fldCharType="begin"/>
      </w:r>
      <w:r>
        <w:rPr>
          <w:color w:val="auto"/>
          <w:highlight w:val="none"/>
        </w:rPr>
        <w:instrText xml:space="preserve"> PAGEREF _Toc9141 \h </w:instrText>
      </w:r>
      <w:r>
        <w:rPr>
          <w:color w:val="auto"/>
          <w:highlight w:val="none"/>
        </w:rPr>
        <w:fldChar w:fldCharType="separate"/>
      </w:r>
      <w:r>
        <w:rPr>
          <w:color w:val="auto"/>
          <w:highlight w:val="none"/>
        </w:rPr>
        <w:t>109</w:t>
      </w:r>
      <w:r>
        <w:rPr>
          <w:color w:val="auto"/>
          <w:highlight w:val="none"/>
        </w:rPr>
        <w:fldChar w:fldCharType="end"/>
      </w:r>
      <w:r>
        <w:rPr>
          <w:rFonts w:hint="eastAsia" w:ascii="宋体" w:hAnsi="宋体" w:eastAsia="宋体" w:cs="宋体"/>
          <w:color w:val="auto"/>
          <w:highlight w:val="none"/>
        </w:rPr>
        <w:fldChar w:fldCharType="end"/>
      </w:r>
    </w:p>
    <w:p w14:paraId="15C819FA">
      <w:pPr>
        <w:pStyle w:val="14"/>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_Toc6621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lang w:val="en-US" w:eastAsia="zh-CN"/>
        </w:rPr>
        <w:t>格式十</w:t>
      </w:r>
      <w:r>
        <w:rPr>
          <w:rFonts w:hint="eastAsia" w:hAnsi="宋体" w:cs="宋体"/>
          <w:bCs/>
          <w:color w:val="auto"/>
          <w:szCs w:val="21"/>
          <w:highlight w:val="none"/>
          <w:lang w:val="en-US" w:eastAsia="zh-CN"/>
        </w:rPr>
        <w:t>六</w:t>
      </w:r>
      <w:r>
        <w:rPr>
          <w:rFonts w:hint="eastAsia" w:ascii="宋体" w:hAnsi="宋体" w:eastAsia="宋体" w:cs="宋体"/>
          <w:bCs/>
          <w:color w:val="auto"/>
          <w:szCs w:val="21"/>
          <w:highlight w:val="none"/>
          <w:lang w:val="en-US" w:eastAsia="zh-CN"/>
        </w:rPr>
        <w:t xml:space="preserve"> 定标因素评审资料</w:t>
      </w:r>
      <w:r>
        <w:rPr>
          <w:color w:val="auto"/>
          <w:highlight w:val="none"/>
        </w:rPr>
        <w:tab/>
      </w:r>
      <w:r>
        <w:rPr>
          <w:color w:val="auto"/>
          <w:highlight w:val="none"/>
        </w:rPr>
        <w:fldChar w:fldCharType="begin"/>
      </w:r>
      <w:r>
        <w:rPr>
          <w:color w:val="auto"/>
          <w:highlight w:val="none"/>
        </w:rPr>
        <w:instrText xml:space="preserve"> PAGEREF _Toc6621 \h </w:instrText>
      </w:r>
      <w:r>
        <w:rPr>
          <w:color w:val="auto"/>
          <w:highlight w:val="none"/>
        </w:rPr>
        <w:fldChar w:fldCharType="separate"/>
      </w:r>
      <w:r>
        <w:rPr>
          <w:color w:val="auto"/>
          <w:highlight w:val="none"/>
        </w:rPr>
        <w:t>110</w:t>
      </w:r>
      <w:r>
        <w:rPr>
          <w:color w:val="auto"/>
          <w:highlight w:val="none"/>
        </w:rPr>
        <w:fldChar w:fldCharType="end"/>
      </w:r>
      <w:r>
        <w:rPr>
          <w:rFonts w:hint="eastAsia" w:ascii="宋体" w:hAnsi="宋体" w:eastAsia="宋体" w:cs="宋体"/>
          <w:color w:val="auto"/>
          <w:highlight w:val="none"/>
        </w:rPr>
        <w:fldChar w:fldCharType="end"/>
      </w:r>
    </w:p>
    <w:p w14:paraId="78AA6BB8">
      <w:pPr>
        <w:pStyle w:val="13"/>
        <w:tabs>
          <w:tab w:val="right" w:leader="dot" w:pos="884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_Toc23978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4"/>
          <w:highlight w:val="none"/>
        </w:rPr>
        <w:t>第七章 建设工程施工合同</w:t>
      </w:r>
      <w:r>
        <w:rPr>
          <w:color w:val="auto"/>
          <w:highlight w:val="none"/>
        </w:rPr>
        <w:tab/>
      </w:r>
      <w:r>
        <w:rPr>
          <w:color w:val="auto"/>
          <w:highlight w:val="none"/>
        </w:rPr>
        <w:fldChar w:fldCharType="begin"/>
      </w:r>
      <w:r>
        <w:rPr>
          <w:color w:val="auto"/>
          <w:highlight w:val="none"/>
        </w:rPr>
        <w:instrText xml:space="preserve"> PAGEREF _Toc23978 \h </w:instrText>
      </w:r>
      <w:r>
        <w:rPr>
          <w:color w:val="auto"/>
          <w:highlight w:val="none"/>
        </w:rPr>
        <w:fldChar w:fldCharType="separate"/>
      </w:r>
      <w:r>
        <w:rPr>
          <w:color w:val="auto"/>
          <w:highlight w:val="none"/>
        </w:rPr>
        <w:t>111</w:t>
      </w:r>
      <w:r>
        <w:rPr>
          <w:color w:val="auto"/>
          <w:highlight w:val="none"/>
        </w:rPr>
        <w:fldChar w:fldCharType="end"/>
      </w:r>
      <w:r>
        <w:rPr>
          <w:rFonts w:hint="eastAsia" w:ascii="宋体" w:hAnsi="宋体" w:eastAsia="宋体" w:cs="宋体"/>
          <w:color w:val="auto"/>
          <w:highlight w:val="none"/>
        </w:rPr>
        <w:fldChar w:fldCharType="end"/>
      </w:r>
    </w:p>
    <w:p w14:paraId="59FDB83A">
      <w:pPr>
        <w:spacing w:line="360" w:lineRule="exact"/>
        <w:rPr>
          <w:rStyle w:val="22"/>
          <w:rFonts w:hint="eastAsia" w:ascii="宋体" w:hAnsi="宋体" w:eastAsia="宋体" w:cs="宋体"/>
          <w:color w:val="auto"/>
          <w:highlight w:val="none"/>
        </w:rPr>
      </w:pPr>
      <w:r>
        <w:rPr>
          <w:rFonts w:hint="eastAsia" w:ascii="宋体" w:hAnsi="宋体" w:eastAsia="宋体" w:cs="宋体"/>
          <w:color w:val="auto"/>
          <w:highlight w:val="none"/>
        </w:rPr>
        <w:fldChar w:fldCharType="end"/>
      </w:r>
    </w:p>
    <w:p w14:paraId="3FAC234D">
      <w:pPr>
        <w:pStyle w:val="24"/>
        <w:rPr>
          <w:rStyle w:val="22"/>
          <w:rFonts w:hint="eastAsia" w:ascii="宋体" w:hAnsi="宋体" w:eastAsia="宋体" w:cs="宋体"/>
          <w:color w:val="auto"/>
          <w:highlight w:val="none"/>
        </w:rPr>
        <w:sectPr>
          <w:footerReference r:id="rId6" w:type="default"/>
          <w:endnotePr>
            <w:numFmt w:val="decimal"/>
          </w:endnotePr>
          <w:pgSz w:w="11906" w:h="16838"/>
          <w:pgMar w:top="1247" w:right="1531" w:bottom="1276" w:left="1531" w:header="850" w:footer="547" w:gutter="0"/>
          <w:pgNumType w:start="1"/>
          <w:cols w:space="720" w:num="1"/>
          <w:docGrid w:linePitch="327" w:charSpace="0"/>
        </w:sectPr>
      </w:pPr>
    </w:p>
    <w:p w14:paraId="69494AAA">
      <w:pPr>
        <w:pStyle w:val="24"/>
        <w:rPr>
          <w:rStyle w:val="22"/>
          <w:rFonts w:hint="eastAsia" w:ascii="宋体" w:hAnsi="宋体" w:eastAsia="宋体" w:cs="宋体"/>
          <w:color w:val="auto"/>
          <w:highlight w:val="none"/>
        </w:rPr>
      </w:pPr>
    </w:p>
    <w:p w14:paraId="0D2C5779">
      <w:pPr>
        <w:pStyle w:val="25"/>
        <w:snapToGrid w:val="0"/>
        <w:spacing w:line="440" w:lineRule="exact"/>
        <w:jc w:val="center"/>
        <w:outlineLvl w:val="0"/>
        <w:rPr>
          <w:rStyle w:val="22"/>
          <w:rFonts w:hint="eastAsia" w:ascii="宋体" w:hAnsi="宋体" w:eastAsia="宋体" w:cs="宋体"/>
          <w:b/>
          <w:bCs/>
          <w:color w:val="auto"/>
          <w:sz w:val="24"/>
          <w:szCs w:val="24"/>
          <w:highlight w:val="none"/>
        </w:rPr>
      </w:pPr>
      <w:bookmarkStart w:id="0" w:name="_Toc6102"/>
      <w:bookmarkStart w:id="1" w:name="_Toc7086"/>
      <w:bookmarkStart w:id="2" w:name="_Toc16198"/>
      <w:bookmarkStart w:id="3" w:name="_Toc25664"/>
      <w:bookmarkStart w:id="4" w:name="_Toc4903"/>
      <w:bookmarkStart w:id="5" w:name="_Toc53"/>
      <w:bookmarkStart w:id="6" w:name="_Toc10328"/>
      <w:bookmarkStart w:id="7" w:name="_Toc30953"/>
      <w:bookmarkStart w:id="8" w:name="_Toc23635"/>
      <w:bookmarkStart w:id="9" w:name="_Toc4493"/>
      <w:r>
        <w:rPr>
          <w:rStyle w:val="22"/>
          <w:rFonts w:hint="eastAsia" w:ascii="宋体" w:hAnsi="宋体" w:eastAsia="宋体" w:cs="宋体"/>
          <w:b/>
          <w:bCs/>
          <w:color w:val="auto"/>
          <w:sz w:val="24"/>
          <w:szCs w:val="24"/>
          <w:highlight w:val="none"/>
        </w:rPr>
        <w:t>第一章 投标人须知</w:t>
      </w:r>
      <w:bookmarkEnd w:id="0"/>
      <w:bookmarkEnd w:id="1"/>
      <w:bookmarkEnd w:id="2"/>
      <w:bookmarkEnd w:id="3"/>
      <w:bookmarkEnd w:id="4"/>
      <w:bookmarkEnd w:id="5"/>
      <w:bookmarkEnd w:id="6"/>
      <w:bookmarkEnd w:id="7"/>
      <w:bookmarkEnd w:id="8"/>
      <w:bookmarkEnd w:id="9"/>
    </w:p>
    <w:p w14:paraId="282A754F">
      <w:pPr>
        <w:pStyle w:val="26"/>
        <w:snapToGrid w:val="0"/>
        <w:spacing w:line="440" w:lineRule="exact"/>
        <w:jc w:val="center"/>
        <w:outlineLvl w:val="1"/>
        <w:rPr>
          <w:rStyle w:val="22"/>
          <w:rFonts w:hint="eastAsia" w:ascii="宋体" w:hAnsi="宋体" w:eastAsia="宋体" w:cs="宋体"/>
          <w:b/>
          <w:bCs/>
          <w:color w:val="auto"/>
          <w:highlight w:val="none"/>
        </w:rPr>
      </w:pPr>
      <w:bookmarkStart w:id="10" w:name="_Toc21473"/>
      <w:bookmarkStart w:id="11" w:name="_Toc29644"/>
      <w:bookmarkStart w:id="12" w:name="_Toc25211"/>
      <w:bookmarkStart w:id="13" w:name="_Toc11684"/>
      <w:bookmarkStart w:id="14" w:name="_Toc27751"/>
      <w:bookmarkStart w:id="15" w:name="_Toc12302"/>
      <w:bookmarkStart w:id="16" w:name="_Toc23819"/>
      <w:bookmarkStart w:id="17" w:name="_Toc17236"/>
      <w:bookmarkStart w:id="18" w:name="_Toc29223"/>
      <w:bookmarkStart w:id="19" w:name="_Toc21683"/>
      <w:r>
        <w:rPr>
          <w:rStyle w:val="22"/>
          <w:rFonts w:hint="eastAsia" w:ascii="宋体" w:hAnsi="宋体" w:eastAsia="宋体" w:cs="宋体"/>
          <w:b/>
          <w:bCs/>
          <w:color w:val="auto"/>
          <w:highlight w:val="none"/>
        </w:rPr>
        <w:t>第一节 投标人须知前附表</w:t>
      </w:r>
      <w:bookmarkEnd w:id="10"/>
      <w:bookmarkEnd w:id="11"/>
      <w:bookmarkEnd w:id="12"/>
      <w:bookmarkEnd w:id="13"/>
      <w:bookmarkEnd w:id="14"/>
      <w:bookmarkEnd w:id="15"/>
      <w:bookmarkEnd w:id="16"/>
      <w:bookmarkEnd w:id="17"/>
      <w:bookmarkEnd w:id="18"/>
      <w:bookmarkEnd w:id="19"/>
    </w:p>
    <w:tbl>
      <w:tblPr>
        <w:tblStyle w:val="18"/>
        <w:tblW w:w="9593"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646"/>
        <w:gridCol w:w="1577"/>
        <w:gridCol w:w="7370"/>
      </w:tblGrid>
      <w:tr w14:paraId="6EBAC1B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14:paraId="0142F53C">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序</w:t>
            </w:r>
          </w:p>
          <w:p w14:paraId="2FF0C672">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号</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0E1CA076">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内容</w:t>
            </w:r>
          </w:p>
        </w:tc>
        <w:tc>
          <w:tcPr>
            <w:tcW w:w="7370" w:type="dxa"/>
            <w:tcBorders>
              <w:top w:val="single" w:color="000000" w:sz="4" w:space="0"/>
              <w:left w:val="single" w:color="000000" w:sz="4" w:space="0"/>
              <w:bottom w:val="single" w:color="000000" w:sz="4" w:space="0"/>
            </w:tcBorders>
            <w:noWrap w:val="0"/>
            <w:vAlign w:val="center"/>
          </w:tcPr>
          <w:p w14:paraId="6C2453C1">
            <w:pPr>
              <w:tabs>
                <w:tab w:val="left" w:pos="1180"/>
              </w:tabs>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说明与要求</w:t>
            </w:r>
          </w:p>
        </w:tc>
      </w:tr>
      <w:tr w14:paraId="3D36B83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35" w:hRule="atLeast"/>
          <w:jc w:val="center"/>
        </w:trPr>
        <w:tc>
          <w:tcPr>
            <w:tcW w:w="646" w:type="dxa"/>
            <w:tcBorders>
              <w:top w:val="single" w:color="000000" w:sz="4" w:space="0"/>
              <w:bottom w:val="single" w:color="000000" w:sz="4" w:space="0"/>
              <w:right w:val="single" w:color="000000" w:sz="4" w:space="0"/>
            </w:tcBorders>
            <w:noWrap w:val="0"/>
            <w:vAlign w:val="center"/>
          </w:tcPr>
          <w:p w14:paraId="246929B9">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4461E7A4">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工程名称</w:t>
            </w:r>
          </w:p>
        </w:tc>
        <w:tc>
          <w:tcPr>
            <w:tcW w:w="7370" w:type="dxa"/>
            <w:tcBorders>
              <w:top w:val="single" w:color="000000" w:sz="4" w:space="0"/>
              <w:left w:val="single" w:color="000000" w:sz="4" w:space="0"/>
              <w:bottom w:val="single" w:color="000000" w:sz="4" w:space="0"/>
            </w:tcBorders>
            <w:noWrap w:val="0"/>
            <w:vAlign w:val="center"/>
          </w:tcPr>
          <w:p w14:paraId="65867991">
            <w:pPr>
              <w:wordWrap w:val="0"/>
              <w:adjustRightInd w:val="0"/>
              <w:snapToGrid w:val="0"/>
              <w:spacing w:line="240" w:lineRule="auto"/>
              <w:rPr>
                <w:rStyle w:val="22"/>
                <w:rFonts w:hint="eastAsia" w:ascii="宋体" w:hAnsi="宋体" w:eastAsia="宋体" w:cs="宋体"/>
                <w:color w:val="auto"/>
                <w:kern w:val="0"/>
                <w:sz w:val="24"/>
                <w:szCs w:val="24"/>
                <w:highlight w:val="none"/>
                <w:lang w:eastAsia="zh-CN"/>
              </w:rPr>
            </w:pPr>
            <w:r>
              <w:rPr>
                <w:rFonts w:hint="eastAsia" w:hAnsi="宋体" w:cs="宋体"/>
                <w:snapToGrid w:val="0"/>
                <w:color w:val="auto"/>
                <w:kern w:val="0"/>
                <w:sz w:val="24"/>
                <w:szCs w:val="24"/>
                <w:highlight w:val="none"/>
                <w:lang w:eastAsia="zh-CN"/>
              </w:rPr>
              <w:t>广东省南雄市2026年和美乡村建设项目-湖口镇施工</w:t>
            </w:r>
          </w:p>
        </w:tc>
      </w:tr>
      <w:tr w14:paraId="06E98AD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78" w:hRule="atLeast"/>
          <w:jc w:val="center"/>
        </w:trPr>
        <w:tc>
          <w:tcPr>
            <w:tcW w:w="646" w:type="dxa"/>
            <w:tcBorders>
              <w:top w:val="single" w:color="000000" w:sz="4" w:space="0"/>
              <w:bottom w:val="single" w:color="000000" w:sz="4" w:space="0"/>
              <w:right w:val="single" w:color="000000" w:sz="4" w:space="0"/>
            </w:tcBorders>
            <w:noWrap w:val="0"/>
            <w:vAlign w:val="center"/>
          </w:tcPr>
          <w:p w14:paraId="514960D0">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5F95B849">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项目业主</w:t>
            </w:r>
          </w:p>
        </w:tc>
        <w:tc>
          <w:tcPr>
            <w:tcW w:w="7370" w:type="dxa"/>
            <w:tcBorders>
              <w:top w:val="single" w:color="000000" w:sz="4" w:space="0"/>
              <w:left w:val="single" w:color="000000" w:sz="4" w:space="0"/>
              <w:bottom w:val="single" w:color="000000" w:sz="4" w:space="0"/>
            </w:tcBorders>
            <w:noWrap w:val="0"/>
            <w:vAlign w:val="center"/>
          </w:tcPr>
          <w:p w14:paraId="5057920B">
            <w:pPr>
              <w:snapToGrid w:val="0"/>
              <w:spacing w:line="240" w:lineRule="auto"/>
              <w:jc w:val="left"/>
              <w:rPr>
                <w:rStyle w:val="22"/>
                <w:rFonts w:hint="default" w:ascii="宋体" w:hAnsi="宋体" w:eastAsia="宋体" w:cs="宋体"/>
                <w:color w:val="auto"/>
                <w:kern w:val="0"/>
                <w:sz w:val="24"/>
                <w:szCs w:val="24"/>
                <w:highlight w:val="none"/>
                <w:lang w:val="en-US" w:eastAsia="zh-CN"/>
              </w:rPr>
            </w:pPr>
            <w:r>
              <w:rPr>
                <w:rFonts w:hint="eastAsia" w:hAnsi="宋体" w:cs="宋体"/>
                <w:color w:val="auto"/>
                <w:sz w:val="24"/>
                <w:szCs w:val="24"/>
                <w:highlight w:val="none"/>
                <w:lang w:eastAsia="zh-CN"/>
              </w:rPr>
              <w:t>南雄市农业农村局</w:t>
            </w:r>
          </w:p>
        </w:tc>
      </w:tr>
      <w:tr w14:paraId="5B01F4F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92" w:hRule="atLeast"/>
          <w:jc w:val="center"/>
        </w:trPr>
        <w:tc>
          <w:tcPr>
            <w:tcW w:w="646" w:type="dxa"/>
            <w:tcBorders>
              <w:top w:val="single" w:color="000000" w:sz="4" w:space="0"/>
              <w:bottom w:val="single" w:color="000000" w:sz="4" w:space="0"/>
              <w:right w:val="single" w:color="000000" w:sz="4" w:space="0"/>
            </w:tcBorders>
            <w:noWrap w:val="0"/>
            <w:vAlign w:val="center"/>
          </w:tcPr>
          <w:p w14:paraId="322EEA9C">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3</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48B39D6B">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项目批准部门</w:t>
            </w:r>
          </w:p>
        </w:tc>
        <w:tc>
          <w:tcPr>
            <w:tcW w:w="7370" w:type="dxa"/>
            <w:tcBorders>
              <w:top w:val="single" w:color="000000" w:sz="4" w:space="0"/>
              <w:left w:val="single" w:color="000000" w:sz="4" w:space="0"/>
              <w:bottom w:val="single" w:color="000000" w:sz="4" w:space="0"/>
            </w:tcBorders>
            <w:noWrap w:val="0"/>
            <w:vAlign w:val="center"/>
          </w:tcPr>
          <w:p w14:paraId="667E9F17">
            <w:pPr>
              <w:snapToGrid w:val="0"/>
              <w:spacing w:line="240" w:lineRule="auto"/>
              <w:jc w:val="left"/>
              <w:rPr>
                <w:rStyle w:val="22"/>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南雄市发展和改革局</w:t>
            </w:r>
          </w:p>
        </w:tc>
      </w:tr>
      <w:tr w14:paraId="1EF7FC9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01" w:hRule="atLeast"/>
          <w:jc w:val="center"/>
        </w:trPr>
        <w:tc>
          <w:tcPr>
            <w:tcW w:w="646" w:type="dxa"/>
            <w:tcBorders>
              <w:top w:val="single" w:color="000000" w:sz="4" w:space="0"/>
              <w:bottom w:val="single" w:color="000000" w:sz="4" w:space="0"/>
              <w:right w:val="single" w:color="000000" w:sz="4" w:space="0"/>
            </w:tcBorders>
            <w:noWrap w:val="0"/>
            <w:vAlign w:val="center"/>
          </w:tcPr>
          <w:p w14:paraId="25BC28AE">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4</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686E2728">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项目批准文号</w:t>
            </w:r>
          </w:p>
        </w:tc>
        <w:tc>
          <w:tcPr>
            <w:tcW w:w="7370" w:type="dxa"/>
            <w:tcBorders>
              <w:top w:val="single" w:color="000000" w:sz="4" w:space="0"/>
              <w:left w:val="single" w:color="000000" w:sz="4" w:space="0"/>
              <w:bottom w:val="single" w:color="000000" w:sz="4" w:space="0"/>
            </w:tcBorders>
            <w:noWrap w:val="0"/>
            <w:vAlign w:val="center"/>
          </w:tcPr>
          <w:p w14:paraId="75F531F1">
            <w:pPr>
              <w:snapToGrid w:val="0"/>
              <w:spacing w:line="240" w:lineRule="auto"/>
              <w:jc w:val="left"/>
              <w:rPr>
                <w:rStyle w:val="22"/>
                <w:rFonts w:hint="default" w:ascii="宋体" w:hAnsi="宋体" w:eastAsia="宋体" w:cs="宋体"/>
                <w:color w:val="auto"/>
                <w:kern w:val="0"/>
                <w:sz w:val="24"/>
                <w:szCs w:val="24"/>
                <w:highlight w:val="none"/>
                <w:lang w:val="en-US" w:eastAsia="zh-CN"/>
              </w:rPr>
            </w:pPr>
            <w:r>
              <w:rPr>
                <w:rFonts w:hint="eastAsia" w:hAnsi="宋体" w:cs="宋体"/>
                <w:color w:val="auto"/>
                <w:sz w:val="24"/>
                <w:szCs w:val="24"/>
                <w:highlight w:val="none"/>
                <w:lang w:eastAsia="zh-CN"/>
              </w:rPr>
              <w:t>雄发改投审[2026]7号、雄发改投审[2026]14号、雄发改投审[2026]53号</w:t>
            </w:r>
          </w:p>
        </w:tc>
      </w:tr>
      <w:tr w14:paraId="14D2C0B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6" w:hRule="atLeast"/>
          <w:jc w:val="center"/>
        </w:trPr>
        <w:tc>
          <w:tcPr>
            <w:tcW w:w="646" w:type="dxa"/>
            <w:tcBorders>
              <w:top w:val="single" w:color="000000" w:sz="4" w:space="0"/>
              <w:bottom w:val="single" w:color="000000" w:sz="4" w:space="0"/>
              <w:right w:val="single" w:color="000000" w:sz="4" w:space="0"/>
            </w:tcBorders>
            <w:noWrap w:val="0"/>
            <w:vAlign w:val="center"/>
          </w:tcPr>
          <w:p w14:paraId="5A222CE7">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5</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2ABB869E">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项目代码</w:t>
            </w:r>
          </w:p>
        </w:tc>
        <w:tc>
          <w:tcPr>
            <w:tcW w:w="7370" w:type="dxa"/>
            <w:tcBorders>
              <w:top w:val="single" w:color="000000" w:sz="4" w:space="0"/>
              <w:left w:val="single" w:color="000000" w:sz="4" w:space="0"/>
              <w:bottom w:val="single" w:color="000000" w:sz="4" w:space="0"/>
            </w:tcBorders>
            <w:noWrap w:val="0"/>
            <w:vAlign w:val="center"/>
          </w:tcPr>
          <w:p w14:paraId="1E34027C">
            <w:pPr>
              <w:snapToGrid w:val="0"/>
              <w:spacing w:line="240" w:lineRule="auto"/>
              <w:jc w:val="left"/>
              <w:rPr>
                <w:rStyle w:val="22"/>
                <w:rFonts w:hint="eastAsia" w:ascii="宋体" w:hAnsi="宋体" w:eastAsia="宋体" w:cs="宋体"/>
                <w:color w:val="auto"/>
                <w:kern w:val="0"/>
                <w:sz w:val="24"/>
                <w:szCs w:val="24"/>
                <w:highlight w:val="none"/>
                <w:lang w:eastAsia="zh-CN"/>
              </w:rPr>
            </w:pPr>
            <w:r>
              <w:rPr>
                <w:rFonts w:hint="eastAsia" w:hAnsi="宋体" w:cs="宋体"/>
                <w:color w:val="auto"/>
                <w:sz w:val="24"/>
                <w:szCs w:val="24"/>
                <w:highlight w:val="none"/>
                <w:lang w:eastAsia="zh-CN"/>
              </w:rPr>
              <w:t>2512-440282-20-01-735877</w:t>
            </w:r>
          </w:p>
        </w:tc>
      </w:tr>
      <w:tr w14:paraId="6A129B3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73" w:hRule="atLeast"/>
          <w:jc w:val="center"/>
        </w:trPr>
        <w:tc>
          <w:tcPr>
            <w:tcW w:w="646" w:type="dxa"/>
            <w:tcBorders>
              <w:top w:val="single" w:color="000000" w:sz="4" w:space="0"/>
              <w:bottom w:val="single" w:color="000000" w:sz="4" w:space="0"/>
              <w:right w:val="single" w:color="000000" w:sz="4" w:space="0"/>
            </w:tcBorders>
            <w:noWrap w:val="0"/>
            <w:vAlign w:val="center"/>
          </w:tcPr>
          <w:p w14:paraId="7641B82D">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6</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7B787134">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资金来源</w:t>
            </w:r>
          </w:p>
          <w:p w14:paraId="232187E1">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及出资比例</w:t>
            </w:r>
          </w:p>
        </w:tc>
        <w:tc>
          <w:tcPr>
            <w:tcW w:w="7370" w:type="dxa"/>
            <w:tcBorders>
              <w:top w:val="single" w:color="000000" w:sz="4" w:space="0"/>
              <w:left w:val="single" w:color="000000" w:sz="4" w:space="0"/>
              <w:bottom w:val="single" w:color="000000" w:sz="4" w:space="0"/>
            </w:tcBorders>
            <w:noWrap w:val="0"/>
            <w:vAlign w:val="center"/>
          </w:tcPr>
          <w:p w14:paraId="1F2C3150">
            <w:pPr>
              <w:snapToGrid w:val="0"/>
              <w:spacing w:line="240" w:lineRule="auto"/>
              <w:jc w:val="left"/>
              <w:rPr>
                <w:rStyle w:val="22"/>
                <w:rFonts w:hint="eastAsia" w:ascii="宋体" w:hAnsi="宋体" w:eastAsia="宋体" w:cs="宋体"/>
                <w:color w:val="auto"/>
                <w:kern w:val="0"/>
                <w:sz w:val="24"/>
                <w:szCs w:val="24"/>
                <w:highlight w:val="none"/>
              </w:rPr>
            </w:pPr>
            <w:r>
              <w:rPr>
                <w:rFonts w:hint="eastAsia" w:hAnsi="宋体" w:cs="宋体"/>
                <w:color w:val="auto"/>
                <w:sz w:val="24"/>
                <w:szCs w:val="24"/>
                <w:highlight w:val="none"/>
                <w:lang w:eastAsia="zh-CN"/>
              </w:rPr>
              <w:t>上级资金，100%</w:t>
            </w:r>
          </w:p>
        </w:tc>
      </w:tr>
      <w:tr w14:paraId="545E842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7" w:hRule="atLeast"/>
          <w:jc w:val="center"/>
        </w:trPr>
        <w:tc>
          <w:tcPr>
            <w:tcW w:w="646" w:type="dxa"/>
            <w:tcBorders>
              <w:top w:val="single" w:color="000000" w:sz="4" w:space="0"/>
              <w:bottom w:val="single" w:color="000000" w:sz="4" w:space="0"/>
              <w:right w:val="single" w:color="000000" w:sz="4" w:space="0"/>
            </w:tcBorders>
            <w:noWrap w:val="0"/>
            <w:vAlign w:val="center"/>
          </w:tcPr>
          <w:p w14:paraId="22ACBDE1">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7</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315730BF">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招标人</w:t>
            </w:r>
          </w:p>
        </w:tc>
        <w:tc>
          <w:tcPr>
            <w:tcW w:w="7370" w:type="dxa"/>
            <w:tcBorders>
              <w:top w:val="single" w:color="000000" w:sz="4" w:space="0"/>
              <w:left w:val="single" w:color="000000" w:sz="4" w:space="0"/>
              <w:bottom w:val="single" w:color="000000" w:sz="4" w:space="0"/>
            </w:tcBorders>
            <w:noWrap w:val="0"/>
            <w:vAlign w:val="center"/>
          </w:tcPr>
          <w:p w14:paraId="3FC32217">
            <w:pPr>
              <w:snapToGrid w:val="0"/>
              <w:spacing w:line="240" w:lineRule="auto"/>
              <w:jc w:val="left"/>
              <w:rPr>
                <w:rStyle w:val="22"/>
                <w:rFonts w:hint="eastAsia" w:ascii="宋体" w:hAnsi="宋体" w:eastAsia="宋体" w:cs="宋体"/>
                <w:color w:val="auto"/>
                <w:kern w:val="0"/>
                <w:sz w:val="24"/>
                <w:szCs w:val="24"/>
                <w:highlight w:val="none"/>
                <w:lang w:eastAsia="zh-CN"/>
              </w:rPr>
            </w:pPr>
            <w:r>
              <w:rPr>
                <w:rFonts w:hint="eastAsia" w:hAnsi="宋体" w:cs="宋体"/>
                <w:color w:val="auto"/>
                <w:sz w:val="24"/>
                <w:szCs w:val="24"/>
                <w:highlight w:val="none"/>
                <w:lang w:eastAsia="zh-CN"/>
              </w:rPr>
              <w:t>南雄市湖口镇人民政府</w:t>
            </w:r>
          </w:p>
        </w:tc>
      </w:tr>
      <w:tr w14:paraId="282D4CE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79" w:hRule="atLeast"/>
          <w:jc w:val="center"/>
        </w:trPr>
        <w:tc>
          <w:tcPr>
            <w:tcW w:w="646" w:type="dxa"/>
            <w:tcBorders>
              <w:top w:val="single" w:color="000000" w:sz="4" w:space="0"/>
              <w:bottom w:val="single" w:color="000000" w:sz="4" w:space="0"/>
              <w:right w:val="single" w:color="000000" w:sz="4" w:space="0"/>
            </w:tcBorders>
            <w:noWrap w:val="0"/>
            <w:vAlign w:val="center"/>
          </w:tcPr>
          <w:p w14:paraId="5F7D7AD1">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8</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5A8B3E82">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招标代理机构</w:t>
            </w:r>
          </w:p>
        </w:tc>
        <w:tc>
          <w:tcPr>
            <w:tcW w:w="7370" w:type="dxa"/>
            <w:tcBorders>
              <w:top w:val="single" w:color="000000" w:sz="4" w:space="0"/>
              <w:left w:val="single" w:color="000000" w:sz="4" w:space="0"/>
              <w:bottom w:val="single" w:color="000000" w:sz="4" w:space="0"/>
            </w:tcBorders>
            <w:noWrap w:val="0"/>
            <w:vAlign w:val="center"/>
          </w:tcPr>
          <w:p w14:paraId="26408AC8">
            <w:pPr>
              <w:snapToGrid w:val="0"/>
              <w:spacing w:line="240" w:lineRule="auto"/>
              <w:jc w:val="left"/>
              <w:rPr>
                <w:rStyle w:val="22"/>
                <w:rFonts w:hint="eastAsia" w:ascii="宋体" w:hAnsi="宋体" w:eastAsia="宋体" w:cs="宋体"/>
                <w:color w:val="auto"/>
                <w:kern w:val="0"/>
                <w:sz w:val="24"/>
                <w:szCs w:val="24"/>
                <w:highlight w:val="none"/>
                <w:lang w:eastAsia="zh-CN"/>
              </w:rPr>
            </w:pPr>
            <w:r>
              <w:rPr>
                <w:rFonts w:hint="eastAsia" w:hAnsi="宋体" w:cs="宋体"/>
                <w:bCs/>
                <w:snapToGrid w:val="0"/>
                <w:color w:val="auto"/>
                <w:kern w:val="0"/>
                <w:sz w:val="24"/>
                <w:szCs w:val="24"/>
                <w:highlight w:val="none"/>
                <w:lang w:eastAsia="zh-CN"/>
              </w:rPr>
              <w:t>海通国际设计有限公司</w:t>
            </w:r>
          </w:p>
        </w:tc>
      </w:tr>
      <w:tr w14:paraId="1728E6F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4" w:hRule="atLeast"/>
          <w:jc w:val="center"/>
        </w:trPr>
        <w:tc>
          <w:tcPr>
            <w:tcW w:w="646" w:type="dxa"/>
            <w:tcBorders>
              <w:top w:val="single" w:color="000000" w:sz="4" w:space="0"/>
              <w:bottom w:val="single" w:color="000000" w:sz="4" w:space="0"/>
              <w:right w:val="single" w:color="000000" w:sz="4" w:space="0"/>
            </w:tcBorders>
            <w:noWrap w:val="0"/>
            <w:vAlign w:val="center"/>
          </w:tcPr>
          <w:p w14:paraId="6F74E910">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9</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2663C339">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设计单位</w:t>
            </w:r>
          </w:p>
        </w:tc>
        <w:tc>
          <w:tcPr>
            <w:tcW w:w="7370" w:type="dxa"/>
            <w:tcBorders>
              <w:top w:val="single" w:color="000000" w:sz="4" w:space="0"/>
              <w:left w:val="single" w:color="000000" w:sz="4" w:space="0"/>
              <w:bottom w:val="single" w:color="000000" w:sz="4" w:space="0"/>
            </w:tcBorders>
            <w:noWrap w:val="0"/>
            <w:vAlign w:val="center"/>
          </w:tcPr>
          <w:p w14:paraId="09461920">
            <w:pPr>
              <w:snapToGrid w:val="0"/>
              <w:spacing w:line="240" w:lineRule="auto"/>
              <w:jc w:val="left"/>
              <w:rPr>
                <w:rFonts w:hint="eastAsia" w:ascii="宋体" w:hAnsi="宋体" w:eastAsia="宋体" w:cs="宋体"/>
                <w:color w:val="auto"/>
                <w:kern w:val="0"/>
                <w:sz w:val="24"/>
                <w:szCs w:val="24"/>
                <w:highlight w:val="none"/>
                <w:lang w:eastAsia="zh-CN"/>
              </w:rPr>
            </w:pPr>
            <w:r>
              <w:rPr>
                <w:rFonts w:hint="eastAsia" w:hAnsi="宋体" w:cs="宋体"/>
                <w:color w:val="auto"/>
                <w:sz w:val="24"/>
                <w:szCs w:val="24"/>
                <w:highlight w:val="none"/>
                <w:lang w:eastAsia="zh-CN"/>
              </w:rPr>
              <w:t>汉宸国际工程设计集团有限公司</w:t>
            </w:r>
          </w:p>
        </w:tc>
      </w:tr>
      <w:tr w14:paraId="6B4FF6B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19" w:hRule="atLeast"/>
          <w:jc w:val="center"/>
        </w:trPr>
        <w:tc>
          <w:tcPr>
            <w:tcW w:w="646" w:type="dxa"/>
            <w:tcBorders>
              <w:top w:val="single" w:color="000000" w:sz="4" w:space="0"/>
              <w:bottom w:val="single" w:color="000000" w:sz="4" w:space="0"/>
              <w:right w:val="single" w:color="000000" w:sz="4" w:space="0"/>
            </w:tcBorders>
            <w:noWrap w:val="0"/>
            <w:vAlign w:val="center"/>
          </w:tcPr>
          <w:p w14:paraId="6A890D9B">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10</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1E0715EA">
            <w:pPr>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造价咨询单位</w:t>
            </w:r>
          </w:p>
        </w:tc>
        <w:tc>
          <w:tcPr>
            <w:tcW w:w="7370" w:type="dxa"/>
            <w:tcBorders>
              <w:top w:val="single" w:color="000000" w:sz="4" w:space="0"/>
              <w:left w:val="single" w:color="000000" w:sz="4" w:space="0"/>
              <w:bottom w:val="single" w:color="000000" w:sz="4" w:space="0"/>
            </w:tcBorders>
            <w:noWrap w:val="0"/>
            <w:vAlign w:val="center"/>
          </w:tcPr>
          <w:p w14:paraId="6B6FC4DB">
            <w:pPr>
              <w:snapToGrid w:val="0"/>
              <w:spacing w:line="240" w:lineRule="auto"/>
              <w:jc w:val="left"/>
              <w:rPr>
                <w:rFonts w:hint="eastAsia" w:ascii="宋体" w:hAnsi="宋体" w:eastAsia="宋体" w:cs="宋体"/>
                <w:color w:val="auto"/>
                <w:sz w:val="24"/>
                <w:szCs w:val="24"/>
                <w:highlight w:val="none"/>
              </w:rPr>
            </w:pPr>
            <w:r>
              <w:rPr>
                <w:rFonts w:hint="eastAsia" w:hAnsi="宋体" w:cs="宋体"/>
                <w:bCs/>
                <w:snapToGrid w:val="0"/>
                <w:color w:val="auto"/>
                <w:kern w:val="0"/>
                <w:sz w:val="24"/>
                <w:szCs w:val="24"/>
                <w:highlight w:val="none"/>
                <w:lang w:val="en-US" w:eastAsia="zh-CN"/>
              </w:rPr>
              <w:t>汉宸国际工程设计集团有限公司</w:t>
            </w:r>
          </w:p>
        </w:tc>
      </w:tr>
      <w:tr w14:paraId="3E5F553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646" w:type="dxa"/>
            <w:tcBorders>
              <w:top w:val="single" w:color="000000" w:sz="4" w:space="0"/>
              <w:bottom w:val="single" w:color="000000" w:sz="4" w:space="0"/>
              <w:right w:val="single" w:color="000000" w:sz="4" w:space="0"/>
            </w:tcBorders>
            <w:noWrap w:val="0"/>
            <w:vAlign w:val="center"/>
          </w:tcPr>
          <w:p w14:paraId="6B8D26A6">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11</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64F79400">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监理单位</w:t>
            </w:r>
          </w:p>
        </w:tc>
        <w:tc>
          <w:tcPr>
            <w:tcW w:w="7370" w:type="dxa"/>
            <w:tcBorders>
              <w:top w:val="single" w:color="000000" w:sz="4" w:space="0"/>
              <w:left w:val="single" w:color="000000" w:sz="4" w:space="0"/>
              <w:bottom w:val="single" w:color="000000" w:sz="4" w:space="0"/>
            </w:tcBorders>
            <w:noWrap w:val="0"/>
            <w:vAlign w:val="center"/>
          </w:tcPr>
          <w:p w14:paraId="6CFC9D41">
            <w:pPr>
              <w:snapToGrid w:val="0"/>
              <w:spacing w:line="240" w:lineRule="auto"/>
              <w:jc w:val="left"/>
              <w:rPr>
                <w:rFonts w:hint="eastAsia" w:ascii="宋体" w:hAnsi="宋体" w:eastAsia="宋体" w:cs="宋体"/>
                <w:color w:val="auto"/>
                <w:kern w:val="0"/>
                <w:sz w:val="24"/>
                <w:szCs w:val="24"/>
                <w:highlight w:val="none"/>
              </w:rPr>
            </w:pPr>
            <w:r>
              <w:rPr>
                <w:rFonts w:hint="eastAsia" w:hAnsi="宋体" w:cs="宋体"/>
                <w:bCs/>
                <w:snapToGrid w:val="0"/>
                <w:color w:val="auto"/>
                <w:kern w:val="0"/>
                <w:sz w:val="24"/>
                <w:szCs w:val="24"/>
                <w:highlight w:val="none"/>
                <w:lang w:val="en-US" w:eastAsia="zh-CN"/>
              </w:rPr>
              <w:t>待定</w:t>
            </w:r>
          </w:p>
        </w:tc>
      </w:tr>
      <w:tr w14:paraId="01CF655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6" w:hRule="atLeast"/>
          <w:jc w:val="center"/>
        </w:trPr>
        <w:tc>
          <w:tcPr>
            <w:tcW w:w="646" w:type="dxa"/>
            <w:tcBorders>
              <w:top w:val="single" w:color="000000" w:sz="4" w:space="0"/>
              <w:bottom w:val="single" w:color="000000" w:sz="4" w:space="0"/>
              <w:right w:val="single" w:color="000000" w:sz="4" w:space="0"/>
            </w:tcBorders>
            <w:noWrap w:val="0"/>
            <w:vAlign w:val="center"/>
          </w:tcPr>
          <w:p w14:paraId="1D5C03C4">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12</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5AFA341D">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建设地点</w:t>
            </w:r>
          </w:p>
        </w:tc>
        <w:tc>
          <w:tcPr>
            <w:tcW w:w="7370" w:type="dxa"/>
            <w:tcBorders>
              <w:top w:val="single" w:color="000000" w:sz="4" w:space="0"/>
              <w:left w:val="single" w:color="000000" w:sz="4" w:space="0"/>
              <w:bottom w:val="single" w:color="000000" w:sz="4" w:space="0"/>
            </w:tcBorders>
            <w:noWrap w:val="0"/>
            <w:vAlign w:val="center"/>
          </w:tcPr>
          <w:p w14:paraId="53A1B590">
            <w:pPr>
              <w:snapToGrid w:val="0"/>
              <w:spacing w:line="240" w:lineRule="auto"/>
              <w:jc w:val="left"/>
              <w:rPr>
                <w:rFonts w:hint="eastAsia" w:ascii="宋体" w:hAnsi="宋体" w:eastAsia="宋体" w:cs="宋体"/>
                <w:color w:val="auto"/>
                <w:kern w:val="0"/>
                <w:sz w:val="24"/>
                <w:szCs w:val="24"/>
                <w:highlight w:val="none"/>
              </w:rPr>
            </w:pPr>
            <w:r>
              <w:rPr>
                <w:rStyle w:val="22"/>
                <w:rFonts w:hint="eastAsia" w:hAnsi="宋体" w:cs="宋体"/>
                <w:color w:val="auto"/>
                <w:kern w:val="0"/>
                <w:sz w:val="24"/>
                <w:szCs w:val="24"/>
                <w:highlight w:val="none"/>
                <w:lang w:eastAsia="zh-CN"/>
              </w:rPr>
              <w:t>湖口镇太和村、长市村、新湖村等5村</w:t>
            </w:r>
          </w:p>
        </w:tc>
      </w:tr>
      <w:tr w14:paraId="083460B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73" w:hRule="atLeast"/>
          <w:jc w:val="center"/>
        </w:trPr>
        <w:tc>
          <w:tcPr>
            <w:tcW w:w="646" w:type="dxa"/>
            <w:tcBorders>
              <w:top w:val="single" w:color="000000" w:sz="4" w:space="0"/>
              <w:bottom w:val="single" w:color="000000" w:sz="4" w:space="0"/>
              <w:right w:val="single" w:color="000000" w:sz="4" w:space="0"/>
            </w:tcBorders>
            <w:noWrap w:val="0"/>
            <w:vAlign w:val="center"/>
          </w:tcPr>
          <w:p w14:paraId="2C9A652D">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13</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336BEF3F">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建设内容和规模</w:t>
            </w:r>
          </w:p>
        </w:tc>
        <w:tc>
          <w:tcPr>
            <w:tcW w:w="7370" w:type="dxa"/>
            <w:tcBorders>
              <w:top w:val="single" w:color="000000" w:sz="4" w:space="0"/>
              <w:left w:val="single" w:color="000000" w:sz="4" w:space="0"/>
              <w:bottom w:val="single" w:color="000000" w:sz="4" w:space="0"/>
            </w:tcBorders>
            <w:noWrap w:val="0"/>
            <w:vAlign w:val="center"/>
          </w:tcPr>
          <w:p w14:paraId="4B0E9105">
            <w:pPr>
              <w:keepNext w:val="0"/>
              <w:keepLines w:val="0"/>
              <w:widowControl/>
              <w:suppressLineNumbers w:val="0"/>
              <w:jc w:val="left"/>
              <w:textAlignment w:val="center"/>
              <w:rPr>
                <w:rFonts w:hint="eastAsia" w:ascii="宋体" w:hAnsi="Times New Roman" w:eastAsia="宋体" w:cs="宋体"/>
                <w:color w:val="auto"/>
                <w:kern w:val="2"/>
                <w:sz w:val="24"/>
                <w:szCs w:val="24"/>
                <w:highlight w:val="none"/>
                <w:lang w:val="en-US" w:eastAsia="zh-CN" w:bidi="ar-SA"/>
              </w:rPr>
            </w:pPr>
            <w:r>
              <w:rPr>
                <w:rFonts w:hint="eastAsia" w:hAnsi="宋体" w:cs="宋体"/>
                <w:color w:val="auto"/>
                <w:sz w:val="24"/>
                <w:szCs w:val="24"/>
                <w:highlight w:val="none"/>
                <w:lang w:val="en-US" w:eastAsia="zh-CN"/>
              </w:rPr>
              <w:t>在湖口镇太和村、长市村、新湖村等5村建设道路硬化约1851.5米，新建护坡约2615米、路灯300盏、排污管3301米、烤烟房35间、地面硬化5132.53平方米、垃圾池3处、污水设施2处等。</w:t>
            </w:r>
          </w:p>
        </w:tc>
      </w:tr>
      <w:tr w14:paraId="1522CAF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08" w:hRule="atLeast"/>
          <w:jc w:val="center"/>
        </w:trPr>
        <w:tc>
          <w:tcPr>
            <w:tcW w:w="646" w:type="dxa"/>
            <w:tcBorders>
              <w:top w:val="single" w:color="000000" w:sz="4" w:space="0"/>
              <w:bottom w:val="single" w:color="000000" w:sz="4" w:space="0"/>
              <w:right w:val="single" w:color="000000" w:sz="4" w:space="0"/>
            </w:tcBorders>
            <w:noWrap w:val="0"/>
            <w:vAlign w:val="center"/>
          </w:tcPr>
          <w:p w14:paraId="51021DFC">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14</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46ECF1EB">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项目总投资</w:t>
            </w:r>
          </w:p>
        </w:tc>
        <w:tc>
          <w:tcPr>
            <w:tcW w:w="7370" w:type="dxa"/>
            <w:tcBorders>
              <w:top w:val="single" w:color="000000" w:sz="4" w:space="0"/>
              <w:left w:val="single" w:color="000000" w:sz="4" w:space="0"/>
              <w:bottom w:val="single" w:color="000000" w:sz="4" w:space="0"/>
            </w:tcBorders>
            <w:noWrap w:val="0"/>
            <w:vAlign w:val="center"/>
          </w:tcPr>
          <w:p w14:paraId="41C94FF9">
            <w:pPr>
              <w:pStyle w:val="27"/>
              <w:spacing w:line="360" w:lineRule="auto"/>
              <w:rPr>
                <w:rFonts w:hint="eastAsia" w:ascii="宋体" w:hAnsi="宋体" w:eastAsia="宋体" w:cs="宋体"/>
                <w:color w:val="auto"/>
                <w:kern w:val="0"/>
                <w:sz w:val="24"/>
                <w:szCs w:val="24"/>
                <w:highlight w:val="none"/>
                <w:lang w:eastAsia="zh-CN"/>
              </w:rPr>
            </w:pPr>
            <w:r>
              <w:rPr>
                <w:rFonts w:hint="eastAsia" w:hAnsi="宋体" w:cs="宋体"/>
                <w:color w:val="auto"/>
                <w:kern w:val="0"/>
                <w:sz w:val="24"/>
                <w:szCs w:val="24"/>
                <w:highlight w:val="none"/>
                <w:lang w:eastAsia="zh-CN"/>
              </w:rPr>
              <w:t>项目投资概算为7035.00万元，本次招标建安费约为1053.96万元。</w:t>
            </w:r>
          </w:p>
        </w:tc>
      </w:tr>
      <w:tr w14:paraId="5720D8D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34" w:hRule="atLeast"/>
          <w:jc w:val="center"/>
        </w:trPr>
        <w:tc>
          <w:tcPr>
            <w:tcW w:w="646" w:type="dxa"/>
            <w:tcBorders>
              <w:top w:val="single" w:color="000000" w:sz="4" w:space="0"/>
              <w:bottom w:val="single" w:color="000000" w:sz="4" w:space="0"/>
              <w:right w:val="single" w:color="000000" w:sz="4" w:space="0"/>
            </w:tcBorders>
            <w:noWrap w:val="0"/>
            <w:vAlign w:val="center"/>
          </w:tcPr>
          <w:p w14:paraId="2DDC4870">
            <w:pPr>
              <w:snapToGrid w:val="0"/>
              <w:spacing w:line="240" w:lineRule="auto"/>
              <w:ind w:firstLine="0" w:firstLineChars="0"/>
              <w:jc w:val="center"/>
              <w:rPr>
                <w:rFonts w:hint="eastAsia" w:ascii="宋体" w:hAnsi="宋体" w:eastAsia="宋体" w:cs="宋体"/>
                <w:color w:val="auto"/>
                <w:kern w:val="0"/>
                <w:sz w:val="24"/>
                <w:szCs w:val="24"/>
                <w:highlight w:val="none"/>
              </w:rPr>
            </w:pPr>
            <w:bookmarkStart w:id="547" w:name="_GoBack"/>
            <w:r>
              <w:rPr>
                <w:rStyle w:val="22"/>
                <w:rFonts w:hint="eastAsia" w:ascii="宋体" w:hAnsi="宋体" w:eastAsia="宋体" w:cs="宋体"/>
                <w:color w:val="auto"/>
                <w:kern w:val="0"/>
                <w:sz w:val="24"/>
                <w:szCs w:val="24"/>
                <w:highlight w:val="none"/>
              </w:rPr>
              <w:t>15</w:t>
            </w:r>
            <w:bookmarkEnd w:id="547"/>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592EEA1A">
            <w:pPr>
              <w:snapToGrid w:val="0"/>
              <w:spacing w:line="240" w:lineRule="auto"/>
              <w:ind w:firstLine="0" w:firstLineChars="0"/>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招标范围</w:t>
            </w:r>
          </w:p>
        </w:tc>
        <w:tc>
          <w:tcPr>
            <w:tcW w:w="7370" w:type="dxa"/>
            <w:tcBorders>
              <w:top w:val="single" w:color="000000" w:sz="4" w:space="0"/>
              <w:left w:val="single" w:color="000000" w:sz="4" w:space="0"/>
              <w:bottom w:val="single" w:color="000000" w:sz="4" w:space="0"/>
            </w:tcBorders>
            <w:noWrap w:val="0"/>
            <w:vAlign w:val="center"/>
          </w:tcPr>
          <w:p w14:paraId="6BAFED66">
            <w:pPr>
              <w:snapToGrid w:val="0"/>
              <w:spacing w:line="240" w:lineRule="auto"/>
              <w:ind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工程量清单及施工图纸范围内的所有工程及配套附属工程等施工。</w:t>
            </w:r>
          </w:p>
        </w:tc>
      </w:tr>
      <w:tr w14:paraId="35E8BD3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36" w:hRule="atLeast"/>
          <w:jc w:val="center"/>
        </w:trPr>
        <w:tc>
          <w:tcPr>
            <w:tcW w:w="646" w:type="dxa"/>
            <w:tcBorders>
              <w:top w:val="single" w:color="000000" w:sz="4" w:space="0"/>
              <w:bottom w:val="single" w:color="000000" w:sz="4" w:space="0"/>
              <w:right w:val="single" w:color="000000" w:sz="4" w:space="0"/>
            </w:tcBorders>
            <w:noWrap w:val="0"/>
            <w:vAlign w:val="center"/>
          </w:tcPr>
          <w:p w14:paraId="3662A1DC">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16</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4D1E1A5C">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标段划分</w:t>
            </w:r>
          </w:p>
        </w:tc>
        <w:tc>
          <w:tcPr>
            <w:tcW w:w="7370" w:type="dxa"/>
            <w:tcBorders>
              <w:top w:val="single" w:color="000000" w:sz="4" w:space="0"/>
              <w:left w:val="single" w:color="000000" w:sz="4" w:space="0"/>
              <w:bottom w:val="single" w:color="000000" w:sz="4" w:space="0"/>
            </w:tcBorders>
            <w:noWrap w:val="0"/>
            <w:vAlign w:val="center"/>
          </w:tcPr>
          <w:p w14:paraId="34E28BBB">
            <w:pPr>
              <w:snapToGrid w:val="0"/>
              <w:spacing w:line="240" w:lineRule="auto"/>
              <w:jc w:val="left"/>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本项目不划分标段。</w:t>
            </w:r>
          </w:p>
        </w:tc>
      </w:tr>
      <w:tr w14:paraId="55DAD26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29" w:hRule="atLeast"/>
          <w:jc w:val="center"/>
        </w:trPr>
        <w:tc>
          <w:tcPr>
            <w:tcW w:w="646" w:type="dxa"/>
            <w:tcBorders>
              <w:top w:val="single" w:color="000000" w:sz="4" w:space="0"/>
              <w:bottom w:val="single" w:color="000000" w:sz="4" w:space="0"/>
              <w:right w:val="single" w:color="000000" w:sz="4" w:space="0"/>
            </w:tcBorders>
            <w:noWrap w:val="0"/>
            <w:vAlign w:val="center"/>
          </w:tcPr>
          <w:p w14:paraId="7A7123F2">
            <w:pPr>
              <w:snapToGrid w:val="0"/>
              <w:spacing w:line="240" w:lineRule="auto"/>
              <w:ind w:firstLine="0" w:firstLineChars="0"/>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17</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1D36D3BB">
            <w:pPr>
              <w:snapToGrid w:val="0"/>
              <w:spacing w:line="240" w:lineRule="auto"/>
              <w:ind w:firstLine="0" w:firstLineChars="0"/>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工期</w:t>
            </w:r>
          </w:p>
        </w:tc>
        <w:tc>
          <w:tcPr>
            <w:tcW w:w="7370" w:type="dxa"/>
            <w:tcBorders>
              <w:top w:val="single" w:color="000000" w:sz="4" w:space="0"/>
              <w:left w:val="single" w:color="000000" w:sz="4" w:space="0"/>
              <w:bottom w:val="single" w:color="000000" w:sz="4" w:space="0"/>
            </w:tcBorders>
            <w:noWrap w:val="0"/>
            <w:vAlign w:val="center"/>
          </w:tcPr>
          <w:p w14:paraId="423ED49F">
            <w:pPr>
              <w:snapToGrid w:val="0"/>
              <w:spacing w:line="240" w:lineRule="auto"/>
              <w:ind w:firstLine="0" w:firstLineChars="0"/>
              <w:jc w:val="left"/>
              <w:rPr>
                <w:rFonts w:hint="eastAsia" w:ascii="宋体" w:hAnsi="宋体" w:eastAsia="宋体" w:cs="宋体"/>
                <w:color w:val="auto"/>
                <w:kern w:val="0"/>
                <w:sz w:val="24"/>
                <w:szCs w:val="24"/>
                <w:highlight w:val="none"/>
              </w:rPr>
            </w:pPr>
            <w:r>
              <w:rPr>
                <w:rStyle w:val="22"/>
                <w:rFonts w:hint="eastAsia" w:hAnsi="宋体"/>
                <w:color w:val="auto"/>
                <w:kern w:val="0"/>
                <w:sz w:val="24"/>
                <w:szCs w:val="24"/>
                <w:highlight w:val="none"/>
                <w:lang w:eastAsia="zh-CN"/>
              </w:rPr>
              <w:t>本招标项目施工招标工期为120个日历天</w:t>
            </w:r>
            <w:r>
              <w:rPr>
                <w:rStyle w:val="22"/>
                <w:rFonts w:hint="eastAsia" w:hAnsi="宋体"/>
                <w:color w:val="auto"/>
                <w:kern w:val="0"/>
                <w:sz w:val="24"/>
                <w:szCs w:val="24"/>
                <w:highlight w:val="none"/>
              </w:rPr>
              <w:t>。</w:t>
            </w:r>
          </w:p>
        </w:tc>
      </w:tr>
      <w:tr w14:paraId="7494AFD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85" w:hRule="atLeast"/>
          <w:jc w:val="center"/>
        </w:trPr>
        <w:tc>
          <w:tcPr>
            <w:tcW w:w="646" w:type="dxa"/>
            <w:tcBorders>
              <w:top w:val="single" w:color="000000" w:sz="4" w:space="0"/>
              <w:bottom w:val="single" w:color="000000" w:sz="4" w:space="0"/>
              <w:right w:val="single" w:color="000000" w:sz="4" w:space="0"/>
            </w:tcBorders>
            <w:noWrap w:val="0"/>
            <w:vAlign w:val="center"/>
          </w:tcPr>
          <w:p w14:paraId="376A56AE">
            <w:pPr>
              <w:snapToGrid w:val="0"/>
              <w:spacing w:line="240" w:lineRule="auto"/>
              <w:ind w:firstLine="0" w:firstLineChars="0"/>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18</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485DE91F">
            <w:pPr>
              <w:snapToGrid w:val="0"/>
              <w:spacing w:line="240" w:lineRule="auto"/>
              <w:ind w:firstLine="0" w:firstLineChars="0"/>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质量标准</w:t>
            </w:r>
          </w:p>
        </w:tc>
        <w:tc>
          <w:tcPr>
            <w:tcW w:w="7370" w:type="dxa"/>
            <w:tcBorders>
              <w:top w:val="single" w:color="000000" w:sz="4" w:space="0"/>
              <w:left w:val="single" w:color="000000" w:sz="4" w:space="0"/>
              <w:bottom w:val="single" w:color="000000" w:sz="4" w:space="0"/>
            </w:tcBorders>
            <w:noWrap w:val="0"/>
            <w:vAlign w:val="center"/>
          </w:tcPr>
          <w:p w14:paraId="131D3421">
            <w:pPr>
              <w:snapToGrid w:val="0"/>
              <w:spacing w:line="240" w:lineRule="auto"/>
              <w:ind w:firstLine="0" w:firstLineChars="0"/>
              <w:jc w:val="left"/>
              <w:rPr>
                <w:rStyle w:val="22"/>
                <w:rFonts w:hint="eastAsia" w:ascii="宋体" w:hAnsi="宋体" w:eastAsia="宋体" w:cs="宋体"/>
                <w:color w:val="auto"/>
                <w:kern w:val="0"/>
                <w:sz w:val="24"/>
                <w:szCs w:val="24"/>
                <w:highlight w:val="none"/>
                <w:lang w:val="en-US"/>
              </w:rPr>
            </w:pPr>
            <w:r>
              <w:rPr>
                <w:rStyle w:val="22"/>
                <w:rFonts w:hint="eastAsia" w:ascii="宋体" w:hAnsi="宋体" w:eastAsia="宋体" w:cs="宋体"/>
                <w:color w:val="auto"/>
                <w:kern w:val="0"/>
                <w:sz w:val="24"/>
                <w:szCs w:val="24"/>
                <w:highlight w:val="none"/>
                <w:lang w:val="en-US" w:eastAsia="zh-CN"/>
              </w:rPr>
              <w:t>☑质量目标：合格。</w:t>
            </w:r>
          </w:p>
          <w:p w14:paraId="6619C9B8">
            <w:pPr>
              <w:snapToGrid w:val="0"/>
              <w:spacing w:line="240" w:lineRule="auto"/>
              <w:ind w:firstLine="0" w:firstLineChars="0"/>
              <w:jc w:val="left"/>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lang w:val="en-US" w:eastAsia="zh-CN"/>
              </w:rPr>
              <w:t>☑质量标准：符合现行国家有关工程施工质量验收规范和标准的要求。</w:t>
            </w:r>
          </w:p>
        </w:tc>
      </w:tr>
      <w:tr w14:paraId="4A4EAF0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14:paraId="072974CD">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19</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5096DE4B">
            <w:pPr>
              <w:snapToGrid w:val="0"/>
              <w:spacing w:line="36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房屋建筑工程</w:t>
            </w:r>
          </w:p>
          <w:p w14:paraId="620A8263">
            <w:pPr>
              <w:snapToGrid w:val="0"/>
              <w:spacing w:line="36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绿色建筑标准</w:t>
            </w:r>
          </w:p>
        </w:tc>
        <w:tc>
          <w:tcPr>
            <w:tcW w:w="7370" w:type="dxa"/>
            <w:tcBorders>
              <w:top w:val="single" w:color="000000" w:sz="4" w:space="0"/>
              <w:left w:val="single" w:color="000000" w:sz="4" w:space="0"/>
              <w:bottom w:val="single" w:color="000000" w:sz="4" w:space="0"/>
            </w:tcBorders>
            <w:noWrap w:val="0"/>
            <w:vAlign w:val="center"/>
          </w:tcPr>
          <w:p w14:paraId="4BA6842E">
            <w:pPr>
              <w:snapToGrid w:val="0"/>
              <w:spacing w:line="360" w:lineRule="auto"/>
              <w:jc w:val="left"/>
              <w:rPr>
                <w:rFonts w:hint="eastAsia" w:ascii="宋体" w:hAnsi="宋体" w:eastAsia="宋体" w:cs="宋体"/>
                <w:color w:val="auto"/>
                <w:kern w:val="0"/>
                <w:sz w:val="24"/>
                <w:szCs w:val="24"/>
                <w:highlight w:val="none"/>
                <w:lang w:eastAsia="zh-CN"/>
              </w:rPr>
            </w:pPr>
            <w:r>
              <w:rPr>
                <w:rStyle w:val="22"/>
                <w:rFonts w:hint="eastAsia" w:hAnsi="宋体" w:cs="宋体"/>
                <w:color w:val="auto"/>
                <w:kern w:val="0"/>
                <w:sz w:val="24"/>
                <w:szCs w:val="24"/>
                <w:highlight w:val="none"/>
                <w:lang w:eastAsia="zh-CN"/>
              </w:rPr>
              <w:t>本招标项目不纳入绿色建筑实施范围。</w:t>
            </w:r>
          </w:p>
        </w:tc>
      </w:tr>
      <w:tr w14:paraId="257BC5F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95" w:hRule="atLeast"/>
          <w:jc w:val="center"/>
        </w:trPr>
        <w:tc>
          <w:tcPr>
            <w:tcW w:w="646" w:type="dxa"/>
            <w:tcBorders>
              <w:top w:val="single" w:color="000000" w:sz="4" w:space="0"/>
              <w:bottom w:val="single" w:color="000000" w:sz="4" w:space="0"/>
              <w:right w:val="single" w:color="000000" w:sz="4" w:space="0"/>
            </w:tcBorders>
            <w:noWrap w:val="0"/>
            <w:vAlign w:val="center"/>
          </w:tcPr>
          <w:p w14:paraId="59F8725A">
            <w:pPr>
              <w:widowControl w:val="0"/>
              <w:wordWrap w:val="0"/>
              <w:adjustRightInd w:val="0"/>
              <w:snapToGrid w:val="0"/>
              <w:spacing w:line="240" w:lineRule="auto"/>
              <w:jc w:val="center"/>
              <w:textAlignment w:val="auto"/>
              <w:rPr>
                <w:rStyle w:val="22"/>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19.1</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77A44480">
            <w:pPr>
              <w:widowControl w:val="0"/>
              <w:wordWrap w:val="0"/>
              <w:adjustRightInd w:val="0"/>
              <w:snapToGrid w:val="0"/>
              <w:spacing w:line="240" w:lineRule="auto"/>
              <w:jc w:val="center"/>
              <w:textAlignment w:val="auto"/>
              <w:rPr>
                <w:rStyle w:val="22"/>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装配式建筑标准</w:t>
            </w:r>
          </w:p>
        </w:tc>
        <w:tc>
          <w:tcPr>
            <w:tcW w:w="7370" w:type="dxa"/>
            <w:tcBorders>
              <w:top w:val="single" w:color="000000" w:sz="4" w:space="0"/>
              <w:left w:val="single" w:color="000000" w:sz="4" w:space="0"/>
              <w:bottom w:val="single" w:color="000000" w:sz="4" w:space="0"/>
            </w:tcBorders>
            <w:noWrap w:val="0"/>
            <w:vAlign w:val="center"/>
          </w:tcPr>
          <w:p w14:paraId="79D51561">
            <w:pPr>
              <w:widowControl w:val="0"/>
              <w:wordWrap w:val="0"/>
              <w:adjustRightInd w:val="0"/>
              <w:snapToGrid w:val="0"/>
              <w:spacing w:line="240" w:lineRule="auto"/>
              <w:textAlignment w:val="auto"/>
              <w:rPr>
                <w:rStyle w:val="22"/>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本招标项目不纳入装配式建造建设实施范围。</w:t>
            </w:r>
          </w:p>
        </w:tc>
      </w:tr>
      <w:tr w14:paraId="75D59EC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42" w:hRule="atLeast"/>
          <w:jc w:val="center"/>
        </w:trPr>
        <w:tc>
          <w:tcPr>
            <w:tcW w:w="646" w:type="dxa"/>
            <w:tcBorders>
              <w:top w:val="single" w:color="000000" w:sz="4" w:space="0"/>
              <w:bottom w:val="single" w:color="000000" w:sz="4" w:space="0"/>
              <w:right w:val="single" w:color="000000" w:sz="4" w:space="0"/>
            </w:tcBorders>
            <w:noWrap w:val="0"/>
            <w:vAlign w:val="center"/>
          </w:tcPr>
          <w:p w14:paraId="52BFB294">
            <w:pPr>
              <w:snapToGrid w:val="0"/>
              <w:spacing w:line="240" w:lineRule="auto"/>
              <w:ind w:firstLine="0" w:firstLineChars="0"/>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20</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55E836FF">
            <w:pPr>
              <w:snapToGrid w:val="0"/>
              <w:spacing w:line="240" w:lineRule="auto"/>
              <w:ind w:firstLine="0" w:firstLineChars="0"/>
              <w:jc w:val="center"/>
              <w:rPr>
                <w:rFonts w:hint="eastAsia" w:ascii="宋体" w:hAnsi="宋体" w:eastAsia="宋体" w:cs="宋体"/>
                <w:strike/>
                <w:color w:val="auto"/>
                <w:kern w:val="0"/>
                <w:sz w:val="24"/>
                <w:szCs w:val="24"/>
                <w:highlight w:val="none"/>
                <w:lang w:eastAsia="zh-CN"/>
              </w:rPr>
            </w:pPr>
            <w:r>
              <w:rPr>
                <w:rStyle w:val="22"/>
                <w:rFonts w:hint="eastAsia" w:hAnsi="宋体" w:cs="宋体"/>
                <w:color w:val="auto"/>
                <w:kern w:val="0"/>
                <w:sz w:val="24"/>
                <w:szCs w:val="24"/>
                <w:highlight w:val="none"/>
                <w:lang w:eastAsia="zh-CN"/>
              </w:rPr>
              <w:t>最高投标限价</w:t>
            </w:r>
          </w:p>
        </w:tc>
        <w:tc>
          <w:tcPr>
            <w:tcW w:w="7370" w:type="dxa"/>
            <w:tcBorders>
              <w:top w:val="single" w:color="000000" w:sz="4" w:space="0"/>
              <w:left w:val="single" w:color="000000" w:sz="4" w:space="0"/>
              <w:bottom w:val="single" w:color="000000" w:sz="4" w:space="0"/>
            </w:tcBorders>
            <w:noWrap w:val="0"/>
            <w:vAlign w:val="center"/>
          </w:tcPr>
          <w:p w14:paraId="6FD56B6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olor w:val="auto"/>
                <w:sz w:val="24"/>
                <w:szCs w:val="24"/>
                <w:highlight w:val="none"/>
                <w:lang w:eastAsia="zh-CN"/>
              </w:rPr>
            </w:pPr>
            <w:r>
              <w:rPr>
                <w:rFonts w:hint="eastAsia"/>
                <w:color w:val="auto"/>
                <w:sz w:val="24"/>
                <w:szCs w:val="24"/>
                <w:highlight w:val="none"/>
                <w:lang w:eastAsia="zh-CN"/>
              </w:rPr>
              <w:t>本项目最高投标限价、施工图纸、招标工程量清单在投标截止时间7天前以补充公告的形式在广东省招标投标监管网和全国公共资源交易平台（广东省·韶关市）发布。</w:t>
            </w:r>
          </w:p>
        </w:tc>
      </w:tr>
      <w:tr w14:paraId="028ED97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46" w:type="dxa"/>
            <w:tcBorders>
              <w:top w:val="single" w:color="000000" w:sz="4" w:space="0"/>
              <w:bottom w:val="single" w:color="000000" w:sz="4" w:space="0"/>
              <w:right w:val="single" w:color="000000" w:sz="4" w:space="0"/>
            </w:tcBorders>
            <w:noWrap w:val="0"/>
            <w:vAlign w:val="center"/>
          </w:tcPr>
          <w:p w14:paraId="38FD62E4">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21</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7426708B">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投标人资格要求</w:t>
            </w:r>
          </w:p>
        </w:tc>
        <w:tc>
          <w:tcPr>
            <w:tcW w:w="7370" w:type="dxa"/>
            <w:tcBorders>
              <w:top w:val="single" w:color="000000" w:sz="4" w:space="0"/>
              <w:left w:val="single" w:color="000000" w:sz="4" w:space="0"/>
              <w:bottom w:val="single" w:color="000000" w:sz="4" w:space="0"/>
            </w:tcBorders>
            <w:noWrap w:val="0"/>
            <w:vAlign w:val="center"/>
          </w:tcPr>
          <w:p w14:paraId="62C99605">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1．本工程不接受联合体投标。</w:t>
            </w:r>
          </w:p>
          <w:p w14:paraId="5FF422A5">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2．资质要求</w:t>
            </w:r>
          </w:p>
          <w:p w14:paraId="4651D1B0">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 投标人须具备独立法人资格，按国家法律经营。</w:t>
            </w:r>
          </w:p>
          <w:p w14:paraId="703ACE04">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投标人须持有建设行政主管部门颁发的企业资质证书及安全生产许可证。</w:t>
            </w:r>
          </w:p>
          <w:p w14:paraId="26DDAB45">
            <w:pPr>
              <w:snapToGrid w:val="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2.3 投标人须具备以下资质：</w:t>
            </w:r>
            <w:r>
              <w:rPr>
                <w:rFonts w:hint="eastAsia" w:hAnsi="宋体" w:cs="宋体"/>
                <w:color w:val="auto"/>
                <w:sz w:val="24"/>
                <w:szCs w:val="24"/>
                <w:highlight w:val="none"/>
                <w:lang w:eastAsia="zh-CN"/>
              </w:rPr>
              <w:t>市政公用工程施工总承包</w:t>
            </w:r>
            <w:r>
              <w:rPr>
                <w:rFonts w:hint="eastAsia" w:hAnsi="宋体" w:eastAsia="宋体" w:cs="宋体"/>
                <w:color w:val="auto"/>
                <w:sz w:val="24"/>
                <w:szCs w:val="24"/>
                <w:highlight w:val="none"/>
                <w:lang w:val="en-US" w:eastAsia="zh-CN"/>
              </w:rPr>
              <w:t>三</w:t>
            </w:r>
            <w:r>
              <w:rPr>
                <w:rFonts w:hint="eastAsia" w:hAnsi="宋体" w:eastAsia="宋体" w:cs="宋体"/>
                <w:color w:val="auto"/>
                <w:sz w:val="24"/>
                <w:szCs w:val="24"/>
                <w:highlight w:val="none"/>
                <w:lang w:eastAsia="zh-CN"/>
              </w:rPr>
              <w:t>级以上（含三级）资质。</w:t>
            </w:r>
          </w:p>
          <w:p w14:paraId="590E483B">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根据有关文件精神，投标人的相关证书到期的，均按该证书的发证机构相关行业主管部门最新文件执行（如自动顺延或推迟办理延期业务的通知），投标人必须将相关文件附在该证书后面，证明在开标日继续有效。</w:t>
            </w:r>
          </w:p>
          <w:p w14:paraId="4F1E018A">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3．相关人员要求</w:t>
            </w:r>
          </w:p>
          <w:p w14:paraId="4F89B64F">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3.1 </w:t>
            </w:r>
            <w:r>
              <w:rPr>
                <w:rFonts w:hint="eastAsia" w:hAnsi="宋体"/>
                <w:color w:val="auto"/>
                <w:sz w:val="24"/>
                <w:szCs w:val="24"/>
                <w:highlight w:val="none"/>
              </w:rPr>
              <w:t>拟派项目经理为</w:t>
            </w:r>
            <w:r>
              <w:rPr>
                <w:rFonts w:hint="eastAsia" w:hAnsi="宋体"/>
                <w:color w:val="auto"/>
                <w:sz w:val="24"/>
                <w:szCs w:val="24"/>
                <w:highlight w:val="none"/>
                <w:lang w:eastAsia="zh-CN"/>
              </w:rPr>
              <w:t>市政公用工程专业</w:t>
            </w:r>
            <w:r>
              <w:rPr>
                <w:rFonts w:hint="eastAsia" w:hAnsi="宋体"/>
                <w:color w:val="auto"/>
                <w:sz w:val="24"/>
                <w:szCs w:val="24"/>
                <w:highlight w:val="none"/>
              </w:rPr>
              <w:t>一级或二级注册建造师，持有住建部门核准的在使用有效期内的有效电子注册证书（二级注册建造师跨地区执业必须满足广东省住建部门有关规定）。同时均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p>
          <w:p w14:paraId="2B0BD7B1">
            <w:pPr>
              <w:snapToGrid w:val="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3.2拟派项目技术负责人须具备</w:t>
            </w:r>
            <w:r>
              <w:rPr>
                <w:rFonts w:hint="eastAsia" w:hAnsi="宋体" w:eastAsia="宋体" w:cs="宋体"/>
                <w:color w:val="auto"/>
                <w:sz w:val="24"/>
                <w:szCs w:val="24"/>
                <w:highlight w:val="none"/>
                <w:lang w:eastAsia="zh-CN"/>
              </w:rPr>
              <w:t>中级以上（含中级）技术职称。</w:t>
            </w:r>
          </w:p>
          <w:p w14:paraId="65193DCE">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 拟派专职安全生产管理人员须具备有效安全生产考核合格证明（C证，安全生产考核合格证书或“广东省建筑施工企业管理人员安全生产考核系统”考核合格信息打印页），且不少于1人。</w:t>
            </w:r>
          </w:p>
          <w:p w14:paraId="448C5373">
            <w:pPr>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 投标人与其拟派往本项目管理机构的所有人员之间必须具备合法、唯一的劳动聘用关系。拟派人员中具备注册执业资格的，其注册单位须与投标人保持一致。</w:t>
            </w:r>
          </w:p>
          <w:p w14:paraId="5F92D499">
            <w:pPr>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4．禁止投标条款：</w:t>
            </w:r>
          </w:p>
          <w:p w14:paraId="7A059F30">
            <w:pPr>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4.1投标人不得存在下列情形之一：    </w:t>
            </w:r>
          </w:p>
          <w:p w14:paraId="3F9B0210">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（1）为招标人不具有独立法人资格的附属机构（单位）；</w:t>
            </w:r>
          </w:p>
          <w:p w14:paraId="79723266">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（2）为本招标项目前期准备提供设计或咨询服务的；</w:t>
            </w:r>
          </w:p>
          <w:p w14:paraId="4140447D">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（3）与本招标项目的其他投标人为同一个单位负责人；</w:t>
            </w:r>
          </w:p>
          <w:p w14:paraId="602ADB79">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（4）与本招标项目的其他投标人存在控股、管理关系；</w:t>
            </w:r>
          </w:p>
          <w:p w14:paraId="5060B315">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（5）为本招标项目的监理人；</w:t>
            </w:r>
          </w:p>
          <w:p w14:paraId="3D6C54E2">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（6）为本招标项目的代建人；</w:t>
            </w:r>
          </w:p>
          <w:p w14:paraId="3D28B610">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（7）为本招标项目的招标代理机构；</w:t>
            </w:r>
          </w:p>
          <w:p w14:paraId="17DCDF30">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（8）与本招标项目的监理人或代建人或招标代理机构同为一个法定代表人；</w:t>
            </w:r>
          </w:p>
          <w:p w14:paraId="3C2DBA39">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（9）与本招标项目的监理人或代建人或招标代理机构存在控股或参股关系；</w:t>
            </w:r>
          </w:p>
          <w:p w14:paraId="2125D94E">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（10）与本招标项目的监理人或代建人或招标代理机构存在相互任职或工作关系；</w:t>
            </w:r>
          </w:p>
          <w:p w14:paraId="6BEC316C">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（11）被依法暂停或者取消投标资格；</w:t>
            </w:r>
          </w:p>
          <w:p w14:paraId="394404A7">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（12）被责令停产停业、暂扣或者吊销许可证、暂扣或者吊销执照；</w:t>
            </w:r>
          </w:p>
          <w:p w14:paraId="50120D1F">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（13）进入清算程序，或被宣告破产，或其他丧失履约能力的情形；</w:t>
            </w:r>
          </w:p>
          <w:p w14:paraId="0F2B5992">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（14）在最近三年内发生重大工程质量或安全问题（以相关行业主管部门的行政处罚决定或司法机关出具的有关法律文书为准）；</w:t>
            </w:r>
          </w:p>
          <w:p w14:paraId="032485B1">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（15）被“信用中国”网站（https://www.creditchina.gov.cn）发布的《法人和非法人组织公共信用信息报告》列为严重失信主体名单的。</w:t>
            </w:r>
          </w:p>
          <w:p w14:paraId="63785445">
            <w:pPr>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 招标人拒绝以下名单中的单位参加本次投标：</w:t>
            </w:r>
          </w:p>
          <w:tbl>
            <w:tblPr>
              <w:tblStyle w:val="18"/>
              <w:tblW w:w="7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2792"/>
              <w:gridCol w:w="3606"/>
            </w:tblGrid>
            <w:tr w14:paraId="76336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41" w:type="dxa"/>
                  <w:noWrap w:val="0"/>
                  <w:vAlign w:val="center"/>
                </w:tcPr>
                <w:p w14:paraId="42B837EB">
                  <w:pPr>
                    <w:wordWrap w:val="0"/>
                    <w:adjustRightInd w:val="0"/>
                    <w:snapToGrid w:val="0"/>
                    <w:ind w:right="-218" w:rightChars="-9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792" w:type="dxa"/>
                  <w:noWrap w:val="0"/>
                  <w:vAlign w:val="center"/>
                </w:tcPr>
                <w:p w14:paraId="5C1B5F43">
                  <w:pPr>
                    <w:wordWrap w:val="0"/>
                    <w:adjustRightInd w:val="0"/>
                    <w:snapToGrid w:val="0"/>
                    <w:ind w:right="-206" w:rightChars="-8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3606" w:type="dxa"/>
                  <w:noWrap w:val="0"/>
                  <w:vAlign w:val="center"/>
                </w:tcPr>
                <w:p w14:paraId="3E15BFD1">
                  <w:pPr>
                    <w:wordWrap w:val="0"/>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拒绝原因</w:t>
                  </w:r>
                </w:p>
              </w:tc>
            </w:tr>
            <w:tr w14:paraId="363C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41" w:type="dxa"/>
                  <w:noWrap w:val="0"/>
                  <w:vAlign w:val="center"/>
                </w:tcPr>
                <w:p w14:paraId="5E3EFA3F">
                  <w:pPr>
                    <w:pStyle w:val="28"/>
                    <w:wordWrap w:val="0"/>
                    <w:adjustRightInd w:val="0"/>
                    <w:snapToGrid w:val="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92" w:type="dxa"/>
                  <w:noWrap w:val="0"/>
                  <w:vAlign w:val="center"/>
                </w:tcPr>
                <w:p w14:paraId="38587947">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lang w:eastAsia="zh-CN"/>
                    </w:rPr>
                  </w:pPr>
                  <w:r>
                    <w:rPr>
                      <w:rFonts w:hint="eastAsia" w:hAnsi="宋体" w:cs="宋体"/>
                      <w:snapToGrid w:val="0"/>
                      <w:color w:val="auto"/>
                      <w:kern w:val="0"/>
                      <w:sz w:val="24"/>
                      <w:szCs w:val="24"/>
                      <w:highlight w:val="none"/>
                      <w:lang w:eastAsia="zh-CN"/>
                    </w:rPr>
                    <w:t>南雄市湖口镇人民政府</w:t>
                  </w:r>
                </w:p>
              </w:tc>
              <w:tc>
                <w:tcPr>
                  <w:tcW w:w="3606" w:type="dxa"/>
                  <w:noWrap w:val="0"/>
                  <w:vAlign w:val="center"/>
                </w:tcPr>
                <w:p w14:paraId="64A08767">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为本招标项目的招标人</w:t>
                  </w:r>
                </w:p>
              </w:tc>
            </w:tr>
            <w:tr w14:paraId="0CF48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41" w:type="dxa"/>
                  <w:shd w:val="clear" w:color="auto" w:fill="auto"/>
                  <w:noWrap w:val="0"/>
                  <w:vAlign w:val="center"/>
                </w:tcPr>
                <w:p w14:paraId="6B4FC001">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2</w:t>
                  </w:r>
                </w:p>
              </w:tc>
              <w:tc>
                <w:tcPr>
                  <w:tcW w:w="2792" w:type="dxa"/>
                  <w:noWrap w:val="0"/>
                  <w:vAlign w:val="center"/>
                </w:tcPr>
                <w:p w14:paraId="32035EB3">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hAnsi="宋体" w:cs="宋体"/>
                      <w:snapToGrid w:val="0"/>
                      <w:color w:val="auto"/>
                      <w:kern w:val="0"/>
                      <w:sz w:val="24"/>
                      <w:szCs w:val="24"/>
                      <w:highlight w:val="none"/>
                      <w:lang w:eastAsia="zh-CN"/>
                    </w:rPr>
                  </w:pPr>
                  <w:r>
                    <w:rPr>
                      <w:rFonts w:hint="eastAsia" w:hAnsi="宋体" w:cs="宋体"/>
                      <w:snapToGrid w:val="0"/>
                      <w:color w:val="auto"/>
                      <w:kern w:val="0"/>
                      <w:sz w:val="24"/>
                      <w:szCs w:val="24"/>
                      <w:highlight w:val="none"/>
                      <w:lang w:eastAsia="zh-CN"/>
                    </w:rPr>
                    <w:t>南雄市农业农村局</w:t>
                  </w:r>
                </w:p>
              </w:tc>
              <w:tc>
                <w:tcPr>
                  <w:tcW w:w="3606" w:type="dxa"/>
                  <w:noWrap w:val="0"/>
                  <w:vAlign w:val="center"/>
                </w:tcPr>
                <w:p w14:paraId="6053B75F">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为本招标项目</w:t>
                  </w:r>
                  <w:r>
                    <w:rPr>
                      <w:rFonts w:hint="eastAsia" w:ascii="宋体" w:hAnsi="宋体" w:cs="宋体"/>
                      <w:snapToGrid w:val="0"/>
                      <w:color w:val="auto"/>
                      <w:kern w:val="0"/>
                      <w:sz w:val="24"/>
                      <w:szCs w:val="24"/>
                      <w:highlight w:val="none"/>
                      <w:lang w:val="en-US" w:eastAsia="zh-CN"/>
                    </w:rPr>
                    <w:t>业主</w:t>
                  </w:r>
                </w:p>
              </w:tc>
            </w:tr>
            <w:tr w14:paraId="45DB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41" w:type="dxa"/>
                  <w:shd w:val="clear" w:color="auto" w:fill="auto"/>
                  <w:noWrap w:val="0"/>
                  <w:vAlign w:val="center"/>
                </w:tcPr>
                <w:p w14:paraId="5F21FDFA">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3</w:t>
                  </w:r>
                </w:p>
              </w:tc>
              <w:tc>
                <w:tcPr>
                  <w:tcW w:w="2792" w:type="dxa"/>
                  <w:noWrap w:val="0"/>
                  <w:vAlign w:val="center"/>
                </w:tcPr>
                <w:p w14:paraId="3CD55A88">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hAnsi="宋体" w:cs="宋体"/>
                      <w:snapToGrid w:val="0"/>
                      <w:color w:val="auto"/>
                      <w:kern w:val="0"/>
                      <w:sz w:val="24"/>
                      <w:szCs w:val="24"/>
                      <w:highlight w:val="none"/>
                      <w:lang w:eastAsia="zh-CN"/>
                    </w:rPr>
                    <w:t>农业农村部规划设计研究院</w:t>
                  </w:r>
                </w:p>
              </w:tc>
              <w:tc>
                <w:tcPr>
                  <w:tcW w:w="3606" w:type="dxa"/>
                  <w:noWrap w:val="0"/>
                  <w:vAlign w:val="center"/>
                </w:tcPr>
                <w:p w14:paraId="11AE03B5">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为本招标项目的可行性研究报告编制单位</w:t>
                  </w:r>
                </w:p>
              </w:tc>
            </w:tr>
            <w:tr w14:paraId="7F71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41" w:type="dxa"/>
                  <w:shd w:val="clear" w:color="auto" w:fill="auto"/>
                  <w:noWrap w:val="0"/>
                  <w:vAlign w:val="center"/>
                </w:tcPr>
                <w:p w14:paraId="49B46D66">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w:t>
                  </w:r>
                </w:p>
              </w:tc>
              <w:tc>
                <w:tcPr>
                  <w:tcW w:w="2792" w:type="dxa"/>
                  <w:noWrap w:val="0"/>
                  <w:vAlign w:val="center"/>
                </w:tcPr>
                <w:p w14:paraId="43A0DCEB">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中元天纬集团有限公司</w:t>
                  </w:r>
                </w:p>
              </w:tc>
              <w:tc>
                <w:tcPr>
                  <w:tcW w:w="3606" w:type="dxa"/>
                  <w:noWrap w:val="0"/>
                  <w:vAlign w:val="center"/>
                </w:tcPr>
                <w:p w14:paraId="53689141">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勘察单位</w:t>
                  </w:r>
                </w:p>
              </w:tc>
            </w:tr>
            <w:tr w14:paraId="06A4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41" w:type="dxa"/>
                  <w:shd w:val="clear" w:color="auto" w:fill="auto"/>
                  <w:noWrap w:val="0"/>
                  <w:vAlign w:val="center"/>
                </w:tcPr>
                <w:p w14:paraId="2C33347E">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w:t>
                  </w:r>
                </w:p>
              </w:tc>
              <w:tc>
                <w:tcPr>
                  <w:tcW w:w="2792" w:type="dxa"/>
                  <w:noWrap w:val="0"/>
                  <w:vAlign w:val="center"/>
                </w:tcPr>
                <w:p w14:paraId="065D0671">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hAnsi="宋体" w:cs="宋体"/>
                      <w:snapToGrid w:val="0"/>
                      <w:color w:val="auto"/>
                      <w:kern w:val="0"/>
                      <w:szCs w:val="24"/>
                      <w:highlight w:val="none"/>
                      <w:lang w:eastAsia="zh-CN"/>
                    </w:rPr>
                    <w:t>汉宸国际工程设计集团有限公司</w:t>
                  </w:r>
                </w:p>
              </w:tc>
              <w:tc>
                <w:tcPr>
                  <w:tcW w:w="3606" w:type="dxa"/>
                  <w:noWrap w:val="0"/>
                  <w:vAlign w:val="center"/>
                </w:tcPr>
                <w:p w14:paraId="114A8AE6">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设计单位</w:t>
                  </w:r>
                  <w:r>
                    <w:rPr>
                      <w:rFonts w:hint="eastAsia" w:ascii="宋体" w:hAnsi="宋体" w:cs="宋体"/>
                      <w:snapToGrid w:val="0"/>
                      <w:color w:val="auto"/>
                      <w:kern w:val="0"/>
                      <w:sz w:val="24"/>
                      <w:szCs w:val="24"/>
                      <w:highlight w:val="none"/>
                      <w:lang w:val="en-US" w:eastAsia="zh-CN"/>
                    </w:rPr>
                    <w:t>、本招标项目的造价咨询单位</w:t>
                  </w:r>
                </w:p>
              </w:tc>
            </w:tr>
            <w:tr w14:paraId="774D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41" w:type="dxa"/>
                  <w:shd w:val="clear" w:color="auto" w:fill="auto"/>
                  <w:noWrap w:val="0"/>
                  <w:vAlign w:val="center"/>
                </w:tcPr>
                <w:p w14:paraId="5A03C1AE">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6</w:t>
                  </w:r>
                </w:p>
              </w:tc>
              <w:tc>
                <w:tcPr>
                  <w:tcW w:w="2792" w:type="dxa"/>
                  <w:shd w:val="clear" w:color="auto" w:fill="auto"/>
                  <w:noWrap w:val="0"/>
                  <w:vAlign w:val="center"/>
                </w:tcPr>
                <w:p w14:paraId="626632E4">
                  <w:pPr>
                    <w:snapToGrid w:val="0"/>
                    <w:spacing w:line="240" w:lineRule="auto"/>
                    <w:jc w:val="center"/>
                    <w:rPr>
                      <w:rFonts w:hint="default" w:ascii="宋体" w:hAnsi="宋体" w:eastAsia="宋体" w:cs="宋体"/>
                      <w:color w:val="auto"/>
                      <w:kern w:val="0"/>
                      <w:sz w:val="24"/>
                      <w:szCs w:val="24"/>
                      <w:highlight w:val="none"/>
                      <w:lang w:val="en-US" w:eastAsia="zh-CN" w:bidi="ar-SA"/>
                    </w:rPr>
                  </w:pPr>
                  <w:r>
                    <w:rPr>
                      <w:rFonts w:hint="eastAsia" w:hAnsi="宋体" w:cs="宋体"/>
                      <w:bCs/>
                      <w:snapToGrid w:val="0"/>
                      <w:color w:val="auto"/>
                      <w:kern w:val="0"/>
                      <w:sz w:val="24"/>
                      <w:szCs w:val="24"/>
                      <w:highlight w:val="none"/>
                      <w:lang w:val="en-US" w:eastAsia="zh-CN"/>
                    </w:rPr>
                    <w:t>待定</w:t>
                  </w:r>
                </w:p>
              </w:tc>
              <w:tc>
                <w:tcPr>
                  <w:tcW w:w="3606" w:type="dxa"/>
                  <w:noWrap w:val="0"/>
                  <w:vAlign w:val="center"/>
                </w:tcPr>
                <w:p w14:paraId="2BD18A2C">
                  <w:pPr>
                    <w:pStyle w:val="28"/>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监理单位</w:t>
                  </w:r>
                </w:p>
              </w:tc>
            </w:tr>
            <w:tr w14:paraId="332A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41" w:type="dxa"/>
                  <w:shd w:val="clear" w:color="auto" w:fill="auto"/>
                  <w:noWrap w:val="0"/>
                  <w:vAlign w:val="center"/>
                </w:tcPr>
                <w:p w14:paraId="4A500A6A">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7</w:t>
                  </w:r>
                </w:p>
              </w:tc>
              <w:tc>
                <w:tcPr>
                  <w:tcW w:w="2792" w:type="dxa"/>
                  <w:noWrap w:val="0"/>
                  <w:vAlign w:val="center"/>
                </w:tcPr>
                <w:p w14:paraId="1D2D23D9">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default" w:ascii="宋体" w:hAnsi="宋体" w:eastAsia="宋体" w:cs="宋体"/>
                      <w:color w:val="auto"/>
                      <w:sz w:val="24"/>
                      <w:szCs w:val="24"/>
                      <w:highlight w:val="none"/>
                      <w:lang w:val="en-US" w:eastAsia="zh-CN"/>
                    </w:rPr>
                  </w:pPr>
                  <w:r>
                    <w:rPr>
                      <w:rFonts w:hint="eastAsia" w:hAnsi="宋体" w:cs="宋体"/>
                      <w:snapToGrid w:val="0"/>
                      <w:color w:val="auto"/>
                      <w:kern w:val="0"/>
                      <w:sz w:val="24"/>
                      <w:szCs w:val="24"/>
                      <w:highlight w:val="none"/>
                      <w:lang w:eastAsia="zh-CN"/>
                    </w:rPr>
                    <w:t>海通国际设计有限公司</w:t>
                  </w:r>
                </w:p>
              </w:tc>
              <w:tc>
                <w:tcPr>
                  <w:tcW w:w="3606" w:type="dxa"/>
                  <w:noWrap w:val="0"/>
                  <w:vAlign w:val="center"/>
                </w:tcPr>
                <w:p w14:paraId="7BA29050">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为本招标项目的招标代理机构</w:t>
                  </w:r>
                </w:p>
              </w:tc>
            </w:tr>
            <w:tr w14:paraId="2E97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41" w:type="dxa"/>
                  <w:noWrap w:val="0"/>
                  <w:vAlign w:val="center"/>
                </w:tcPr>
                <w:p w14:paraId="70A2152C">
                  <w:pPr>
                    <w:pStyle w:val="28"/>
                    <w:wordWrap w:val="0"/>
                    <w:adjustRightInd w:val="0"/>
                    <w:snapToGrid w:val="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2792" w:type="dxa"/>
                  <w:noWrap w:val="0"/>
                  <w:vAlign w:val="center"/>
                </w:tcPr>
                <w:p w14:paraId="45B3B46E">
                  <w:pPr>
                    <w:wordWrap w:val="0"/>
                    <w:adjustRightInd w:val="0"/>
                    <w:snapToGrid w:val="0"/>
                    <w:spacing w:line="400" w:lineRule="exact"/>
                    <w:jc w:val="center"/>
                    <w:rPr>
                      <w:rFonts w:hint="eastAsia" w:ascii="宋体" w:hAnsi="宋体" w:eastAsia="宋体" w:cs="宋体"/>
                      <w:color w:val="auto"/>
                      <w:sz w:val="24"/>
                      <w:szCs w:val="24"/>
                      <w:highlight w:val="none"/>
                      <w:lang w:eastAsia="zh-CN"/>
                    </w:rPr>
                  </w:pPr>
                  <w:r>
                    <w:rPr>
                      <w:rFonts w:hint="eastAsia" w:hAnsi="宋体" w:cs="宋体"/>
                      <w:snapToGrid w:val="0"/>
                      <w:color w:val="auto"/>
                      <w:kern w:val="0"/>
                      <w:szCs w:val="24"/>
                      <w:highlight w:val="none"/>
                    </w:rPr>
                    <w:t>无</w:t>
                  </w:r>
                </w:p>
              </w:tc>
              <w:tc>
                <w:tcPr>
                  <w:tcW w:w="3606" w:type="dxa"/>
                  <w:noWrap w:val="0"/>
                  <w:vAlign w:val="center"/>
                </w:tcPr>
                <w:p w14:paraId="7EFC6096">
                  <w:pPr>
                    <w:wordWrap w:val="0"/>
                    <w:adjustRightInd w:val="0"/>
                    <w:snapToGrid w:val="0"/>
                    <w:spacing w:line="400" w:lineRule="exact"/>
                    <w:jc w:val="center"/>
                    <w:rPr>
                      <w:rFonts w:hint="eastAsia" w:ascii="宋体" w:hAnsi="宋体" w:eastAsia="宋体" w:cs="宋体"/>
                      <w:color w:val="auto"/>
                      <w:sz w:val="24"/>
                      <w:szCs w:val="24"/>
                      <w:highlight w:val="none"/>
                    </w:rPr>
                  </w:pPr>
                  <w:r>
                    <w:rPr>
                      <w:rFonts w:hint="eastAsia" w:hAnsi="宋体" w:cs="宋体"/>
                      <w:snapToGrid w:val="0"/>
                      <w:color w:val="auto"/>
                      <w:kern w:val="0"/>
                      <w:szCs w:val="24"/>
                      <w:highlight w:val="none"/>
                    </w:rPr>
                    <w:t>为本招标项目上一次招标的中标人，但无正当理由不签订合同，被招标人书面拒绝再次投标。</w:t>
                  </w:r>
                </w:p>
              </w:tc>
            </w:tr>
          </w:tbl>
          <w:p w14:paraId="47891AE4">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5．其他要求</w:t>
            </w:r>
          </w:p>
          <w:p w14:paraId="2366BE80">
            <w:pPr>
              <w:pStyle w:val="29"/>
              <w:snapToGrid w:val="0"/>
              <w:spacing w:line="360" w:lineRule="auto"/>
              <w:jc w:val="left"/>
              <w:rPr>
                <w:rFonts w:hint="eastAsia" w:ascii="宋体" w:hAnsi="宋体" w:eastAsia="宋体" w:cs="宋体"/>
                <w:color w:val="auto"/>
                <w:sz w:val="24"/>
                <w:szCs w:val="24"/>
                <w:highlight w:val="none"/>
              </w:rPr>
            </w:pPr>
            <w:r>
              <w:rPr>
                <w:rStyle w:val="22"/>
                <w:rFonts w:hint="eastAsia" w:ascii="宋体" w:hAnsi="宋体" w:eastAsia="宋体" w:cs="宋体"/>
                <w:color w:val="auto"/>
                <w:kern w:val="0"/>
                <w:sz w:val="24"/>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621B6A5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46" w:type="dxa"/>
            <w:tcBorders>
              <w:top w:val="single" w:color="000000" w:sz="4" w:space="0"/>
              <w:bottom w:val="single" w:color="000000" w:sz="4" w:space="0"/>
              <w:right w:val="single" w:color="000000" w:sz="4" w:space="0"/>
            </w:tcBorders>
            <w:noWrap w:val="0"/>
            <w:vAlign w:val="center"/>
          </w:tcPr>
          <w:p w14:paraId="5C1FF497">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22</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07C23D05">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投标保证</w:t>
            </w:r>
          </w:p>
        </w:tc>
        <w:tc>
          <w:tcPr>
            <w:tcW w:w="7370" w:type="dxa"/>
            <w:tcBorders>
              <w:top w:val="single" w:color="000000" w:sz="4" w:space="0"/>
              <w:left w:val="single" w:color="000000" w:sz="4" w:space="0"/>
              <w:bottom w:val="single" w:color="000000" w:sz="4" w:space="0"/>
            </w:tcBorders>
            <w:noWrap w:val="0"/>
            <w:vAlign w:val="center"/>
          </w:tcPr>
          <w:p w14:paraId="47958082">
            <w:pPr>
              <w:snapToGrid w:val="0"/>
              <w:jc w:val="left"/>
              <w:rPr>
                <w:rStyle w:val="22"/>
                <w:rFonts w:hint="eastAsia" w:ascii="宋体" w:hAnsi="宋体" w:eastAsia="宋体" w:cs="宋体"/>
                <w:strike/>
                <w:color w:val="auto"/>
                <w:kern w:val="0"/>
                <w:sz w:val="24"/>
                <w:szCs w:val="24"/>
                <w:highlight w:val="none"/>
              </w:rPr>
            </w:pPr>
            <w:r>
              <w:rPr>
                <w:rStyle w:val="22"/>
                <w:rFonts w:hint="eastAsia" w:ascii="宋体" w:hAnsi="宋体" w:eastAsia="宋体" w:cs="宋体"/>
                <w:color w:val="auto"/>
                <w:kern w:val="0"/>
                <w:sz w:val="24"/>
                <w:szCs w:val="24"/>
                <w:highlight w:val="none"/>
              </w:rPr>
              <w:t>1．投标人须缴纳金额为人民币</w:t>
            </w:r>
            <w:r>
              <w:rPr>
                <w:rFonts w:hint="eastAsia" w:hAnsi="宋体" w:cs="宋体"/>
                <w:snapToGrid w:val="0"/>
                <w:color w:val="auto"/>
                <w:kern w:val="0"/>
                <w:sz w:val="24"/>
                <w:szCs w:val="24"/>
                <w:highlight w:val="none"/>
                <w:u w:val="single"/>
                <w:lang w:val="en-US" w:eastAsia="zh-CN"/>
              </w:rPr>
              <w:t>伍</w:t>
            </w:r>
            <w:r>
              <w:rPr>
                <w:rFonts w:hint="eastAsia" w:ascii="宋体" w:hAnsi="宋体" w:eastAsia="宋体" w:cs="宋体"/>
                <w:snapToGrid w:val="0"/>
                <w:color w:val="auto"/>
                <w:kern w:val="0"/>
                <w:sz w:val="24"/>
                <w:szCs w:val="24"/>
                <w:highlight w:val="none"/>
                <w:u w:val="single"/>
                <w:lang w:val="en-US" w:eastAsia="zh-CN"/>
              </w:rPr>
              <w:t>万元整</w:t>
            </w:r>
            <w:r>
              <w:rPr>
                <w:rStyle w:val="22"/>
                <w:rFonts w:hint="eastAsia" w:ascii="宋体" w:hAnsi="宋体" w:eastAsia="宋体" w:cs="宋体"/>
                <w:color w:val="auto"/>
                <w:kern w:val="0"/>
                <w:sz w:val="24"/>
                <w:szCs w:val="24"/>
                <w:highlight w:val="none"/>
              </w:rPr>
              <w:t>的投标保证。</w:t>
            </w:r>
          </w:p>
          <w:p w14:paraId="0267F0BD">
            <w:pPr>
              <w:snapToGrid w:val="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2．投标保证的形式包括投标保证金、投标保证担保、投标保证保险三种，由投标人自主选择。</w:t>
            </w:r>
          </w:p>
          <w:p w14:paraId="2D943D43">
            <w:pPr>
              <w:snapToGrid w:val="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（1）采用投标保证金的，投标人在交易平台</w:t>
            </w:r>
            <w:r>
              <w:rPr>
                <w:rFonts w:hint="eastAsia" w:ascii="宋体" w:hAnsi="宋体" w:eastAsia="宋体" w:cs="宋体"/>
                <w:snapToGrid w:val="0"/>
                <w:color w:val="auto"/>
                <w:kern w:val="0"/>
                <w:sz w:val="24"/>
                <w:szCs w:val="24"/>
                <w:highlight w:val="none"/>
              </w:rPr>
              <w:t>获取招标文件</w:t>
            </w:r>
            <w:r>
              <w:rPr>
                <w:rStyle w:val="22"/>
                <w:rFonts w:hint="eastAsia" w:ascii="宋体" w:hAnsi="宋体" w:eastAsia="宋体" w:cs="宋体"/>
                <w:color w:val="auto"/>
                <w:kern w:val="0"/>
                <w:sz w:val="24"/>
                <w:szCs w:val="24"/>
                <w:highlight w:val="none"/>
              </w:rPr>
              <w:t xml:space="preserve">完毕后，即可在系统申请缴纳投标保证金，获取本次招标投标保证金缴纳账号。投标人须于投标保证金到账截止时间（见本章第二节“重要事项时间地点一览表”）前，从其基本账户将投标保证金转账到指定的缴纳账号。逾期到账的、从非投标人基本账户转出的，其投标无效。 </w:t>
            </w:r>
          </w:p>
          <w:p w14:paraId="5A42042D">
            <w:pPr>
              <w:widowControl w:val="0"/>
              <w:wordWrap w:val="0"/>
              <w:adjustRightInd w:val="0"/>
              <w:snapToGrid w:val="0"/>
              <w:textAlignment w:val="auto"/>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w:t>
            </w:r>
            <w:r>
              <w:rPr>
                <w:rStyle w:val="22"/>
                <w:rFonts w:hint="eastAsia" w:hAnsi="宋体"/>
                <w:color w:val="auto"/>
                <w:kern w:val="0"/>
                <w:sz w:val="24"/>
                <w:szCs w:val="24"/>
                <w:highlight w:val="none"/>
              </w:rPr>
              <w:t>采用投标保证担保的，投标人应提交有效的电子保函</w:t>
            </w:r>
            <w:r>
              <w:rPr>
                <w:rStyle w:val="22"/>
                <w:rFonts w:hint="eastAsia" w:ascii="Times New Roman" w:hAnsi="宋体" w:cs="Times New Roman"/>
                <w:color w:val="auto"/>
                <w:kern w:val="0"/>
                <w:sz w:val="24"/>
                <w:szCs w:val="24"/>
                <w:highlight w:val="none"/>
              </w:rPr>
              <w:t>或保证保险</w:t>
            </w:r>
            <w:r>
              <w:rPr>
                <w:rStyle w:val="22"/>
                <w:rFonts w:hint="eastAsia" w:hAnsi="宋体"/>
                <w:color w:val="auto"/>
                <w:kern w:val="0"/>
                <w:sz w:val="24"/>
                <w:szCs w:val="24"/>
                <w:highlight w:val="none"/>
              </w:rPr>
              <w:t>，电子保函</w:t>
            </w:r>
            <w:r>
              <w:rPr>
                <w:rStyle w:val="22"/>
                <w:rFonts w:hint="eastAsia" w:ascii="Times New Roman" w:hAnsi="宋体" w:cs="Times New Roman"/>
                <w:color w:val="auto"/>
                <w:kern w:val="0"/>
                <w:sz w:val="24"/>
                <w:szCs w:val="24"/>
                <w:highlight w:val="none"/>
              </w:rPr>
              <w:t>或保证保险</w:t>
            </w:r>
            <w:r>
              <w:rPr>
                <w:rStyle w:val="22"/>
                <w:rFonts w:hint="eastAsia" w:hAnsi="宋体"/>
                <w:color w:val="auto"/>
                <w:kern w:val="0"/>
                <w:sz w:val="24"/>
                <w:szCs w:val="24"/>
                <w:highlight w:val="none"/>
              </w:rPr>
              <w:t>的有效期不得短于投标有效期。投标人必须在投标保证担保截止时间（见本章第二节“重要事项时间地点一览表”）前，使用工程建设交易系统完成网上办理电子保函</w:t>
            </w:r>
            <w:r>
              <w:rPr>
                <w:rStyle w:val="22"/>
                <w:rFonts w:hint="eastAsia" w:ascii="Times New Roman" w:hAnsi="宋体" w:cs="Times New Roman"/>
                <w:color w:val="auto"/>
                <w:kern w:val="0"/>
                <w:sz w:val="24"/>
                <w:szCs w:val="24"/>
                <w:highlight w:val="none"/>
              </w:rPr>
              <w:t>或保证保险</w:t>
            </w:r>
            <w:r>
              <w:rPr>
                <w:rStyle w:val="22"/>
                <w:rFonts w:hint="eastAsia" w:hAnsi="宋体"/>
                <w:color w:val="auto"/>
                <w:kern w:val="0"/>
                <w:sz w:val="24"/>
                <w:szCs w:val="24"/>
                <w:highlight w:val="none"/>
              </w:rPr>
              <w:t>。</w:t>
            </w:r>
          </w:p>
          <w:p w14:paraId="20DD238E">
            <w:pPr>
              <w:snapToGrid w:val="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3）采用投标保证保险的，投标人须在投标保证保险投保截止时间（见本章第二节“重要事项时间地点一览表”）前，使用交易平台完成网上投保。投标人可在系统选择保险机构、录入投保信息、支付保费、打印电子保单，电子保单的有效期不得短于投标有效期。</w:t>
            </w:r>
            <w:r>
              <w:rPr>
                <w:rStyle w:val="22"/>
                <w:rFonts w:hint="eastAsia" w:ascii="宋体" w:hAnsi="宋体" w:eastAsia="宋体" w:cs="宋体"/>
                <w:color w:val="auto"/>
                <w:sz w:val="24"/>
                <w:szCs w:val="24"/>
                <w:highlight w:val="none"/>
              </w:rPr>
              <w:t>投标人可登录</w:t>
            </w:r>
            <w:r>
              <w:rPr>
                <w:rStyle w:val="22"/>
                <w:rFonts w:hint="eastAsia" w:ascii="宋体" w:hAnsi="宋体" w:eastAsia="宋体" w:cs="宋体"/>
                <w:color w:val="auto"/>
                <w:kern w:val="0"/>
                <w:sz w:val="24"/>
                <w:szCs w:val="24"/>
                <w:highlight w:val="none"/>
              </w:rPr>
              <w:t>全国公共资源交易平台（广东省·韶关市）（https://ygp.gdzwfw.gov.cn/ggzy-portal/#/440200/index），在【</w:t>
            </w:r>
            <w:r>
              <w:rPr>
                <w:rStyle w:val="22"/>
                <w:rFonts w:hint="eastAsia" w:hAnsi="宋体" w:eastAsia="宋体" w:cs="宋体"/>
                <w:color w:val="auto"/>
                <w:kern w:val="0"/>
                <w:sz w:val="24"/>
                <w:szCs w:val="24"/>
                <w:highlight w:val="none"/>
                <w:lang w:eastAsia="zh-CN"/>
              </w:rPr>
              <w:t>服务指南</w:t>
            </w:r>
            <w:r>
              <w:rPr>
                <w:rStyle w:val="22"/>
                <w:rFonts w:hint="eastAsia" w:ascii="宋体" w:hAnsi="宋体" w:eastAsia="宋体" w:cs="宋体"/>
                <w:color w:val="auto"/>
                <w:kern w:val="0"/>
                <w:sz w:val="24"/>
                <w:szCs w:val="24"/>
                <w:highlight w:val="none"/>
              </w:rPr>
              <w:t>】栏目中下载《建设工程网上交易系统保险保证金缴纳操作指南》，了解网上投保具体操作流程。逾期投保的，其投标无效。</w:t>
            </w:r>
          </w:p>
          <w:p w14:paraId="121D4331">
            <w:pPr>
              <w:snapToGrid w:val="0"/>
              <w:ind w:firstLine="240" w:firstLineChars="10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温馨提醒：投标人采用投标保证担保或投标保证保险的，为避免在评标过程中因有效期发生争议，建议投标人将银行保函</w:t>
            </w:r>
            <w:r>
              <w:rPr>
                <w:rFonts w:hint="eastAsia" w:ascii="宋体" w:hAnsi="宋体" w:eastAsia="宋体" w:cs="宋体"/>
                <w:color w:val="auto"/>
                <w:sz w:val="24"/>
                <w:szCs w:val="24"/>
                <w:highlight w:val="none"/>
              </w:rPr>
              <w:t>电子保函</w:t>
            </w:r>
            <w:r>
              <w:rPr>
                <w:rStyle w:val="22"/>
                <w:rFonts w:hint="eastAsia" w:ascii="宋体" w:hAnsi="宋体" w:eastAsia="宋体" w:cs="宋体"/>
                <w:color w:val="auto"/>
                <w:kern w:val="0"/>
                <w:sz w:val="24"/>
                <w:szCs w:val="24"/>
                <w:highlight w:val="none"/>
              </w:rPr>
              <w:t>或电子保单有效期设置为较招标文件规定的投标有效期延长不少于20个日历天。</w:t>
            </w:r>
          </w:p>
        </w:tc>
      </w:tr>
      <w:tr w14:paraId="77A1778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14:paraId="4E30DEA8">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23</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7188D20B">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投标有效期</w:t>
            </w:r>
          </w:p>
        </w:tc>
        <w:tc>
          <w:tcPr>
            <w:tcW w:w="7370" w:type="dxa"/>
            <w:tcBorders>
              <w:top w:val="single" w:color="000000" w:sz="4" w:space="0"/>
              <w:left w:val="single" w:color="000000" w:sz="4" w:space="0"/>
              <w:bottom w:val="single" w:color="000000" w:sz="4" w:space="0"/>
            </w:tcBorders>
            <w:noWrap w:val="0"/>
            <w:vAlign w:val="center"/>
          </w:tcPr>
          <w:p w14:paraId="6639AD62">
            <w:pPr>
              <w:snapToGrid w:val="0"/>
              <w:spacing w:line="360" w:lineRule="exact"/>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本次招标的投标有效期为</w:t>
            </w:r>
            <w:r>
              <w:rPr>
                <w:rStyle w:val="22"/>
                <w:rFonts w:hint="eastAsia" w:ascii="宋体" w:hAnsi="宋体" w:eastAsia="宋体" w:cs="宋体"/>
                <w:color w:val="auto"/>
                <w:kern w:val="0"/>
                <w:sz w:val="24"/>
                <w:szCs w:val="24"/>
                <w:highlight w:val="none"/>
                <w:u w:val="single"/>
              </w:rPr>
              <w:t>90</w:t>
            </w:r>
            <w:r>
              <w:rPr>
                <w:rStyle w:val="22"/>
                <w:rFonts w:hint="eastAsia" w:ascii="宋体" w:hAnsi="宋体" w:eastAsia="宋体" w:cs="宋体"/>
                <w:color w:val="auto"/>
                <w:kern w:val="0"/>
                <w:sz w:val="24"/>
                <w:szCs w:val="24"/>
                <w:highlight w:val="none"/>
              </w:rPr>
              <w:t>个日历天。</w:t>
            </w:r>
          </w:p>
        </w:tc>
      </w:tr>
      <w:tr w14:paraId="2918521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14:paraId="447A8CAA">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24</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11AA5EA6">
            <w:pPr>
              <w:widowControl w:val="0"/>
              <w:wordWrap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w:t>
            </w:r>
          </w:p>
          <w:p w14:paraId="77528847">
            <w:pPr>
              <w:widowControl w:val="0"/>
              <w:wordWrap w:val="0"/>
              <w:adjustRightInd w:val="0"/>
              <w:snapToGrid w:val="0"/>
              <w:spacing w:line="360" w:lineRule="exact"/>
              <w:jc w:val="center"/>
              <w:textAlignment w:val="auto"/>
              <w:rPr>
                <w:rStyle w:val="22"/>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组成及份数</w:t>
            </w:r>
          </w:p>
        </w:tc>
        <w:tc>
          <w:tcPr>
            <w:tcW w:w="7370" w:type="dxa"/>
            <w:tcBorders>
              <w:top w:val="single" w:color="000000" w:sz="4" w:space="0"/>
              <w:left w:val="single" w:color="000000" w:sz="4" w:space="0"/>
              <w:bottom w:val="single" w:color="000000" w:sz="4" w:space="0"/>
            </w:tcBorders>
            <w:noWrap w:val="0"/>
            <w:vAlign w:val="center"/>
          </w:tcPr>
          <w:p w14:paraId="446E061F">
            <w:pPr>
              <w:widowControl w:val="0"/>
              <w:wordWrap w:val="0"/>
              <w:adjustRightInd w:val="0"/>
              <w:snapToGrid w:val="0"/>
              <w:spacing w:line="400" w:lineRule="exact"/>
              <w:textAlignment w:val="auto"/>
              <w:rPr>
                <w:rStyle w:val="22"/>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投标文件包括商务标书、经济标书、施工组织设计三个分册。</w:t>
            </w:r>
          </w:p>
        </w:tc>
      </w:tr>
      <w:tr w14:paraId="5CD805A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14:paraId="255BD9E2">
            <w:pPr>
              <w:snapToGrid w:val="0"/>
              <w:spacing w:line="360" w:lineRule="exact"/>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25</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0FA06FEE">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施工组织设计</w:t>
            </w:r>
          </w:p>
          <w:p w14:paraId="1314AFA1">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评审方式</w:t>
            </w:r>
          </w:p>
        </w:tc>
        <w:tc>
          <w:tcPr>
            <w:tcW w:w="7370" w:type="dxa"/>
            <w:tcBorders>
              <w:top w:val="single" w:color="000000" w:sz="4" w:space="0"/>
              <w:left w:val="single" w:color="000000" w:sz="4" w:space="0"/>
              <w:bottom w:val="single" w:color="000000" w:sz="4" w:space="0"/>
            </w:tcBorders>
            <w:noWrap w:val="0"/>
            <w:vAlign w:val="center"/>
          </w:tcPr>
          <w:p w14:paraId="4581F736">
            <w:pPr>
              <w:snapToGrid w:val="0"/>
              <w:spacing w:line="360" w:lineRule="exact"/>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本次招标施工组织设计</w:t>
            </w:r>
            <w:r>
              <w:rPr>
                <w:rStyle w:val="22"/>
                <w:rFonts w:hint="eastAsia" w:ascii="宋体" w:hAnsi="宋体" w:eastAsia="宋体" w:cs="宋体"/>
                <w:color w:val="auto"/>
                <w:kern w:val="0"/>
                <w:sz w:val="24"/>
                <w:szCs w:val="24"/>
                <w:highlight w:val="none"/>
                <w:u w:val="single"/>
              </w:rPr>
              <w:t xml:space="preserve"> 不采用 </w:t>
            </w:r>
            <w:r>
              <w:rPr>
                <w:rStyle w:val="22"/>
                <w:rFonts w:hint="eastAsia" w:ascii="宋体" w:hAnsi="宋体" w:eastAsia="宋体" w:cs="宋体"/>
                <w:color w:val="auto"/>
                <w:kern w:val="0"/>
                <w:sz w:val="24"/>
                <w:szCs w:val="24"/>
                <w:highlight w:val="none"/>
              </w:rPr>
              <w:t>“暗标”方式进行评审。</w:t>
            </w:r>
          </w:p>
        </w:tc>
      </w:tr>
      <w:tr w14:paraId="181AFC5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14:paraId="3D6E7BA5">
            <w:pPr>
              <w:snapToGrid w:val="0"/>
              <w:spacing w:line="360" w:lineRule="exact"/>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26</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1A41DE8E">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评标委员会</w:t>
            </w:r>
          </w:p>
        </w:tc>
        <w:tc>
          <w:tcPr>
            <w:tcW w:w="7370" w:type="dxa"/>
            <w:tcBorders>
              <w:top w:val="single" w:color="000000" w:sz="4" w:space="0"/>
              <w:left w:val="single" w:color="000000" w:sz="4" w:space="0"/>
              <w:bottom w:val="single" w:color="000000" w:sz="4" w:space="0"/>
            </w:tcBorders>
            <w:noWrap w:val="0"/>
            <w:vAlign w:val="center"/>
          </w:tcPr>
          <w:p w14:paraId="1DF9186C">
            <w:pPr>
              <w:snapToGrid w:val="0"/>
              <w:spacing w:line="360" w:lineRule="exact"/>
              <w:jc w:val="left"/>
              <w:rPr>
                <w:rStyle w:val="22"/>
                <w:rFonts w:hint="eastAsia" w:ascii="宋体" w:hAnsi="宋体" w:eastAsia="宋体" w:cs="宋体"/>
                <w:color w:val="auto"/>
                <w:kern w:val="0"/>
                <w:sz w:val="24"/>
                <w:szCs w:val="24"/>
                <w:highlight w:val="none"/>
                <w:lang w:eastAsia="zh-CN"/>
              </w:rPr>
            </w:pPr>
            <w:r>
              <w:rPr>
                <w:rStyle w:val="22"/>
                <w:rFonts w:hint="eastAsia" w:ascii="宋体" w:hAnsi="宋体" w:eastAsia="宋体" w:cs="宋体"/>
                <w:color w:val="auto"/>
                <w:kern w:val="0"/>
                <w:sz w:val="24"/>
                <w:szCs w:val="24"/>
                <w:highlight w:val="none"/>
              </w:rPr>
              <w:t>评标委员会由</w:t>
            </w:r>
            <w:r>
              <w:rPr>
                <w:rStyle w:val="22"/>
                <w:rFonts w:hint="eastAsia" w:ascii="宋体" w:hAnsi="宋体" w:eastAsia="宋体" w:cs="宋体"/>
                <w:color w:val="auto"/>
                <w:kern w:val="0"/>
                <w:sz w:val="24"/>
                <w:szCs w:val="24"/>
                <w:highlight w:val="none"/>
                <w:u w:val="single"/>
              </w:rPr>
              <w:t>5</w:t>
            </w:r>
            <w:r>
              <w:rPr>
                <w:rStyle w:val="22"/>
                <w:rFonts w:hint="eastAsia" w:ascii="宋体" w:hAnsi="宋体" w:eastAsia="宋体" w:cs="宋体"/>
                <w:color w:val="auto"/>
                <w:kern w:val="0"/>
                <w:sz w:val="24"/>
                <w:szCs w:val="24"/>
                <w:highlight w:val="none"/>
              </w:rPr>
              <w:t>人组成，其中招标人代表</w:t>
            </w:r>
            <w:r>
              <w:rPr>
                <w:rStyle w:val="22"/>
                <w:rFonts w:hint="eastAsia" w:ascii="宋体" w:hAnsi="宋体" w:eastAsia="宋体" w:cs="宋体"/>
                <w:color w:val="auto"/>
                <w:kern w:val="0"/>
                <w:sz w:val="24"/>
                <w:szCs w:val="24"/>
                <w:highlight w:val="none"/>
                <w:u w:val="single"/>
              </w:rPr>
              <w:t>0</w:t>
            </w:r>
            <w:r>
              <w:rPr>
                <w:rStyle w:val="22"/>
                <w:rFonts w:hint="eastAsia" w:ascii="宋体" w:hAnsi="宋体" w:eastAsia="宋体" w:cs="宋体"/>
                <w:color w:val="auto"/>
                <w:kern w:val="0"/>
                <w:sz w:val="24"/>
                <w:szCs w:val="24"/>
                <w:highlight w:val="none"/>
              </w:rPr>
              <w:t>人，专家</w:t>
            </w:r>
            <w:r>
              <w:rPr>
                <w:rStyle w:val="22"/>
                <w:rFonts w:hint="eastAsia" w:ascii="宋体" w:hAnsi="宋体" w:eastAsia="宋体" w:cs="宋体"/>
                <w:color w:val="auto"/>
                <w:kern w:val="0"/>
                <w:sz w:val="24"/>
                <w:szCs w:val="24"/>
                <w:highlight w:val="none"/>
                <w:u w:val="single"/>
              </w:rPr>
              <w:t>5</w:t>
            </w:r>
            <w:r>
              <w:rPr>
                <w:rStyle w:val="22"/>
                <w:rFonts w:hint="eastAsia" w:ascii="宋体" w:hAnsi="宋体" w:eastAsia="宋体" w:cs="宋体"/>
                <w:color w:val="auto"/>
                <w:kern w:val="0"/>
                <w:sz w:val="24"/>
                <w:szCs w:val="24"/>
                <w:highlight w:val="none"/>
              </w:rPr>
              <w:t>人。</w:t>
            </w:r>
            <w:r>
              <w:rPr>
                <w:rStyle w:val="22"/>
                <w:rFonts w:hint="eastAsia" w:ascii="宋体" w:hAnsi="宋体" w:eastAsia="宋体" w:cs="宋体"/>
                <w:color w:val="auto"/>
                <w:kern w:val="0"/>
                <w:sz w:val="24"/>
                <w:szCs w:val="24"/>
                <w:highlight w:val="none"/>
                <w:lang w:eastAsia="zh-CN"/>
              </w:rPr>
              <w:t xml:space="preserve">专家从广东省综合评标评审专家库中随机抽取，其中技术类专家 </w:t>
            </w:r>
            <w:r>
              <w:rPr>
                <w:rStyle w:val="22"/>
                <w:rFonts w:hint="eastAsia" w:ascii="宋体" w:hAnsi="宋体" w:eastAsia="宋体" w:cs="宋体"/>
                <w:color w:val="auto"/>
                <w:kern w:val="0"/>
                <w:sz w:val="24"/>
                <w:szCs w:val="24"/>
                <w:highlight w:val="none"/>
                <w:lang w:val="en-US" w:eastAsia="zh-CN"/>
              </w:rPr>
              <w:t>2</w:t>
            </w:r>
            <w:r>
              <w:rPr>
                <w:rStyle w:val="22"/>
                <w:rFonts w:hint="eastAsia" w:ascii="宋体" w:hAnsi="宋体" w:eastAsia="宋体" w:cs="宋体"/>
                <w:color w:val="auto"/>
                <w:kern w:val="0"/>
                <w:sz w:val="24"/>
                <w:szCs w:val="24"/>
                <w:highlight w:val="none"/>
                <w:lang w:eastAsia="zh-CN"/>
              </w:rPr>
              <w:t xml:space="preserve"> 人，经济类专家 2 人。</w:t>
            </w:r>
          </w:p>
          <w:p w14:paraId="1E92CA59">
            <w:pPr>
              <w:snapToGrid w:val="0"/>
              <w:spacing w:line="360" w:lineRule="exact"/>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lang w:val="en-US" w:eastAsia="zh-CN"/>
              </w:rPr>
              <w:t>根据《广东省远程异地评标招标项目范围规定（试行）》，本项目需抽取省内异地评委远程参与评标。</w:t>
            </w:r>
          </w:p>
        </w:tc>
      </w:tr>
      <w:tr w14:paraId="7005564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14:paraId="62AB6196">
            <w:pPr>
              <w:snapToGrid w:val="0"/>
              <w:spacing w:line="360" w:lineRule="exact"/>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27</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7A073AC7">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评标方法</w:t>
            </w:r>
          </w:p>
        </w:tc>
        <w:tc>
          <w:tcPr>
            <w:tcW w:w="7370" w:type="dxa"/>
            <w:tcBorders>
              <w:top w:val="single" w:color="000000" w:sz="4" w:space="0"/>
              <w:left w:val="single" w:color="000000" w:sz="4" w:space="0"/>
              <w:bottom w:val="single" w:color="000000" w:sz="4" w:space="0"/>
            </w:tcBorders>
            <w:noWrap w:val="0"/>
            <w:vAlign w:val="center"/>
          </w:tcPr>
          <w:p w14:paraId="3E0D80B7">
            <w:pPr>
              <w:snapToGrid w:val="0"/>
              <w:spacing w:line="360" w:lineRule="exact"/>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综合评估法</w:t>
            </w:r>
          </w:p>
        </w:tc>
      </w:tr>
      <w:tr w14:paraId="042AEC0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46" w:type="dxa"/>
            <w:tcBorders>
              <w:top w:val="single" w:color="000000" w:sz="4" w:space="0"/>
              <w:bottom w:val="single" w:color="000000" w:sz="4" w:space="0"/>
              <w:right w:val="single" w:color="000000" w:sz="4" w:space="0"/>
            </w:tcBorders>
            <w:noWrap w:val="0"/>
            <w:vAlign w:val="center"/>
          </w:tcPr>
          <w:p w14:paraId="1D4B7D2B">
            <w:pPr>
              <w:snapToGrid w:val="0"/>
              <w:spacing w:line="240" w:lineRule="auto"/>
              <w:ind w:firstLine="240" w:firstLineChars="100"/>
              <w:jc w:val="left"/>
              <w:rPr>
                <w:rStyle w:val="22"/>
                <w:rFonts w:hint="eastAsia" w:ascii="宋体" w:hAnsi="宋体" w:eastAsia="宋体" w:cs="宋体"/>
                <w:strike/>
                <w:dstrike w:val="0"/>
                <w:color w:val="auto"/>
                <w:kern w:val="0"/>
                <w:sz w:val="24"/>
                <w:szCs w:val="24"/>
                <w:highlight w:val="none"/>
              </w:rPr>
            </w:pPr>
            <w:r>
              <w:rPr>
                <w:rFonts w:hint="eastAsia" w:ascii="宋体" w:hAnsi="宋体" w:eastAsia="宋体" w:cs="宋体"/>
                <w:color w:val="auto"/>
                <w:kern w:val="0"/>
                <w:sz w:val="24"/>
                <w:szCs w:val="24"/>
                <w:highlight w:val="none"/>
              </w:rPr>
              <w:t>28</w:t>
            </w:r>
          </w:p>
        </w:tc>
        <w:tc>
          <w:tcPr>
            <w:tcW w:w="1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D2C7E">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定</w:t>
            </w:r>
            <w:r>
              <w:rPr>
                <w:rFonts w:hint="eastAsia" w:ascii="宋体" w:hAnsi="宋体" w:eastAsia="宋体" w:cs="宋体"/>
                <w:color w:val="auto"/>
                <w:sz w:val="24"/>
                <w:szCs w:val="24"/>
                <w:highlight w:val="none"/>
              </w:rPr>
              <w:t>标委员会</w:t>
            </w:r>
          </w:p>
        </w:tc>
        <w:tc>
          <w:tcPr>
            <w:tcW w:w="7370" w:type="dxa"/>
            <w:tcBorders>
              <w:top w:val="single" w:color="000000" w:sz="4" w:space="0"/>
              <w:left w:val="single" w:color="000000" w:sz="4" w:space="0"/>
              <w:bottom w:val="single" w:color="000000" w:sz="4" w:space="0"/>
            </w:tcBorders>
            <w:shd w:val="clear" w:color="auto" w:fill="auto"/>
            <w:noWrap w:val="0"/>
            <w:vAlign w:val="center"/>
          </w:tcPr>
          <w:p w14:paraId="799ADA50">
            <w:pPr>
              <w:adjustRightInd w:val="0"/>
              <w:snapToGrid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u w:val="none"/>
                <w:lang w:val="en-US" w:eastAsia="zh-CN"/>
              </w:rPr>
              <w:t>本</w:t>
            </w:r>
            <w:r>
              <w:rPr>
                <w:rFonts w:hint="eastAsia" w:ascii="宋体" w:hAnsi="宋体" w:eastAsia="宋体" w:cs="宋体"/>
                <w:color w:val="auto"/>
                <w:sz w:val="24"/>
                <w:szCs w:val="24"/>
                <w:highlight w:val="none"/>
                <w:u w:val="none"/>
                <w:lang w:eastAsia="zh-CN"/>
              </w:rPr>
              <w:t>项目</w:t>
            </w:r>
            <w:r>
              <w:rPr>
                <w:rStyle w:val="22"/>
                <w:rFonts w:hint="eastAsia" w:ascii="宋体" w:hAnsi="宋体" w:eastAsia="宋体" w:cs="宋体"/>
                <w:color w:val="auto"/>
                <w:kern w:val="0"/>
                <w:sz w:val="24"/>
                <w:szCs w:val="24"/>
                <w:highlight w:val="none"/>
              </w:rPr>
              <w:t>定标</w:t>
            </w:r>
            <w:r>
              <w:rPr>
                <w:rFonts w:hint="eastAsia" w:ascii="宋体" w:hAnsi="宋体" w:eastAsia="宋体" w:cs="宋体"/>
                <w:color w:val="auto"/>
                <w:sz w:val="24"/>
                <w:szCs w:val="24"/>
                <w:highlight w:val="none"/>
                <w:u w:val="none"/>
              </w:rPr>
              <w:t>委员会</w:t>
            </w:r>
            <w:r>
              <w:rPr>
                <w:rFonts w:hint="eastAsia" w:ascii="宋体" w:hAnsi="宋体" w:eastAsia="宋体" w:cs="宋体"/>
                <w:color w:val="auto"/>
                <w:sz w:val="24"/>
                <w:szCs w:val="24"/>
                <w:highlight w:val="none"/>
                <w:u w:val="none"/>
                <w:lang w:eastAsia="zh-CN"/>
              </w:rPr>
              <w:t>组成人</w:t>
            </w:r>
            <w:r>
              <w:rPr>
                <w:rFonts w:hint="eastAsia" w:ascii="宋体" w:hAnsi="宋体" w:eastAsia="宋体" w:cs="宋体"/>
                <w:color w:val="auto"/>
                <w:sz w:val="24"/>
                <w:szCs w:val="24"/>
                <w:highlight w:val="none"/>
                <w:u w:val="none"/>
              </w:rPr>
              <w:t>员为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7 </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u w:val="none"/>
                <w:lang w:eastAsia="zh-CN"/>
              </w:rPr>
              <w:t>。</w:t>
            </w:r>
          </w:p>
        </w:tc>
      </w:tr>
      <w:tr w14:paraId="18A57C5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973" w:hRule="atLeast"/>
          <w:jc w:val="center"/>
        </w:trPr>
        <w:tc>
          <w:tcPr>
            <w:tcW w:w="646" w:type="dxa"/>
            <w:tcBorders>
              <w:top w:val="single" w:color="000000" w:sz="4" w:space="0"/>
              <w:bottom w:val="single" w:color="000000" w:sz="4" w:space="0"/>
              <w:right w:val="single" w:color="000000" w:sz="4" w:space="0"/>
            </w:tcBorders>
            <w:shd w:val="clear" w:color="auto" w:fill="auto"/>
            <w:noWrap w:val="0"/>
            <w:vAlign w:val="center"/>
          </w:tcPr>
          <w:p w14:paraId="0C72A93E">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hAnsi="宋体" w:cs="宋体"/>
                <w:color w:val="auto"/>
                <w:kern w:val="0"/>
                <w:sz w:val="24"/>
                <w:szCs w:val="24"/>
                <w:highlight w:val="none"/>
                <w:lang w:val="en-US" w:eastAsia="zh-CN"/>
              </w:rPr>
              <w:t>29</w:t>
            </w:r>
          </w:p>
        </w:tc>
        <w:tc>
          <w:tcPr>
            <w:tcW w:w="1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3A64C">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定标办法</w:t>
            </w:r>
          </w:p>
        </w:tc>
        <w:tc>
          <w:tcPr>
            <w:tcW w:w="7370" w:type="dxa"/>
            <w:tcBorders>
              <w:top w:val="single" w:color="000000" w:sz="4" w:space="0"/>
              <w:left w:val="single" w:color="000000" w:sz="4" w:space="0"/>
              <w:bottom w:val="single" w:color="000000" w:sz="4" w:space="0"/>
            </w:tcBorders>
            <w:shd w:val="clear" w:color="auto" w:fill="auto"/>
            <w:noWrap w:val="0"/>
            <w:vAlign w:val="center"/>
          </w:tcPr>
          <w:p w14:paraId="2EE96ACF">
            <w:pPr>
              <w:adjustRightInd w:val="0"/>
              <w:snapToGrid w:val="0"/>
              <w:jc w:val="left"/>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采用</w:t>
            </w:r>
            <w:r>
              <w:rPr>
                <w:rFonts w:hint="eastAsia" w:ascii="宋体" w:hAnsi="宋体" w:eastAsia="宋体" w:cs="宋体"/>
                <w:b/>
                <w:bCs w:val="0"/>
                <w:snapToGrid w:val="0"/>
                <w:color w:val="auto"/>
                <w:kern w:val="0"/>
                <w:sz w:val="24"/>
                <w:szCs w:val="24"/>
                <w:highlight w:val="none"/>
                <w:lang w:val="en-US" w:eastAsia="zh-CN"/>
              </w:rPr>
              <w:t>评定分离</w:t>
            </w:r>
            <w:r>
              <w:rPr>
                <w:rFonts w:hint="eastAsia" w:ascii="宋体" w:hAnsi="宋体" w:eastAsia="宋体" w:cs="宋体"/>
                <w:bCs/>
                <w:snapToGrid w:val="0"/>
                <w:color w:val="auto"/>
                <w:kern w:val="0"/>
                <w:sz w:val="24"/>
                <w:szCs w:val="24"/>
                <w:highlight w:val="none"/>
                <w:lang w:val="en-US" w:eastAsia="zh-CN"/>
              </w:rPr>
              <w:t>的项目，应选定下列定标办法：</w:t>
            </w:r>
          </w:p>
          <w:p w14:paraId="42580FEE">
            <w:pPr>
              <w:adjustRightInd w:val="0"/>
              <w:snapToGrid w:val="0"/>
              <w:jc w:val="left"/>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☑票决数量法</w:t>
            </w:r>
          </w:p>
          <w:p w14:paraId="21009A6D">
            <w:pPr>
              <w:adjustRightInd w:val="0"/>
              <w:snapToGrid w:val="0"/>
              <w:jc w:val="left"/>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□票决计分法</w:t>
            </w:r>
          </w:p>
          <w:p w14:paraId="11BA739E">
            <w:pPr>
              <w:adjustRightInd w:val="0"/>
              <w:snapToGrid w:val="0"/>
              <w:jc w:val="left"/>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□集体议事法</w:t>
            </w:r>
          </w:p>
          <w:p w14:paraId="1A172C95">
            <w:pPr>
              <w:adjustRightInd w:val="0"/>
              <w:snapToGrid w:val="0"/>
              <w:jc w:val="left"/>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rPr>
              <w:t>□其他方法：</w:t>
            </w:r>
          </w:p>
        </w:tc>
      </w:tr>
      <w:tr w14:paraId="38D4394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985" w:hRule="atLeast"/>
          <w:jc w:val="center"/>
        </w:trPr>
        <w:tc>
          <w:tcPr>
            <w:tcW w:w="646" w:type="dxa"/>
            <w:tcBorders>
              <w:top w:val="single" w:color="000000" w:sz="4" w:space="0"/>
              <w:bottom w:val="single" w:color="000000" w:sz="4" w:space="0"/>
              <w:right w:val="single" w:color="000000" w:sz="4" w:space="0"/>
            </w:tcBorders>
            <w:shd w:val="clear" w:color="auto" w:fill="auto"/>
            <w:noWrap w:val="0"/>
            <w:vAlign w:val="center"/>
          </w:tcPr>
          <w:p w14:paraId="306D971E">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3</w:t>
            </w:r>
            <w:r>
              <w:rPr>
                <w:rStyle w:val="22"/>
                <w:rFonts w:hint="eastAsia" w:hAnsi="宋体" w:cs="宋体"/>
                <w:color w:val="auto"/>
                <w:kern w:val="0"/>
                <w:sz w:val="24"/>
                <w:szCs w:val="24"/>
                <w:highlight w:val="none"/>
                <w:lang w:val="en-US" w:eastAsia="zh-CN"/>
              </w:rPr>
              <w:t>0</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3D411C78">
            <w:pPr>
              <w:snapToGrid w:val="0"/>
              <w:spacing w:before="120" w:beforeLines="50" w:line="440" w:lineRule="exact"/>
              <w:jc w:val="center"/>
              <w:rPr>
                <w:rStyle w:val="22"/>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招标代理服务费</w:t>
            </w:r>
          </w:p>
        </w:tc>
        <w:tc>
          <w:tcPr>
            <w:tcW w:w="7370" w:type="dxa"/>
            <w:tcBorders>
              <w:top w:val="single" w:color="000000" w:sz="4" w:space="0"/>
              <w:left w:val="single" w:color="000000" w:sz="4" w:space="0"/>
              <w:bottom w:val="single" w:color="000000" w:sz="4" w:space="0"/>
            </w:tcBorders>
            <w:noWrap w:val="0"/>
            <w:vAlign w:val="center"/>
          </w:tcPr>
          <w:p w14:paraId="4EFC2727">
            <w:pPr>
              <w:adjustRightInd w:val="0"/>
              <w:snapToGrid w:val="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本项目施工招标代理服务费</w:t>
            </w:r>
            <w:r>
              <w:rPr>
                <w:rFonts w:hint="eastAsia" w:hAnsi="宋体" w:cs="宋体"/>
                <w:snapToGrid w:val="0"/>
                <w:color w:val="auto"/>
                <w:kern w:val="0"/>
                <w:sz w:val="24"/>
                <w:szCs w:val="24"/>
                <w:highlight w:val="none"/>
                <w:lang w:val="en-US" w:eastAsia="zh-CN"/>
              </w:rPr>
              <w:t>不含专家评标费用，</w:t>
            </w:r>
            <w:r>
              <w:rPr>
                <w:rFonts w:hint="eastAsia" w:ascii="宋体" w:hAnsi="宋体" w:eastAsia="宋体" w:cs="宋体"/>
                <w:snapToGrid w:val="0"/>
                <w:color w:val="auto"/>
                <w:kern w:val="0"/>
                <w:sz w:val="24"/>
                <w:szCs w:val="24"/>
                <w:highlight w:val="none"/>
              </w:rPr>
              <w:t>本项目施工招标代理服务费由中标人支付。</w:t>
            </w:r>
          </w:p>
          <w:p w14:paraId="145EAE04">
            <w:pPr>
              <w:adjustRightInd w:val="0"/>
              <w:snapToGrid w:val="0"/>
              <w:jc w:val="left"/>
              <w:rPr>
                <w:rStyle w:val="22"/>
                <w:rFonts w:hint="eastAsia" w:ascii="宋体" w:hAnsi="宋体" w:eastAsia="宋体" w:cs="宋体"/>
                <w:color w:val="auto"/>
                <w:kern w:val="0"/>
                <w:sz w:val="24"/>
                <w:szCs w:val="24"/>
                <w:highlight w:val="none"/>
              </w:rPr>
            </w:pPr>
            <w:r>
              <w:rPr>
                <w:rFonts w:hint="eastAsia" w:ascii="宋体" w:hAnsi="宋体" w:eastAsia="宋体" w:cs="宋体"/>
                <w:b/>
                <w:bCs/>
                <w:snapToGrid w:val="0"/>
                <w:color w:val="auto"/>
                <w:kern w:val="0"/>
                <w:sz w:val="24"/>
                <w:szCs w:val="24"/>
                <w:highlight w:val="none"/>
              </w:rPr>
              <w:t>注：参与投标视为认可该条款。</w:t>
            </w:r>
          </w:p>
        </w:tc>
      </w:tr>
      <w:tr w14:paraId="7E39EDC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46" w:type="dxa"/>
            <w:tcBorders>
              <w:top w:val="single" w:color="000000" w:sz="4" w:space="0"/>
              <w:bottom w:val="single" w:color="000000" w:sz="4" w:space="0"/>
              <w:right w:val="single" w:color="000000" w:sz="4" w:space="0"/>
            </w:tcBorders>
            <w:shd w:val="clear" w:color="auto" w:fill="auto"/>
            <w:noWrap w:val="0"/>
            <w:vAlign w:val="center"/>
          </w:tcPr>
          <w:p w14:paraId="5B7DA7ED">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3</w:t>
            </w:r>
            <w:r>
              <w:rPr>
                <w:rStyle w:val="22"/>
                <w:rFonts w:hint="eastAsia" w:hAnsi="宋体" w:cs="宋体"/>
                <w:color w:val="auto"/>
                <w:kern w:val="0"/>
                <w:sz w:val="24"/>
                <w:szCs w:val="24"/>
                <w:highlight w:val="none"/>
                <w:lang w:val="en-US" w:eastAsia="zh-CN"/>
              </w:rPr>
              <w:t>1</w:t>
            </w:r>
          </w:p>
        </w:tc>
        <w:tc>
          <w:tcPr>
            <w:tcW w:w="1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9ACD9">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招标人</w:t>
            </w:r>
          </w:p>
          <w:p w14:paraId="4B376196">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联系方式</w:t>
            </w:r>
          </w:p>
        </w:tc>
        <w:tc>
          <w:tcPr>
            <w:tcW w:w="7370" w:type="dxa"/>
            <w:tcBorders>
              <w:top w:val="single" w:color="000000" w:sz="4" w:space="0"/>
              <w:left w:val="single" w:color="000000" w:sz="4" w:space="0"/>
              <w:bottom w:val="single" w:color="000000" w:sz="4" w:space="0"/>
            </w:tcBorders>
            <w:shd w:val="clear" w:color="auto" w:fill="auto"/>
            <w:noWrap w:val="0"/>
            <w:vAlign w:val="center"/>
          </w:tcPr>
          <w:p w14:paraId="5DB58CE2">
            <w:pPr>
              <w:keepNext w:val="0"/>
              <w:keepLines w:val="0"/>
              <w:pageBreakBefore w:val="0"/>
              <w:widowControl w:val="0"/>
              <w:kinsoku/>
              <w:wordWrap w:val="0"/>
              <w:overflowPunct/>
              <w:topLinePunct w:val="0"/>
              <w:autoSpaceDE/>
              <w:autoSpaceDN/>
              <w:bidi w:val="0"/>
              <w:adjustRightInd w:val="0"/>
              <w:snapToGrid w:val="0"/>
              <w:spacing w:line="400" w:lineRule="exact"/>
              <w:ind w:left="120" w:leftChars="50" w:firstLine="0" w:firstLineChars="0"/>
              <w:jc w:val="left"/>
              <w:textAlignment w:val="auto"/>
              <w:rPr>
                <w:rFonts w:hint="eastAsia" w:hAnsi="宋体" w:eastAsia="宋体" w:cs="宋体"/>
                <w:b w:val="0"/>
                <w:bCs w:val="0"/>
                <w:snapToGrid w:val="0"/>
                <w:color w:val="auto"/>
                <w:kern w:val="0"/>
                <w:szCs w:val="24"/>
                <w:highlight w:val="none"/>
                <w:lang w:eastAsia="zh-CN"/>
              </w:rPr>
            </w:pPr>
            <w:r>
              <w:rPr>
                <w:rFonts w:hint="eastAsia" w:hAnsi="宋体" w:cs="宋体"/>
                <w:b w:val="0"/>
                <w:bCs w:val="0"/>
                <w:snapToGrid w:val="0"/>
                <w:color w:val="auto"/>
                <w:kern w:val="0"/>
                <w:szCs w:val="24"/>
                <w:highlight w:val="none"/>
              </w:rPr>
              <w:t>单位名称：</w:t>
            </w:r>
            <w:r>
              <w:rPr>
                <w:rFonts w:hint="eastAsia" w:hAnsi="宋体" w:cs="宋体"/>
                <w:b w:val="0"/>
                <w:bCs w:val="0"/>
                <w:snapToGrid w:val="0"/>
                <w:color w:val="auto"/>
                <w:kern w:val="0"/>
                <w:szCs w:val="24"/>
                <w:highlight w:val="none"/>
                <w:lang w:eastAsia="zh-CN"/>
              </w:rPr>
              <w:t>南雄市湖口镇人民政府</w:t>
            </w:r>
          </w:p>
          <w:p w14:paraId="1F1195B6">
            <w:pPr>
              <w:keepNext w:val="0"/>
              <w:keepLines w:val="0"/>
              <w:pageBreakBefore w:val="0"/>
              <w:widowControl w:val="0"/>
              <w:kinsoku/>
              <w:wordWrap w:val="0"/>
              <w:overflowPunct/>
              <w:topLinePunct w:val="0"/>
              <w:autoSpaceDE/>
              <w:autoSpaceDN/>
              <w:bidi w:val="0"/>
              <w:adjustRightInd w:val="0"/>
              <w:snapToGrid w:val="0"/>
              <w:spacing w:line="400" w:lineRule="exact"/>
              <w:ind w:left="120" w:leftChars="50" w:firstLine="0" w:firstLineChars="0"/>
              <w:jc w:val="left"/>
              <w:textAlignment w:val="auto"/>
              <w:rPr>
                <w:rFonts w:hint="eastAsia" w:hAnsi="宋体" w:cs="宋体"/>
                <w:b w:val="0"/>
                <w:bCs w:val="0"/>
                <w:snapToGrid w:val="0"/>
                <w:color w:val="auto"/>
                <w:kern w:val="0"/>
                <w:szCs w:val="24"/>
                <w:highlight w:val="none"/>
              </w:rPr>
            </w:pPr>
            <w:r>
              <w:rPr>
                <w:rFonts w:hint="eastAsia" w:hAnsi="宋体" w:cs="宋体"/>
                <w:b w:val="0"/>
                <w:bCs w:val="0"/>
                <w:snapToGrid w:val="0"/>
                <w:color w:val="auto"/>
                <w:kern w:val="0"/>
                <w:szCs w:val="24"/>
                <w:highlight w:val="none"/>
              </w:rPr>
              <w:t>办公地址：</w:t>
            </w:r>
            <w:r>
              <w:rPr>
                <w:rFonts w:hint="eastAsia" w:hAnsi="宋体" w:cs="宋体"/>
                <w:b w:val="0"/>
                <w:bCs w:val="0"/>
                <w:snapToGrid w:val="0"/>
                <w:color w:val="auto"/>
                <w:kern w:val="0"/>
                <w:szCs w:val="24"/>
                <w:highlight w:val="none"/>
                <w:lang w:eastAsia="zh-CN"/>
              </w:rPr>
              <w:t>南雄市湖口镇</w:t>
            </w:r>
          </w:p>
          <w:p w14:paraId="045CA374">
            <w:pPr>
              <w:keepNext w:val="0"/>
              <w:keepLines w:val="0"/>
              <w:pageBreakBefore w:val="0"/>
              <w:widowControl w:val="0"/>
              <w:kinsoku/>
              <w:wordWrap w:val="0"/>
              <w:overflowPunct/>
              <w:topLinePunct w:val="0"/>
              <w:autoSpaceDE/>
              <w:autoSpaceDN/>
              <w:bidi w:val="0"/>
              <w:adjustRightInd w:val="0"/>
              <w:snapToGrid w:val="0"/>
              <w:spacing w:line="400" w:lineRule="exact"/>
              <w:ind w:left="120" w:leftChars="50" w:firstLine="0" w:firstLineChars="0"/>
              <w:jc w:val="left"/>
              <w:textAlignment w:val="auto"/>
              <w:rPr>
                <w:rFonts w:hint="eastAsia" w:hAnsi="宋体" w:eastAsia="宋体" w:cs="宋体"/>
                <w:b w:val="0"/>
                <w:bCs w:val="0"/>
                <w:snapToGrid w:val="0"/>
                <w:color w:val="auto"/>
                <w:kern w:val="0"/>
                <w:szCs w:val="24"/>
                <w:highlight w:val="none"/>
                <w:lang w:eastAsia="zh-CN"/>
              </w:rPr>
            </w:pPr>
            <w:r>
              <w:rPr>
                <w:rFonts w:hint="eastAsia" w:hAnsi="宋体" w:cs="宋体"/>
                <w:b w:val="0"/>
                <w:bCs w:val="0"/>
                <w:snapToGrid w:val="0"/>
                <w:color w:val="auto"/>
                <w:kern w:val="0"/>
                <w:szCs w:val="24"/>
                <w:highlight w:val="none"/>
              </w:rPr>
              <w:t>联系人（部门）：</w:t>
            </w:r>
            <w:r>
              <w:rPr>
                <w:rFonts w:hint="eastAsia" w:hAnsi="宋体" w:cs="宋体"/>
                <w:b w:val="0"/>
                <w:bCs w:val="0"/>
                <w:snapToGrid w:val="0"/>
                <w:color w:val="auto"/>
                <w:kern w:val="0"/>
                <w:szCs w:val="24"/>
                <w:highlight w:val="none"/>
                <w:lang w:eastAsia="zh-CN"/>
              </w:rPr>
              <w:t>邓主任</w:t>
            </w:r>
          </w:p>
          <w:p w14:paraId="0D9CDC56">
            <w:pPr>
              <w:keepNext w:val="0"/>
              <w:keepLines w:val="0"/>
              <w:pageBreakBefore w:val="0"/>
              <w:widowControl w:val="0"/>
              <w:kinsoku/>
              <w:wordWrap w:val="0"/>
              <w:overflowPunct/>
              <w:topLinePunct w:val="0"/>
              <w:autoSpaceDE/>
              <w:autoSpaceDN/>
              <w:bidi w:val="0"/>
              <w:adjustRightInd w:val="0"/>
              <w:snapToGrid w:val="0"/>
              <w:spacing w:line="400" w:lineRule="exact"/>
              <w:ind w:left="120" w:leftChars="50" w:firstLine="0" w:firstLineChars="0"/>
              <w:jc w:val="left"/>
              <w:textAlignment w:val="auto"/>
              <w:rPr>
                <w:rFonts w:hint="eastAsia" w:ascii="宋体" w:hAnsi="宋体" w:eastAsia="宋体" w:cs="宋体"/>
                <w:color w:val="auto"/>
                <w:kern w:val="0"/>
                <w:sz w:val="24"/>
                <w:szCs w:val="24"/>
                <w:highlight w:val="none"/>
                <w:lang w:val="en-US" w:eastAsia="zh-CN" w:bidi="ar-SA"/>
              </w:rPr>
            </w:pPr>
            <w:r>
              <w:rPr>
                <w:rFonts w:hint="eastAsia" w:hAnsi="宋体" w:cs="宋体"/>
                <w:b w:val="0"/>
                <w:bCs w:val="0"/>
                <w:snapToGrid w:val="0"/>
                <w:color w:val="auto"/>
                <w:kern w:val="0"/>
                <w:szCs w:val="24"/>
                <w:highlight w:val="none"/>
              </w:rPr>
              <w:t>联系电话：</w:t>
            </w:r>
            <w:r>
              <w:rPr>
                <w:rFonts w:hint="eastAsia" w:hAnsi="宋体" w:cs="宋体"/>
                <w:b w:val="0"/>
                <w:bCs w:val="0"/>
                <w:snapToGrid w:val="0"/>
                <w:color w:val="auto"/>
                <w:kern w:val="0"/>
                <w:szCs w:val="24"/>
                <w:highlight w:val="none"/>
                <w:lang w:eastAsia="zh-CN"/>
              </w:rPr>
              <w:t>0751-3652001</w:t>
            </w:r>
          </w:p>
        </w:tc>
      </w:tr>
      <w:tr w14:paraId="77FC3DD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shd w:val="clear" w:color="auto" w:fill="auto"/>
            <w:noWrap w:val="0"/>
            <w:vAlign w:val="center"/>
          </w:tcPr>
          <w:p w14:paraId="0F9DFCC9">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3</w:t>
            </w:r>
            <w:r>
              <w:rPr>
                <w:rStyle w:val="22"/>
                <w:rFonts w:hint="eastAsia" w:hAnsi="宋体" w:cs="宋体"/>
                <w:color w:val="auto"/>
                <w:kern w:val="0"/>
                <w:sz w:val="24"/>
                <w:szCs w:val="24"/>
                <w:highlight w:val="none"/>
                <w:lang w:val="en-US" w:eastAsia="zh-CN"/>
              </w:rPr>
              <w:t>2</w:t>
            </w:r>
          </w:p>
        </w:tc>
        <w:tc>
          <w:tcPr>
            <w:tcW w:w="1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AB7F0">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招标代理机构</w:t>
            </w:r>
          </w:p>
          <w:p w14:paraId="56B398D4">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联系方式</w:t>
            </w:r>
          </w:p>
        </w:tc>
        <w:tc>
          <w:tcPr>
            <w:tcW w:w="7370" w:type="dxa"/>
            <w:tcBorders>
              <w:top w:val="single" w:color="000000" w:sz="4" w:space="0"/>
              <w:left w:val="single" w:color="000000" w:sz="4" w:space="0"/>
              <w:bottom w:val="single" w:color="000000" w:sz="4" w:space="0"/>
            </w:tcBorders>
            <w:shd w:val="clear" w:color="auto" w:fill="auto"/>
            <w:noWrap w:val="0"/>
            <w:vAlign w:val="center"/>
          </w:tcPr>
          <w:p w14:paraId="06D7A4F4">
            <w:pPr>
              <w:keepNext w:val="0"/>
              <w:keepLines w:val="0"/>
              <w:pageBreakBefore w:val="0"/>
              <w:widowControl w:val="0"/>
              <w:kinsoku/>
              <w:wordWrap/>
              <w:overflowPunct/>
              <w:topLinePunct w:val="0"/>
              <w:autoSpaceDE/>
              <w:autoSpaceDN/>
              <w:bidi w:val="0"/>
              <w:adjustRightInd/>
              <w:snapToGrid/>
              <w:spacing w:line="400" w:lineRule="exact"/>
              <w:ind w:left="120" w:leftChars="50"/>
              <w:jc w:val="left"/>
              <w:textAlignment w:val="auto"/>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rPr>
              <w:t>单位名称：</w:t>
            </w:r>
            <w:r>
              <w:rPr>
                <w:rFonts w:hint="eastAsia" w:hAnsi="宋体" w:cs="宋体"/>
                <w:snapToGrid w:val="0"/>
                <w:color w:val="auto"/>
                <w:kern w:val="0"/>
                <w:szCs w:val="24"/>
                <w:highlight w:val="none"/>
                <w:lang w:eastAsia="zh-CN"/>
              </w:rPr>
              <w:t>海通国际设计有限公司</w:t>
            </w:r>
          </w:p>
          <w:p w14:paraId="56A28727">
            <w:pPr>
              <w:keepNext w:val="0"/>
              <w:keepLines w:val="0"/>
              <w:pageBreakBefore w:val="0"/>
              <w:widowControl w:val="0"/>
              <w:kinsoku/>
              <w:wordWrap/>
              <w:overflowPunct/>
              <w:topLinePunct w:val="0"/>
              <w:autoSpaceDE/>
              <w:autoSpaceDN/>
              <w:bidi w:val="0"/>
              <w:adjustRightInd/>
              <w:snapToGrid/>
              <w:spacing w:line="400" w:lineRule="exact"/>
              <w:ind w:left="120" w:leftChars="50"/>
              <w:jc w:val="left"/>
              <w:textAlignment w:val="auto"/>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rPr>
              <w:t>办公地址：</w:t>
            </w:r>
            <w:r>
              <w:rPr>
                <w:rFonts w:hint="eastAsia" w:hAnsi="宋体" w:cs="宋体"/>
                <w:snapToGrid w:val="0"/>
                <w:color w:val="auto"/>
                <w:kern w:val="0"/>
                <w:szCs w:val="24"/>
                <w:highlight w:val="none"/>
                <w:lang w:eastAsia="zh-CN"/>
              </w:rPr>
              <w:t>韶关市武江区西联镇新323线南侧54号韶关市明顺实业有限公司综合楼自编号702房</w:t>
            </w:r>
          </w:p>
          <w:p w14:paraId="5FEED1DD">
            <w:pPr>
              <w:keepNext w:val="0"/>
              <w:keepLines w:val="0"/>
              <w:pageBreakBefore w:val="0"/>
              <w:widowControl w:val="0"/>
              <w:kinsoku/>
              <w:wordWrap/>
              <w:overflowPunct/>
              <w:topLinePunct w:val="0"/>
              <w:autoSpaceDE/>
              <w:autoSpaceDN/>
              <w:bidi w:val="0"/>
              <w:adjustRightInd/>
              <w:snapToGrid/>
              <w:spacing w:line="400" w:lineRule="exact"/>
              <w:ind w:left="120" w:leftChars="50"/>
              <w:jc w:val="left"/>
              <w:textAlignment w:val="auto"/>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rPr>
              <w:t>联系人(部门)：</w:t>
            </w:r>
            <w:r>
              <w:rPr>
                <w:rFonts w:hint="eastAsia" w:hAnsi="宋体" w:cs="宋体"/>
                <w:snapToGrid w:val="0"/>
                <w:color w:val="auto"/>
                <w:kern w:val="0"/>
                <w:szCs w:val="24"/>
                <w:highlight w:val="none"/>
                <w:lang w:eastAsia="zh-CN"/>
              </w:rPr>
              <w:t>陈工</w:t>
            </w:r>
          </w:p>
          <w:p w14:paraId="0BBA4E10">
            <w:pPr>
              <w:keepNext w:val="0"/>
              <w:keepLines w:val="0"/>
              <w:pageBreakBefore w:val="0"/>
              <w:widowControl w:val="0"/>
              <w:kinsoku/>
              <w:wordWrap/>
              <w:overflowPunct/>
              <w:topLinePunct w:val="0"/>
              <w:autoSpaceDE/>
              <w:autoSpaceDN/>
              <w:bidi w:val="0"/>
              <w:adjustRightInd/>
              <w:snapToGrid/>
              <w:spacing w:line="400" w:lineRule="exact"/>
              <w:ind w:left="120" w:leftChars="50"/>
              <w:jc w:val="left"/>
              <w:textAlignment w:val="auto"/>
              <w:rPr>
                <w:rFonts w:hint="eastAsia" w:ascii="宋体" w:hAnsi="宋体" w:eastAsia="宋体" w:cs="宋体"/>
                <w:color w:val="auto"/>
                <w:kern w:val="0"/>
                <w:sz w:val="24"/>
                <w:szCs w:val="24"/>
                <w:highlight w:val="none"/>
                <w:lang w:val="en-US" w:eastAsia="zh-CN" w:bidi="ar-SA"/>
              </w:rPr>
            </w:pPr>
            <w:r>
              <w:rPr>
                <w:rFonts w:hint="eastAsia" w:hAnsi="宋体" w:cs="宋体"/>
                <w:snapToGrid w:val="0"/>
                <w:color w:val="auto"/>
                <w:kern w:val="0"/>
                <w:szCs w:val="24"/>
                <w:highlight w:val="none"/>
              </w:rPr>
              <w:t>联系电话：</w:t>
            </w:r>
            <w:r>
              <w:rPr>
                <w:rFonts w:hint="eastAsia" w:hAnsi="宋体" w:cs="宋体"/>
                <w:snapToGrid w:val="0"/>
                <w:color w:val="auto"/>
                <w:kern w:val="0"/>
                <w:szCs w:val="24"/>
                <w:highlight w:val="none"/>
                <w:lang w:eastAsia="zh-CN"/>
              </w:rPr>
              <w:t>0751-8962686</w:t>
            </w:r>
          </w:p>
        </w:tc>
      </w:tr>
      <w:tr w14:paraId="652E892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shd w:val="clear" w:color="auto" w:fill="auto"/>
            <w:noWrap w:val="0"/>
            <w:vAlign w:val="center"/>
          </w:tcPr>
          <w:p w14:paraId="3B141BB2">
            <w:pPr>
              <w:snapToGrid w:val="0"/>
              <w:spacing w:line="360" w:lineRule="exact"/>
              <w:jc w:val="center"/>
              <w:rPr>
                <w:rFonts w:hint="default" w:ascii="宋体" w:hAnsi="宋体" w:eastAsia="宋体" w:cs="宋体"/>
                <w:color w:val="auto"/>
                <w:kern w:val="0"/>
                <w:sz w:val="24"/>
                <w:szCs w:val="24"/>
                <w:highlight w:val="none"/>
                <w:lang w:val="en-US" w:eastAsia="zh-CN" w:bidi="ar-SA"/>
              </w:rPr>
            </w:pPr>
            <w:r>
              <w:rPr>
                <w:rFonts w:hint="eastAsia" w:hAnsi="宋体" w:cs="宋体"/>
                <w:color w:val="auto"/>
                <w:kern w:val="0"/>
                <w:sz w:val="24"/>
                <w:szCs w:val="24"/>
                <w:highlight w:val="none"/>
                <w:lang w:val="en-US" w:eastAsia="zh-CN" w:bidi="ar-SA"/>
              </w:rPr>
              <w:t>33</w:t>
            </w:r>
          </w:p>
        </w:tc>
        <w:tc>
          <w:tcPr>
            <w:tcW w:w="1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33DED4">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交易场所</w:t>
            </w:r>
          </w:p>
          <w:p w14:paraId="19D9345A">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联系方式</w:t>
            </w:r>
          </w:p>
        </w:tc>
        <w:tc>
          <w:tcPr>
            <w:tcW w:w="7370" w:type="dxa"/>
            <w:tcBorders>
              <w:top w:val="single" w:color="000000" w:sz="4" w:space="0"/>
              <w:left w:val="single" w:color="000000" w:sz="4" w:space="0"/>
              <w:bottom w:val="single" w:color="000000" w:sz="4" w:space="0"/>
            </w:tcBorders>
            <w:shd w:val="clear" w:color="auto" w:fill="auto"/>
            <w:noWrap w:val="0"/>
            <w:vAlign w:val="center"/>
          </w:tcPr>
          <w:p w14:paraId="4DE53315">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单位名称：韶关市公共资源交易中心</w:t>
            </w:r>
          </w:p>
          <w:p w14:paraId="171739E5">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办公地址：</w:t>
            </w:r>
            <w:r>
              <w:rPr>
                <w:rFonts w:hint="eastAsia" w:ascii="宋体" w:hAnsi="宋体" w:eastAsia="宋体" w:cs="宋体"/>
                <w:color w:val="auto"/>
                <w:kern w:val="0"/>
                <w:sz w:val="24"/>
                <w:szCs w:val="24"/>
                <w:highlight w:val="none"/>
                <w:lang w:eastAsia="zh-CN"/>
              </w:rPr>
              <w:t>韶关市公共资源交易中心南雄分中心（南雄市雄东路1号大润发四楼南雄市公共服务中心内）</w:t>
            </w:r>
          </w:p>
          <w:p w14:paraId="38B8BA78">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联系人：工程交易股</w:t>
            </w:r>
          </w:p>
          <w:p w14:paraId="46CB36F6">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电话： 0751-3860729</w:t>
            </w:r>
          </w:p>
        </w:tc>
      </w:tr>
      <w:tr w14:paraId="71BBB07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652" w:hRule="atLeast"/>
          <w:jc w:val="center"/>
        </w:trPr>
        <w:tc>
          <w:tcPr>
            <w:tcW w:w="646" w:type="dxa"/>
            <w:tcBorders>
              <w:top w:val="single" w:color="000000" w:sz="4" w:space="0"/>
              <w:bottom w:val="single" w:color="000000" w:sz="4" w:space="0"/>
              <w:right w:val="single" w:color="000000" w:sz="4" w:space="0"/>
            </w:tcBorders>
            <w:shd w:val="clear" w:color="auto" w:fill="auto"/>
            <w:noWrap w:val="0"/>
            <w:vAlign w:val="center"/>
          </w:tcPr>
          <w:p w14:paraId="0DF140C1">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hAnsi="宋体" w:cs="宋体"/>
                <w:color w:val="auto"/>
                <w:kern w:val="0"/>
                <w:sz w:val="24"/>
                <w:szCs w:val="24"/>
                <w:highlight w:val="none"/>
                <w:lang w:val="en-US" w:eastAsia="zh-CN"/>
              </w:rPr>
              <w:t>34</w:t>
            </w:r>
          </w:p>
        </w:tc>
        <w:tc>
          <w:tcPr>
            <w:tcW w:w="1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CB32D">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行政监督部门</w:t>
            </w:r>
          </w:p>
          <w:p w14:paraId="7C83CC59">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联系方式</w:t>
            </w:r>
          </w:p>
        </w:tc>
        <w:tc>
          <w:tcPr>
            <w:tcW w:w="7370" w:type="dxa"/>
            <w:tcBorders>
              <w:top w:val="single" w:color="000000" w:sz="4" w:space="0"/>
              <w:left w:val="single" w:color="000000" w:sz="4" w:space="0"/>
              <w:bottom w:val="single" w:color="000000" w:sz="4" w:space="0"/>
            </w:tcBorders>
            <w:shd w:val="clear" w:color="auto" w:fill="auto"/>
            <w:noWrap w:val="0"/>
            <w:vAlign w:val="center"/>
          </w:tcPr>
          <w:p w14:paraId="733DABE6">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hAnsi="宋体" w:cs="宋体"/>
                <w:snapToGrid w:val="0"/>
                <w:color w:val="auto"/>
                <w:kern w:val="0"/>
                <w:szCs w:val="24"/>
                <w:highlight w:val="none"/>
              </w:rPr>
            </w:pPr>
            <w:r>
              <w:rPr>
                <w:rFonts w:hint="eastAsia" w:hAnsi="宋体" w:cs="宋体"/>
                <w:snapToGrid w:val="0"/>
                <w:color w:val="auto"/>
                <w:kern w:val="0"/>
                <w:szCs w:val="24"/>
                <w:highlight w:val="none"/>
              </w:rPr>
              <w:t>单位名称：南雄市农业农村局</w:t>
            </w:r>
          </w:p>
          <w:p w14:paraId="165F17AC">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hAnsi="宋体" w:cs="宋体"/>
                <w:snapToGrid w:val="0"/>
                <w:color w:val="auto"/>
                <w:kern w:val="0"/>
                <w:szCs w:val="24"/>
                <w:highlight w:val="none"/>
              </w:rPr>
            </w:pPr>
            <w:r>
              <w:rPr>
                <w:rFonts w:hint="eastAsia" w:hAnsi="宋体" w:cs="宋体"/>
                <w:snapToGrid w:val="0"/>
                <w:color w:val="auto"/>
                <w:kern w:val="0"/>
                <w:szCs w:val="24"/>
                <w:highlight w:val="none"/>
              </w:rPr>
              <w:t>办公地址：南雄市沿江西路 98 号</w:t>
            </w:r>
          </w:p>
          <w:p w14:paraId="4606C5D9">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rPr>
              <w:t>联系人（部门）：</w:t>
            </w:r>
            <w:r>
              <w:rPr>
                <w:rFonts w:hint="eastAsia" w:hAnsi="宋体" w:cs="宋体"/>
                <w:snapToGrid w:val="0"/>
                <w:color w:val="auto"/>
                <w:kern w:val="0"/>
                <w:szCs w:val="24"/>
                <w:highlight w:val="none"/>
                <w:lang w:eastAsia="zh-CN"/>
              </w:rPr>
              <w:t>南雄市农业农村局政策法规与改革发展股</w:t>
            </w:r>
          </w:p>
          <w:p w14:paraId="768AE77B">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ascii="宋体" w:hAnsi="宋体" w:eastAsia="宋体" w:cs="宋体"/>
                <w:color w:val="auto"/>
                <w:kern w:val="0"/>
                <w:sz w:val="24"/>
                <w:szCs w:val="24"/>
                <w:highlight w:val="none"/>
                <w:lang w:val="en-US" w:eastAsia="zh-CN" w:bidi="ar-SA"/>
              </w:rPr>
            </w:pPr>
            <w:r>
              <w:rPr>
                <w:rFonts w:hint="eastAsia" w:hAnsi="宋体" w:cs="宋体"/>
                <w:snapToGrid w:val="0"/>
                <w:color w:val="auto"/>
                <w:kern w:val="0"/>
                <w:szCs w:val="24"/>
                <w:highlight w:val="none"/>
              </w:rPr>
              <w:t>联系电话：</w:t>
            </w:r>
            <w:r>
              <w:rPr>
                <w:rFonts w:hint="eastAsia" w:hAnsi="宋体" w:cs="宋体"/>
                <w:snapToGrid w:val="0"/>
                <w:color w:val="auto"/>
                <w:kern w:val="0"/>
                <w:szCs w:val="24"/>
                <w:highlight w:val="none"/>
                <w:lang w:eastAsia="zh-CN"/>
              </w:rPr>
              <w:t xml:space="preserve"> 0751-6929131</w:t>
            </w:r>
          </w:p>
        </w:tc>
      </w:tr>
    </w:tbl>
    <w:p w14:paraId="76B0DD54">
      <w:pPr>
        <w:pStyle w:val="26"/>
        <w:snapToGrid w:val="0"/>
        <w:spacing w:before="260" w:after="260" w:line="360" w:lineRule="exact"/>
        <w:jc w:val="both"/>
        <w:rPr>
          <w:rStyle w:val="22"/>
          <w:rFonts w:hint="eastAsia" w:ascii="宋体" w:hAnsi="宋体" w:eastAsia="宋体" w:cs="宋体"/>
          <w:b/>
          <w:bCs/>
          <w:color w:val="auto"/>
          <w:highlight w:val="none"/>
        </w:rPr>
        <w:sectPr>
          <w:footerReference r:id="rId7" w:type="default"/>
          <w:endnotePr>
            <w:numFmt w:val="decimal"/>
          </w:endnotePr>
          <w:pgSz w:w="11906" w:h="16838"/>
          <w:pgMar w:top="1247" w:right="1531" w:bottom="1276" w:left="1531" w:header="850" w:footer="547" w:gutter="0"/>
          <w:pgNumType w:start="1"/>
          <w:cols w:space="720" w:num="1"/>
          <w:docGrid w:linePitch="327" w:charSpace="0"/>
        </w:sectPr>
      </w:pPr>
    </w:p>
    <w:p w14:paraId="1DF2D5BB">
      <w:pPr>
        <w:pStyle w:val="26"/>
        <w:snapToGrid w:val="0"/>
        <w:spacing w:after="260" w:line="440" w:lineRule="exact"/>
        <w:jc w:val="center"/>
        <w:outlineLvl w:val="1"/>
        <w:rPr>
          <w:rStyle w:val="22"/>
          <w:rFonts w:hint="eastAsia" w:ascii="宋体" w:hAnsi="宋体" w:eastAsia="宋体" w:cs="宋体"/>
          <w:color w:val="auto"/>
          <w:highlight w:val="none"/>
        </w:rPr>
      </w:pPr>
      <w:bookmarkStart w:id="20" w:name="_Toc30618"/>
      <w:bookmarkStart w:id="21" w:name="_Toc11352"/>
      <w:bookmarkStart w:id="22" w:name="_Toc12413"/>
      <w:bookmarkStart w:id="23" w:name="_Toc11705"/>
      <w:bookmarkStart w:id="24" w:name="_Toc4906"/>
      <w:bookmarkStart w:id="25" w:name="_Toc11396"/>
      <w:bookmarkStart w:id="26" w:name="_Toc30944"/>
      <w:bookmarkStart w:id="27" w:name="_Toc3663"/>
      <w:bookmarkStart w:id="28" w:name="_Toc30806"/>
      <w:bookmarkStart w:id="29" w:name="_Toc32120"/>
      <w:r>
        <w:rPr>
          <w:rStyle w:val="22"/>
          <w:rFonts w:hint="eastAsia" w:ascii="宋体" w:hAnsi="宋体" w:eastAsia="宋体" w:cs="宋体"/>
          <w:b/>
          <w:bCs/>
          <w:color w:val="auto"/>
          <w:highlight w:val="none"/>
        </w:rPr>
        <w:t>第二节 重要事项时间地点一览表</w:t>
      </w:r>
      <w:bookmarkEnd w:id="20"/>
      <w:bookmarkEnd w:id="21"/>
      <w:bookmarkEnd w:id="22"/>
      <w:bookmarkEnd w:id="23"/>
      <w:bookmarkEnd w:id="24"/>
      <w:bookmarkEnd w:id="25"/>
      <w:bookmarkEnd w:id="26"/>
      <w:bookmarkEnd w:id="27"/>
      <w:bookmarkEnd w:id="28"/>
      <w:bookmarkEnd w:id="29"/>
    </w:p>
    <w:tbl>
      <w:tblPr>
        <w:tblStyle w:val="18"/>
        <w:tblW w:w="9513"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17"/>
        <w:gridCol w:w="1806"/>
        <w:gridCol w:w="7290"/>
      </w:tblGrid>
      <w:tr w14:paraId="7090B4F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4E8EFFEA">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14:paraId="20DD9F20">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招标公告</w:t>
            </w:r>
          </w:p>
          <w:p w14:paraId="7B5FDBBB">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发布时间 </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14:paraId="5F17B875">
            <w:pPr>
              <w:pStyle w:val="28"/>
              <w:keepNext w:val="0"/>
              <w:keepLines w:val="0"/>
              <w:pageBreakBefore w:val="0"/>
              <w:widowControl w:val="0"/>
              <w:kinsoku/>
              <w:wordWrap w:val="0"/>
              <w:overflowPunct/>
              <w:topLinePunct w:val="0"/>
              <w:autoSpaceDE/>
              <w:autoSpaceDN/>
              <w:bidi w:val="0"/>
              <w:adjustRightInd w:val="0"/>
              <w:snapToGrid w:val="0"/>
              <w:spacing w:line="30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9</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24</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20 </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00 </w:t>
            </w:r>
            <w:r>
              <w:rPr>
                <w:rFonts w:hint="eastAsia" w:ascii="宋体" w:hAnsi="宋体" w:eastAsia="宋体" w:cs="宋体"/>
                <w:snapToGrid w:val="0"/>
                <w:color w:val="auto"/>
                <w:kern w:val="0"/>
                <w:sz w:val="24"/>
                <w:szCs w:val="24"/>
                <w:highlight w:val="none"/>
              </w:rPr>
              <w:t>分</w:t>
            </w:r>
          </w:p>
        </w:tc>
      </w:tr>
      <w:tr w14:paraId="2E85F8B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05A676F4">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14:paraId="4BE6D763">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获取招标文</w:t>
            </w:r>
          </w:p>
          <w:p w14:paraId="2FA809ED">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件截止时间 </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14:paraId="590B1007">
            <w:pPr>
              <w:pStyle w:val="28"/>
              <w:keepNext w:val="0"/>
              <w:keepLines w:val="0"/>
              <w:pageBreakBefore w:val="0"/>
              <w:widowControl w:val="0"/>
              <w:kinsoku/>
              <w:wordWrap w:val="0"/>
              <w:overflowPunct/>
              <w:topLinePunct w:val="0"/>
              <w:autoSpaceDE/>
              <w:autoSpaceDN/>
              <w:bidi w:val="0"/>
              <w:adjustRightInd w:val="0"/>
              <w:snapToGrid w:val="0"/>
              <w:spacing w:line="30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16</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15 </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00 </w:t>
            </w:r>
            <w:r>
              <w:rPr>
                <w:rFonts w:hint="eastAsia" w:ascii="宋体" w:hAnsi="宋体" w:eastAsia="宋体" w:cs="宋体"/>
                <w:snapToGrid w:val="0"/>
                <w:color w:val="auto"/>
                <w:kern w:val="0"/>
                <w:sz w:val="24"/>
                <w:szCs w:val="24"/>
                <w:highlight w:val="none"/>
              </w:rPr>
              <w:t>分</w:t>
            </w:r>
          </w:p>
        </w:tc>
      </w:tr>
      <w:tr w14:paraId="5059F3A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33"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21B0971A">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14:paraId="5697AF2F">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网上提问</w:t>
            </w:r>
          </w:p>
          <w:p w14:paraId="2D1FC0B4">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截止时间 </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14:paraId="450D7E3E">
            <w:pPr>
              <w:pStyle w:val="28"/>
              <w:keepNext w:val="0"/>
              <w:keepLines w:val="0"/>
              <w:pageBreakBefore w:val="0"/>
              <w:widowControl w:val="0"/>
              <w:kinsoku/>
              <w:wordWrap w:val="0"/>
              <w:overflowPunct/>
              <w:topLinePunct w:val="0"/>
              <w:autoSpaceDE/>
              <w:autoSpaceDN/>
              <w:bidi w:val="0"/>
              <w:adjustRightInd w:val="0"/>
              <w:snapToGrid w:val="0"/>
              <w:spacing w:line="30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6</w:t>
            </w:r>
            <w:r>
              <w:rPr>
                <w:rFonts w:hint="eastAsia" w:ascii="宋体" w:hAnsi="宋体" w:eastAsia="宋体" w:cs="宋体"/>
                <w:snapToGrid w:val="0"/>
                <w:color w:val="auto"/>
                <w:kern w:val="0"/>
                <w:sz w:val="24"/>
                <w:szCs w:val="24"/>
                <w:highlight w:val="none"/>
              </w:rPr>
              <w:t>日</w:t>
            </w:r>
            <w:r>
              <w:rPr>
                <w:rFonts w:hint="eastAsia" w:ascii="宋体" w:hAnsi="宋体" w:eastAsia="宋体" w:cs="宋体"/>
                <w:snapToGrid w:val="0"/>
                <w:color w:val="auto"/>
                <w:kern w:val="0"/>
                <w:sz w:val="24"/>
                <w:szCs w:val="24"/>
                <w:highlight w:val="none"/>
                <w:u w:val="single"/>
                <w:lang w:val="en-US" w:eastAsia="zh-CN"/>
              </w:rPr>
              <w:t>16</w:t>
            </w:r>
            <w:r>
              <w:rPr>
                <w:rFonts w:hint="eastAsia" w:ascii="宋体" w:hAnsi="宋体" w:eastAsia="宋体" w:cs="宋体"/>
                <w:snapToGrid w:val="0"/>
                <w:color w:val="auto"/>
                <w:kern w:val="0"/>
                <w:sz w:val="24"/>
                <w:szCs w:val="24"/>
                <w:highlight w:val="none"/>
              </w:rPr>
              <w:t>时</w:t>
            </w:r>
            <w:r>
              <w:rPr>
                <w:rFonts w:hint="eastAsia" w:ascii="宋体" w:hAnsi="宋体" w:eastAsia="宋体" w:cs="宋体"/>
                <w:snapToGrid w:val="0"/>
                <w:color w:val="auto"/>
                <w:kern w:val="0"/>
                <w:sz w:val="24"/>
                <w:szCs w:val="24"/>
                <w:highlight w:val="none"/>
                <w:u w:val="single"/>
                <w:lang w:val="en-US" w:eastAsia="zh-CN"/>
              </w:rPr>
              <w:t>00</w:t>
            </w:r>
            <w:r>
              <w:rPr>
                <w:rFonts w:hint="eastAsia" w:ascii="宋体" w:hAnsi="宋体" w:eastAsia="宋体" w:cs="宋体"/>
                <w:snapToGrid w:val="0"/>
                <w:color w:val="auto"/>
                <w:kern w:val="0"/>
                <w:sz w:val="24"/>
                <w:szCs w:val="24"/>
                <w:highlight w:val="none"/>
              </w:rPr>
              <w:t>分</w:t>
            </w:r>
          </w:p>
        </w:tc>
      </w:tr>
      <w:tr w14:paraId="59B277E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51"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29B9A32E">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14:paraId="7119C846">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网上答疑</w:t>
            </w:r>
          </w:p>
          <w:p w14:paraId="2B6E57F8">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时间</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14:paraId="2300D6AA">
            <w:pPr>
              <w:pStyle w:val="28"/>
              <w:keepNext w:val="0"/>
              <w:keepLines w:val="0"/>
              <w:pageBreakBefore w:val="0"/>
              <w:widowControl w:val="0"/>
              <w:kinsoku/>
              <w:wordWrap w:val="0"/>
              <w:overflowPunct/>
              <w:topLinePunct w:val="0"/>
              <w:autoSpaceDE/>
              <w:autoSpaceDN/>
              <w:bidi w:val="0"/>
              <w:adjustRightInd w:val="0"/>
              <w:snapToGrid w:val="0"/>
              <w:spacing w:line="30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6</w:t>
            </w:r>
            <w:r>
              <w:rPr>
                <w:rFonts w:hint="eastAsia" w:ascii="宋体" w:hAnsi="宋体" w:eastAsia="宋体" w:cs="宋体"/>
                <w:snapToGrid w:val="0"/>
                <w:color w:val="auto"/>
                <w:kern w:val="0"/>
                <w:sz w:val="24"/>
                <w:szCs w:val="24"/>
                <w:highlight w:val="none"/>
              </w:rPr>
              <w:t>日</w:t>
            </w:r>
            <w:r>
              <w:rPr>
                <w:rFonts w:hint="eastAsia" w:ascii="宋体" w:hAnsi="宋体" w:eastAsia="宋体" w:cs="宋体"/>
                <w:snapToGrid w:val="0"/>
                <w:color w:val="auto"/>
                <w:kern w:val="0"/>
                <w:sz w:val="24"/>
                <w:szCs w:val="24"/>
                <w:highlight w:val="none"/>
                <w:u w:val="single"/>
                <w:lang w:val="en-US" w:eastAsia="zh-CN"/>
              </w:rPr>
              <w:t>16</w:t>
            </w:r>
            <w:r>
              <w:rPr>
                <w:rFonts w:hint="eastAsia" w:ascii="宋体" w:hAnsi="宋体" w:eastAsia="宋体" w:cs="宋体"/>
                <w:snapToGrid w:val="0"/>
                <w:color w:val="auto"/>
                <w:kern w:val="0"/>
                <w:sz w:val="24"/>
                <w:szCs w:val="24"/>
                <w:highlight w:val="none"/>
              </w:rPr>
              <w:t>时</w:t>
            </w:r>
            <w:r>
              <w:rPr>
                <w:rFonts w:hint="eastAsia" w:ascii="宋体" w:hAnsi="宋体" w:eastAsia="宋体" w:cs="宋体"/>
                <w:snapToGrid w:val="0"/>
                <w:color w:val="auto"/>
                <w:kern w:val="0"/>
                <w:sz w:val="24"/>
                <w:szCs w:val="24"/>
                <w:highlight w:val="none"/>
                <w:u w:val="single"/>
                <w:lang w:val="en-US" w:eastAsia="zh-CN"/>
              </w:rPr>
              <w:t>30</w:t>
            </w:r>
            <w:r>
              <w:rPr>
                <w:rFonts w:hint="eastAsia" w:ascii="宋体" w:hAnsi="宋体" w:eastAsia="宋体" w:cs="宋体"/>
                <w:snapToGrid w:val="0"/>
                <w:color w:val="auto"/>
                <w:kern w:val="0"/>
                <w:sz w:val="24"/>
                <w:szCs w:val="24"/>
                <w:highlight w:val="none"/>
              </w:rPr>
              <w:t>分至202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9</w:t>
            </w:r>
            <w:r>
              <w:rPr>
                <w:rFonts w:hint="eastAsia" w:ascii="宋体" w:hAnsi="宋体" w:eastAsia="宋体" w:cs="宋体"/>
                <w:snapToGrid w:val="0"/>
                <w:color w:val="auto"/>
                <w:kern w:val="0"/>
                <w:sz w:val="24"/>
                <w:szCs w:val="24"/>
                <w:highlight w:val="none"/>
              </w:rPr>
              <w:t>日</w:t>
            </w:r>
            <w:r>
              <w:rPr>
                <w:rFonts w:hint="eastAsia" w:ascii="宋体" w:hAnsi="宋体" w:eastAsia="宋体" w:cs="宋体"/>
                <w:snapToGrid w:val="0"/>
                <w:color w:val="auto"/>
                <w:kern w:val="0"/>
                <w:sz w:val="24"/>
                <w:szCs w:val="24"/>
                <w:highlight w:val="none"/>
                <w:u w:val="single"/>
                <w:lang w:val="en-US" w:eastAsia="zh-CN"/>
              </w:rPr>
              <w:t>16</w:t>
            </w:r>
            <w:r>
              <w:rPr>
                <w:rFonts w:hint="eastAsia" w:ascii="宋体" w:hAnsi="宋体" w:eastAsia="宋体" w:cs="宋体"/>
                <w:snapToGrid w:val="0"/>
                <w:color w:val="auto"/>
                <w:kern w:val="0"/>
                <w:sz w:val="24"/>
                <w:szCs w:val="24"/>
                <w:highlight w:val="none"/>
              </w:rPr>
              <w:t>时</w:t>
            </w:r>
            <w:r>
              <w:rPr>
                <w:rFonts w:hint="eastAsia" w:ascii="宋体" w:hAnsi="宋体" w:eastAsia="宋体" w:cs="宋体"/>
                <w:snapToGrid w:val="0"/>
                <w:color w:val="auto"/>
                <w:kern w:val="0"/>
                <w:sz w:val="24"/>
                <w:szCs w:val="24"/>
                <w:highlight w:val="none"/>
                <w:u w:val="single"/>
                <w:lang w:val="en-US" w:eastAsia="zh-CN"/>
              </w:rPr>
              <w:t>00</w:t>
            </w:r>
            <w:r>
              <w:rPr>
                <w:rFonts w:hint="eastAsia" w:ascii="宋体" w:hAnsi="宋体" w:eastAsia="宋体" w:cs="宋体"/>
                <w:snapToGrid w:val="0"/>
                <w:color w:val="auto"/>
                <w:kern w:val="0"/>
                <w:sz w:val="24"/>
                <w:szCs w:val="24"/>
                <w:highlight w:val="none"/>
              </w:rPr>
              <w:t>分</w:t>
            </w:r>
          </w:p>
        </w:tc>
      </w:tr>
      <w:tr w14:paraId="390848E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04"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59D86086">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14:paraId="293C3C5F">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投标保证缴</w:t>
            </w:r>
          </w:p>
          <w:p w14:paraId="72FE54DC">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纳截止时间</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14:paraId="230B2B43">
            <w:pPr>
              <w:pStyle w:val="28"/>
              <w:keepNext w:val="0"/>
              <w:keepLines w:val="0"/>
              <w:pageBreakBefore w:val="0"/>
              <w:widowControl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投标保证金到账截止时间：</w:t>
            </w:r>
            <w:r>
              <w:rPr>
                <w:rFonts w:hint="eastAsia" w:ascii="宋体" w:hAnsi="宋体" w:eastAsia="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15</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 15 </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00 </w:t>
            </w:r>
            <w:r>
              <w:rPr>
                <w:rFonts w:hint="eastAsia" w:ascii="宋体" w:hAnsi="宋体" w:eastAsia="宋体" w:cs="宋体"/>
                <w:snapToGrid w:val="0"/>
                <w:color w:val="auto"/>
                <w:kern w:val="0"/>
                <w:sz w:val="24"/>
                <w:szCs w:val="24"/>
                <w:highlight w:val="none"/>
              </w:rPr>
              <w:t>分；</w:t>
            </w:r>
          </w:p>
          <w:p w14:paraId="12569348">
            <w:pPr>
              <w:pStyle w:val="28"/>
              <w:keepNext w:val="0"/>
              <w:keepLines w:val="0"/>
              <w:pageBreakBefore w:val="0"/>
              <w:widowControl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投标保证担保投保截止时间：</w:t>
            </w:r>
            <w:r>
              <w:rPr>
                <w:rFonts w:hint="eastAsia" w:ascii="宋体" w:hAnsi="宋体" w:eastAsia="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15</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 15 </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00 </w:t>
            </w:r>
            <w:r>
              <w:rPr>
                <w:rFonts w:hint="eastAsia" w:ascii="宋体" w:hAnsi="宋体" w:eastAsia="宋体" w:cs="宋体"/>
                <w:snapToGrid w:val="0"/>
                <w:color w:val="auto"/>
                <w:kern w:val="0"/>
                <w:sz w:val="24"/>
                <w:szCs w:val="24"/>
                <w:highlight w:val="none"/>
              </w:rPr>
              <w:t>分；</w:t>
            </w:r>
          </w:p>
          <w:p w14:paraId="157DEFDF">
            <w:pPr>
              <w:pStyle w:val="7"/>
              <w:keepNext w:val="0"/>
              <w:keepLines w:val="0"/>
              <w:pageBreakBefore w:val="0"/>
              <w:widowControl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 w:val="24"/>
                <w:szCs w:val="24"/>
                <w:highlight w:val="none"/>
              </w:rPr>
              <w:t>投标保证保险投保截止时间：</w:t>
            </w:r>
            <w:r>
              <w:rPr>
                <w:rFonts w:hint="eastAsia" w:ascii="宋体" w:hAnsi="宋体" w:eastAsia="宋体" w:cs="宋体"/>
                <w:snapToGrid w:val="0"/>
                <w:color w:val="auto"/>
                <w:kern w:val="0"/>
                <w:sz w:val="24"/>
                <w:szCs w:val="24"/>
                <w:highlight w:val="none"/>
                <w:u w:val="single"/>
              </w:rPr>
              <w:t>202</w:t>
            </w:r>
            <w:r>
              <w:rPr>
                <w:rFonts w:hint="eastAsia" w:ascii="宋体" w:hAnsi="宋体" w:cs="宋体"/>
                <w:snapToGrid w:val="0"/>
                <w:color w:val="auto"/>
                <w:kern w:val="0"/>
                <w:sz w:val="24"/>
                <w:szCs w:val="24"/>
                <w:highlight w:val="none"/>
                <w:u w:val="singl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15</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 15 </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00 </w:t>
            </w:r>
            <w:r>
              <w:rPr>
                <w:rFonts w:hint="eastAsia" w:ascii="宋体" w:hAnsi="宋体" w:eastAsia="宋体" w:cs="宋体"/>
                <w:snapToGrid w:val="0"/>
                <w:color w:val="auto"/>
                <w:kern w:val="0"/>
                <w:sz w:val="24"/>
                <w:szCs w:val="24"/>
                <w:highlight w:val="none"/>
              </w:rPr>
              <w:t>分。</w:t>
            </w:r>
          </w:p>
        </w:tc>
      </w:tr>
      <w:tr w14:paraId="0BB1070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84"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51DF1008">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14:paraId="75534602">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电子投标</w:t>
            </w:r>
          </w:p>
          <w:p w14:paraId="1748734B">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截止时间 </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14:paraId="3D25B43D">
            <w:pPr>
              <w:pStyle w:val="7"/>
              <w:keepNext w:val="0"/>
              <w:keepLines w:val="0"/>
              <w:pageBreakBefore w:val="0"/>
              <w:widowControl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 w:val="24"/>
                <w:szCs w:val="24"/>
                <w:highlight w:val="none"/>
              </w:rPr>
              <w:t>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16</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15 </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00 </w:t>
            </w:r>
            <w:r>
              <w:rPr>
                <w:rFonts w:hint="eastAsia" w:ascii="宋体" w:hAnsi="宋体" w:eastAsia="宋体" w:cs="宋体"/>
                <w:snapToGrid w:val="0"/>
                <w:color w:val="auto"/>
                <w:kern w:val="0"/>
                <w:sz w:val="24"/>
                <w:szCs w:val="24"/>
                <w:highlight w:val="none"/>
              </w:rPr>
              <w:t>分</w:t>
            </w:r>
          </w:p>
        </w:tc>
      </w:tr>
      <w:tr w14:paraId="17C6076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93"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2D2CAC39">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14:paraId="3D16D5D1">
            <w:pPr>
              <w:pStyle w:val="28"/>
              <w:wordWrap w:val="0"/>
              <w:adjustRightInd w:val="0"/>
              <w:snapToGrid w:val="0"/>
              <w:spacing w:line="360" w:lineRule="exact"/>
              <w:jc w:val="center"/>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投标相关资料（如有）</w:t>
            </w:r>
          </w:p>
          <w:p w14:paraId="0BB874E2">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highlight w:val="none"/>
              </w:rPr>
              <w:t>递交时间</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14:paraId="470EAED1">
            <w:pPr>
              <w:pStyle w:val="7"/>
              <w:keepNext w:val="0"/>
              <w:keepLines w:val="0"/>
              <w:pageBreakBefore w:val="0"/>
              <w:widowControl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 w:val="24"/>
                <w:szCs w:val="24"/>
                <w:highlight w:val="none"/>
              </w:rPr>
              <w:t>202</w:t>
            </w:r>
            <w:r>
              <w:rPr>
                <w:rFonts w:hint="eastAsia"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hAnsi="宋体" w:cs="宋体"/>
                <w:snapToGrid w:val="0"/>
                <w:color w:val="auto"/>
                <w:kern w:val="0"/>
                <w:sz w:val="24"/>
                <w:szCs w:val="24"/>
                <w:highlight w:val="none"/>
                <w:u w:val="single"/>
                <w:lang w:val="en-US" w:eastAsia="zh-CN"/>
              </w:rPr>
              <w:t>16</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 </w:t>
            </w:r>
            <w:r>
              <w:rPr>
                <w:rFonts w:hint="eastAsia" w:hAnsi="宋体" w:cs="宋体"/>
                <w:snapToGrid w:val="0"/>
                <w:color w:val="auto"/>
                <w:kern w:val="0"/>
                <w:sz w:val="24"/>
                <w:szCs w:val="24"/>
                <w:highlight w:val="none"/>
                <w:u w:val="single"/>
                <w:lang w:val="en-US" w:eastAsia="zh-CN"/>
              </w:rPr>
              <w:t>14</w:t>
            </w:r>
            <w:r>
              <w:rPr>
                <w:rFonts w:hint="eastAsia" w:ascii="宋体" w:hAnsi="宋体" w:cs="宋体"/>
                <w:snapToGrid w:val="0"/>
                <w:color w:val="auto"/>
                <w:kern w:val="0"/>
                <w:sz w:val="24"/>
                <w:szCs w:val="24"/>
                <w:highlight w:val="none"/>
                <w:u w:val="single"/>
                <w:lang w:val="en-US" w:eastAsia="zh-CN"/>
              </w:rPr>
              <w:t xml:space="preserve"> </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w:t>
            </w:r>
            <w:r>
              <w:rPr>
                <w:rFonts w:hint="eastAsia" w:hAnsi="宋体" w:cs="宋体"/>
                <w:snapToGrid w:val="0"/>
                <w:color w:val="auto"/>
                <w:kern w:val="0"/>
                <w:sz w:val="24"/>
                <w:szCs w:val="24"/>
                <w:highlight w:val="none"/>
                <w:u w:val="single"/>
                <w:lang w:val="en-US" w:eastAsia="zh-CN"/>
              </w:rPr>
              <w:t>3</w:t>
            </w:r>
            <w:r>
              <w:rPr>
                <w:rFonts w:hint="eastAsia" w:ascii="宋体" w:hAnsi="宋体" w:cs="宋体"/>
                <w:snapToGrid w:val="0"/>
                <w:color w:val="auto"/>
                <w:kern w:val="0"/>
                <w:sz w:val="24"/>
                <w:szCs w:val="24"/>
                <w:highlight w:val="none"/>
                <w:u w:val="single"/>
                <w:lang w:val="en-US" w:eastAsia="zh-CN"/>
              </w:rPr>
              <w:t xml:space="preserve">0 </w:t>
            </w:r>
            <w:r>
              <w:rPr>
                <w:rFonts w:hint="eastAsia" w:ascii="宋体" w:hAnsi="宋体" w:eastAsia="宋体" w:cs="宋体"/>
                <w:snapToGrid w:val="0"/>
                <w:color w:val="auto"/>
                <w:kern w:val="0"/>
                <w:sz w:val="24"/>
                <w:szCs w:val="24"/>
                <w:highlight w:val="none"/>
              </w:rPr>
              <w:t>分至202</w:t>
            </w:r>
            <w:r>
              <w:rPr>
                <w:rFonts w:hint="eastAsia"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hAnsi="宋体" w:cs="宋体"/>
                <w:snapToGrid w:val="0"/>
                <w:color w:val="auto"/>
                <w:kern w:val="0"/>
                <w:sz w:val="24"/>
                <w:szCs w:val="24"/>
                <w:highlight w:val="none"/>
                <w:u w:val="single"/>
                <w:lang w:val="en-US" w:eastAsia="zh-CN"/>
              </w:rPr>
              <w:t>16</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 </w:t>
            </w:r>
            <w:r>
              <w:rPr>
                <w:rFonts w:hint="eastAsia" w:hAnsi="宋体" w:cs="宋体"/>
                <w:snapToGrid w:val="0"/>
                <w:color w:val="auto"/>
                <w:kern w:val="0"/>
                <w:sz w:val="24"/>
                <w:szCs w:val="24"/>
                <w:highlight w:val="none"/>
                <w:u w:val="single"/>
                <w:lang w:val="en-US" w:eastAsia="zh-CN"/>
              </w:rPr>
              <w:t>15</w:t>
            </w:r>
            <w:r>
              <w:rPr>
                <w:rFonts w:hint="eastAsia" w:ascii="宋体" w:hAnsi="宋体" w:cs="宋体"/>
                <w:snapToGrid w:val="0"/>
                <w:color w:val="auto"/>
                <w:kern w:val="0"/>
                <w:sz w:val="24"/>
                <w:szCs w:val="24"/>
                <w:highlight w:val="none"/>
                <w:u w:val="single"/>
                <w:lang w:val="en-US" w:eastAsia="zh-CN"/>
              </w:rPr>
              <w:t xml:space="preserve"> </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w:t>
            </w:r>
            <w:r>
              <w:rPr>
                <w:rFonts w:hint="eastAsia" w:hAnsi="宋体" w:cs="宋体"/>
                <w:snapToGrid w:val="0"/>
                <w:color w:val="auto"/>
                <w:kern w:val="0"/>
                <w:sz w:val="24"/>
                <w:szCs w:val="24"/>
                <w:highlight w:val="none"/>
                <w:u w:val="single"/>
                <w:lang w:val="en-US" w:eastAsia="zh-CN"/>
              </w:rPr>
              <w:t>0</w:t>
            </w:r>
            <w:r>
              <w:rPr>
                <w:rFonts w:hint="eastAsia" w:ascii="宋体" w:hAnsi="宋体" w:cs="宋体"/>
                <w:snapToGrid w:val="0"/>
                <w:color w:val="auto"/>
                <w:kern w:val="0"/>
                <w:sz w:val="24"/>
                <w:szCs w:val="24"/>
                <w:highlight w:val="none"/>
                <w:u w:val="single"/>
                <w:lang w:val="en-US" w:eastAsia="zh-CN"/>
              </w:rPr>
              <w:t xml:space="preserve">0 </w:t>
            </w:r>
            <w:r>
              <w:rPr>
                <w:rFonts w:hint="eastAsia" w:ascii="宋体" w:hAnsi="宋体" w:eastAsia="宋体" w:cs="宋体"/>
                <w:snapToGrid w:val="0"/>
                <w:color w:val="auto"/>
                <w:kern w:val="0"/>
                <w:sz w:val="24"/>
                <w:szCs w:val="24"/>
                <w:highlight w:val="none"/>
              </w:rPr>
              <w:t>分</w:t>
            </w:r>
          </w:p>
        </w:tc>
      </w:tr>
      <w:tr w14:paraId="017E294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26"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26DA23BD">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14:paraId="289ACEA8">
            <w:pPr>
              <w:pStyle w:val="28"/>
              <w:wordWrap w:val="0"/>
              <w:adjustRightInd w:val="0"/>
              <w:snapToGrid w:val="0"/>
              <w:spacing w:line="360" w:lineRule="exact"/>
              <w:jc w:val="center"/>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投标相关资料（如有）</w:t>
            </w:r>
          </w:p>
          <w:p w14:paraId="213DFE9E">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highlight w:val="none"/>
              </w:rPr>
              <w:t>递交地点</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14:paraId="67890EFB">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递交场所：韶关市公共资源交易中心南雄分中心，</w:t>
            </w:r>
          </w:p>
          <w:p w14:paraId="39C6D90F">
            <w:pPr>
              <w:pStyle w:val="7"/>
              <w:keepNext w:val="0"/>
              <w:keepLines w:val="0"/>
              <w:pageBreakBefore w:val="0"/>
              <w:widowControl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 w:val="24"/>
                <w:szCs w:val="24"/>
                <w:highlight w:val="none"/>
              </w:rPr>
              <w:t>地址：南雄市雄东路1号(大润发)四楼韶关市公共资源交易中心南雄分中心(南雄市公共服务中心内)。</w:t>
            </w:r>
          </w:p>
        </w:tc>
      </w:tr>
      <w:tr w14:paraId="1541954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6"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0E005CBC">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14:paraId="388BCB9F">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开标时间 </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14:paraId="56EB3B8E">
            <w:pPr>
              <w:pStyle w:val="7"/>
              <w:keepNext w:val="0"/>
              <w:keepLines w:val="0"/>
              <w:pageBreakBefore w:val="0"/>
              <w:widowControl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 w:val="24"/>
                <w:szCs w:val="24"/>
                <w:highlight w:val="none"/>
              </w:rPr>
              <w:t>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16</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15 </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00 </w:t>
            </w:r>
            <w:r>
              <w:rPr>
                <w:rFonts w:hint="eastAsia" w:ascii="宋体" w:hAnsi="宋体" w:eastAsia="宋体" w:cs="宋体"/>
                <w:snapToGrid w:val="0"/>
                <w:color w:val="auto"/>
                <w:kern w:val="0"/>
                <w:sz w:val="24"/>
                <w:szCs w:val="24"/>
                <w:highlight w:val="none"/>
              </w:rPr>
              <w:t>分</w:t>
            </w:r>
          </w:p>
        </w:tc>
      </w:tr>
      <w:tr w14:paraId="3531DFB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10"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02447FFE">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14:paraId="5CD3AA88">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开标地点 </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14:paraId="55B0B179">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开标场所：韶关市公共资源交易中心南雄分中心，</w:t>
            </w:r>
          </w:p>
          <w:p w14:paraId="7A9F9200">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 w:val="24"/>
                <w:szCs w:val="24"/>
                <w:highlight w:val="none"/>
                <w:lang w:val="en-US" w:eastAsia="zh-CN" w:bidi="ar-SA"/>
              </w:rPr>
              <w:t>地址：南雄市雄东路1号大润发四楼韶关市公共资源交易中心南雄分中心（南雄市公共服务中心内）。</w:t>
            </w:r>
          </w:p>
        </w:tc>
      </w:tr>
      <w:tr w14:paraId="575B130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772" w:hRule="exact"/>
          <w:jc w:val="center"/>
        </w:trPr>
        <w:tc>
          <w:tcPr>
            <w:tcW w:w="2223" w:type="dxa"/>
            <w:gridSpan w:val="2"/>
            <w:tcBorders>
              <w:top w:val="single" w:color="080000" w:sz="4" w:space="0"/>
              <w:left w:val="single" w:color="080000" w:sz="4" w:space="0"/>
              <w:bottom w:val="single" w:color="080000" w:sz="4" w:space="0"/>
              <w:right w:val="single" w:color="080000" w:sz="4" w:space="0"/>
            </w:tcBorders>
            <w:noWrap w:val="0"/>
            <w:vAlign w:val="center"/>
          </w:tcPr>
          <w:p w14:paraId="5D52B8E6">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备注</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14:paraId="64C6DF1B">
            <w:pPr>
              <w:pStyle w:val="7"/>
              <w:wordWrap w:val="0"/>
              <w:adjustRightInd w:val="0"/>
              <w:snapToGrid w:val="0"/>
              <w:spacing w:line="400" w:lineRule="exact"/>
              <w:ind w:firstLine="240" w:firstLineChars="100"/>
              <w:jc w:val="left"/>
              <w:rPr>
                <w:rFonts w:hint="eastAsia" w:ascii="宋体" w:hAnsi="宋体" w:eastAsia="宋体" w:cs="宋体"/>
                <w:snapToGrid w:val="0"/>
                <w:color w:val="auto"/>
                <w:kern w:val="0"/>
                <w:highlight w:val="none"/>
              </w:rPr>
            </w:pPr>
            <w:r>
              <w:rPr>
                <w:rFonts w:hint="eastAsia" w:ascii="宋体" w:hAnsi="宋体" w:eastAsia="宋体" w:cs="宋体"/>
                <w:color w:val="auto"/>
                <w:highlight w:val="none"/>
                <w:shd w:val="clear" w:color="auto" w:fill="FFFFFF"/>
              </w:rPr>
              <w:t>投标人应按有关计划时间安排办理企业CA认证、企业入库等，获取招标文件后</w:t>
            </w:r>
            <w:r>
              <w:rPr>
                <w:rFonts w:hint="eastAsia" w:ascii="宋体" w:hAnsi="宋体" w:eastAsia="宋体" w:cs="宋体"/>
                <w:snapToGrid w:val="0"/>
                <w:color w:val="auto"/>
                <w:kern w:val="0"/>
                <w:highlight w:val="none"/>
              </w:rPr>
              <w:t>自行下载招标文件、资料文件及招标答疑书等。若由于投标人自身原因未能及时取得上述资料的，由此发生的任何责任由投标人自负。</w:t>
            </w:r>
          </w:p>
        </w:tc>
      </w:tr>
    </w:tbl>
    <w:p w14:paraId="48FBE9B0">
      <w:pPr>
        <w:pStyle w:val="25"/>
        <w:tabs>
          <w:tab w:val="left" w:pos="885"/>
        </w:tabs>
        <w:snapToGrid w:val="0"/>
        <w:spacing w:line="440" w:lineRule="exact"/>
        <w:ind w:left="885" w:hanging="885"/>
        <w:jc w:val="center"/>
        <w:rPr>
          <w:rStyle w:val="22"/>
          <w:rFonts w:hint="eastAsia" w:ascii="宋体" w:hAnsi="宋体" w:eastAsia="宋体" w:cs="宋体"/>
          <w:color w:val="auto"/>
          <w:sz w:val="24"/>
          <w:szCs w:val="24"/>
          <w:highlight w:val="none"/>
        </w:rPr>
        <w:sectPr>
          <w:endnotePr>
            <w:numFmt w:val="decimal"/>
          </w:endnotePr>
          <w:pgSz w:w="11906" w:h="16838"/>
          <w:pgMar w:top="1701" w:right="1531" w:bottom="1417" w:left="1531" w:header="850" w:footer="992" w:gutter="0"/>
          <w:cols w:space="720" w:num="1"/>
          <w:docGrid w:linePitch="327" w:charSpace="0"/>
        </w:sectPr>
      </w:pPr>
    </w:p>
    <w:p w14:paraId="35F46BC4">
      <w:pPr>
        <w:pStyle w:val="25"/>
        <w:tabs>
          <w:tab w:val="left" w:pos="885"/>
        </w:tabs>
        <w:snapToGrid w:val="0"/>
        <w:ind w:left="885" w:hanging="885"/>
        <w:jc w:val="center"/>
        <w:outlineLvl w:val="1"/>
        <w:rPr>
          <w:rStyle w:val="22"/>
          <w:rFonts w:hint="eastAsia" w:ascii="宋体" w:hAnsi="宋体" w:eastAsia="宋体" w:cs="宋体"/>
          <w:color w:val="auto"/>
          <w:highlight w:val="none"/>
          <w:u w:val="single"/>
        </w:rPr>
      </w:pPr>
      <w:bookmarkStart w:id="30" w:name="_Toc28559"/>
      <w:bookmarkStart w:id="31" w:name="_Toc5177"/>
      <w:bookmarkStart w:id="32" w:name="_Toc26764"/>
      <w:bookmarkStart w:id="33" w:name="_Toc21763"/>
      <w:bookmarkStart w:id="34" w:name="_Toc31767"/>
      <w:bookmarkStart w:id="35" w:name="_Toc9729"/>
      <w:bookmarkStart w:id="36" w:name="_Toc7836"/>
      <w:bookmarkStart w:id="37" w:name="_Toc26910"/>
      <w:bookmarkStart w:id="38" w:name="_Toc5521"/>
      <w:bookmarkStart w:id="39" w:name="_Toc4501"/>
      <w:r>
        <w:rPr>
          <w:rStyle w:val="22"/>
          <w:rFonts w:hint="eastAsia" w:ascii="宋体" w:hAnsi="宋体" w:eastAsia="宋体" w:cs="宋体"/>
          <w:b/>
          <w:bCs/>
          <w:color w:val="auto"/>
          <w:sz w:val="24"/>
          <w:szCs w:val="24"/>
          <w:highlight w:val="none"/>
        </w:rPr>
        <w:t>第三节 投标人须知正文</w:t>
      </w:r>
      <w:bookmarkEnd w:id="30"/>
      <w:bookmarkEnd w:id="31"/>
      <w:bookmarkEnd w:id="32"/>
      <w:bookmarkEnd w:id="33"/>
      <w:bookmarkEnd w:id="34"/>
      <w:bookmarkEnd w:id="35"/>
      <w:bookmarkEnd w:id="36"/>
      <w:bookmarkEnd w:id="37"/>
      <w:bookmarkEnd w:id="38"/>
      <w:bookmarkEnd w:id="39"/>
    </w:p>
    <w:p w14:paraId="050CBC66">
      <w:pPr>
        <w:wordWrap w:val="0"/>
        <w:adjustRightInd w:val="0"/>
        <w:snapToGrid w:val="0"/>
        <w:spacing w:line="440" w:lineRule="exact"/>
        <w:ind w:firstLine="480" w:firstLineChars="200"/>
        <w:rPr>
          <w:rFonts w:hint="eastAsia" w:hAnsi="宋体" w:cs="宋体"/>
          <w:snapToGrid w:val="0"/>
          <w:color w:val="auto"/>
          <w:kern w:val="0"/>
          <w:highlight w:val="none"/>
        </w:rPr>
      </w:pPr>
      <w:r>
        <w:rPr>
          <w:rFonts w:hint="eastAsia"/>
          <w:color w:val="auto"/>
          <w:sz w:val="24"/>
          <w:szCs w:val="24"/>
          <w:highlight w:val="none"/>
          <w:u w:val="single"/>
          <w:lang w:eastAsia="zh-CN"/>
        </w:rPr>
        <w:t>广东省南雄市2026年和美乡村建设项目</w:t>
      </w:r>
      <w:r>
        <w:rPr>
          <w:rFonts w:hint="eastAsia" w:ascii="宋体" w:hAnsi="宋体" w:cs="宋体"/>
          <w:color w:val="auto"/>
          <w:kern w:val="0"/>
          <w:sz w:val="24"/>
          <w:szCs w:val="22"/>
          <w:highlight w:val="none"/>
        </w:rPr>
        <w:t>业经</w:t>
      </w:r>
      <w:r>
        <w:rPr>
          <w:rFonts w:hint="eastAsia" w:ascii="宋体" w:hAnsi="宋体" w:cs="宋体"/>
          <w:color w:val="auto"/>
          <w:kern w:val="0"/>
          <w:sz w:val="24"/>
          <w:szCs w:val="22"/>
          <w:highlight w:val="none"/>
          <w:u w:val="single"/>
        </w:rPr>
        <w:t>南雄市发展和改革局以《南雄市发展和改革局关于广东省南雄市2026年和美乡村建设项目可行性研究报告的批复》</w:t>
      </w:r>
      <w:r>
        <w:rPr>
          <w:rFonts w:hint="eastAsia" w:ascii="宋体" w:hAnsi="宋体" w:cs="宋体"/>
          <w:color w:val="auto"/>
          <w:kern w:val="0"/>
          <w:sz w:val="24"/>
          <w:szCs w:val="22"/>
          <w:highlight w:val="none"/>
          <w:u w:val="single"/>
          <w:lang w:eastAsia="zh-CN"/>
        </w:rPr>
        <w:t>雄发改投审[2026]7号</w:t>
      </w:r>
      <w:r>
        <w:rPr>
          <w:rFonts w:hint="eastAsia" w:hAnsi="宋体" w:cs="宋体"/>
          <w:color w:val="auto"/>
          <w:kern w:val="0"/>
          <w:sz w:val="24"/>
          <w:szCs w:val="22"/>
          <w:highlight w:val="none"/>
          <w:u w:val="single"/>
          <w:lang w:eastAsia="zh-CN"/>
        </w:rPr>
        <w:t>、《南雄市发展和改革局关于广东省南雄市2026年和美乡村建设项目初步设计概算的批复》雄发改投审[2026]14号、《南雄市发展和改革局关于广东省南雄市2026年和美乡村建设项目初步设计概算变更的批复》雄发改投审[2026]53号</w:t>
      </w:r>
      <w:r>
        <w:rPr>
          <w:rFonts w:hint="eastAsia" w:ascii="宋体" w:hAnsi="宋体" w:cs="宋体"/>
          <w:color w:val="auto"/>
          <w:kern w:val="0"/>
          <w:sz w:val="24"/>
          <w:szCs w:val="22"/>
          <w:highlight w:val="none"/>
        </w:rPr>
        <w:t>批准建设，项目代码为</w:t>
      </w:r>
      <w:r>
        <w:rPr>
          <w:rFonts w:hint="eastAsia" w:hAnsi="宋体" w:cs="宋体"/>
          <w:color w:val="auto"/>
          <w:kern w:val="0"/>
          <w:sz w:val="24"/>
          <w:szCs w:val="22"/>
          <w:highlight w:val="none"/>
          <w:u w:val="single"/>
          <w:lang w:eastAsia="zh-CN"/>
        </w:rPr>
        <w:t>2512-440282-20-01-735877</w:t>
      </w:r>
      <w:r>
        <w:rPr>
          <w:rFonts w:hint="eastAsia" w:ascii="宋体" w:hAnsi="宋体" w:cs="宋体"/>
          <w:color w:val="auto"/>
          <w:kern w:val="0"/>
          <w:sz w:val="24"/>
          <w:szCs w:val="22"/>
          <w:highlight w:val="none"/>
          <w:u w:val="single"/>
        </w:rPr>
        <w:t>。</w:t>
      </w:r>
      <w:r>
        <w:rPr>
          <w:rFonts w:hint="eastAsia" w:ascii="宋体" w:hAnsi="宋体" w:cs="宋体"/>
          <w:color w:val="auto"/>
          <w:kern w:val="0"/>
          <w:sz w:val="24"/>
          <w:szCs w:val="22"/>
          <w:highlight w:val="none"/>
        </w:rPr>
        <w:t>本项目业主为</w:t>
      </w:r>
      <w:r>
        <w:rPr>
          <w:rFonts w:hint="eastAsia" w:hAnsi="宋体" w:cs="宋体"/>
          <w:color w:val="auto"/>
          <w:kern w:val="0"/>
          <w:sz w:val="24"/>
          <w:szCs w:val="22"/>
          <w:highlight w:val="none"/>
          <w:u w:val="single"/>
          <w:lang w:eastAsia="zh-CN"/>
        </w:rPr>
        <w:t>南雄市农业农村局</w:t>
      </w:r>
      <w:r>
        <w:rPr>
          <w:rFonts w:hint="eastAsia" w:ascii="宋体" w:hAnsi="宋体" w:cs="宋体"/>
          <w:color w:val="auto"/>
          <w:kern w:val="0"/>
          <w:sz w:val="24"/>
          <w:szCs w:val="22"/>
          <w:highlight w:val="none"/>
        </w:rPr>
        <w:t>，建设资金来源为</w:t>
      </w:r>
      <w:r>
        <w:rPr>
          <w:rFonts w:hint="eastAsia" w:hAnsi="宋体" w:cs="宋体"/>
          <w:color w:val="auto"/>
          <w:kern w:val="0"/>
          <w:sz w:val="24"/>
          <w:szCs w:val="22"/>
          <w:highlight w:val="none"/>
          <w:u w:val="single"/>
          <w:lang w:eastAsia="zh-CN"/>
        </w:rPr>
        <w:t>上级资金</w:t>
      </w:r>
      <w:r>
        <w:rPr>
          <w:rFonts w:hint="eastAsia" w:ascii="宋体" w:hAnsi="宋体" w:cs="宋体"/>
          <w:color w:val="auto"/>
          <w:kern w:val="0"/>
          <w:sz w:val="24"/>
          <w:szCs w:val="22"/>
          <w:highlight w:val="none"/>
          <w:u w:val="single"/>
        </w:rPr>
        <w:t>，出资比例为100%</w:t>
      </w:r>
      <w:r>
        <w:rPr>
          <w:rFonts w:hint="eastAsia" w:ascii="宋体" w:hAnsi="宋体" w:cs="宋体"/>
          <w:color w:val="auto"/>
          <w:kern w:val="0"/>
          <w:sz w:val="24"/>
          <w:szCs w:val="22"/>
          <w:highlight w:val="none"/>
        </w:rPr>
        <w:t>，</w:t>
      </w:r>
      <w:r>
        <w:rPr>
          <w:rFonts w:hint="eastAsia" w:hAnsi="宋体" w:cs="宋体"/>
          <w:snapToGrid w:val="0"/>
          <w:color w:val="auto"/>
          <w:kern w:val="0"/>
          <w:highlight w:val="none"/>
        </w:rPr>
        <w:t>招标人为</w:t>
      </w:r>
      <w:r>
        <w:rPr>
          <w:rFonts w:hint="eastAsia" w:hAnsi="宋体" w:cs="宋体"/>
          <w:snapToGrid w:val="0"/>
          <w:color w:val="auto"/>
          <w:kern w:val="0"/>
          <w:highlight w:val="none"/>
          <w:u w:val="single"/>
          <w:lang w:eastAsia="zh-CN"/>
        </w:rPr>
        <w:t>南雄市湖口镇人民政府</w:t>
      </w:r>
      <w:r>
        <w:rPr>
          <w:rFonts w:hint="eastAsia" w:hAnsi="宋体" w:cs="宋体"/>
          <w:snapToGrid w:val="0"/>
          <w:color w:val="auto"/>
          <w:kern w:val="0"/>
          <w:highlight w:val="none"/>
        </w:rPr>
        <w:t>，招标代理机构为</w:t>
      </w:r>
      <w:r>
        <w:rPr>
          <w:rFonts w:hint="eastAsia" w:hAnsi="宋体" w:cs="宋体"/>
          <w:snapToGrid w:val="0"/>
          <w:color w:val="auto"/>
          <w:kern w:val="0"/>
          <w:highlight w:val="none"/>
          <w:u w:val="single"/>
          <w:lang w:eastAsia="zh-CN"/>
        </w:rPr>
        <w:t>海通国际设计有限公司</w:t>
      </w:r>
      <w:r>
        <w:rPr>
          <w:rFonts w:hint="eastAsia" w:hAnsi="宋体" w:cs="宋体"/>
          <w:snapToGrid w:val="0"/>
          <w:color w:val="auto"/>
          <w:kern w:val="0"/>
          <w:highlight w:val="none"/>
        </w:rPr>
        <w:t>。项目已具备招标条件，现对</w:t>
      </w:r>
      <w:r>
        <w:rPr>
          <w:rFonts w:hint="eastAsia" w:hAnsi="宋体" w:cs="宋体"/>
          <w:snapToGrid w:val="0"/>
          <w:color w:val="auto"/>
          <w:kern w:val="0"/>
          <w:highlight w:val="none"/>
          <w:u w:val="single"/>
          <w:lang w:eastAsia="zh-CN"/>
        </w:rPr>
        <w:t>广东省南雄市2026年和美乡村建设项目-湖口镇施工</w:t>
      </w:r>
      <w:r>
        <w:rPr>
          <w:rFonts w:hint="eastAsia" w:hAnsi="宋体" w:cs="宋体"/>
          <w:snapToGrid w:val="0"/>
          <w:color w:val="auto"/>
          <w:kern w:val="0"/>
          <w:highlight w:val="none"/>
        </w:rPr>
        <w:t>进行公开招标。</w:t>
      </w:r>
    </w:p>
    <w:p w14:paraId="1C05DFF5">
      <w:pPr>
        <w:pStyle w:val="26"/>
        <w:snapToGrid w:val="0"/>
        <w:ind w:firstLine="482" w:firstLineChars="20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1．工程概况、招标范围和标段划分、投标费用</w:t>
      </w:r>
    </w:p>
    <w:p w14:paraId="201E0199">
      <w:pPr>
        <w:pStyle w:val="29"/>
        <w:snapToGrid w:val="0"/>
        <w:spacing w:line="440" w:lineRule="atLeast"/>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 xml:space="preserve">1.1 </w:t>
      </w:r>
      <w:r>
        <w:rPr>
          <w:rStyle w:val="22"/>
          <w:rFonts w:hint="eastAsia" w:ascii="宋体" w:hAnsi="宋体" w:eastAsia="宋体" w:cs="宋体"/>
          <w:color w:val="auto"/>
          <w:kern w:val="0"/>
          <w:sz w:val="24"/>
          <w:szCs w:val="24"/>
          <w:highlight w:val="none"/>
        </w:rPr>
        <w:t>工程概况</w:t>
      </w:r>
    </w:p>
    <w:p w14:paraId="57A0A9D2">
      <w:pPr>
        <w:pStyle w:val="29"/>
        <w:snapToGrid w:val="0"/>
        <w:spacing w:line="440" w:lineRule="atLeast"/>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1.1.1</w:t>
      </w:r>
      <w:r>
        <w:rPr>
          <w:rStyle w:val="22"/>
          <w:rFonts w:hint="eastAsia" w:ascii="宋体" w:hAnsi="宋体" w:eastAsia="宋体" w:cs="宋体"/>
          <w:color w:val="auto"/>
          <w:kern w:val="0"/>
          <w:sz w:val="24"/>
          <w:szCs w:val="24"/>
          <w:highlight w:val="none"/>
        </w:rPr>
        <w:t xml:space="preserve"> 建设地点：</w:t>
      </w:r>
      <w:r>
        <w:rPr>
          <w:rStyle w:val="22"/>
          <w:rFonts w:hint="eastAsia" w:ascii="宋体" w:hAnsi="宋体" w:cs="宋体"/>
          <w:color w:val="auto"/>
          <w:kern w:val="0"/>
          <w:sz w:val="24"/>
          <w:szCs w:val="24"/>
          <w:highlight w:val="none"/>
          <w:lang w:eastAsia="zh-CN"/>
        </w:rPr>
        <w:t>湖口镇太和村、长市村、新湖村等5村</w:t>
      </w:r>
    </w:p>
    <w:p w14:paraId="68B7E852">
      <w:pPr>
        <w:pStyle w:val="29"/>
        <w:snapToGrid w:val="0"/>
        <w:spacing w:line="440" w:lineRule="atLeast"/>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1.1.2</w:t>
      </w:r>
      <w:r>
        <w:rPr>
          <w:rStyle w:val="22"/>
          <w:rFonts w:hint="eastAsia" w:ascii="宋体" w:hAnsi="宋体" w:eastAsia="宋体" w:cs="宋体"/>
          <w:color w:val="auto"/>
          <w:kern w:val="0"/>
          <w:sz w:val="24"/>
          <w:szCs w:val="24"/>
          <w:highlight w:val="none"/>
        </w:rPr>
        <w:t xml:space="preserve"> 建设内容和规模：</w:t>
      </w:r>
      <w:r>
        <w:rPr>
          <w:rStyle w:val="22"/>
          <w:rFonts w:hint="eastAsia" w:ascii="宋体" w:hAnsi="宋体" w:cs="宋体"/>
          <w:color w:val="auto"/>
          <w:sz w:val="24"/>
          <w:highlight w:val="none"/>
          <w:lang w:val="en-US" w:eastAsia="zh-CN"/>
        </w:rPr>
        <w:t>在湖口镇太和村、长市村、新湖村等5村建设道路硬化约1851.5米，新建护坡约2615米、路灯300盏、排污管3301米、烤烟房35间、地面硬化5132.53平方米、垃圾池3处、污水设施2处等。</w:t>
      </w:r>
    </w:p>
    <w:p w14:paraId="2ECD1C4F">
      <w:pPr>
        <w:pStyle w:val="29"/>
        <w:snapToGrid w:val="0"/>
        <w:spacing w:line="440" w:lineRule="atLeast"/>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 xml:space="preserve">1.1.3 </w:t>
      </w:r>
      <w:r>
        <w:rPr>
          <w:rStyle w:val="22"/>
          <w:rFonts w:hint="eastAsia" w:ascii="宋体" w:hAnsi="宋体" w:eastAsia="宋体" w:cs="宋体"/>
          <w:color w:val="auto"/>
          <w:kern w:val="0"/>
          <w:sz w:val="24"/>
          <w:szCs w:val="24"/>
          <w:highlight w:val="none"/>
        </w:rPr>
        <w:t>项目总投资</w:t>
      </w:r>
      <w:r>
        <w:rPr>
          <w:rStyle w:val="22"/>
          <w:rFonts w:hint="eastAsia" w:ascii="宋体" w:hAnsi="宋体" w:eastAsia="宋体" w:cs="宋体"/>
          <w:color w:val="auto"/>
          <w:kern w:val="0"/>
          <w:sz w:val="24"/>
          <w:szCs w:val="24"/>
          <w:highlight w:val="none"/>
          <w:lang w:eastAsia="zh-CN"/>
        </w:rPr>
        <w:t>：</w:t>
      </w:r>
      <w:r>
        <w:rPr>
          <w:rStyle w:val="22"/>
          <w:rFonts w:hint="eastAsia" w:ascii="宋体" w:hAnsi="宋体" w:cs="宋体"/>
          <w:color w:val="auto"/>
          <w:kern w:val="0"/>
          <w:sz w:val="24"/>
          <w:szCs w:val="24"/>
          <w:highlight w:val="none"/>
          <w:lang w:val="en-US" w:eastAsia="zh-CN" w:bidi="ar-SA"/>
        </w:rPr>
        <w:t>项目投资概算为7035.00万元，本次招标建安费约为1053.96万元。</w:t>
      </w:r>
    </w:p>
    <w:p w14:paraId="3AE45E5D">
      <w:pPr>
        <w:pStyle w:val="29"/>
        <w:snapToGrid w:val="0"/>
        <w:spacing w:line="440" w:lineRule="atLeast"/>
        <w:ind w:firstLine="480"/>
        <w:jc w:val="left"/>
        <w:rPr>
          <w:rStyle w:val="22"/>
          <w:rFonts w:hint="eastAsia" w:ascii="宋体" w:hAnsi="宋体" w:eastAsia="宋体" w:cs="宋体"/>
          <w:b/>
          <w:bCs/>
          <w:color w:val="auto"/>
          <w:kern w:val="0"/>
          <w:sz w:val="24"/>
          <w:szCs w:val="24"/>
          <w:highlight w:val="none"/>
        </w:rPr>
      </w:pPr>
      <w:r>
        <w:rPr>
          <w:rStyle w:val="22"/>
          <w:rFonts w:hint="eastAsia" w:ascii="宋体" w:hAnsi="宋体" w:eastAsia="宋体" w:cs="宋体"/>
          <w:b/>
          <w:bCs/>
          <w:color w:val="auto"/>
          <w:kern w:val="0"/>
          <w:sz w:val="24"/>
          <w:szCs w:val="24"/>
          <w:highlight w:val="none"/>
        </w:rPr>
        <w:t xml:space="preserve">1.2 </w:t>
      </w:r>
      <w:r>
        <w:rPr>
          <w:rStyle w:val="22"/>
          <w:rFonts w:hint="eastAsia" w:ascii="宋体" w:hAnsi="宋体" w:eastAsia="宋体" w:cs="宋体"/>
          <w:color w:val="auto"/>
          <w:kern w:val="0"/>
          <w:sz w:val="24"/>
          <w:szCs w:val="24"/>
          <w:highlight w:val="none"/>
        </w:rPr>
        <w:t>招标范围和标段划分</w:t>
      </w:r>
    </w:p>
    <w:p w14:paraId="0F0C17CF">
      <w:pPr>
        <w:pStyle w:val="29"/>
        <w:snapToGrid w:val="0"/>
        <w:spacing w:line="440" w:lineRule="atLeast"/>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1.2.1</w:t>
      </w:r>
      <w:r>
        <w:rPr>
          <w:rStyle w:val="22"/>
          <w:rFonts w:hint="eastAsia" w:ascii="宋体" w:hAnsi="宋体" w:eastAsia="宋体" w:cs="宋体"/>
          <w:color w:val="auto"/>
          <w:kern w:val="0"/>
          <w:sz w:val="24"/>
          <w:szCs w:val="24"/>
          <w:highlight w:val="none"/>
        </w:rPr>
        <w:t xml:space="preserve"> 招标范围：工程量清单及</w:t>
      </w:r>
      <w:r>
        <w:rPr>
          <w:rFonts w:hint="eastAsia" w:ascii="宋体" w:hAnsi="宋体" w:eastAsia="宋体" w:cs="宋体"/>
          <w:snapToGrid w:val="0"/>
          <w:color w:val="auto"/>
          <w:kern w:val="0"/>
          <w:sz w:val="24"/>
          <w:szCs w:val="24"/>
          <w:highlight w:val="none"/>
        </w:rPr>
        <w:t>施工图纸范围内的</w:t>
      </w:r>
      <w:r>
        <w:rPr>
          <w:rFonts w:hint="eastAsia" w:ascii="宋体" w:hAnsi="宋体" w:eastAsia="宋体" w:cs="宋体"/>
          <w:snapToGrid w:val="0"/>
          <w:color w:val="auto"/>
          <w:kern w:val="0"/>
          <w:sz w:val="24"/>
          <w:highlight w:val="none"/>
        </w:rPr>
        <w:t>所有工程</w:t>
      </w:r>
      <w:r>
        <w:rPr>
          <w:rStyle w:val="22"/>
          <w:rFonts w:hint="eastAsia" w:ascii="宋体" w:hAnsi="宋体" w:eastAsia="宋体" w:cs="宋体"/>
          <w:color w:val="auto"/>
          <w:kern w:val="0"/>
          <w:sz w:val="24"/>
          <w:szCs w:val="24"/>
          <w:highlight w:val="none"/>
        </w:rPr>
        <w:t xml:space="preserve">及配套附属工程等施工。 </w:t>
      </w:r>
    </w:p>
    <w:p w14:paraId="3C7090F1">
      <w:pPr>
        <w:pStyle w:val="26"/>
        <w:snapToGrid w:val="0"/>
        <w:spacing w:line="440" w:lineRule="exact"/>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1.2.2</w:t>
      </w:r>
      <w:r>
        <w:rPr>
          <w:rStyle w:val="22"/>
          <w:rFonts w:hint="eastAsia" w:ascii="宋体" w:hAnsi="宋体" w:eastAsia="宋体" w:cs="宋体"/>
          <w:color w:val="auto"/>
          <w:highlight w:val="none"/>
        </w:rPr>
        <w:t xml:space="preserve"> 标段划分：本项目不划分标段。</w:t>
      </w:r>
    </w:p>
    <w:p w14:paraId="6D1B52BC">
      <w:pPr>
        <w:tabs>
          <w:tab w:val="left" w:pos="7020"/>
        </w:tabs>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1.3</w:t>
      </w:r>
      <w:r>
        <w:rPr>
          <w:rStyle w:val="22"/>
          <w:rFonts w:hint="eastAsia" w:ascii="宋体" w:hAnsi="宋体" w:eastAsia="宋体" w:cs="宋体"/>
          <w:color w:val="auto"/>
          <w:kern w:val="0"/>
          <w:highlight w:val="none"/>
        </w:rPr>
        <w:t xml:space="preserve"> 投标费用：投标人应承担所有准备和参加投标的相关费用，不论投标结果如何，招标人均无义务和责任承担这些费用。</w:t>
      </w:r>
    </w:p>
    <w:p w14:paraId="0C8E41FF">
      <w:pPr>
        <w:pStyle w:val="30"/>
        <w:rPr>
          <w:rStyle w:val="22"/>
          <w:rFonts w:hint="eastAsia" w:ascii="宋体" w:hAnsi="宋体" w:eastAsia="宋体" w:cs="宋体"/>
          <w:color w:val="auto"/>
          <w:highlight w:val="none"/>
        </w:rPr>
      </w:pPr>
    </w:p>
    <w:p w14:paraId="6B98B139">
      <w:pPr>
        <w:pStyle w:val="26"/>
        <w:numPr>
          <w:ilvl w:val="0"/>
          <w:numId w:val="1"/>
        </w:numPr>
        <w:snapToGrid w:val="0"/>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投标人资格要求</w:t>
      </w:r>
    </w:p>
    <w:p w14:paraId="0248845E">
      <w:pPr>
        <w:snapToGrid w:val="0"/>
        <w:ind w:firstLine="482"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2.1</w:t>
      </w:r>
      <w:r>
        <w:rPr>
          <w:rStyle w:val="22"/>
          <w:rFonts w:hint="eastAsia" w:ascii="宋体" w:hAnsi="宋体" w:eastAsia="宋体" w:cs="宋体"/>
          <w:color w:val="auto"/>
          <w:kern w:val="0"/>
          <w:highlight w:val="none"/>
        </w:rPr>
        <w:t xml:space="preserve"> 本工程不接受联合体投标。</w:t>
      </w:r>
    </w:p>
    <w:p w14:paraId="044C7689">
      <w:pPr>
        <w:snapToGrid w:val="0"/>
        <w:ind w:firstLine="482"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2.2</w:t>
      </w:r>
      <w:r>
        <w:rPr>
          <w:rStyle w:val="22"/>
          <w:rFonts w:hint="eastAsia" w:ascii="宋体" w:hAnsi="宋体" w:eastAsia="宋体" w:cs="宋体"/>
          <w:color w:val="auto"/>
          <w:kern w:val="0"/>
          <w:highlight w:val="none"/>
        </w:rPr>
        <w:t xml:space="preserve"> 资格资质要求</w:t>
      </w:r>
    </w:p>
    <w:p w14:paraId="0864A3F8">
      <w:pPr>
        <w:pStyle w:val="29"/>
        <w:snapToGrid w:val="0"/>
        <w:spacing w:line="360" w:lineRule="auto"/>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2.2.1</w:t>
      </w:r>
      <w:r>
        <w:rPr>
          <w:rStyle w:val="22"/>
          <w:rFonts w:hint="eastAsia" w:ascii="宋体" w:hAnsi="宋体" w:eastAsia="宋体" w:cs="宋体"/>
          <w:color w:val="auto"/>
          <w:kern w:val="0"/>
          <w:sz w:val="24"/>
          <w:szCs w:val="24"/>
          <w:highlight w:val="none"/>
        </w:rPr>
        <w:t xml:space="preserve"> 投标人须具备独立法人资格，按国家法律经营。</w:t>
      </w:r>
    </w:p>
    <w:p w14:paraId="23FC90F0">
      <w:pPr>
        <w:pStyle w:val="29"/>
        <w:snapToGrid w:val="0"/>
        <w:spacing w:line="360" w:lineRule="auto"/>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2.2.2</w:t>
      </w:r>
      <w:r>
        <w:rPr>
          <w:rStyle w:val="22"/>
          <w:rFonts w:hint="eastAsia" w:ascii="宋体" w:hAnsi="宋体" w:eastAsia="宋体" w:cs="宋体"/>
          <w:color w:val="auto"/>
          <w:kern w:val="0"/>
          <w:sz w:val="24"/>
          <w:szCs w:val="24"/>
          <w:highlight w:val="none"/>
        </w:rPr>
        <w:t xml:space="preserve"> 投标人须持有建设行政主管部门颁发的企业资质证书及安全生产许可证。</w:t>
      </w:r>
    </w:p>
    <w:p w14:paraId="2035C153">
      <w:pPr>
        <w:pStyle w:val="29"/>
        <w:snapToGrid w:val="0"/>
        <w:spacing w:line="360" w:lineRule="auto"/>
        <w:ind w:firstLine="480"/>
        <w:jc w:val="left"/>
        <w:rPr>
          <w:rStyle w:val="22"/>
          <w:rFonts w:hint="eastAsia" w:ascii="宋体" w:hAnsi="宋体" w:eastAsia="宋体" w:cs="宋体"/>
          <w:color w:val="auto"/>
          <w:kern w:val="0"/>
          <w:sz w:val="24"/>
          <w:szCs w:val="24"/>
          <w:highlight w:val="none"/>
          <w:lang w:eastAsia="zh-CN"/>
        </w:rPr>
      </w:pPr>
      <w:r>
        <w:rPr>
          <w:rStyle w:val="22"/>
          <w:rFonts w:hint="eastAsia" w:ascii="宋体" w:hAnsi="宋体" w:eastAsia="宋体" w:cs="宋体"/>
          <w:b/>
          <w:bCs/>
          <w:color w:val="auto"/>
          <w:kern w:val="0"/>
          <w:sz w:val="24"/>
          <w:szCs w:val="24"/>
          <w:highlight w:val="none"/>
        </w:rPr>
        <w:t>2.2.3</w:t>
      </w:r>
      <w:r>
        <w:rPr>
          <w:rStyle w:val="22"/>
          <w:rFonts w:hint="eastAsia" w:ascii="宋体" w:hAnsi="宋体" w:eastAsia="宋体" w:cs="宋体"/>
          <w:color w:val="auto"/>
          <w:kern w:val="0"/>
          <w:sz w:val="24"/>
          <w:szCs w:val="24"/>
          <w:highlight w:val="none"/>
        </w:rPr>
        <w:t xml:space="preserve"> 投标人须具备以下资质：</w:t>
      </w:r>
      <w:r>
        <w:rPr>
          <w:rStyle w:val="22"/>
          <w:rFonts w:hint="eastAsia" w:ascii="宋体" w:hAnsi="宋体" w:cs="宋体"/>
          <w:color w:val="auto"/>
          <w:kern w:val="0"/>
          <w:sz w:val="24"/>
          <w:szCs w:val="24"/>
          <w:highlight w:val="none"/>
          <w:lang w:eastAsia="zh-CN"/>
        </w:rPr>
        <w:t>市政公用工程施工总承包</w:t>
      </w:r>
      <w:r>
        <w:rPr>
          <w:rStyle w:val="22"/>
          <w:rFonts w:hint="eastAsia" w:ascii="宋体" w:hAnsi="宋体" w:eastAsia="宋体" w:cs="宋体"/>
          <w:color w:val="auto"/>
          <w:kern w:val="0"/>
          <w:sz w:val="24"/>
          <w:szCs w:val="24"/>
          <w:highlight w:val="none"/>
          <w:lang w:eastAsia="zh-CN"/>
        </w:rPr>
        <w:t>三级以上（含三级）资质。</w:t>
      </w:r>
    </w:p>
    <w:p w14:paraId="1A9B1885">
      <w:pPr>
        <w:pStyle w:val="28"/>
        <w:wordWrap w:val="0"/>
        <w:adjustRightInd w:val="0"/>
        <w:snapToGrid w:val="0"/>
        <w:spacing w:line="360" w:lineRule="auto"/>
        <w:ind w:firstLine="480"/>
        <w:jc w:val="left"/>
        <w:rPr>
          <w:rFonts w:hint="eastAsia" w:ascii="宋体" w:hAnsi="宋体" w:eastAsia="宋体" w:cs="宋体"/>
          <w:snapToGrid w:val="0"/>
          <w:color w:val="auto"/>
          <w:kern w:val="0"/>
          <w:sz w:val="24"/>
          <w:highlight w:val="none"/>
        </w:rPr>
      </w:pPr>
      <w:r>
        <w:rPr>
          <w:rStyle w:val="22"/>
          <w:rFonts w:hint="eastAsia" w:ascii="宋体" w:hAnsi="宋体" w:eastAsia="宋体" w:cs="宋体"/>
          <w:b/>
          <w:bCs/>
          <w:color w:val="auto"/>
          <w:kern w:val="0"/>
          <w:sz w:val="24"/>
          <w:szCs w:val="24"/>
          <w:highlight w:val="none"/>
        </w:rPr>
        <w:t>2.2.4</w:t>
      </w:r>
      <w:r>
        <w:rPr>
          <w:rStyle w:val="22"/>
          <w:rFonts w:hint="eastAsia" w:ascii="宋体" w:hAnsi="宋体" w:eastAsia="宋体" w:cs="宋体"/>
          <w:color w:val="auto"/>
          <w:kern w:val="0"/>
          <w:sz w:val="24"/>
          <w:szCs w:val="24"/>
          <w:highlight w:val="none"/>
        </w:rPr>
        <w:t xml:space="preserve"> </w:t>
      </w:r>
      <w:r>
        <w:rPr>
          <w:rFonts w:hint="eastAsia" w:ascii="宋体" w:hAnsi="宋体" w:eastAsia="宋体" w:cs="宋体"/>
          <w:color w:val="auto"/>
          <w:sz w:val="24"/>
          <w:szCs w:val="24"/>
          <w:highlight w:val="none"/>
        </w:rPr>
        <w:t>根据有关文件精神，投标人的相关证书到期的，均按该证书的发证机构相关行业主管部门最新文件执行（如自动顺延或推迟办理延期业务的通知），投标人必须将相关文件附在该证书后面，证明在开标日继续有效。</w:t>
      </w:r>
    </w:p>
    <w:p w14:paraId="7F96CB0C">
      <w:pPr>
        <w:pStyle w:val="28"/>
        <w:wordWrap w:val="0"/>
        <w:adjustRightInd w:val="0"/>
        <w:snapToGrid w:val="0"/>
        <w:spacing w:line="360" w:lineRule="auto"/>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2.3</w:t>
      </w:r>
      <w:r>
        <w:rPr>
          <w:rStyle w:val="22"/>
          <w:rFonts w:hint="eastAsia" w:ascii="宋体" w:hAnsi="宋体" w:eastAsia="宋体" w:cs="宋体"/>
          <w:color w:val="auto"/>
          <w:kern w:val="0"/>
          <w:sz w:val="24"/>
          <w:szCs w:val="24"/>
          <w:highlight w:val="none"/>
        </w:rPr>
        <w:t xml:space="preserve"> 相关人员要求</w:t>
      </w:r>
    </w:p>
    <w:p w14:paraId="32096BD2">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2.3.1 </w:t>
      </w:r>
      <w:r>
        <w:rPr>
          <w:rFonts w:hint="eastAsia" w:hAnsi="宋体"/>
          <w:color w:val="auto"/>
          <w:highlight w:val="none"/>
        </w:rPr>
        <w:t>拟派项目经理为</w:t>
      </w:r>
      <w:r>
        <w:rPr>
          <w:rFonts w:hint="eastAsia" w:hAnsi="宋体"/>
          <w:color w:val="auto"/>
          <w:highlight w:val="none"/>
          <w:lang w:eastAsia="zh-CN"/>
        </w:rPr>
        <w:t>市政公用工程专业</w:t>
      </w:r>
      <w:r>
        <w:rPr>
          <w:rFonts w:hint="eastAsia" w:hAnsi="宋体"/>
          <w:color w:val="auto"/>
          <w:highlight w:val="none"/>
        </w:rPr>
        <w:t>一级或二级注册建造师，持有住建部门核准的在使用有效期内的有效电子注册证书（二级注册建造师跨地区执业必须满足广东省住建部门有关规定）。同时均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p>
    <w:p w14:paraId="4E903535">
      <w:pPr>
        <w:pStyle w:val="29"/>
        <w:snapToGrid w:val="0"/>
        <w:spacing w:line="360" w:lineRule="auto"/>
        <w:ind w:firstLine="480"/>
        <w:jc w:val="left"/>
        <w:rPr>
          <w:rStyle w:val="22"/>
          <w:rFonts w:hint="eastAsia" w:ascii="宋体" w:hAnsi="宋体" w:eastAsia="宋体" w:cs="宋体"/>
          <w:color w:val="auto"/>
          <w:kern w:val="0"/>
          <w:sz w:val="24"/>
          <w:szCs w:val="24"/>
          <w:highlight w:val="none"/>
          <w:lang w:eastAsia="zh-CN"/>
        </w:rPr>
      </w:pPr>
      <w:r>
        <w:rPr>
          <w:rStyle w:val="22"/>
          <w:rFonts w:hint="eastAsia" w:ascii="宋体" w:hAnsi="宋体" w:eastAsia="宋体" w:cs="宋体"/>
          <w:b/>
          <w:bCs/>
          <w:color w:val="auto"/>
          <w:kern w:val="0"/>
          <w:sz w:val="24"/>
          <w:szCs w:val="24"/>
          <w:highlight w:val="none"/>
        </w:rPr>
        <w:t>2.3.2</w:t>
      </w:r>
      <w:r>
        <w:rPr>
          <w:rStyle w:val="22"/>
          <w:rFonts w:hint="eastAsia" w:ascii="宋体" w:hAnsi="宋体" w:eastAsia="宋体" w:cs="宋体"/>
          <w:color w:val="auto"/>
          <w:kern w:val="0"/>
          <w:sz w:val="24"/>
          <w:szCs w:val="24"/>
          <w:highlight w:val="none"/>
        </w:rPr>
        <w:t xml:space="preserve"> 拟派项目技术负责人须具备</w:t>
      </w:r>
      <w:r>
        <w:rPr>
          <w:rStyle w:val="22"/>
          <w:rFonts w:hint="eastAsia" w:ascii="宋体" w:hAnsi="宋体" w:eastAsia="宋体" w:cs="宋体"/>
          <w:color w:val="auto"/>
          <w:kern w:val="0"/>
          <w:sz w:val="24"/>
          <w:szCs w:val="24"/>
          <w:highlight w:val="none"/>
          <w:lang w:eastAsia="zh-CN"/>
        </w:rPr>
        <w:t>中级以上（含中级）技术职称。</w:t>
      </w:r>
    </w:p>
    <w:p w14:paraId="0AE93366">
      <w:pPr>
        <w:pStyle w:val="29"/>
        <w:snapToGrid w:val="0"/>
        <w:spacing w:line="360" w:lineRule="auto"/>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2.3.3</w:t>
      </w:r>
      <w:r>
        <w:rPr>
          <w:rStyle w:val="22"/>
          <w:rFonts w:hint="eastAsia" w:ascii="宋体" w:hAnsi="宋体" w:eastAsia="宋体" w:cs="宋体"/>
          <w:color w:val="auto"/>
          <w:kern w:val="0"/>
          <w:sz w:val="24"/>
          <w:szCs w:val="24"/>
          <w:highlight w:val="none"/>
        </w:rPr>
        <w:t xml:space="preserve"> 拟派专职安全生产管理人员须具备有效安全生产考核合格证明（C证，安全生产考核合格证书或“广东省建筑施工企业管理人员安全生产考核系统”考核合格信息打印页），且不少于1人。</w:t>
      </w:r>
    </w:p>
    <w:p w14:paraId="60FDC467">
      <w:pPr>
        <w:pStyle w:val="29"/>
        <w:snapToGrid w:val="0"/>
        <w:spacing w:line="360" w:lineRule="auto"/>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2.3.4</w:t>
      </w:r>
      <w:r>
        <w:rPr>
          <w:rStyle w:val="22"/>
          <w:rFonts w:hint="eastAsia" w:ascii="宋体" w:hAnsi="宋体" w:eastAsia="宋体" w:cs="宋体"/>
          <w:color w:val="auto"/>
          <w:kern w:val="0"/>
          <w:sz w:val="24"/>
          <w:szCs w:val="24"/>
          <w:highlight w:val="none"/>
        </w:rPr>
        <w:t xml:space="preserve"> </w:t>
      </w:r>
      <w:r>
        <w:rPr>
          <w:rFonts w:hint="eastAsia" w:ascii="宋体" w:hAnsi="宋体" w:eastAsia="宋体" w:cs="宋体"/>
          <w:snapToGrid w:val="0"/>
          <w:color w:val="auto"/>
          <w:kern w:val="0"/>
          <w:sz w:val="24"/>
          <w:highlight w:val="none"/>
        </w:rPr>
        <w:t>投标人与其拟派往本项目管理机构的所有人员之间必须具备合法、唯一的劳动聘用关系。拟派人员中具备注册执业资格的，其注册单位须与投标人保持一致</w:t>
      </w:r>
      <w:r>
        <w:rPr>
          <w:rStyle w:val="22"/>
          <w:rFonts w:hint="eastAsia" w:ascii="宋体" w:hAnsi="宋体" w:eastAsia="宋体" w:cs="宋体"/>
          <w:color w:val="auto"/>
          <w:kern w:val="0"/>
          <w:sz w:val="24"/>
          <w:szCs w:val="24"/>
          <w:highlight w:val="none"/>
        </w:rPr>
        <w:t>。</w:t>
      </w:r>
    </w:p>
    <w:p w14:paraId="3D8063ED">
      <w:pPr>
        <w:pStyle w:val="29"/>
        <w:snapToGrid w:val="0"/>
        <w:spacing w:line="360" w:lineRule="auto"/>
        <w:ind w:firstLine="482" w:firstLineChars="20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2.4</w:t>
      </w:r>
      <w:r>
        <w:rPr>
          <w:rStyle w:val="22"/>
          <w:rFonts w:hint="eastAsia" w:ascii="宋体" w:hAnsi="宋体" w:eastAsia="宋体" w:cs="宋体"/>
          <w:color w:val="auto"/>
          <w:kern w:val="0"/>
          <w:sz w:val="24"/>
          <w:szCs w:val="24"/>
          <w:highlight w:val="none"/>
        </w:rPr>
        <w:t xml:space="preserve"> 禁止投标条款</w:t>
      </w:r>
    </w:p>
    <w:p w14:paraId="40F6634C">
      <w:pPr>
        <w:pStyle w:val="29"/>
        <w:snapToGrid w:val="0"/>
        <w:spacing w:line="360" w:lineRule="auto"/>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 xml:space="preserve">2.4.1 </w:t>
      </w:r>
      <w:r>
        <w:rPr>
          <w:rStyle w:val="22"/>
          <w:rFonts w:hint="eastAsia" w:ascii="宋体" w:hAnsi="宋体" w:eastAsia="宋体" w:cs="宋体"/>
          <w:color w:val="auto"/>
          <w:kern w:val="0"/>
          <w:sz w:val="24"/>
          <w:szCs w:val="24"/>
          <w:highlight w:val="none"/>
        </w:rPr>
        <w:t>投标人不得存在下列情形之一：</w:t>
      </w:r>
    </w:p>
    <w:p w14:paraId="0CCE9C21">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（1）为招标人不具有独立法人资格的附属机构（单位）；</w:t>
      </w:r>
    </w:p>
    <w:p w14:paraId="40A2CCA1">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（2）为本招标项目前期准备提供设计或咨询服务的；</w:t>
      </w:r>
    </w:p>
    <w:p w14:paraId="26C2D514">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（3）与本招标项目的其他投标人为同一个单位负责人；</w:t>
      </w:r>
    </w:p>
    <w:p w14:paraId="2F2D783E">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（4）与本招标项目的其他投标人存在控股、管理关系；</w:t>
      </w:r>
    </w:p>
    <w:p w14:paraId="75B7B27A">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（5）为本招标项目的监理人；</w:t>
      </w:r>
    </w:p>
    <w:p w14:paraId="44104489">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（6）为本招标项目的代建人；</w:t>
      </w:r>
    </w:p>
    <w:p w14:paraId="54613A9A">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（7）为本招标项目的招标代理机构；</w:t>
      </w:r>
    </w:p>
    <w:p w14:paraId="4AAF7394">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（8）与本招标项目的监理人或代建人或招标代理机构同为一个法定代表人；</w:t>
      </w:r>
    </w:p>
    <w:p w14:paraId="2C324459">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（9）与本招标项目的监理人或代建人或招标代理机构存在控股或参股关系；</w:t>
      </w:r>
    </w:p>
    <w:p w14:paraId="4E8F4EFA">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（10）与本招标项目的监理人或代建人或招标代理机构存在相互任职或工作关系；</w:t>
      </w:r>
    </w:p>
    <w:p w14:paraId="336C76B7">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（11）被依法暂停或者取消投标资格；</w:t>
      </w:r>
    </w:p>
    <w:p w14:paraId="24BF66C6">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（12）被责令停产停业、暂扣或者吊销许可证、暂扣或者吊销执照；</w:t>
      </w:r>
    </w:p>
    <w:p w14:paraId="79393BEB">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（13）进入清算程序，或被宣告破产，或其他丧失履约能力的情形；</w:t>
      </w:r>
    </w:p>
    <w:p w14:paraId="3F21B8F7">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（14）在最近三年内发生重大工程质量或安全问题（以相关行业主管部门的行政处罚决定或司法机关出具的有关法律文书为准）；</w:t>
      </w:r>
    </w:p>
    <w:p w14:paraId="0E89376B">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（15）被“信用中国”网站（https://www.creditchina.gov.cn）发布的《法人和非法人组织公共信用信息报告》列为严重失信主体名单的。</w:t>
      </w:r>
    </w:p>
    <w:p w14:paraId="563AB726">
      <w:pPr>
        <w:snapToGrid w:val="0"/>
        <w:spacing w:line="40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2.4.2</w:t>
      </w:r>
      <w:r>
        <w:rPr>
          <w:rStyle w:val="22"/>
          <w:rFonts w:hint="eastAsia" w:ascii="宋体" w:hAnsi="宋体" w:eastAsia="宋体" w:cs="宋体"/>
          <w:color w:val="auto"/>
          <w:kern w:val="0"/>
          <w:highlight w:val="none"/>
        </w:rPr>
        <w:t xml:space="preserve"> 招标人拒绝以下名单中的单位参加本次投标：</w:t>
      </w:r>
    </w:p>
    <w:tbl>
      <w:tblPr>
        <w:tblStyle w:val="18"/>
        <w:tblW w:w="8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3482"/>
        <w:gridCol w:w="4497"/>
      </w:tblGrid>
      <w:tr w14:paraId="0B5E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799" w:type="dxa"/>
            <w:noWrap w:val="0"/>
            <w:vAlign w:val="center"/>
          </w:tcPr>
          <w:p w14:paraId="4ABF5662">
            <w:pPr>
              <w:wordWrap w:val="0"/>
              <w:adjustRightInd w:val="0"/>
              <w:snapToGrid w:val="0"/>
              <w:ind w:right="-218" w:rightChars="-9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482" w:type="dxa"/>
            <w:noWrap w:val="0"/>
            <w:vAlign w:val="center"/>
          </w:tcPr>
          <w:p w14:paraId="5809F640">
            <w:pPr>
              <w:wordWrap w:val="0"/>
              <w:adjustRightInd w:val="0"/>
              <w:snapToGrid w:val="0"/>
              <w:ind w:right="-206" w:rightChars="-8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4497" w:type="dxa"/>
            <w:noWrap w:val="0"/>
            <w:vAlign w:val="center"/>
          </w:tcPr>
          <w:p w14:paraId="28EB941B">
            <w:pPr>
              <w:wordWrap w:val="0"/>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拒绝原因</w:t>
            </w:r>
          </w:p>
        </w:tc>
      </w:tr>
      <w:tr w14:paraId="1563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99" w:type="dxa"/>
            <w:noWrap w:val="0"/>
            <w:vAlign w:val="center"/>
          </w:tcPr>
          <w:p w14:paraId="0CACD306">
            <w:pPr>
              <w:pStyle w:val="28"/>
              <w:wordWrap w:val="0"/>
              <w:adjustRightInd w:val="0"/>
              <w:snapToGrid w:val="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3482" w:type="dxa"/>
            <w:noWrap w:val="0"/>
            <w:vAlign w:val="center"/>
          </w:tcPr>
          <w:p w14:paraId="4E8BBD34">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lang w:eastAsia="zh-CN"/>
              </w:rPr>
            </w:pPr>
            <w:r>
              <w:rPr>
                <w:rFonts w:hint="eastAsia" w:hAnsi="宋体" w:cs="宋体"/>
                <w:snapToGrid w:val="0"/>
                <w:color w:val="auto"/>
                <w:kern w:val="0"/>
                <w:sz w:val="24"/>
                <w:szCs w:val="24"/>
                <w:highlight w:val="none"/>
                <w:lang w:eastAsia="zh-CN"/>
              </w:rPr>
              <w:t>南雄市湖口镇人民政府</w:t>
            </w:r>
          </w:p>
        </w:tc>
        <w:tc>
          <w:tcPr>
            <w:tcW w:w="4497" w:type="dxa"/>
            <w:noWrap w:val="0"/>
            <w:vAlign w:val="center"/>
          </w:tcPr>
          <w:p w14:paraId="5AA5ABE8">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为本招标项目的招标人</w:t>
            </w:r>
          </w:p>
        </w:tc>
      </w:tr>
      <w:tr w14:paraId="196E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99" w:type="dxa"/>
            <w:shd w:val="clear" w:color="auto" w:fill="auto"/>
            <w:noWrap w:val="0"/>
            <w:vAlign w:val="center"/>
          </w:tcPr>
          <w:p w14:paraId="2AA4E8EF">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2</w:t>
            </w:r>
          </w:p>
        </w:tc>
        <w:tc>
          <w:tcPr>
            <w:tcW w:w="3482" w:type="dxa"/>
            <w:noWrap w:val="0"/>
            <w:vAlign w:val="center"/>
          </w:tcPr>
          <w:p w14:paraId="7287DB2C">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hAnsi="宋体" w:cs="宋体"/>
                <w:snapToGrid w:val="0"/>
                <w:color w:val="auto"/>
                <w:kern w:val="0"/>
                <w:sz w:val="24"/>
                <w:szCs w:val="24"/>
                <w:highlight w:val="none"/>
                <w:lang w:eastAsia="zh-CN"/>
              </w:rPr>
            </w:pPr>
            <w:r>
              <w:rPr>
                <w:rFonts w:hint="eastAsia" w:hAnsi="宋体" w:cs="宋体"/>
                <w:snapToGrid w:val="0"/>
                <w:color w:val="auto"/>
                <w:kern w:val="0"/>
                <w:sz w:val="24"/>
                <w:szCs w:val="24"/>
                <w:highlight w:val="none"/>
                <w:lang w:eastAsia="zh-CN"/>
              </w:rPr>
              <w:t>南雄市农业农村局</w:t>
            </w:r>
          </w:p>
        </w:tc>
        <w:tc>
          <w:tcPr>
            <w:tcW w:w="4497" w:type="dxa"/>
            <w:noWrap w:val="0"/>
            <w:vAlign w:val="center"/>
          </w:tcPr>
          <w:p w14:paraId="3C4B163C">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为本招标项目</w:t>
            </w:r>
            <w:r>
              <w:rPr>
                <w:rFonts w:hint="eastAsia" w:ascii="宋体" w:hAnsi="宋体" w:cs="宋体"/>
                <w:snapToGrid w:val="0"/>
                <w:color w:val="auto"/>
                <w:kern w:val="0"/>
                <w:sz w:val="24"/>
                <w:szCs w:val="24"/>
                <w:highlight w:val="none"/>
                <w:lang w:val="en-US" w:eastAsia="zh-CN"/>
              </w:rPr>
              <w:t>业主</w:t>
            </w:r>
          </w:p>
        </w:tc>
      </w:tr>
      <w:tr w14:paraId="44C6E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799" w:type="dxa"/>
            <w:shd w:val="clear" w:color="auto" w:fill="auto"/>
            <w:noWrap w:val="0"/>
            <w:vAlign w:val="center"/>
          </w:tcPr>
          <w:p w14:paraId="3149D33D">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3</w:t>
            </w:r>
          </w:p>
        </w:tc>
        <w:tc>
          <w:tcPr>
            <w:tcW w:w="3482" w:type="dxa"/>
            <w:noWrap w:val="0"/>
            <w:vAlign w:val="center"/>
          </w:tcPr>
          <w:p w14:paraId="260F4DF5">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hAnsi="宋体" w:cs="宋体"/>
                <w:snapToGrid w:val="0"/>
                <w:color w:val="auto"/>
                <w:kern w:val="0"/>
                <w:sz w:val="24"/>
                <w:szCs w:val="24"/>
                <w:highlight w:val="none"/>
                <w:lang w:eastAsia="zh-CN"/>
              </w:rPr>
              <w:t>农业农村部规划设计研究院</w:t>
            </w:r>
          </w:p>
        </w:tc>
        <w:tc>
          <w:tcPr>
            <w:tcW w:w="4497" w:type="dxa"/>
            <w:noWrap w:val="0"/>
            <w:vAlign w:val="center"/>
          </w:tcPr>
          <w:p w14:paraId="482DFCC8">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为本招标项目的可行性研究报告编制单位</w:t>
            </w:r>
          </w:p>
        </w:tc>
      </w:tr>
      <w:tr w14:paraId="5FDC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99" w:type="dxa"/>
            <w:shd w:val="clear" w:color="auto" w:fill="auto"/>
            <w:noWrap w:val="0"/>
            <w:vAlign w:val="center"/>
          </w:tcPr>
          <w:p w14:paraId="24F12459">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w:t>
            </w:r>
          </w:p>
        </w:tc>
        <w:tc>
          <w:tcPr>
            <w:tcW w:w="3482" w:type="dxa"/>
            <w:noWrap w:val="0"/>
            <w:vAlign w:val="center"/>
          </w:tcPr>
          <w:p w14:paraId="644F00A2">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中元天纬集团有限公司</w:t>
            </w:r>
          </w:p>
        </w:tc>
        <w:tc>
          <w:tcPr>
            <w:tcW w:w="4497" w:type="dxa"/>
            <w:noWrap w:val="0"/>
            <w:vAlign w:val="center"/>
          </w:tcPr>
          <w:p w14:paraId="0DA95797">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勘察单位</w:t>
            </w:r>
          </w:p>
        </w:tc>
      </w:tr>
      <w:tr w14:paraId="7DE53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799" w:type="dxa"/>
            <w:shd w:val="clear" w:color="auto" w:fill="auto"/>
            <w:noWrap w:val="0"/>
            <w:vAlign w:val="center"/>
          </w:tcPr>
          <w:p w14:paraId="3B09CA82">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w:t>
            </w:r>
          </w:p>
        </w:tc>
        <w:tc>
          <w:tcPr>
            <w:tcW w:w="3482" w:type="dxa"/>
            <w:noWrap w:val="0"/>
            <w:vAlign w:val="center"/>
          </w:tcPr>
          <w:p w14:paraId="434AC6B3">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hAnsi="宋体" w:cs="宋体"/>
                <w:snapToGrid w:val="0"/>
                <w:color w:val="auto"/>
                <w:kern w:val="0"/>
                <w:szCs w:val="24"/>
                <w:highlight w:val="none"/>
                <w:lang w:eastAsia="zh-CN"/>
              </w:rPr>
              <w:t>汉宸国际工程设计集团有限公司</w:t>
            </w:r>
          </w:p>
        </w:tc>
        <w:tc>
          <w:tcPr>
            <w:tcW w:w="4497" w:type="dxa"/>
            <w:noWrap w:val="0"/>
            <w:vAlign w:val="center"/>
          </w:tcPr>
          <w:p w14:paraId="38CA7977">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设计单位</w:t>
            </w:r>
            <w:r>
              <w:rPr>
                <w:rFonts w:hint="eastAsia" w:ascii="宋体" w:hAnsi="宋体" w:cs="宋体"/>
                <w:snapToGrid w:val="0"/>
                <w:color w:val="auto"/>
                <w:kern w:val="0"/>
                <w:sz w:val="24"/>
                <w:szCs w:val="24"/>
                <w:highlight w:val="none"/>
                <w:lang w:val="en-US" w:eastAsia="zh-CN"/>
              </w:rPr>
              <w:t>、本招标项目的造价咨询单位</w:t>
            </w:r>
          </w:p>
        </w:tc>
      </w:tr>
      <w:tr w14:paraId="61133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99" w:type="dxa"/>
            <w:shd w:val="clear" w:color="auto" w:fill="auto"/>
            <w:noWrap w:val="0"/>
            <w:vAlign w:val="center"/>
          </w:tcPr>
          <w:p w14:paraId="054A56C0">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6</w:t>
            </w:r>
          </w:p>
        </w:tc>
        <w:tc>
          <w:tcPr>
            <w:tcW w:w="3482" w:type="dxa"/>
            <w:shd w:val="clear" w:color="auto" w:fill="auto"/>
            <w:noWrap w:val="0"/>
            <w:vAlign w:val="center"/>
          </w:tcPr>
          <w:p w14:paraId="3C89C298">
            <w:pPr>
              <w:snapToGrid w:val="0"/>
              <w:spacing w:line="240" w:lineRule="auto"/>
              <w:jc w:val="center"/>
              <w:rPr>
                <w:rFonts w:hint="default" w:ascii="宋体" w:hAnsi="宋体" w:eastAsia="宋体" w:cs="宋体"/>
                <w:color w:val="auto"/>
                <w:kern w:val="0"/>
                <w:sz w:val="24"/>
                <w:szCs w:val="24"/>
                <w:highlight w:val="none"/>
                <w:lang w:val="en-US" w:eastAsia="zh-CN" w:bidi="ar-SA"/>
              </w:rPr>
            </w:pPr>
            <w:r>
              <w:rPr>
                <w:rFonts w:hint="eastAsia" w:hAnsi="宋体" w:cs="宋体"/>
                <w:bCs/>
                <w:snapToGrid w:val="0"/>
                <w:color w:val="auto"/>
                <w:kern w:val="0"/>
                <w:sz w:val="24"/>
                <w:szCs w:val="24"/>
                <w:highlight w:val="none"/>
                <w:lang w:val="en-US" w:eastAsia="zh-CN"/>
              </w:rPr>
              <w:t>待定</w:t>
            </w:r>
          </w:p>
        </w:tc>
        <w:tc>
          <w:tcPr>
            <w:tcW w:w="4497" w:type="dxa"/>
            <w:noWrap w:val="0"/>
            <w:vAlign w:val="center"/>
          </w:tcPr>
          <w:p w14:paraId="3D10CDC5">
            <w:pPr>
              <w:pStyle w:val="28"/>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监理单位</w:t>
            </w:r>
          </w:p>
        </w:tc>
      </w:tr>
      <w:tr w14:paraId="30B7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99" w:type="dxa"/>
            <w:shd w:val="clear" w:color="auto" w:fill="auto"/>
            <w:noWrap w:val="0"/>
            <w:vAlign w:val="center"/>
          </w:tcPr>
          <w:p w14:paraId="1475A6B6">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7</w:t>
            </w:r>
          </w:p>
        </w:tc>
        <w:tc>
          <w:tcPr>
            <w:tcW w:w="3482" w:type="dxa"/>
            <w:noWrap w:val="0"/>
            <w:vAlign w:val="center"/>
          </w:tcPr>
          <w:p w14:paraId="2A541B6D">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default" w:ascii="宋体" w:hAnsi="宋体" w:eastAsia="宋体" w:cs="宋体"/>
                <w:color w:val="auto"/>
                <w:sz w:val="24"/>
                <w:szCs w:val="24"/>
                <w:highlight w:val="none"/>
                <w:lang w:val="en-US" w:eastAsia="zh-CN"/>
              </w:rPr>
            </w:pPr>
            <w:r>
              <w:rPr>
                <w:rFonts w:hint="eastAsia" w:hAnsi="宋体" w:cs="宋体"/>
                <w:snapToGrid w:val="0"/>
                <w:color w:val="auto"/>
                <w:kern w:val="0"/>
                <w:sz w:val="24"/>
                <w:szCs w:val="24"/>
                <w:highlight w:val="none"/>
                <w:lang w:eastAsia="zh-CN"/>
              </w:rPr>
              <w:t>海通国际设计有限公司</w:t>
            </w:r>
          </w:p>
        </w:tc>
        <w:tc>
          <w:tcPr>
            <w:tcW w:w="4497" w:type="dxa"/>
            <w:noWrap w:val="0"/>
            <w:vAlign w:val="center"/>
          </w:tcPr>
          <w:p w14:paraId="3613A462">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为本招标项目的招标代理机构</w:t>
            </w:r>
          </w:p>
        </w:tc>
      </w:tr>
      <w:tr w14:paraId="2827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799" w:type="dxa"/>
            <w:noWrap w:val="0"/>
            <w:vAlign w:val="center"/>
          </w:tcPr>
          <w:p w14:paraId="4274CF4C">
            <w:pPr>
              <w:pStyle w:val="28"/>
              <w:wordWrap w:val="0"/>
              <w:adjustRightInd w:val="0"/>
              <w:snapToGrid w:val="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3482" w:type="dxa"/>
            <w:noWrap w:val="0"/>
            <w:vAlign w:val="center"/>
          </w:tcPr>
          <w:p w14:paraId="5D5FD5D7">
            <w:pPr>
              <w:wordWrap w:val="0"/>
              <w:adjustRightInd w:val="0"/>
              <w:snapToGrid w:val="0"/>
              <w:spacing w:line="400" w:lineRule="exact"/>
              <w:jc w:val="center"/>
              <w:rPr>
                <w:rFonts w:hint="eastAsia" w:ascii="宋体" w:hAnsi="宋体" w:eastAsia="宋体" w:cs="宋体"/>
                <w:color w:val="auto"/>
                <w:sz w:val="24"/>
                <w:szCs w:val="24"/>
                <w:highlight w:val="none"/>
                <w:lang w:eastAsia="zh-CN"/>
              </w:rPr>
            </w:pPr>
            <w:r>
              <w:rPr>
                <w:rFonts w:hint="eastAsia" w:hAnsi="宋体" w:cs="宋体"/>
                <w:snapToGrid w:val="0"/>
                <w:color w:val="auto"/>
                <w:kern w:val="0"/>
                <w:szCs w:val="24"/>
                <w:highlight w:val="none"/>
              </w:rPr>
              <w:t>无</w:t>
            </w:r>
          </w:p>
        </w:tc>
        <w:tc>
          <w:tcPr>
            <w:tcW w:w="4497" w:type="dxa"/>
            <w:noWrap w:val="0"/>
            <w:vAlign w:val="center"/>
          </w:tcPr>
          <w:p w14:paraId="3122757A">
            <w:pPr>
              <w:wordWrap w:val="0"/>
              <w:adjustRightInd w:val="0"/>
              <w:snapToGrid w:val="0"/>
              <w:spacing w:line="400" w:lineRule="exact"/>
              <w:jc w:val="center"/>
              <w:rPr>
                <w:rFonts w:hint="eastAsia" w:ascii="宋体" w:hAnsi="宋体" w:eastAsia="宋体" w:cs="宋体"/>
                <w:color w:val="auto"/>
                <w:sz w:val="24"/>
                <w:szCs w:val="24"/>
                <w:highlight w:val="none"/>
              </w:rPr>
            </w:pPr>
            <w:r>
              <w:rPr>
                <w:rFonts w:hint="eastAsia" w:hAnsi="宋体" w:cs="宋体"/>
                <w:snapToGrid w:val="0"/>
                <w:color w:val="auto"/>
                <w:kern w:val="0"/>
                <w:szCs w:val="24"/>
                <w:highlight w:val="none"/>
              </w:rPr>
              <w:t>为本招标项目上一次招标的中标人，但无正当理由不签订合同，被招标人书面拒绝再次投标。</w:t>
            </w:r>
          </w:p>
        </w:tc>
      </w:tr>
    </w:tbl>
    <w:p w14:paraId="21EDBD9B">
      <w:pPr>
        <w:snapToGrid w:val="0"/>
        <w:spacing w:line="400" w:lineRule="exact"/>
        <w:ind w:firstLine="480" w:firstLineChars="200"/>
        <w:rPr>
          <w:rStyle w:val="22"/>
          <w:rFonts w:hint="eastAsia" w:ascii="宋体" w:hAnsi="宋体" w:eastAsia="宋体" w:cs="宋体"/>
          <w:color w:val="auto"/>
          <w:kern w:val="0"/>
          <w:highlight w:val="none"/>
        </w:rPr>
      </w:pPr>
    </w:p>
    <w:p w14:paraId="6C760EBD">
      <w:pPr>
        <w:pStyle w:val="29"/>
        <w:snapToGrid w:val="0"/>
        <w:spacing w:line="360" w:lineRule="auto"/>
        <w:ind w:firstLine="482" w:firstLineChars="20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2.5</w:t>
      </w:r>
      <w:r>
        <w:rPr>
          <w:rStyle w:val="22"/>
          <w:rFonts w:hint="eastAsia" w:ascii="宋体" w:hAnsi="宋体" w:eastAsia="宋体" w:cs="宋体"/>
          <w:color w:val="auto"/>
          <w:kern w:val="0"/>
          <w:sz w:val="24"/>
          <w:szCs w:val="24"/>
          <w:highlight w:val="none"/>
        </w:rPr>
        <w:t xml:space="preserve"> 其他要求</w:t>
      </w:r>
    </w:p>
    <w:p w14:paraId="2E79455B">
      <w:pPr>
        <w:pStyle w:val="29"/>
        <w:snapToGrid w:val="0"/>
        <w:spacing w:line="360" w:lineRule="auto"/>
        <w:ind w:firstLine="480" w:firstLineChars="20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26F5240B">
      <w:pPr>
        <w:pStyle w:val="29"/>
        <w:snapToGrid w:val="0"/>
        <w:spacing w:line="360" w:lineRule="auto"/>
        <w:ind w:firstLine="422" w:firstLineChars="200"/>
        <w:jc w:val="left"/>
        <w:rPr>
          <w:rStyle w:val="22"/>
          <w:rFonts w:hint="eastAsia" w:ascii="宋体" w:hAnsi="宋体" w:eastAsia="宋体" w:cs="宋体"/>
          <w:b/>
          <w:bCs/>
          <w:strike/>
          <w:dstrike w:val="0"/>
          <w:color w:val="auto"/>
          <w:kern w:val="0"/>
          <w:highlight w:val="none"/>
        </w:rPr>
      </w:pPr>
    </w:p>
    <w:p w14:paraId="352E2C7A">
      <w:pPr>
        <w:pStyle w:val="26"/>
        <w:numPr>
          <w:ilvl w:val="0"/>
          <w:numId w:val="1"/>
        </w:numPr>
        <w:snapToGrid w:val="0"/>
        <w:ind w:firstLine="480"/>
        <w:jc w:val="both"/>
        <w:rPr>
          <w:rStyle w:val="22"/>
          <w:rFonts w:hint="eastAsia" w:ascii="宋体" w:hAnsi="宋体" w:eastAsia="宋体" w:cs="宋体"/>
          <w:b/>
          <w:bCs/>
          <w:color w:val="auto"/>
          <w:highlight w:val="none"/>
        </w:rPr>
      </w:pPr>
      <w:r>
        <w:rPr>
          <w:rFonts w:hint="eastAsia" w:ascii="宋体" w:hAnsi="宋体" w:eastAsia="宋体" w:cs="宋体"/>
          <w:b/>
          <w:snapToGrid w:val="0"/>
          <w:color w:val="auto"/>
          <w:highlight w:val="none"/>
        </w:rPr>
        <w:t>招标文件的获取、提问和答疑</w:t>
      </w:r>
    </w:p>
    <w:p w14:paraId="072F78CC">
      <w:pPr>
        <w:keepNext w:val="0"/>
        <w:keepLines w:val="0"/>
        <w:pageBreakBefore w:val="0"/>
        <w:widowControl w:val="0"/>
        <w:tabs>
          <w:tab w:val="left" w:pos="7020"/>
        </w:tabs>
        <w:kinsoku/>
        <w:wordWrap w:val="0"/>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3.1 </w:t>
      </w:r>
      <w:r>
        <w:rPr>
          <w:rFonts w:hint="eastAsia" w:ascii="宋体" w:hAnsi="宋体" w:eastAsia="宋体" w:cs="宋体"/>
          <w:snapToGrid w:val="0"/>
          <w:color w:val="auto"/>
          <w:kern w:val="0"/>
          <w:sz w:val="24"/>
          <w:szCs w:val="24"/>
          <w:highlight w:val="none"/>
        </w:rPr>
        <w:t>本次招标实行电子投标。本项目招标文件随招标公告一并在广东省招标投标监管网（</w:t>
      </w:r>
      <w:r>
        <w:rPr>
          <w:rFonts w:hint="eastAsia" w:ascii="宋体" w:hAnsi="宋体" w:eastAsia="宋体" w:cs="宋体"/>
          <w:snapToGrid w:val="0"/>
          <w:color w:val="auto"/>
          <w:kern w:val="0"/>
          <w:sz w:val="24"/>
          <w:szCs w:val="24"/>
          <w:highlight w:val="none"/>
          <w:lang w:eastAsia="zh-CN"/>
        </w:rPr>
        <w:t>http：//zbtb.gd.gov.cn</w:t>
      </w:r>
      <w:r>
        <w:rPr>
          <w:rFonts w:hint="eastAsia" w:ascii="宋体" w:hAnsi="宋体" w:eastAsia="宋体" w:cs="宋体"/>
          <w:snapToGrid w:val="0"/>
          <w:color w:val="auto"/>
          <w:kern w:val="0"/>
          <w:sz w:val="24"/>
          <w:szCs w:val="24"/>
          <w:highlight w:val="none"/>
        </w:rPr>
        <w:t>）、全国公共资源交易平台（广东省·韶关市）（https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网站发布。招标文件一经广东省招标投标监管网、全国公共资源交易平台（广东省·韶关市）发布，视为发送投标人，招标文件及相关附件由投标人自行在全国公共资源交易平台（广东省·韶关市）网站下载。请于招标文件获取期间,（</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“重要事项时间地点一览表”）招标文件获取期间与招标公告发布时间一致，投标人须登录全国公共资源交易平台（广东省·韶关市）（https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//ygp.gdzwfw.gov.cn/ggzy-portal/#/440200/index），使用新建设工程交易系统进行下载招标文件及相关附件，并于电子投标截止时间（</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“重要事项时间地点一览表”）前完成电子投标。投标人可登录全国公共资源交易平台（广东省·韶关市）（https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在【服务指南】栏目中下载《韶关市公共资源建设工程交易系统-投标人操作指南（电子评标）V1.3》，了解网上获取招标文件操作流程。技术咨询电话：18819797080/0751-8379671伍先生，业务咨询电话：0751-8633211、8633071。</w:t>
      </w:r>
    </w:p>
    <w:p w14:paraId="6A094B3B">
      <w:pPr>
        <w:keepNext w:val="0"/>
        <w:keepLines w:val="0"/>
        <w:pageBreakBefore w:val="0"/>
        <w:widowControl w:val="0"/>
        <w:tabs>
          <w:tab w:val="left" w:pos="7020"/>
        </w:tabs>
        <w:kinsoku/>
        <w:wordWrap w:val="0"/>
        <w:overflowPunct/>
        <w:topLinePunct w:val="0"/>
        <w:autoSpaceDE/>
        <w:autoSpaceDN/>
        <w:bidi w:val="0"/>
        <w:adjustRightInd/>
        <w:snapToGrid/>
        <w:spacing w:line="40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3.2 </w:t>
      </w:r>
      <w:r>
        <w:rPr>
          <w:rFonts w:hint="eastAsia" w:ascii="宋体" w:hAnsi="宋体" w:eastAsia="宋体" w:cs="宋体"/>
          <w:snapToGrid w:val="0"/>
          <w:color w:val="auto"/>
          <w:kern w:val="0"/>
          <w:sz w:val="24"/>
          <w:szCs w:val="24"/>
          <w:highlight w:val="none"/>
        </w:rPr>
        <w:t>只有申领了数字证书（CA）、“粤企签”或GDCA/SZCA/NETCA等符合法律法规规定的电子印章，并在交易系统中完成企业信息数据入库的投标人，方可使用建设工程交易系统进行招标文件及附件获取和电子投标。</w:t>
      </w:r>
    </w:p>
    <w:p w14:paraId="0A169CFC">
      <w:pPr>
        <w:keepNext w:val="0"/>
        <w:keepLines w:val="0"/>
        <w:pageBreakBefore w:val="0"/>
        <w:widowControl w:val="0"/>
        <w:tabs>
          <w:tab w:val="left" w:pos="7020"/>
        </w:tabs>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首次在韶关市参与建设工程招标投标活动的投标人，必须在平台系统上传企业相关资料办理企业入库事宜。投标人可登录全国公共资源交易平台（广东省·韶关市）（https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//ygp.gdzwfw.gov.cn/ggzy-portal/#/440200/index）办理办理企业入库、数字证书及电子印章事宜，具体请在平台查阅相应的交易指引。</w:t>
      </w:r>
    </w:p>
    <w:p w14:paraId="40F79684">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已入库企业有关信息（如单位名称、基本账号、资质、人员等）发生变化的，须及时在交易系统进行相应变更。投标人未及时变更信息而造成的损失和后果，由投标人自行承担。</w:t>
      </w:r>
    </w:p>
    <w:p w14:paraId="318FEE29">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0" w:firstLineChars="200"/>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73A964DC">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2" w:firstLineChars="20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投标保证</w:t>
      </w:r>
    </w:p>
    <w:p w14:paraId="2DAC3D36">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3.3.1</w:t>
      </w:r>
      <w:r>
        <w:rPr>
          <w:rFonts w:hint="eastAsia" w:ascii="宋体" w:hAnsi="宋体" w:eastAsia="宋体" w:cs="宋体"/>
          <w:snapToGrid w:val="0"/>
          <w:color w:val="auto"/>
          <w:kern w:val="0"/>
          <w:sz w:val="24"/>
          <w:szCs w:val="24"/>
          <w:highlight w:val="none"/>
        </w:rPr>
        <w:t xml:space="preserve"> 投标人须缴纳金额为人民币</w:t>
      </w:r>
      <w:r>
        <w:rPr>
          <w:rFonts w:hint="eastAsia" w:hAnsi="宋体" w:cs="宋体"/>
          <w:snapToGrid w:val="0"/>
          <w:color w:val="auto"/>
          <w:kern w:val="0"/>
          <w:sz w:val="24"/>
          <w:szCs w:val="24"/>
          <w:highlight w:val="none"/>
          <w:u w:val="single"/>
          <w:lang w:val="en-US" w:eastAsia="zh-CN"/>
        </w:rPr>
        <w:t>伍</w:t>
      </w:r>
      <w:r>
        <w:rPr>
          <w:rFonts w:hint="eastAsia" w:ascii="宋体" w:hAnsi="宋体" w:eastAsia="宋体" w:cs="宋体"/>
          <w:snapToGrid w:val="0"/>
          <w:color w:val="auto"/>
          <w:kern w:val="0"/>
          <w:sz w:val="24"/>
          <w:szCs w:val="24"/>
          <w:highlight w:val="none"/>
          <w:u w:val="single"/>
          <w:lang w:val="en-US" w:eastAsia="zh-CN"/>
        </w:rPr>
        <w:t>万元整</w:t>
      </w:r>
      <w:r>
        <w:rPr>
          <w:rFonts w:hint="eastAsia" w:ascii="宋体" w:hAnsi="宋体" w:eastAsia="宋体" w:cs="宋体"/>
          <w:snapToGrid w:val="0"/>
          <w:color w:val="auto"/>
          <w:kern w:val="0"/>
          <w:sz w:val="24"/>
          <w:szCs w:val="24"/>
          <w:highlight w:val="none"/>
        </w:rPr>
        <w:t>的投标保证。</w:t>
      </w:r>
    </w:p>
    <w:p w14:paraId="3E0F88B0">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3.3.2</w:t>
      </w:r>
      <w:r>
        <w:rPr>
          <w:rFonts w:hint="eastAsia" w:ascii="宋体" w:hAnsi="宋体" w:eastAsia="宋体" w:cs="宋体"/>
          <w:snapToGrid w:val="0"/>
          <w:color w:val="auto"/>
          <w:kern w:val="0"/>
          <w:sz w:val="24"/>
          <w:szCs w:val="24"/>
          <w:highlight w:val="none"/>
        </w:rPr>
        <w:t xml:space="preserve"> 投标保证的形式包括投标保证金、投标保证担保、投标保证保险三种，由投标人自主选择。</w:t>
      </w:r>
    </w:p>
    <w:p w14:paraId="0E7A52D0">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（1）采用投标保证金的，投标人在建设工程交易系统获取招标文件完毕后，即可在系统申请缴纳投标保证金，获取本次招标投标保证金缴纳账号。投标人必须于投标保证金到账截止时间（</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“重要事项时间地点一览表”）前，从其基本账户将投标保证金转账到指定的缴纳账号。逾期到账的、从非投标人基本账户转出的，其投标无效。</w:t>
      </w:r>
    </w:p>
    <w:p w14:paraId="6D972FAA">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（2）采用投标保证担保的，投标人应提交有效的电子保函或保证保险，电子保函或保证保险的有效期不得短于投标有效期。投标人必须在投标保证担保截止时间（详</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“重要事项时间地点一览表”）前，使用工程建设交易系统完成网上办理电子保函或保证保险。</w:t>
      </w:r>
    </w:p>
    <w:p w14:paraId="45CF8986">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0" w:firstLineChars="2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（3）采用投标保证保险的，投标人须在投标保证保险投保截止时间（</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前，使用建设工程交易系统完成网上投保。投标人可在系统选择保险机构、录入投保信息、支付保费、打印电子保单，电子保单的有效期不得短于投标有效期。投标人可登录投标人可登录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//ygp.gdzwfw.gov.cn/ggzy-portal/#/440200/index），在【服务指南】栏目中下载《韶关市公共资源建设工程交易系统-投标人操作指南（电子评标）V1.3》，了解网上投保具体操作流程。逾期投保的，其投标无效。</w:t>
      </w:r>
    </w:p>
    <w:p w14:paraId="17637274">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温馨提</w:t>
      </w:r>
      <w:r>
        <w:rPr>
          <w:rFonts w:hint="eastAsia" w:ascii="宋体" w:hAnsi="宋体" w:eastAsia="宋体" w:cs="宋体"/>
          <w:snapToGrid w:val="0"/>
          <w:color w:val="auto"/>
          <w:kern w:val="0"/>
          <w:sz w:val="24"/>
          <w:szCs w:val="24"/>
          <w:highlight w:val="none"/>
          <w:lang w:eastAsia="zh-CN"/>
        </w:rPr>
        <w:t>示</w:t>
      </w:r>
      <w:r>
        <w:rPr>
          <w:rFonts w:hint="eastAsia" w:ascii="宋体" w:hAnsi="宋体" w:eastAsia="宋体" w:cs="宋体"/>
          <w:snapToGrid w:val="0"/>
          <w:color w:val="auto"/>
          <w:kern w:val="0"/>
          <w:sz w:val="24"/>
          <w:szCs w:val="24"/>
          <w:highlight w:val="none"/>
        </w:rPr>
        <w:t>：1.投标人采用投标保证担保或投标保证保险的，为避免在评标过程中因有效期发生争议，建议投标人将银行保函或电子保单有效期设置为较招标文件规定的投标有效期延长不少于20个日历天。</w:t>
      </w:r>
    </w:p>
    <w:p w14:paraId="43C8285A">
      <w:pPr>
        <w:pStyle w:val="5"/>
        <w:keepNext w:val="0"/>
        <w:keepLines w:val="0"/>
        <w:pageBreakBefore w:val="0"/>
        <w:widowControl w:val="0"/>
        <w:kinsoku/>
        <w:overflowPunct/>
        <w:topLinePunct w:val="0"/>
        <w:autoSpaceDE/>
        <w:autoSpaceDN/>
        <w:bidi w:val="0"/>
        <w:adjustRightInd/>
        <w:snapToGrid/>
        <w:spacing w:line="420" w:lineRule="exact"/>
        <w:ind w:firstLine="482" w:firstLineChars="200"/>
        <w:rPr>
          <w:rFonts w:hint="eastAsia" w:ascii="宋体" w:hAnsi="宋体" w:eastAsia="宋体" w:cs="宋体"/>
          <w:snapToGrid w:val="0"/>
          <w:color w:val="auto"/>
          <w:sz w:val="24"/>
          <w:szCs w:val="24"/>
          <w:highlight w:val="none"/>
        </w:rPr>
      </w:pPr>
      <w:r>
        <w:rPr>
          <w:rFonts w:hint="eastAsia" w:ascii="宋体" w:hAnsi="宋体" w:eastAsia="宋体" w:cs="宋体"/>
          <w:b/>
          <w:bCs/>
          <w:snapToGrid w:val="0"/>
          <w:color w:val="auto"/>
          <w:sz w:val="24"/>
          <w:szCs w:val="24"/>
          <w:highlight w:val="none"/>
        </w:rPr>
        <w:t>3.4</w:t>
      </w:r>
      <w:r>
        <w:rPr>
          <w:rFonts w:hint="eastAsia" w:ascii="宋体" w:hAnsi="宋体" w:eastAsia="宋体" w:cs="宋体"/>
          <w:snapToGrid w:val="0"/>
          <w:color w:val="auto"/>
          <w:sz w:val="24"/>
          <w:szCs w:val="24"/>
          <w:highlight w:val="none"/>
        </w:rPr>
        <w:t xml:space="preserve"> 若投标人因自身原因未能正确获取招标文件、电子投标、缴纳投标保证的，其投标无效。</w:t>
      </w:r>
    </w:p>
    <w:p w14:paraId="4C77049B">
      <w:pPr>
        <w:tabs>
          <w:tab w:val="left" w:pos="7020"/>
        </w:tabs>
        <w:snapToGrid w:val="0"/>
        <w:spacing w:line="440" w:lineRule="exact"/>
        <w:ind w:firstLine="482" w:firstLineChars="200"/>
        <w:rPr>
          <w:rStyle w:val="22"/>
          <w:rFonts w:hint="eastAsia" w:ascii="宋体" w:hAnsi="宋体" w:eastAsia="宋体" w:cs="宋体"/>
          <w:b/>
          <w:bCs/>
          <w:color w:val="auto"/>
          <w:kern w:val="0"/>
          <w:highlight w:val="none"/>
        </w:rPr>
      </w:pPr>
    </w:p>
    <w:p w14:paraId="67D108BE">
      <w:pPr>
        <w:pStyle w:val="26"/>
        <w:numPr>
          <w:ilvl w:val="0"/>
          <w:numId w:val="1"/>
        </w:numPr>
        <w:snapToGrid w:val="0"/>
        <w:spacing w:line="440" w:lineRule="exact"/>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工期要求</w:t>
      </w:r>
    </w:p>
    <w:p w14:paraId="465A1B6D">
      <w:pPr>
        <w:tabs>
          <w:tab w:val="left" w:pos="7020"/>
        </w:tabs>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hAnsi="宋体"/>
          <w:color w:val="auto"/>
          <w:kern w:val="0"/>
          <w:highlight w:val="none"/>
          <w:lang w:eastAsia="zh-CN"/>
        </w:rPr>
        <w:t>本招标项目施工招标工期为120个日历天</w:t>
      </w:r>
      <w:r>
        <w:rPr>
          <w:rStyle w:val="22"/>
          <w:rFonts w:hint="eastAsia" w:ascii="宋体" w:hAnsi="宋体" w:eastAsia="宋体" w:cs="宋体"/>
          <w:color w:val="auto"/>
          <w:kern w:val="0"/>
          <w:highlight w:val="none"/>
        </w:rPr>
        <w:t>，中标人必须在招标工期内完成本工程招标范围内的全部内容。</w:t>
      </w:r>
    </w:p>
    <w:p w14:paraId="19F6BC38">
      <w:pPr>
        <w:tabs>
          <w:tab w:val="left" w:pos="7020"/>
        </w:tabs>
        <w:snapToGrid w:val="0"/>
        <w:spacing w:line="440" w:lineRule="exact"/>
        <w:ind w:firstLine="482" w:firstLineChars="200"/>
        <w:rPr>
          <w:rStyle w:val="22"/>
          <w:rFonts w:hint="eastAsia" w:ascii="宋体" w:hAnsi="宋体" w:eastAsia="宋体" w:cs="宋体"/>
          <w:b/>
          <w:bCs/>
          <w:color w:val="auto"/>
          <w:kern w:val="0"/>
          <w:highlight w:val="none"/>
        </w:rPr>
      </w:pPr>
    </w:p>
    <w:p w14:paraId="0916C4FD">
      <w:pPr>
        <w:pStyle w:val="26"/>
        <w:numPr>
          <w:ilvl w:val="0"/>
          <w:numId w:val="1"/>
        </w:numPr>
        <w:snapToGrid w:val="0"/>
        <w:spacing w:line="440" w:lineRule="exact"/>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质量标准和材料、机械要求</w:t>
      </w:r>
    </w:p>
    <w:p w14:paraId="2C3C47BC">
      <w:pPr>
        <w:snapToGrid w:val="0"/>
        <w:spacing w:before="120" w:after="120"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5.1 </w:t>
      </w:r>
      <w:r>
        <w:rPr>
          <w:rStyle w:val="22"/>
          <w:rFonts w:hint="eastAsia" w:ascii="宋体" w:hAnsi="宋体" w:eastAsia="宋体" w:cs="宋体"/>
          <w:color w:val="auto"/>
          <w:kern w:val="0"/>
          <w:highlight w:val="none"/>
        </w:rPr>
        <w:t>施工工艺严格按照国家和广东省的有关现行施工技术规范及标准执行，工程质量标准</w:t>
      </w:r>
      <w:r>
        <w:rPr>
          <w:rFonts w:hint="eastAsia" w:ascii="宋体" w:hAnsi="宋体" w:eastAsia="宋体" w:cs="宋体"/>
          <w:snapToGrid w:val="0"/>
          <w:color w:val="auto"/>
          <w:kern w:val="0"/>
          <w:highlight w:val="none"/>
        </w:rPr>
        <w:t>须达到</w:t>
      </w:r>
      <w:r>
        <w:rPr>
          <w:rFonts w:hint="eastAsia" w:ascii="宋体" w:hAnsi="宋体" w:eastAsia="宋体" w:cs="宋体"/>
          <w:snapToGrid w:val="0"/>
          <w:color w:val="auto"/>
          <w:kern w:val="0"/>
          <w:highlight w:val="none"/>
          <w:u w:val="single"/>
        </w:rPr>
        <w:t>合格</w:t>
      </w:r>
      <w:r>
        <w:rPr>
          <w:rStyle w:val="22"/>
          <w:rFonts w:hint="eastAsia" w:hAnsi="宋体"/>
          <w:color w:val="auto"/>
          <w:kern w:val="0"/>
          <w:highlight w:val="none"/>
          <w:lang w:eastAsia="zh-CN"/>
        </w:rPr>
        <w:t>，</w:t>
      </w:r>
      <w:r>
        <w:rPr>
          <w:rFonts w:hint="eastAsia" w:ascii="宋体" w:hAnsi="宋体" w:eastAsia="宋体" w:cs="宋体"/>
          <w:color w:val="auto"/>
          <w:highlight w:val="none"/>
        </w:rPr>
        <w:t>如未达到合格标准，则按合同价款的</w:t>
      </w:r>
      <w:r>
        <w:rPr>
          <w:rFonts w:hint="eastAsia" w:ascii="宋体" w:hAnsi="宋体" w:eastAsia="宋体" w:cs="宋体"/>
          <w:color w:val="auto"/>
          <w:highlight w:val="none"/>
          <w:u w:val="single"/>
        </w:rPr>
        <w:t xml:space="preserve">1 </w:t>
      </w:r>
      <w:r>
        <w:rPr>
          <w:rFonts w:hint="eastAsia" w:ascii="宋体" w:hAnsi="宋体" w:eastAsia="宋体" w:cs="宋体"/>
          <w:color w:val="auto"/>
          <w:highlight w:val="none"/>
        </w:rPr>
        <w:t>%向招标人返纳</w:t>
      </w:r>
      <w:r>
        <w:rPr>
          <w:rFonts w:hint="eastAsia" w:ascii="宋体" w:hAnsi="宋体" w:eastAsia="宋体" w:cs="宋体"/>
          <w:color w:val="auto"/>
          <w:highlight w:val="none"/>
          <w:lang w:val="en-US" w:eastAsia="zh-CN"/>
        </w:rPr>
        <w:t>合格</w:t>
      </w:r>
      <w:r>
        <w:rPr>
          <w:rFonts w:hint="eastAsia" w:ascii="宋体" w:hAnsi="宋体" w:eastAsia="宋体" w:cs="宋体"/>
          <w:color w:val="auto"/>
          <w:highlight w:val="none"/>
        </w:rPr>
        <w:t>，并由中标人负责返修至达到</w:t>
      </w:r>
      <w:r>
        <w:rPr>
          <w:rFonts w:hint="eastAsia" w:ascii="宋体" w:hAnsi="宋体" w:eastAsia="宋体" w:cs="宋体"/>
          <w:b/>
          <w:bCs/>
          <w:color w:val="auto"/>
          <w:highlight w:val="none"/>
          <w:u w:val="single"/>
        </w:rPr>
        <w:t>合格标准</w:t>
      </w:r>
      <w:r>
        <w:rPr>
          <w:rFonts w:hint="eastAsia" w:ascii="宋体" w:hAnsi="宋体" w:eastAsia="宋体" w:cs="宋体"/>
          <w:color w:val="auto"/>
          <w:highlight w:val="none"/>
        </w:rPr>
        <w:t>，返修费用由中标人承担，同时承担所有的责任及经济损失。</w:t>
      </w:r>
    </w:p>
    <w:p w14:paraId="02DA6897">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5.2</w:t>
      </w:r>
      <w:r>
        <w:rPr>
          <w:rStyle w:val="22"/>
          <w:rFonts w:hint="eastAsia" w:ascii="宋体" w:hAnsi="宋体" w:eastAsia="宋体" w:cs="宋体"/>
          <w:color w:val="auto"/>
          <w:kern w:val="0"/>
          <w:highlight w:val="none"/>
        </w:rPr>
        <w:t xml:space="preserve"> 中标人在施工中如果工程质量不符合设计要求和有关规定，招标人或监理单位要求停工和返工的必须立即执行，并承担由此产生的各种费用，工期不予顺延。</w:t>
      </w:r>
    </w:p>
    <w:p w14:paraId="42E2A0D8">
      <w:pPr>
        <w:snapToGrid w:val="0"/>
        <w:spacing w:line="440" w:lineRule="exact"/>
        <w:ind w:firstLine="57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5.3</w:t>
      </w:r>
      <w:r>
        <w:rPr>
          <w:rStyle w:val="22"/>
          <w:rFonts w:hint="eastAsia" w:ascii="宋体" w:hAnsi="宋体" w:eastAsia="宋体" w:cs="宋体"/>
          <w:color w:val="auto"/>
          <w:kern w:val="0"/>
          <w:highlight w:val="none"/>
        </w:rPr>
        <w:t xml:space="preserve"> 保修期限按《建设工程质量管理条例》（中华人民共和国国务院令第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79367527">
      <w:pPr>
        <w:snapToGrid w:val="0"/>
        <w:spacing w:line="440" w:lineRule="exact"/>
        <w:ind w:firstLine="561"/>
        <w:rPr>
          <w:rStyle w:val="22"/>
          <w:rFonts w:hint="eastAsia" w:ascii="宋体" w:hAnsi="宋体" w:eastAsia="宋体" w:cs="宋体"/>
          <w:i/>
          <w:iCs/>
          <w:color w:val="auto"/>
          <w:kern w:val="0"/>
          <w:highlight w:val="none"/>
        </w:rPr>
      </w:pPr>
      <w:r>
        <w:rPr>
          <w:rStyle w:val="22"/>
          <w:rFonts w:hint="eastAsia" w:ascii="宋体" w:hAnsi="宋体" w:eastAsia="宋体" w:cs="宋体"/>
          <w:b/>
          <w:bCs/>
          <w:color w:val="auto"/>
          <w:kern w:val="0"/>
          <w:highlight w:val="none"/>
        </w:rPr>
        <w:t>5.4</w:t>
      </w:r>
      <w:r>
        <w:rPr>
          <w:rStyle w:val="22"/>
          <w:rFonts w:hint="eastAsia" w:ascii="宋体" w:hAnsi="宋体" w:eastAsia="宋体" w:cs="宋体"/>
          <w:color w:val="auto"/>
          <w:kern w:val="0"/>
          <w:highlight w:val="none"/>
        </w:rPr>
        <w:t xml:space="preserve"> 工程使用的主要材料质量要求不低于招标工程量清单所列的要求。主要材料必须先提供样板给招标人确定其颜色、等级、品牌等，</w:t>
      </w:r>
      <w:r>
        <w:rPr>
          <w:rStyle w:val="22"/>
          <w:rFonts w:hint="eastAsia" w:ascii="宋体" w:hAnsi="宋体" w:eastAsia="宋体" w:cs="宋体"/>
          <w:color w:val="auto"/>
          <w:kern w:val="0"/>
          <w:highlight w:val="none"/>
          <w:lang w:val="zh-CN"/>
        </w:rPr>
        <w:t>并经检测部门检测合格</w:t>
      </w:r>
      <w:r>
        <w:rPr>
          <w:rStyle w:val="22"/>
          <w:rFonts w:hint="eastAsia" w:ascii="宋体" w:hAnsi="宋体" w:eastAsia="宋体" w:cs="宋体"/>
          <w:color w:val="auto"/>
          <w:kern w:val="0"/>
          <w:highlight w:val="none"/>
        </w:rPr>
        <w:t>方可使用，所有材料必须使用合格产品。</w:t>
      </w:r>
    </w:p>
    <w:p w14:paraId="34E2CC5A">
      <w:pPr>
        <w:keepNext w:val="0"/>
        <w:keepLines w:val="0"/>
        <w:pageBreakBefore w:val="0"/>
        <w:widowControl/>
        <w:kinsoku/>
        <w:wordWrap w:val="0"/>
        <w:overflowPunct/>
        <w:topLinePunct w:val="0"/>
        <w:autoSpaceDE/>
        <w:autoSpaceDN/>
        <w:bidi w:val="0"/>
        <w:adjustRightInd/>
        <w:snapToGrid w:val="0"/>
        <w:spacing w:line="440" w:lineRule="exact"/>
        <w:ind w:firstLine="482" w:firstLineChars="200"/>
        <w:textAlignment w:val="baseline"/>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5.5 </w:t>
      </w:r>
      <w:r>
        <w:rPr>
          <w:rStyle w:val="22"/>
          <w:rFonts w:hint="eastAsia" w:hAnsi="宋体" w:cs="宋体"/>
          <w:color w:val="auto"/>
          <w:kern w:val="0"/>
          <w:sz w:val="24"/>
          <w:szCs w:val="24"/>
          <w:highlight w:val="none"/>
          <w:lang w:val="en-US" w:eastAsia="zh-CN" w:bidi="ar-SA"/>
        </w:rPr>
        <w:t>本招标项目不纳入绿色建筑实施范围。</w:t>
      </w:r>
    </w:p>
    <w:p w14:paraId="3D2C85B6">
      <w:pPr>
        <w:snapToGrid w:val="0"/>
        <w:spacing w:line="440" w:lineRule="exact"/>
        <w:ind w:firstLine="482" w:firstLineChars="200"/>
        <w:rPr>
          <w:rFonts w:hint="eastAsia" w:ascii="宋体" w:hAnsi="宋体" w:eastAsia="宋体" w:cs="宋体"/>
          <w:color w:val="auto"/>
          <w:highlight w:val="none"/>
        </w:rPr>
      </w:pPr>
      <w:r>
        <w:rPr>
          <w:rStyle w:val="22"/>
          <w:rFonts w:hint="eastAsia" w:ascii="宋体" w:hAnsi="宋体" w:eastAsia="宋体" w:cs="宋体"/>
          <w:b/>
          <w:bCs/>
          <w:color w:val="auto"/>
          <w:kern w:val="0"/>
          <w:highlight w:val="none"/>
        </w:rPr>
        <w:t>5.6</w:t>
      </w:r>
      <w:r>
        <w:rPr>
          <w:rFonts w:hint="eastAsia" w:ascii="宋体" w:hAnsi="宋体" w:eastAsia="宋体" w:cs="宋体"/>
          <w:snapToGrid w:val="0"/>
          <w:color w:val="auto"/>
          <w:kern w:val="0"/>
          <w:highlight w:val="none"/>
        </w:rPr>
        <w:t>本招标项目不纳入装配式建造建设实施范围。</w:t>
      </w:r>
    </w:p>
    <w:p w14:paraId="002E9A9B">
      <w:pPr>
        <w:pStyle w:val="31"/>
        <w:spacing w:line="440" w:lineRule="exact"/>
        <w:ind w:firstLine="482" w:firstLineChars="200"/>
        <w:rPr>
          <w:rStyle w:val="22"/>
          <w:rFonts w:hint="eastAsia" w:ascii="宋体" w:hAnsi="宋体" w:eastAsia="宋体" w:cs="宋体"/>
          <w:color w:val="auto"/>
          <w:sz w:val="24"/>
          <w:szCs w:val="24"/>
          <w:highlight w:val="none"/>
          <w:u w:val="single"/>
        </w:rPr>
      </w:pPr>
      <w:r>
        <w:rPr>
          <w:rStyle w:val="22"/>
          <w:rFonts w:hint="eastAsia" w:ascii="宋体" w:hAnsi="宋体" w:eastAsia="宋体" w:cs="宋体"/>
          <w:b/>
          <w:bCs/>
          <w:color w:val="auto"/>
          <w:sz w:val="24"/>
          <w:szCs w:val="24"/>
          <w:highlight w:val="none"/>
        </w:rPr>
        <w:t xml:space="preserve">5.7 </w:t>
      </w:r>
      <w:r>
        <w:rPr>
          <w:rStyle w:val="22"/>
          <w:rFonts w:hint="eastAsia" w:ascii="宋体" w:hAnsi="宋体" w:eastAsia="宋体" w:cs="宋体"/>
          <w:color w:val="auto"/>
          <w:sz w:val="24"/>
          <w:szCs w:val="24"/>
          <w:highlight w:val="none"/>
        </w:rPr>
        <w:t>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则中标人必须使用合格材料或设备，主要材料和设备在使用之前通知监理工程师验收，经验收合格后方可使用。</w:t>
      </w:r>
    </w:p>
    <w:p w14:paraId="1779D037">
      <w:pPr>
        <w:spacing w:line="440" w:lineRule="exact"/>
        <w:ind w:firstLine="402" w:firstLineChars="200"/>
        <w:rPr>
          <w:rStyle w:val="22"/>
          <w:rFonts w:hint="eastAsia" w:ascii="宋体" w:hAnsi="宋体" w:eastAsia="宋体" w:cs="宋体"/>
          <w:color w:val="auto"/>
          <w:highlight w:val="none"/>
        </w:rPr>
      </w:pPr>
      <w:r>
        <w:rPr>
          <w:rFonts w:hint="eastAsia" w:ascii="宋体" w:hAnsi="宋体" w:eastAsia="宋体" w:cs="宋体"/>
          <w:b/>
          <w:bCs/>
          <w:color w:val="auto"/>
          <w:kern w:val="0"/>
          <w:sz w:val="20"/>
          <w:szCs w:val="20"/>
          <w:highlight w:val="none"/>
        </w:rPr>
        <w:t xml:space="preserve"> </w:t>
      </w:r>
      <w:r>
        <w:rPr>
          <w:rFonts w:hint="eastAsia" w:ascii="宋体" w:hAnsi="宋体" w:eastAsia="宋体" w:cs="宋体"/>
          <w:b/>
          <w:bCs/>
          <w:snapToGrid w:val="0"/>
          <w:color w:val="auto"/>
          <w:kern w:val="0"/>
          <w:highlight w:val="none"/>
        </w:rPr>
        <w:t xml:space="preserve">5.8 </w:t>
      </w:r>
      <w:r>
        <w:rPr>
          <w:rFonts w:hint="eastAsia" w:ascii="宋体" w:hAnsi="宋体" w:eastAsia="宋体" w:cs="宋体"/>
          <w:snapToGrid w:val="0"/>
          <w:color w:val="auto"/>
          <w:kern w:val="0"/>
          <w:highlight w:val="none"/>
        </w:rPr>
        <w:t>工程使用的主要材料质量要求：不低于强制标准所列的要求，主要材料必须先提供样板或相关资料给招标人同意确定其规格、型号、颜色、等级等，</w:t>
      </w:r>
      <w:r>
        <w:rPr>
          <w:rFonts w:hint="eastAsia" w:ascii="宋体" w:hAnsi="宋体" w:eastAsia="宋体" w:cs="宋体"/>
          <w:snapToGrid w:val="0"/>
          <w:color w:val="auto"/>
          <w:kern w:val="0"/>
          <w:highlight w:val="none"/>
          <w:lang w:val="zh-CN"/>
        </w:rPr>
        <w:t>并经</w:t>
      </w:r>
      <w:r>
        <w:rPr>
          <w:rFonts w:hint="eastAsia" w:ascii="宋体" w:hAnsi="宋体" w:eastAsia="宋体" w:cs="宋体"/>
          <w:snapToGrid w:val="0"/>
          <w:color w:val="auto"/>
          <w:kern w:val="0"/>
          <w:highlight w:val="none"/>
        </w:rPr>
        <w:t>招标</w:t>
      </w:r>
      <w:r>
        <w:rPr>
          <w:rFonts w:hint="eastAsia" w:ascii="宋体" w:hAnsi="宋体" w:eastAsia="宋体" w:cs="宋体"/>
          <w:snapToGrid w:val="0"/>
          <w:color w:val="auto"/>
          <w:kern w:val="0"/>
          <w:highlight w:val="none"/>
          <w:lang w:val="zh-CN"/>
        </w:rPr>
        <w:t>人委托的第三方检测部门检测合格</w:t>
      </w:r>
      <w:r>
        <w:rPr>
          <w:rFonts w:hint="eastAsia" w:ascii="宋体" w:hAnsi="宋体" w:eastAsia="宋体" w:cs="宋体"/>
          <w:snapToGrid w:val="0"/>
          <w:color w:val="auto"/>
          <w:kern w:val="0"/>
          <w:highlight w:val="none"/>
        </w:rPr>
        <w:t>方可使用，所有材料必须使用合格产品。</w:t>
      </w:r>
    </w:p>
    <w:p w14:paraId="5B2A7CB2">
      <w:pPr>
        <w:pStyle w:val="26"/>
        <w:numPr>
          <w:ilvl w:val="0"/>
          <w:numId w:val="1"/>
        </w:numPr>
        <w:snapToGrid w:val="0"/>
        <w:spacing w:line="440" w:lineRule="exact"/>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施工条件及现场踏勘</w:t>
      </w:r>
    </w:p>
    <w:p w14:paraId="06EEAC3D">
      <w:pPr>
        <w:pStyle w:val="32"/>
        <w:snapToGrid w:val="0"/>
        <w:spacing w:line="440" w:lineRule="exact"/>
        <w:ind w:firstLine="48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6.1</w:t>
      </w:r>
      <w:r>
        <w:rPr>
          <w:rStyle w:val="22"/>
          <w:rFonts w:hint="eastAsia" w:ascii="宋体" w:hAnsi="宋体" w:eastAsia="宋体" w:cs="宋体"/>
          <w:color w:val="auto"/>
          <w:kern w:val="0"/>
          <w:highlight w:val="none"/>
        </w:rPr>
        <w:t xml:space="preserve"> 本工程招标人仅在征地红线范围内提供场地，其他一切场地费用由中标人自行负责（含临时道路）。</w:t>
      </w:r>
    </w:p>
    <w:p w14:paraId="6CB766C7">
      <w:pPr>
        <w:wordWrap w:val="0"/>
        <w:adjustRightInd w:val="0"/>
        <w:snapToGrid w:val="0"/>
        <w:spacing w:line="440" w:lineRule="exact"/>
        <w:ind w:firstLine="56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6.2 施工用水及水源：</w:t>
      </w:r>
      <w:r>
        <w:rPr>
          <w:rStyle w:val="22"/>
          <w:rFonts w:hint="eastAsia" w:ascii="宋体" w:hAnsi="宋体" w:eastAsia="宋体" w:cs="宋体"/>
          <w:color w:val="auto"/>
          <w:kern w:val="0"/>
          <w:highlight w:val="none"/>
          <w:u w:val="single"/>
        </w:rPr>
        <w:t>由中标人自行解决，费用考虑在投标报价中</w:t>
      </w:r>
      <w:r>
        <w:rPr>
          <w:rFonts w:hint="eastAsia" w:ascii="宋体" w:hAnsi="宋体" w:eastAsia="宋体" w:cs="宋体"/>
          <w:snapToGrid w:val="0"/>
          <w:color w:val="auto"/>
          <w:kern w:val="0"/>
          <w:highlight w:val="none"/>
          <w:u w:val="single"/>
        </w:rPr>
        <w:t>，不另计</w:t>
      </w:r>
      <w:r>
        <w:rPr>
          <w:rStyle w:val="22"/>
          <w:rFonts w:hint="eastAsia" w:ascii="宋体" w:hAnsi="宋体" w:eastAsia="宋体" w:cs="宋体"/>
          <w:color w:val="auto"/>
          <w:kern w:val="0"/>
          <w:highlight w:val="none"/>
          <w:u w:val="single"/>
        </w:rPr>
        <w:t>。</w:t>
      </w:r>
    </w:p>
    <w:p w14:paraId="74B68335">
      <w:pPr>
        <w:wordWrap w:val="0"/>
        <w:adjustRightInd w:val="0"/>
        <w:snapToGrid w:val="0"/>
        <w:spacing w:line="440" w:lineRule="exact"/>
        <w:ind w:firstLine="56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6.3 施工用电及电源：</w:t>
      </w:r>
      <w:r>
        <w:rPr>
          <w:rStyle w:val="22"/>
          <w:rFonts w:hint="eastAsia" w:ascii="宋体" w:hAnsi="宋体" w:eastAsia="宋体" w:cs="宋体"/>
          <w:color w:val="auto"/>
          <w:kern w:val="0"/>
          <w:highlight w:val="none"/>
          <w:u w:val="single"/>
        </w:rPr>
        <w:t>由中标人自行解决，费用考虑在投标报价中</w:t>
      </w:r>
      <w:r>
        <w:rPr>
          <w:rFonts w:hint="eastAsia" w:ascii="宋体" w:hAnsi="宋体" w:eastAsia="宋体" w:cs="宋体"/>
          <w:snapToGrid w:val="0"/>
          <w:color w:val="auto"/>
          <w:kern w:val="0"/>
          <w:highlight w:val="none"/>
          <w:u w:val="single"/>
        </w:rPr>
        <w:t>，不另计</w:t>
      </w:r>
      <w:r>
        <w:rPr>
          <w:rStyle w:val="22"/>
          <w:rFonts w:hint="eastAsia" w:ascii="宋体" w:hAnsi="宋体" w:eastAsia="宋体" w:cs="宋体"/>
          <w:color w:val="auto"/>
          <w:kern w:val="0"/>
          <w:highlight w:val="none"/>
          <w:u w:val="single"/>
        </w:rPr>
        <w:t>。</w:t>
      </w:r>
    </w:p>
    <w:p w14:paraId="54F75FD9">
      <w:pPr>
        <w:pStyle w:val="24"/>
        <w:spacing w:line="440" w:lineRule="exact"/>
        <w:ind w:firstLine="482" w:firstLineChars="200"/>
        <w:rPr>
          <w:rStyle w:val="22"/>
          <w:rFonts w:hint="eastAsia" w:ascii="宋体" w:hAnsi="宋体" w:eastAsia="宋体" w:cs="宋体"/>
          <w:color w:val="auto"/>
          <w:highlight w:val="none"/>
          <w:u w:val="single"/>
        </w:rPr>
      </w:pPr>
      <w:r>
        <w:rPr>
          <w:rStyle w:val="22"/>
          <w:rFonts w:hint="eastAsia" w:ascii="宋体" w:hAnsi="宋体" w:eastAsia="宋体" w:cs="宋体"/>
          <w:b/>
          <w:bCs/>
          <w:color w:val="auto"/>
          <w:highlight w:val="none"/>
        </w:rPr>
        <w:t>6.4</w:t>
      </w:r>
      <w:r>
        <w:rPr>
          <w:rStyle w:val="22"/>
          <w:rFonts w:hint="eastAsia" w:ascii="宋体" w:hAnsi="宋体" w:eastAsia="宋体" w:cs="宋体"/>
          <w:color w:val="auto"/>
          <w:highlight w:val="none"/>
        </w:rPr>
        <w:t xml:space="preserve"> 施工用水、用电各提供一驳接点到现场边缘，要求中标人单独安装水表、电表，其水、电费按工程所在地</w:t>
      </w:r>
      <w:r>
        <w:rPr>
          <w:rStyle w:val="22"/>
          <w:rFonts w:hint="eastAsia" w:ascii="宋体" w:hAnsi="宋体" w:eastAsia="宋体" w:cs="宋体"/>
          <w:color w:val="auto"/>
          <w:highlight w:val="none"/>
          <w:u w:val="single"/>
        </w:rPr>
        <w:t>南雄市</w:t>
      </w:r>
      <w:r>
        <w:rPr>
          <w:rStyle w:val="22"/>
          <w:rFonts w:hint="eastAsia" w:ascii="宋体" w:hAnsi="宋体" w:eastAsia="宋体" w:cs="宋体"/>
          <w:color w:val="auto"/>
          <w:highlight w:val="none"/>
        </w:rPr>
        <w:t>基建工程水、电计费标准计算并由中标人缴纳，相关水、电接入费用及水、电表安装、购置等费用由中标人自行承担。</w:t>
      </w:r>
    </w:p>
    <w:p w14:paraId="35F6155A">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6.5</w:t>
      </w:r>
      <w:r>
        <w:rPr>
          <w:rStyle w:val="22"/>
          <w:rFonts w:hint="eastAsia" w:ascii="宋体" w:hAnsi="宋体" w:eastAsia="宋体" w:cs="宋体"/>
          <w:color w:val="auto"/>
          <w:kern w:val="0"/>
          <w:highlight w:val="none"/>
        </w:rPr>
        <w:t xml:space="preserve"> 招标人不组织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14:paraId="7D16B573">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6.6</w:t>
      </w:r>
      <w:r>
        <w:rPr>
          <w:rStyle w:val="22"/>
          <w:rFonts w:hint="eastAsia" w:ascii="宋体" w:hAnsi="宋体" w:eastAsia="宋体" w:cs="宋体"/>
          <w:color w:val="auto"/>
          <w:kern w:val="0"/>
          <w:highlight w:val="none"/>
        </w:rPr>
        <w:t xml:space="preserve"> 在现场踏勘过程中，投标人应确保自身安全，投标人如果发生人身伤亡、财物或其他损失，法律法规有规定的按有关规定处理，没有规定的由投标人自行负责。</w:t>
      </w:r>
    </w:p>
    <w:p w14:paraId="419885F8">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6.7</w:t>
      </w:r>
      <w:r>
        <w:rPr>
          <w:rStyle w:val="22"/>
          <w:rFonts w:hint="eastAsia" w:ascii="宋体" w:hAnsi="宋体" w:eastAsia="宋体" w:cs="宋体"/>
          <w:color w:val="auto"/>
          <w:kern w:val="0"/>
          <w:highlight w:val="none"/>
        </w:rPr>
        <w:t xml:space="preserve"> 现场踏勘期间的交通、食宿由投标人自行安排，费用自理。</w:t>
      </w:r>
    </w:p>
    <w:p w14:paraId="662B4A63">
      <w:pPr>
        <w:pStyle w:val="24"/>
        <w:rPr>
          <w:rStyle w:val="22"/>
          <w:rFonts w:hint="eastAsia" w:ascii="宋体" w:hAnsi="宋体" w:eastAsia="宋体" w:cs="宋体"/>
          <w:color w:val="auto"/>
          <w:highlight w:val="none"/>
        </w:rPr>
      </w:pPr>
    </w:p>
    <w:p w14:paraId="3CE471CC">
      <w:pPr>
        <w:pStyle w:val="26"/>
        <w:snapToGrid w:val="0"/>
        <w:spacing w:line="440" w:lineRule="exact"/>
        <w:ind w:firstLine="482" w:firstLineChars="20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7．招标文件的提问和答疑</w:t>
      </w:r>
    </w:p>
    <w:p w14:paraId="4F6DDABA">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7.1</w:t>
      </w:r>
      <w:r>
        <w:rPr>
          <w:rStyle w:val="22"/>
          <w:rFonts w:hint="eastAsia" w:ascii="宋体" w:hAnsi="宋体" w:eastAsia="宋体" w:cs="宋体"/>
          <w:color w:val="auto"/>
          <w:kern w:val="0"/>
          <w:highlight w:val="none"/>
        </w:rPr>
        <w:t xml:space="preserve"> 投标人若对招标文件（含施工图、招标工程量清单）有疑问，应在提问截止时间（见本章第二节</w:t>
      </w:r>
      <w:r>
        <w:rPr>
          <w:rFonts w:hint="eastAsia" w:ascii="宋体" w:hAnsi="宋体" w:eastAsia="宋体" w:cs="宋体"/>
          <w:snapToGrid w:val="0"/>
          <w:color w:val="auto"/>
          <w:kern w:val="0"/>
          <w:highlight w:val="none"/>
        </w:rPr>
        <w:t>“重要事项时间地点一览表”</w:t>
      </w:r>
      <w:r>
        <w:rPr>
          <w:rStyle w:val="22"/>
          <w:rFonts w:hint="eastAsia" w:ascii="宋体" w:hAnsi="宋体" w:eastAsia="宋体" w:cs="宋体"/>
          <w:color w:val="auto"/>
          <w:kern w:val="0"/>
          <w:highlight w:val="none"/>
        </w:rPr>
        <w:t>）前使用</w:t>
      </w:r>
      <w:r>
        <w:rPr>
          <w:rStyle w:val="22"/>
          <w:rFonts w:hint="eastAsia" w:hAnsi="宋体" w:eastAsia="宋体" w:cs="宋体"/>
          <w:color w:val="auto"/>
          <w:kern w:val="0"/>
          <w:highlight w:val="none"/>
          <w:lang w:eastAsia="zh-CN"/>
        </w:rPr>
        <w:t>建设工程交易系统</w:t>
      </w:r>
      <w:r>
        <w:rPr>
          <w:rStyle w:val="22"/>
          <w:rFonts w:hint="eastAsia" w:ascii="宋体" w:hAnsi="宋体" w:eastAsia="宋体" w:cs="宋体"/>
          <w:color w:val="auto"/>
          <w:kern w:val="0"/>
          <w:highlight w:val="none"/>
        </w:rPr>
        <w:t>提出问题。未在指定时间前、未采用指定方式提出的，招标人不予受理。</w:t>
      </w:r>
    </w:p>
    <w:p w14:paraId="60B8B2E4">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7.2 </w:t>
      </w:r>
      <w:r>
        <w:rPr>
          <w:rStyle w:val="22"/>
          <w:rFonts w:hint="eastAsia" w:ascii="宋体" w:hAnsi="宋体" w:eastAsia="宋体" w:cs="宋体"/>
          <w:color w:val="auto"/>
          <w:kern w:val="0"/>
          <w:highlight w:val="none"/>
        </w:rPr>
        <w:t>招标人在提问截止时间（见本章第二节</w:t>
      </w:r>
      <w:r>
        <w:rPr>
          <w:rFonts w:hint="eastAsia" w:ascii="宋体" w:hAnsi="宋体" w:eastAsia="宋体" w:cs="宋体"/>
          <w:snapToGrid w:val="0"/>
          <w:color w:val="auto"/>
          <w:kern w:val="0"/>
          <w:highlight w:val="none"/>
        </w:rPr>
        <w:t>“重要事项时间地点一览表”</w:t>
      </w:r>
      <w:r>
        <w:rPr>
          <w:rStyle w:val="22"/>
          <w:rFonts w:hint="eastAsia" w:ascii="宋体" w:hAnsi="宋体" w:eastAsia="宋体" w:cs="宋体"/>
          <w:color w:val="auto"/>
          <w:kern w:val="0"/>
          <w:highlight w:val="none"/>
        </w:rPr>
        <w:t>）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4595F058">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7.3</w:t>
      </w:r>
      <w:r>
        <w:rPr>
          <w:rStyle w:val="22"/>
          <w:rFonts w:hint="eastAsia" w:ascii="宋体" w:hAnsi="宋体" w:eastAsia="宋体" w:cs="宋体"/>
          <w:color w:val="auto"/>
          <w:kern w:val="0"/>
          <w:highlight w:val="none"/>
        </w:rPr>
        <w:t xml:space="preserve"> 招标人对招标文件所作的答疑（或修改）公告，构成招标文件的组成部分。</w:t>
      </w:r>
    </w:p>
    <w:p w14:paraId="06AA6E8F">
      <w:pPr>
        <w:pStyle w:val="26"/>
        <w:snapToGrid w:val="0"/>
        <w:spacing w:line="440" w:lineRule="exact"/>
        <w:ind w:firstLine="480"/>
        <w:jc w:val="both"/>
        <w:rPr>
          <w:rStyle w:val="22"/>
          <w:rFonts w:hint="eastAsia" w:ascii="宋体" w:hAnsi="宋体" w:eastAsia="宋体" w:cs="宋体"/>
          <w:b/>
          <w:bCs/>
          <w:color w:val="auto"/>
          <w:highlight w:val="none"/>
        </w:rPr>
      </w:pPr>
    </w:p>
    <w:p w14:paraId="47D787D2">
      <w:pPr>
        <w:pStyle w:val="26"/>
        <w:snapToGrid w:val="0"/>
        <w:spacing w:line="360" w:lineRule="auto"/>
        <w:ind w:firstLine="480"/>
        <w:jc w:val="both"/>
        <w:rPr>
          <w:rStyle w:val="22"/>
          <w:rFonts w:hint="eastAsia" w:ascii="宋体" w:hAnsi="宋体" w:eastAsia="宋体" w:cs="宋体"/>
          <w:i/>
          <w:iCs/>
          <w:color w:val="auto"/>
          <w:highlight w:val="none"/>
          <w:lang w:eastAsia="zh-CN"/>
        </w:rPr>
      </w:pPr>
      <w:r>
        <w:rPr>
          <w:rStyle w:val="22"/>
          <w:rFonts w:hint="eastAsia" w:ascii="宋体" w:hAnsi="宋体" w:eastAsia="宋体" w:cs="宋体"/>
          <w:b/>
          <w:bCs/>
          <w:color w:val="auto"/>
          <w:highlight w:val="none"/>
        </w:rPr>
        <w:t>8．</w:t>
      </w:r>
      <w:r>
        <w:rPr>
          <w:rStyle w:val="22"/>
          <w:rFonts w:hint="eastAsia" w:hAnsi="宋体" w:cs="宋体"/>
          <w:b/>
          <w:bCs/>
          <w:color w:val="auto"/>
          <w:highlight w:val="none"/>
          <w:lang w:eastAsia="zh-CN"/>
        </w:rPr>
        <w:t>最高投标限价</w:t>
      </w:r>
    </w:p>
    <w:p w14:paraId="1E05871E">
      <w:pPr>
        <w:snapToGrid w:val="0"/>
        <w:spacing w:line="360" w:lineRule="auto"/>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8.1</w:t>
      </w:r>
      <w:r>
        <w:rPr>
          <w:rStyle w:val="22"/>
          <w:rFonts w:hint="eastAsia" w:ascii="宋体" w:hAnsi="宋体" w:eastAsia="宋体" w:cs="宋体"/>
          <w:color w:val="auto"/>
          <w:kern w:val="0"/>
          <w:highlight w:val="none"/>
        </w:rPr>
        <w:t xml:space="preserve"> 本工程按照以下依据编制</w:t>
      </w:r>
      <w:r>
        <w:rPr>
          <w:rStyle w:val="22"/>
          <w:rFonts w:hint="eastAsia" w:hAnsi="宋体" w:cs="宋体"/>
          <w:color w:val="auto"/>
          <w:kern w:val="0"/>
          <w:highlight w:val="none"/>
          <w:lang w:eastAsia="zh-CN"/>
        </w:rPr>
        <w:t>最高投标限价</w:t>
      </w:r>
      <w:r>
        <w:rPr>
          <w:rStyle w:val="22"/>
          <w:rFonts w:hint="eastAsia" w:ascii="宋体" w:hAnsi="宋体" w:eastAsia="宋体" w:cs="宋体"/>
          <w:color w:val="auto"/>
          <w:kern w:val="0"/>
          <w:highlight w:val="none"/>
        </w:rPr>
        <w:t>：</w:t>
      </w:r>
    </w:p>
    <w:p w14:paraId="45E04906">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w:t>
      </w:r>
      <w:r>
        <w:rPr>
          <w:rFonts w:hint="eastAsia" w:hAnsi="宋体" w:cs="宋体"/>
          <w:color w:val="auto"/>
          <w:szCs w:val="24"/>
          <w:highlight w:val="none"/>
        </w:rPr>
        <w:t>《建设工程工程量清单计价标准》（GB/T 50500-2024）</w:t>
      </w:r>
      <w:r>
        <w:rPr>
          <w:rFonts w:hint="eastAsia" w:hAnsi="宋体" w:cs="宋体"/>
          <w:color w:val="auto"/>
          <w:szCs w:val="24"/>
          <w:highlight w:val="none"/>
          <w:lang w:eastAsia="zh-CN"/>
        </w:rPr>
        <w:t>、</w:t>
      </w:r>
      <w:r>
        <w:rPr>
          <w:rFonts w:hint="eastAsia" w:hAnsi="宋体" w:cs="宋体"/>
          <w:color w:val="auto"/>
          <w:szCs w:val="24"/>
          <w:highlight w:val="none"/>
        </w:rPr>
        <w:t>《房屋建筑与装饰工程工程量计算标准》（GB/T 50854-2024）《通用安装工程工程量计算标准》（GB/T 50856-2024）、《市政工程工程量计算标准》（GB/T 50857-2024）、《园林绿化工程工程量计算标准》（GB/T 50858-2024）</w:t>
      </w:r>
      <w:r>
        <w:rPr>
          <w:rFonts w:hint="eastAsia" w:hAnsi="宋体" w:cs="宋体"/>
          <w:color w:val="auto"/>
          <w:szCs w:val="24"/>
          <w:highlight w:val="none"/>
          <w:lang w:val="en-US" w:eastAsia="zh-CN"/>
        </w:rPr>
        <w:t>等；</w:t>
      </w:r>
    </w:p>
    <w:p w14:paraId="5E3719A7">
      <w:pPr>
        <w:snapToGrid w:val="0"/>
        <w:spacing w:line="360" w:lineRule="auto"/>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3F5D1D43">
      <w:pPr>
        <w:snapToGrid w:val="0"/>
        <w:spacing w:line="360" w:lineRule="auto"/>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（3）施工图及相关资料；</w:t>
      </w:r>
    </w:p>
    <w:p w14:paraId="71E5BACD">
      <w:pPr>
        <w:snapToGrid w:val="0"/>
        <w:spacing w:line="360" w:lineRule="auto"/>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（4）招标文件及招标工程量清单；</w:t>
      </w:r>
    </w:p>
    <w:p w14:paraId="19AD9089">
      <w:pPr>
        <w:snapToGrid w:val="0"/>
        <w:spacing w:line="360" w:lineRule="auto"/>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（5）施工现场情况、工程特点及常规施工方案；</w:t>
      </w:r>
    </w:p>
    <w:p w14:paraId="4AEBBB60">
      <w:pPr>
        <w:snapToGrid w:val="0"/>
        <w:spacing w:line="360" w:lineRule="auto"/>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（6）项目所在地工程造价管理机构发布的工程造价信息，工程造价信息缺项的，参照市场价格；</w:t>
      </w:r>
    </w:p>
    <w:p w14:paraId="67C65DF8">
      <w:pPr>
        <w:snapToGrid w:val="0"/>
        <w:spacing w:line="360" w:lineRule="auto"/>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（7）与建设项目相关的标准、规范、技术资料。</w:t>
      </w:r>
    </w:p>
    <w:p w14:paraId="273597B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Cs/>
          <w:snapToGrid w:val="0"/>
          <w:color w:val="auto"/>
          <w:kern w:val="0"/>
          <w:sz w:val="24"/>
          <w:szCs w:val="24"/>
          <w:highlight w:val="none"/>
          <w:lang w:val="en-US" w:eastAsia="zh-CN"/>
        </w:rPr>
      </w:pPr>
      <w:r>
        <w:rPr>
          <w:rStyle w:val="22"/>
          <w:rFonts w:hint="eastAsia" w:ascii="宋体" w:hAnsi="宋体" w:eastAsia="宋体" w:cs="宋体"/>
          <w:b/>
          <w:bCs/>
          <w:color w:val="auto"/>
          <w:kern w:val="0"/>
          <w:highlight w:val="none"/>
        </w:rPr>
        <w:t>8.2</w:t>
      </w:r>
      <w:r>
        <w:rPr>
          <w:rStyle w:val="22"/>
          <w:rFonts w:hint="eastAsia" w:ascii="宋体" w:hAnsi="宋体" w:eastAsia="宋体" w:cs="宋体"/>
          <w:color w:val="auto"/>
          <w:kern w:val="0"/>
          <w:highlight w:val="none"/>
        </w:rPr>
        <w:t xml:space="preserve"> </w:t>
      </w:r>
      <w:r>
        <w:rPr>
          <w:rFonts w:hint="eastAsia"/>
          <w:color w:val="auto"/>
          <w:sz w:val="24"/>
          <w:szCs w:val="24"/>
          <w:highlight w:val="none"/>
          <w:lang w:eastAsia="zh-CN"/>
        </w:rPr>
        <w:t>本项目最高投标限价、施工图纸、招标工程量清单在投标截止时间7天前以补充公告的形式在广东省招标投标监管网和全国公共资源交易平台（广东省·韶关市）发布。</w:t>
      </w:r>
    </w:p>
    <w:p w14:paraId="77753EA2">
      <w:pPr>
        <w:snapToGrid w:val="0"/>
        <w:spacing w:line="360" w:lineRule="auto"/>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8.3</w:t>
      </w:r>
      <w:r>
        <w:rPr>
          <w:rStyle w:val="22"/>
          <w:rFonts w:hint="eastAsia" w:ascii="宋体" w:hAnsi="宋体" w:eastAsia="宋体" w:cs="宋体"/>
          <w:color w:val="auto"/>
          <w:kern w:val="0"/>
          <w:highlight w:val="none"/>
        </w:rPr>
        <w:t xml:space="preserve"> 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092D0327">
      <w:pPr>
        <w:snapToGrid w:val="0"/>
        <w:spacing w:line="360" w:lineRule="auto"/>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8.4</w:t>
      </w:r>
      <w:r>
        <w:rPr>
          <w:rStyle w:val="22"/>
          <w:rFonts w:hint="eastAsia" w:ascii="宋体" w:hAnsi="宋体" w:eastAsia="宋体" w:cs="宋体"/>
          <w:color w:val="auto"/>
          <w:kern w:val="0"/>
          <w:highlight w:val="none"/>
        </w:rPr>
        <w:t xml:space="preserve"> 本招标项目以暂估价形式列入招标工程量清单中的材料暂估价及专业工程暂估价</w:t>
      </w:r>
      <w:r>
        <w:rPr>
          <w:rStyle w:val="22"/>
          <w:rFonts w:hint="eastAsia" w:ascii="宋体" w:hAnsi="宋体" w:eastAsia="宋体" w:cs="宋体"/>
          <w:color w:val="auto"/>
          <w:kern w:val="0"/>
          <w:highlight w:val="none"/>
          <w:lang w:eastAsia="zh-CN"/>
        </w:rPr>
        <w:t>，</w:t>
      </w:r>
      <w:r>
        <w:rPr>
          <w:rStyle w:val="22"/>
          <w:rFonts w:hint="eastAsia" w:ascii="宋体" w:hAnsi="宋体" w:eastAsia="宋体" w:cs="宋体"/>
          <w:color w:val="auto"/>
          <w:kern w:val="0"/>
          <w:highlight w:val="none"/>
        </w:rPr>
        <w:t>包括：</w:t>
      </w:r>
      <w:r>
        <w:rPr>
          <w:rStyle w:val="22"/>
          <w:rFonts w:hint="eastAsia" w:ascii="宋体" w:hAnsi="宋体" w:eastAsia="宋体" w:cs="宋体"/>
          <w:color w:val="auto"/>
          <w:kern w:val="0"/>
          <w:highlight w:val="none"/>
          <w:lang w:val="en-US" w:eastAsia="zh-CN"/>
        </w:rPr>
        <w:t>招标人</w:t>
      </w:r>
      <w:r>
        <w:rPr>
          <w:rStyle w:val="22"/>
          <w:rFonts w:hint="eastAsia" w:ascii="宋体" w:hAnsi="宋体" w:eastAsia="宋体" w:cs="宋体"/>
          <w:color w:val="auto"/>
          <w:kern w:val="0"/>
          <w:highlight w:val="none"/>
        </w:rPr>
        <w:t>在工程量清单中提供的、用于支付设计图纸要求必需使用但招标时‌价格尚未确定‌的材料（不含增值税）的预估价格</w:t>
      </w:r>
      <w:r>
        <w:rPr>
          <w:rStyle w:val="22"/>
          <w:rFonts w:hint="eastAsia" w:ascii="宋体" w:hAnsi="宋体" w:eastAsia="宋体" w:cs="宋体"/>
          <w:color w:val="auto"/>
          <w:kern w:val="0"/>
          <w:highlight w:val="none"/>
          <w:lang w:eastAsia="zh-CN"/>
        </w:rPr>
        <w:t>；</w:t>
      </w:r>
      <w:r>
        <w:rPr>
          <w:rStyle w:val="22"/>
          <w:rFonts w:hint="eastAsia" w:ascii="宋体" w:hAnsi="宋体" w:eastAsia="宋体" w:cs="宋体"/>
          <w:color w:val="auto"/>
          <w:kern w:val="0"/>
          <w:highlight w:val="none"/>
          <w:lang w:val="en-US" w:eastAsia="zh-CN"/>
        </w:rPr>
        <w:t>在</w:t>
      </w:r>
      <w:r>
        <w:rPr>
          <w:rStyle w:val="22"/>
          <w:rFonts w:hint="eastAsia" w:ascii="宋体" w:hAnsi="宋体" w:eastAsia="宋体" w:cs="宋体"/>
          <w:color w:val="auto"/>
          <w:kern w:val="0"/>
          <w:highlight w:val="none"/>
          <w:lang w:eastAsia="zh-CN"/>
        </w:rPr>
        <w:t>招标时设计未明确、规格不确定但必然发生的‌专业分包工程‌（如消防、智能化、幕墙等）所预估的‌含税总价</w:t>
      </w:r>
      <w:r>
        <w:rPr>
          <w:rStyle w:val="22"/>
          <w:rFonts w:hint="eastAsia" w:ascii="宋体" w:hAnsi="宋体" w:eastAsia="宋体" w:cs="宋体"/>
          <w:color w:val="auto"/>
          <w:kern w:val="0"/>
          <w:highlight w:val="none"/>
        </w:rPr>
        <w:t>。</w:t>
      </w:r>
    </w:p>
    <w:p w14:paraId="6A226F91">
      <w:pPr>
        <w:snapToGrid w:val="0"/>
        <w:spacing w:line="360" w:lineRule="auto"/>
        <w:ind w:firstLine="480" w:firstLineChars="200"/>
        <w:rPr>
          <w:rStyle w:val="22"/>
          <w:rFonts w:hint="eastAsia" w:ascii="宋体" w:hAnsi="宋体" w:eastAsia="宋体" w:cs="宋体"/>
          <w:color w:val="auto"/>
          <w:kern w:val="0"/>
          <w:highlight w:val="none"/>
          <w:lang w:eastAsia="zh-CN"/>
        </w:rPr>
      </w:pPr>
      <w:r>
        <w:rPr>
          <w:rStyle w:val="22"/>
          <w:rFonts w:hint="eastAsia" w:ascii="宋体" w:hAnsi="宋体" w:eastAsia="宋体" w:cs="宋体"/>
          <w:color w:val="auto"/>
          <w:kern w:val="0"/>
          <w:highlight w:val="none"/>
        </w:rPr>
        <w:t>材料暂估价投标时必须按招标清单给定的‌不含税暂估单价‌计入综合单价，不得擅自更改</w:t>
      </w:r>
      <w:r>
        <w:rPr>
          <w:rStyle w:val="22"/>
          <w:rFonts w:hint="eastAsia" w:ascii="宋体" w:hAnsi="宋体" w:eastAsia="宋体" w:cs="宋体"/>
          <w:color w:val="auto"/>
          <w:kern w:val="0"/>
          <w:highlight w:val="none"/>
          <w:lang w:eastAsia="zh-CN"/>
        </w:rPr>
        <w:t>；</w:t>
      </w:r>
    </w:p>
    <w:p w14:paraId="1F29C3EF">
      <w:pPr>
        <w:snapToGrid w:val="0"/>
        <w:spacing w:line="360" w:lineRule="auto"/>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专业工程暂估价投标人必须按招标工程量清单中列出金额统一报价，其结算原则按本招标文件相关条款执行。</w:t>
      </w:r>
    </w:p>
    <w:p w14:paraId="6387F06A">
      <w:pPr>
        <w:snapToGrid w:val="0"/>
        <w:spacing w:line="360" w:lineRule="auto"/>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8.5</w:t>
      </w:r>
      <w:r>
        <w:rPr>
          <w:rStyle w:val="22"/>
          <w:rFonts w:hint="eastAsia" w:ascii="宋体" w:hAnsi="宋体" w:eastAsia="宋体" w:cs="宋体"/>
          <w:color w:val="auto"/>
          <w:kern w:val="0"/>
          <w:highlight w:val="none"/>
        </w:rPr>
        <w:t xml:space="preserve"> 当暂估价项目的内容、标准、要求在项目实施过程中得以深化、明确、固定后，按以下原则发包：</w:t>
      </w:r>
    </w:p>
    <w:p w14:paraId="0DB4AC8D">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（1）暂估价项目按</w:t>
      </w:r>
      <w:r>
        <w:rPr>
          <w:rStyle w:val="22"/>
          <w:rFonts w:hint="eastAsia" w:ascii="宋体" w:hAnsi="宋体" w:eastAsia="宋体" w:cs="宋体"/>
          <w:color w:val="auto"/>
          <w:kern w:val="0"/>
          <w:highlight w:val="none"/>
          <w:lang w:val="en-US" w:eastAsia="zh-CN"/>
        </w:rPr>
        <w:t>工程、货物（指材料暂估价下同）的类别分类汇总的金额，</w:t>
      </w:r>
      <w:r>
        <w:rPr>
          <w:rStyle w:val="22"/>
          <w:rFonts w:hint="eastAsia" w:ascii="宋体" w:hAnsi="宋体" w:eastAsia="宋体" w:cs="宋体"/>
          <w:color w:val="auto"/>
          <w:kern w:val="0"/>
          <w:highlight w:val="none"/>
        </w:rPr>
        <w:t>达到必须招标规模标准的，由中标人招标，招标人参与管理，</w:t>
      </w:r>
      <w:r>
        <w:rPr>
          <w:rStyle w:val="22"/>
          <w:rFonts w:hint="eastAsia" w:ascii="宋体" w:hAnsi="宋体" w:eastAsia="宋体" w:cs="宋体"/>
          <w:color w:val="auto"/>
          <w:kern w:val="0"/>
          <w:highlight w:val="none"/>
          <w:lang w:val="en-US" w:eastAsia="zh-CN"/>
        </w:rPr>
        <w:t>确定专业工程承包人（或材料供应商）和合同价格</w:t>
      </w:r>
      <w:r>
        <w:rPr>
          <w:rStyle w:val="22"/>
          <w:rFonts w:hint="eastAsia" w:ascii="宋体" w:hAnsi="宋体" w:eastAsia="宋体" w:cs="宋体"/>
          <w:color w:val="auto"/>
          <w:kern w:val="0"/>
          <w:highlight w:val="none"/>
        </w:rPr>
        <w:t>。</w:t>
      </w:r>
    </w:p>
    <w:p w14:paraId="5BC4F323">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lang w:val="en-US" w:eastAsia="zh-CN"/>
        </w:rPr>
        <w:t>（2）暂估价项目按工程、货物的类别分类汇总的金额，未达到必须招标规模标准但适用政府采购规定的，按照政府采购规定确定专业工程承包人（或材料供应商）和合同价格。</w:t>
      </w:r>
    </w:p>
    <w:p w14:paraId="1420A4A1">
      <w:pPr>
        <w:snapToGrid w:val="0"/>
        <w:spacing w:line="440" w:lineRule="exact"/>
        <w:ind w:firstLine="480" w:firstLineChars="200"/>
        <w:rPr>
          <w:rStyle w:val="22"/>
          <w:rFonts w:hint="eastAsia" w:ascii="宋体" w:hAnsi="宋体" w:eastAsia="宋体" w:cs="宋体"/>
          <w:color w:val="auto"/>
          <w:kern w:val="0"/>
          <w:highlight w:val="none"/>
          <w:lang w:val="en-US" w:eastAsia="zh-CN"/>
        </w:rPr>
      </w:pPr>
      <w:r>
        <w:rPr>
          <w:rStyle w:val="22"/>
          <w:rFonts w:hint="eastAsia" w:ascii="宋体" w:hAnsi="宋体" w:eastAsia="宋体" w:cs="宋体"/>
          <w:color w:val="auto"/>
          <w:kern w:val="0"/>
          <w:highlight w:val="none"/>
        </w:rPr>
        <w:t>（</w:t>
      </w:r>
      <w:r>
        <w:rPr>
          <w:rStyle w:val="22"/>
          <w:rFonts w:hint="eastAsia" w:ascii="宋体" w:hAnsi="宋体" w:eastAsia="宋体" w:cs="宋体"/>
          <w:color w:val="auto"/>
          <w:kern w:val="0"/>
          <w:highlight w:val="none"/>
          <w:lang w:val="en-US" w:eastAsia="zh-CN"/>
        </w:rPr>
        <w:t>3</w:t>
      </w:r>
      <w:r>
        <w:rPr>
          <w:rStyle w:val="22"/>
          <w:rFonts w:hint="eastAsia" w:ascii="宋体" w:hAnsi="宋体" w:eastAsia="宋体" w:cs="宋体"/>
          <w:color w:val="auto"/>
          <w:kern w:val="0"/>
          <w:highlight w:val="none"/>
          <w:lang w:eastAsia="zh-CN"/>
        </w:rPr>
        <w:t>）</w:t>
      </w:r>
      <w:r>
        <w:rPr>
          <w:rStyle w:val="22"/>
          <w:rFonts w:hint="eastAsia" w:ascii="宋体" w:hAnsi="宋体" w:eastAsia="宋体" w:cs="宋体"/>
          <w:color w:val="auto"/>
          <w:kern w:val="0"/>
          <w:highlight w:val="none"/>
          <w:lang w:val="en-US" w:eastAsia="zh-CN"/>
        </w:rPr>
        <w:t>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6D932638">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lang w:val="en-US" w:eastAsia="zh-CN"/>
        </w:rPr>
        <w:t xml:space="preserve">（4）暂估价项目按工程、货物的类别分类汇总的金额，未达到必须招标规模标准也不适用政府采购规定，中标人既不具备相应资格条件又不具备分包权的，由招标人另行发包。 </w:t>
      </w:r>
    </w:p>
    <w:p w14:paraId="516EF061">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lang w:val="en-US" w:eastAsia="zh-CN"/>
        </w:rPr>
        <w:t>（5）暂估价项目由其他承包人承包的，纳入中标人的管理和协调范围，由其他承包人向中标人承担质量、安全、文明施工、工期责任，中标人向招标人承担责任。</w:t>
      </w:r>
    </w:p>
    <w:p w14:paraId="27D9CFC5">
      <w:pPr>
        <w:snapToGrid w:val="0"/>
        <w:spacing w:line="440" w:lineRule="exact"/>
        <w:ind w:firstLine="482" w:firstLineChars="200"/>
        <w:rPr>
          <w:rStyle w:val="22"/>
          <w:rFonts w:hint="eastAsia" w:ascii="宋体" w:hAnsi="宋体" w:eastAsia="宋体" w:cs="宋体"/>
          <w:color w:val="auto"/>
          <w:highlight w:val="none"/>
        </w:rPr>
      </w:pPr>
      <w:r>
        <w:rPr>
          <w:rStyle w:val="22"/>
          <w:rFonts w:hint="eastAsia" w:ascii="宋体" w:hAnsi="宋体" w:eastAsia="宋体" w:cs="宋体"/>
          <w:b/>
          <w:bCs/>
          <w:color w:val="auto"/>
          <w:kern w:val="0"/>
          <w:highlight w:val="none"/>
        </w:rPr>
        <w:t>8.6</w:t>
      </w:r>
      <w:r>
        <w:rPr>
          <w:rStyle w:val="22"/>
          <w:rFonts w:hint="eastAsia" w:ascii="宋体" w:hAnsi="宋体" w:eastAsia="宋体" w:cs="宋体"/>
          <w:color w:val="auto"/>
          <w:kern w:val="0"/>
          <w:highlight w:val="none"/>
        </w:rPr>
        <w:t xml:space="preserve"> 本工程以</w:t>
      </w:r>
      <w:r>
        <w:rPr>
          <w:rStyle w:val="22"/>
          <w:rFonts w:hint="eastAsia" w:ascii="宋体" w:hAnsi="宋体" w:eastAsia="宋体" w:cs="宋体"/>
          <w:color w:val="auto"/>
          <w:highlight w:val="none"/>
        </w:rPr>
        <w:t>暂列金额</w:t>
      </w:r>
      <w:r>
        <w:rPr>
          <w:rStyle w:val="22"/>
          <w:rFonts w:hint="eastAsia" w:ascii="宋体" w:hAnsi="宋体" w:eastAsia="宋体" w:cs="宋体"/>
          <w:color w:val="auto"/>
          <w:kern w:val="0"/>
          <w:highlight w:val="none"/>
        </w:rPr>
        <w:t>形式列入招标工程量清单中的</w:t>
      </w:r>
      <w:r>
        <w:rPr>
          <w:rStyle w:val="22"/>
          <w:rFonts w:hint="eastAsia" w:ascii="宋体" w:hAnsi="宋体" w:eastAsia="宋体" w:cs="宋体"/>
          <w:color w:val="auto"/>
          <w:highlight w:val="none"/>
        </w:rPr>
        <w:t>所需货物和服务的采购</w:t>
      </w:r>
      <w:r>
        <w:rPr>
          <w:rStyle w:val="22"/>
          <w:rFonts w:hint="eastAsia" w:ascii="宋体" w:hAnsi="宋体" w:eastAsia="宋体" w:cs="宋体"/>
          <w:color w:val="auto"/>
          <w:kern w:val="0"/>
          <w:highlight w:val="none"/>
        </w:rPr>
        <w:t>（以下统称“暂列金额项目”）若有</w:t>
      </w:r>
      <w:r>
        <w:rPr>
          <w:rStyle w:val="22"/>
          <w:rFonts w:hint="eastAsia" w:ascii="宋体" w:hAnsi="宋体" w:eastAsia="宋体" w:cs="宋体"/>
          <w:color w:val="auto"/>
          <w:highlight w:val="none"/>
        </w:rPr>
        <w:t>发生，按照本节第</w:t>
      </w:r>
      <w:r>
        <w:rPr>
          <w:rStyle w:val="22"/>
          <w:rFonts w:hint="eastAsia" w:ascii="宋体" w:hAnsi="宋体" w:eastAsia="宋体" w:cs="宋体"/>
          <w:b/>
          <w:bCs/>
          <w:color w:val="auto"/>
          <w:kern w:val="0"/>
          <w:highlight w:val="none"/>
        </w:rPr>
        <w:t>8.5</w:t>
      </w:r>
      <w:r>
        <w:rPr>
          <w:rStyle w:val="22"/>
          <w:rFonts w:hint="eastAsia" w:ascii="宋体" w:hAnsi="宋体" w:eastAsia="宋体" w:cs="宋体"/>
          <w:color w:val="auto"/>
          <w:highlight w:val="none"/>
        </w:rPr>
        <w:t>条的规定确定货物（或服务）供应商和合同价格。暂列金额项目由其他承包人承包的，纳入中标人的管理和协调范围，由其他承包人向中标人承担质量、安全、文明施工、工期责任，中标人向招标人承担责任。</w:t>
      </w:r>
    </w:p>
    <w:p w14:paraId="2FD35394">
      <w:pPr>
        <w:snapToGrid w:val="0"/>
        <w:spacing w:line="440" w:lineRule="exact"/>
        <w:ind w:firstLine="480" w:firstLineChars="200"/>
        <w:rPr>
          <w:rStyle w:val="22"/>
          <w:rFonts w:hint="eastAsia" w:ascii="宋体" w:hAnsi="宋体" w:eastAsia="宋体" w:cs="宋体"/>
          <w:color w:val="auto"/>
          <w:highlight w:val="none"/>
        </w:rPr>
      </w:pPr>
    </w:p>
    <w:p w14:paraId="229AB98D">
      <w:pPr>
        <w:pStyle w:val="26"/>
        <w:snapToGrid w:val="0"/>
        <w:ind w:firstLine="482" w:firstLineChars="20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9．投标报价</w:t>
      </w:r>
    </w:p>
    <w:p w14:paraId="1621095E">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9.1</w:t>
      </w:r>
      <w:r>
        <w:rPr>
          <w:rStyle w:val="22"/>
          <w:rFonts w:hint="eastAsia" w:ascii="宋体" w:hAnsi="宋体" w:eastAsia="宋体" w:cs="宋体"/>
          <w:color w:val="auto"/>
          <w:kern w:val="0"/>
          <w:highlight w:val="none"/>
        </w:rPr>
        <w:t xml:space="preserve"> 投标人应按照以下依据编制投标报价：</w:t>
      </w:r>
    </w:p>
    <w:p w14:paraId="2D9F2CBE">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w:t>
      </w:r>
      <w:r>
        <w:rPr>
          <w:rFonts w:hint="eastAsia" w:hAnsi="宋体" w:cs="宋体"/>
          <w:color w:val="auto"/>
          <w:szCs w:val="24"/>
          <w:highlight w:val="none"/>
        </w:rPr>
        <w:t>《建设工程工程量清单计价标准》（GB/T 50500-2024）</w:t>
      </w:r>
      <w:r>
        <w:rPr>
          <w:rFonts w:hint="eastAsia" w:hAnsi="宋体" w:cs="宋体"/>
          <w:color w:val="auto"/>
          <w:szCs w:val="24"/>
          <w:highlight w:val="none"/>
          <w:lang w:eastAsia="zh-CN"/>
        </w:rPr>
        <w:t>；</w:t>
      </w:r>
    </w:p>
    <w:p w14:paraId="32537AE6">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3FAF49E6">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（3）企业定额；</w:t>
      </w:r>
    </w:p>
    <w:p w14:paraId="129DE8D9">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（4）招标文件及其答疑（或修改）公告、招标工程量清单；</w:t>
      </w:r>
    </w:p>
    <w:p w14:paraId="07D97A02">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（5）施工图及相关资料；</w:t>
      </w:r>
    </w:p>
    <w:p w14:paraId="4FC25DA1">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（6）施工现场情况、工程特点及投标时拟定的施工组织设计或施工方案；</w:t>
      </w:r>
    </w:p>
    <w:p w14:paraId="1C3E42BE">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（7）市场价格信息或项目所在地工程造价管理机构发布的工程造价信息；</w:t>
      </w:r>
    </w:p>
    <w:p w14:paraId="64E1DFA4">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（8）与建设项目相关的标准、规范、技术资料。</w:t>
      </w:r>
    </w:p>
    <w:p w14:paraId="06B1BA21">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9.2</w:t>
      </w:r>
      <w:r>
        <w:rPr>
          <w:rStyle w:val="22"/>
          <w:rFonts w:hint="eastAsia" w:ascii="宋体" w:hAnsi="宋体" w:eastAsia="宋体" w:cs="宋体"/>
          <w:color w:val="auto"/>
          <w:kern w:val="0"/>
          <w:highlight w:val="none"/>
        </w:rPr>
        <w:t xml:space="preserve"> 投标人应根据招标工程量清单、工程量清单计价规范中的工作内容、设计文件和有关要求、施工现场实际情况、投标人拟定的施工组织设计、本单位的企业定额和市场价格进行编制，自行报价，并承担一定范围内的风险费用。所谓</w:t>
      </w:r>
      <w:r>
        <w:rPr>
          <w:rFonts w:hint="eastAsia" w:ascii="宋体" w:hAnsi="宋体" w:eastAsia="宋体" w:cs="宋体"/>
          <w:snapToGrid w:val="0"/>
          <w:color w:val="auto"/>
          <w:kern w:val="0"/>
          <w:highlight w:val="none"/>
        </w:rPr>
        <w:t>“一定范围内的风险”</w:t>
      </w:r>
      <w:r>
        <w:rPr>
          <w:rStyle w:val="22"/>
          <w:rFonts w:hint="eastAsia" w:ascii="宋体" w:hAnsi="宋体" w:eastAsia="宋体" w:cs="宋体"/>
          <w:color w:val="auto"/>
          <w:kern w:val="0"/>
          <w:highlight w:val="none"/>
        </w:rPr>
        <w:t>是指合同约定的风险。</w:t>
      </w:r>
    </w:p>
    <w:p w14:paraId="5E373BCA">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9.3</w:t>
      </w:r>
      <w:r>
        <w:rPr>
          <w:rStyle w:val="22"/>
          <w:rFonts w:hint="eastAsia" w:ascii="宋体" w:hAnsi="宋体" w:eastAsia="宋体" w:cs="宋体"/>
          <w:color w:val="auto"/>
          <w:kern w:val="0"/>
          <w:highlight w:val="none"/>
        </w:rPr>
        <w:t xml:space="preserve"> 招标人及招标代理机构不集中组织现场踏勘，投标人需要了解现场情况的，可自行进行现场踏勘。各投标人应勘察施工现场及周围环境、地形、地貌、水文、交通等情况，以获得一切可能影响到投标的直接资料。投标人应针对现场情况编制施工组织设计，并在编制投标报价时考虑现场情况的影响。</w:t>
      </w:r>
    </w:p>
    <w:p w14:paraId="146220C9">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9.4</w:t>
      </w:r>
      <w:r>
        <w:rPr>
          <w:rStyle w:val="22"/>
          <w:rFonts w:hint="eastAsia" w:ascii="宋体" w:hAnsi="宋体" w:eastAsia="宋体" w:cs="宋体"/>
          <w:color w:val="auto"/>
          <w:kern w:val="0"/>
          <w:highlight w:val="none"/>
        </w:rPr>
        <w:t>招标人向投标人提供的有关现场的数据和资料，是招标人现有的能被投标人利用的资料，招标人对投标人做出的任何推论、理解和结论均不负责任。</w:t>
      </w:r>
    </w:p>
    <w:p w14:paraId="1F7716AE">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9.5</w:t>
      </w:r>
      <w:r>
        <w:rPr>
          <w:rStyle w:val="22"/>
          <w:rFonts w:hint="eastAsia" w:ascii="宋体" w:hAnsi="宋体" w:eastAsia="宋体" w:cs="宋体"/>
          <w:color w:val="auto"/>
          <w:kern w:val="0"/>
          <w:highlight w:val="none"/>
        </w:rPr>
        <w:t>投标人必须按照招标工程量清单及表格填报价格。项目编码、</w:t>
      </w:r>
      <w:r>
        <w:rPr>
          <w:rStyle w:val="22"/>
          <w:rFonts w:hint="eastAsia" w:hAnsi="宋体" w:cs="宋体"/>
          <w:color w:val="auto"/>
          <w:kern w:val="0"/>
          <w:highlight w:val="none"/>
          <w:lang w:eastAsia="zh-CN"/>
        </w:rPr>
        <w:t>工程名称</w:t>
      </w:r>
      <w:r>
        <w:rPr>
          <w:rStyle w:val="22"/>
          <w:rFonts w:hint="eastAsia" w:ascii="宋体" w:hAnsi="宋体" w:eastAsia="宋体" w:cs="宋体"/>
          <w:color w:val="auto"/>
          <w:kern w:val="0"/>
          <w:highlight w:val="none"/>
        </w:rPr>
        <w:t>、项目特征、计量单位、工程量必须与招标工程量清单一致。所有报价均以人民币“元”为单位，并保留小数点后两位。</w:t>
      </w:r>
    </w:p>
    <w:p w14:paraId="0700D17A">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9.6</w:t>
      </w:r>
      <w:r>
        <w:rPr>
          <w:rStyle w:val="22"/>
          <w:rFonts w:hint="eastAsia" w:ascii="宋体" w:hAnsi="宋体" w:eastAsia="宋体" w:cs="宋体"/>
          <w:color w:val="auto"/>
          <w:kern w:val="0"/>
          <w:highlight w:val="none"/>
        </w:rPr>
        <w:t>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04EBF0D8">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9.7</w:t>
      </w:r>
      <w:r>
        <w:rPr>
          <w:rStyle w:val="22"/>
          <w:rFonts w:hint="eastAsia" w:ascii="宋体" w:hAnsi="宋体" w:eastAsia="宋体" w:cs="宋体"/>
          <w:color w:val="auto"/>
          <w:kern w:val="0"/>
          <w:highlight w:val="none"/>
        </w:rPr>
        <w:t xml:space="preserve"> 投标人的投标总价不得高于</w:t>
      </w:r>
      <w:r>
        <w:rPr>
          <w:rStyle w:val="22"/>
          <w:rFonts w:hint="eastAsia" w:hAnsi="宋体" w:cs="宋体"/>
          <w:color w:val="auto"/>
          <w:kern w:val="0"/>
          <w:highlight w:val="none"/>
          <w:lang w:eastAsia="zh-CN"/>
        </w:rPr>
        <w:t>最高投标限价</w:t>
      </w:r>
      <w:r>
        <w:rPr>
          <w:rStyle w:val="22"/>
          <w:rFonts w:hint="eastAsia" w:ascii="宋体" w:hAnsi="宋体" w:eastAsia="宋体" w:cs="宋体"/>
          <w:color w:val="auto"/>
          <w:kern w:val="0"/>
          <w:highlight w:val="none"/>
        </w:rPr>
        <w:t>，也不得低于工程成本。投标人对投标总价的所有优惠（降价、让利等），均应当反映在具体清单项目或其综合单价的报价上。</w:t>
      </w:r>
      <w:r>
        <w:rPr>
          <w:rStyle w:val="22"/>
          <w:rFonts w:hint="eastAsia" w:ascii="宋体" w:hAnsi="宋体" w:eastAsia="宋体" w:cs="宋体"/>
          <w:b/>
          <w:bCs/>
          <w:color w:val="auto"/>
          <w:kern w:val="0"/>
          <w:highlight w:val="none"/>
        </w:rPr>
        <w:t>如果投标人的投标总价下浮率（投标总价下浮率＝100%－投标总价÷</w:t>
      </w:r>
      <w:r>
        <w:rPr>
          <w:rStyle w:val="22"/>
          <w:rFonts w:hint="eastAsia" w:hAnsi="宋体" w:cs="宋体"/>
          <w:b/>
          <w:bCs/>
          <w:color w:val="auto"/>
          <w:kern w:val="0"/>
          <w:highlight w:val="none"/>
          <w:lang w:eastAsia="zh-CN"/>
        </w:rPr>
        <w:t>最高投标限价</w:t>
      </w:r>
      <w:r>
        <w:rPr>
          <w:rStyle w:val="22"/>
          <w:rFonts w:hint="eastAsia" w:ascii="宋体" w:hAnsi="宋体" w:eastAsia="宋体" w:cs="宋体"/>
          <w:b/>
          <w:bCs/>
          <w:color w:val="auto"/>
          <w:kern w:val="0"/>
          <w:highlight w:val="none"/>
        </w:rPr>
        <w:t>×100%）高于15%时，投标人必须在投标文件中专项作出详细合理的书面说明并提供以往类似工程详细成本分析报告供评标委员会审查。</w:t>
      </w:r>
    </w:p>
    <w:p w14:paraId="416403DB">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9.8</w:t>
      </w:r>
      <w:r>
        <w:rPr>
          <w:rStyle w:val="22"/>
          <w:rFonts w:hint="eastAsia" w:ascii="宋体" w:hAnsi="宋体" w:eastAsia="宋体" w:cs="宋体"/>
          <w:color w:val="auto"/>
          <w:kern w:val="0"/>
          <w:highlight w:val="none"/>
        </w:rPr>
        <w:t xml:space="preserve"> 投标人的</w:t>
      </w:r>
      <w:r>
        <w:rPr>
          <w:rStyle w:val="22"/>
          <w:rFonts w:hint="eastAsia" w:hAnsi="宋体" w:cs="宋体"/>
          <w:color w:val="auto"/>
          <w:kern w:val="0"/>
          <w:highlight w:val="none"/>
          <w:lang w:eastAsia="zh-CN"/>
        </w:rPr>
        <w:t>安全生产措施费</w:t>
      </w:r>
      <w:r>
        <w:rPr>
          <w:rStyle w:val="22"/>
          <w:rFonts w:hint="eastAsia" w:ascii="宋体" w:hAnsi="宋体" w:eastAsia="宋体" w:cs="宋体"/>
          <w:color w:val="auto"/>
          <w:kern w:val="0"/>
          <w:highlight w:val="none"/>
        </w:rPr>
        <w:t>报价必须达到或超过招标工程量清单中提供的</w:t>
      </w:r>
      <w:r>
        <w:rPr>
          <w:rStyle w:val="22"/>
          <w:rFonts w:hint="eastAsia" w:hAnsi="宋体" w:cs="宋体"/>
          <w:color w:val="auto"/>
          <w:kern w:val="0"/>
          <w:highlight w:val="none"/>
          <w:lang w:eastAsia="zh-CN"/>
        </w:rPr>
        <w:t>安全生产措施费</w:t>
      </w:r>
      <w:r>
        <w:rPr>
          <w:rStyle w:val="22"/>
          <w:rFonts w:hint="eastAsia" w:ascii="宋体" w:hAnsi="宋体" w:eastAsia="宋体" w:cs="宋体"/>
          <w:color w:val="auto"/>
          <w:kern w:val="0"/>
          <w:highlight w:val="none"/>
        </w:rPr>
        <w:t>。</w:t>
      </w:r>
    </w:p>
    <w:p w14:paraId="66DCE0C3">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9.9</w:t>
      </w:r>
      <w:r>
        <w:rPr>
          <w:rStyle w:val="22"/>
          <w:rFonts w:hint="eastAsia" w:ascii="宋体" w:hAnsi="宋体" w:eastAsia="宋体" w:cs="宋体"/>
          <w:color w:val="auto"/>
          <w:kern w:val="0"/>
          <w:highlight w:val="none"/>
        </w:rPr>
        <w:t xml:space="preserve"> 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p>
    <w:p w14:paraId="7B5BC83D">
      <w:pPr>
        <w:wordWrap w:val="0"/>
        <w:adjustRightInd w:val="0"/>
        <w:snapToGrid w:val="0"/>
        <w:ind w:firstLine="482" w:firstLineChars="200"/>
        <w:jc w:val="left"/>
        <w:rPr>
          <w:rFonts w:hint="eastAsia" w:ascii="宋体" w:hAnsi="宋体" w:eastAsia="宋体" w:cs="宋体"/>
          <w:b/>
          <w:bCs/>
          <w:snapToGrid w:val="0"/>
          <w:color w:val="auto"/>
          <w:kern w:val="0"/>
          <w:highlight w:val="none"/>
        </w:rPr>
      </w:pPr>
      <w:r>
        <w:rPr>
          <w:rFonts w:hint="eastAsia" w:ascii="宋体" w:hAnsi="宋体" w:eastAsia="宋体" w:cs="宋体"/>
          <w:b/>
          <w:color w:val="auto"/>
          <w:highlight w:val="none"/>
          <w:u w:val="double"/>
        </w:rPr>
        <w:t>9.10招标人可根据政府有关项目工作计划或本项目资金安排情况或相关政策变化或项目实际实施情况，对本项目建设内容和规模进行调整，投标人中标后不得因此调整向招标人提出额外的费用补偿或索赔，必须按调整后的规模及内容完成工程的施工及结算。</w:t>
      </w:r>
    </w:p>
    <w:p w14:paraId="31AED9B1">
      <w:pPr>
        <w:pStyle w:val="33"/>
        <w:rPr>
          <w:rFonts w:hint="eastAsia" w:ascii="宋体" w:hAnsi="宋体" w:eastAsia="宋体" w:cs="宋体"/>
          <w:color w:val="auto"/>
          <w:highlight w:val="none"/>
        </w:rPr>
      </w:pPr>
    </w:p>
    <w:p w14:paraId="1E89D6F9">
      <w:pPr>
        <w:pStyle w:val="24"/>
        <w:rPr>
          <w:rStyle w:val="22"/>
          <w:rFonts w:hint="eastAsia" w:ascii="宋体" w:hAnsi="宋体" w:eastAsia="宋体" w:cs="宋体"/>
          <w:b/>
          <w:bCs/>
          <w:color w:val="auto"/>
          <w:highlight w:val="none"/>
        </w:rPr>
      </w:pPr>
    </w:p>
    <w:p w14:paraId="59265EF0">
      <w:pPr>
        <w:pStyle w:val="26"/>
        <w:numPr>
          <w:ilvl w:val="0"/>
          <w:numId w:val="2"/>
        </w:numPr>
        <w:snapToGrid w:val="0"/>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投标文件的编制要求</w:t>
      </w:r>
    </w:p>
    <w:p w14:paraId="133010D7">
      <w:pPr>
        <w:pStyle w:val="26"/>
        <w:snapToGrid w:val="0"/>
        <w:ind w:firstLine="482" w:firstLineChars="20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10.1</w:t>
      </w:r>
      <w:r>
        <w:rPr>
          <w:rStyle w:val="22"/>
          <w:rFonts w:hint="eastAsia" w:ascii="宋体" w:hAnsi="宋体" w:eastAsia="宋体" w:cs="宋体"/>
          <w:color w:val="auto"/>
          <w:highlight w:val="none"/>
        </w:rPr>
        <w:t xml:space="preserve"> 一般要求</w:t>
      </w:r>
    </w:p>
    <w:p w14:paraId="3389292A">
      <w:pPr>
        <w:pStyle w:val="8"/>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投标文件应按第六章 投标文件格式规定的内容，投标人提交的投标文件应当使用招标文件所提供的投标文件全部格式。</w:t>
      </w:r>
    </w:p>
    <w:p w14:paraId="1674D5B7">
      <w:pPr>
        <w:pStyle w:val="32"/>
        <w:snapToGrid w:val="0"/>
        <w:ind w:firstLineChars="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10.1.1</w:t>
      </w:r>
      <w:r>
        <w:rPr>
          <w:rStyle w:val="22"/>
          <w:rFonts w:hint="eastAsia" w:ascii="宋体" w:hAnsi="宋体" w:eastAsia="宋体" w:cs="宋体"/>
          <w:color w:val="auto"/>
          <w:kern w:val="0"/>
          <w:highlight w:val="none"/>
        </w:rPr>
        <w:t xml:space="preserve"> 投标人必须响应招标文件，并在充分理解招标人提供的全部文件、设计图纸、资料及现场条件的基础上编制投标文件。因投标文件不符合招标文件的要求而造成的损失和后果，由投标人自行承担。</w:t>
      </w:r>
    </w:p>
    <w:p w14:paraId="591BADC9">
      <w:pPr>
        <w:pStyle w:val="32"/>
        <w:snapToGrid w:val="0"/>
        <w:ind w:firstLineChars="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10.1.2</w:t>
      </w:r>
      <w:r>
        <w:rPr>
          <w:rStyle w:val="22"/>
          <w:rFonts w:hint="eastAsia" w:ascii="宋体" w:hAnsi="宋体" w:eastAsia="宋体" w:cs="宋体"/>
          <w:color w:val="auto"/>
          <w:kern w:val="0"/>
          <w:highlight w:val="none"/>
        </w:rPr>
        <w:t xml:space="preserve"> </w:t>
      </w:r>
      <w:r>
        <w:rPr>
          <w:rFonts w:hint="eastAsia" w:ascii="宋体" w:hAnsi="宋体" w:eastAsia="宋体" w:cs="宋体"/>
          <w:snapToGrid w:val="0"/>
          <w:color w:val="auto"/>
          <w:kern w:val="0"/>
          <w:highlight w:val="none"/>
        </w:rPr>
        <w:t>投标文件全部采用电子文档，</w:t>
      </w:r>
      <w:r>
        <w:rPr>
          <w:rFonts w:hint="eastAsia" w:ascii="宋体" w:hAnsi="宋体" w:eastAsia="宋体" w:cs="宋体"/>
          <w:b/>
          <w:bCs/>
          <w:snapToGrid w:val="0"/>
          <w:color w:val="auto"/>
          <w:kern w:val="0"/>
          <w:highlight w:val="none"/>
        </w:rPr>
        <w:t>投标文件所附证书证件均为原件扫描件</w:t>
      </w:r>
      <w:r>
        <w:rPr>
          <w:rFonts w:hint="eastAsia" w:ascii="宋体" w:hAnsi="宋体" w:eastAsia="宋体" w:cs="宋体"/>
          <w:snapToGrid w:val="0"/>
          <w:color w:val="auto"/>
          <w:kern w:val="0"/>
          <w:highlight w:val="none"/>
        </w:rPr>
        <w:t>，并采用单位数字证书，按招标文件要求在相应位置加盖电子印章。投标文件中需个人签字或盖章的，应加盖个人电子印章或在线下完成后扫描上传。按照交易平台关于全流程电子化项目的相关指引进行操作。</w:t>
      </w:r>
      <w:r>
        <w:rPr>
          <w:rStyle w:val="22"/>
          <w:rFonts w:hint="eastAsia" w:ascii="宋体" w:hAnsi="宋体" w:eastAsia="宋体" w:cs="宋体"/>
          <w:color w:val="auto"/>
          <w:kern w:val="0"/>
          <w:highlight w:val="none"/>
        </w:rPr>
        <w:t>详见：</w:t>
      </w:r>
      <w:r>
        <w:rPr>
          <w:rStyle w:val="22"/>
          <w:rFonts w:hint="eastAsia" w:ascii="宋体" w:hAnsi="宋体" w:eastAsia="宋体" w:cs="宋体"/>
          <w:color w:val="auto"/>
          <w:kern w:val="0"/>
          <w:highlight w:val="none"/>
          <w:lang w:eastAsia="zh-CN"/>
        </w:rPr>
        <w:t>全国公共资源交易平台（广东省·韶关市）</w:t>
      </w:r>
      <w:r>
        <w:rPr>
          <w:rStyle w:val="22"/>
          <w:rFonts w:hint="eastAsia" w:hAnsi="宋体" w:eastAsia="宋体" w:cs="宋体"/>
          <w:color w:val="auto"/>
          <w:kern w:val="0"/>
          <w:highlight w:val="none"/>
          <w:lang w:eastAsia="zh-CN"/>
        </w:rPr>
        <w:t>服务指南</w:t>
      </w:r>
      <w:r>
        <w:rPr>
          <w:rStyle w:val="22"/>
          <w:rFonts w:hint="eastAsia" w:ascii="宋体" w:hAnsi="宋体" w:eastAsia="宋体" w:cs="宋体"/>
          <w:color w:val="auto"/>
          <w:kern w:val="0"/>
          <w:highlight w:val="none"/>
        </w:rPr>
        <w:t>。</w:t>
      </w:r>
    </w:p>
    <w:p w14:paraId="33DC7FB3">
      <w:pPr>
        <w:pStyle w:val="32"/>
        <w:snapToGrid w:val="0"/>
        <w:ind w:firstLineChars="0"/>
        <w:rPr>
          <w:rStyle w:val="22"/>
          <w:rFonts w:hint="eastAsia" w:ascii="宋体" w:hAnsi="宋体" w:eastAsia="宋体" w:cs="宋体"/>
          <w:color w:val="auto"/>
          <w:kern w:val="0"/>
          <w:highlight w:val="none"/>
        </w:rPr>
      </w:pPr>
      <w:r>
        <w:rPr>
          <w:rFonts w:hint="eastAsia" w:ascii="宋体" w:hAnsi="宋体" w:eastAsia="宋体" w:cs="宋体"/>
          <w:b/>
          <w:bCs/>
          <w:snapToGrid w:val="0"/>
          <w:color w:val="auto"/>
          <w:kern w:val="0"/>
          <w:highlight w:val="none"/>
        </w:rPr>
        <w:t>10.1.3</w:t>
      </w:r>
      <w:r>
        <w:rPr>
          <w:rFonts w:hint="eastAsia" w:ascii="宋体" w:hAnsi="宋体" w:eastAsia="宋体" w:cs="宋体"/>
          <w:snapToGrid w:val="0"/>
          <w:color w:val="auto"/>
          <w:kern w:val="0"/>
          <w:highlight w:val="none"/>
        </w:rPr>
        <w:t>投标文件需按以下要求签字、盖章</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电子投标文件：</w:t>
      </w:r>
    </w:p>
    <w:p w14:paraId="27F783C4">
      <w:pPr>
        <w:pStyle w:val="32"/>
        <w:snapToGrid w:val="0"/>
        <w:ind w:firstLineChars="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电子投标文件：</w:t>
      </w:r>
    </w:p>
    <w:p w14:paraId="041E981B">
      <w:pPr>
        <w:pStyle w:val="32"/>
        <w:snapToGrid w:val="0"/>
        <w:ind w:firstLineChars="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10.1.3.1</w:t>
      </w:r>
      <w:r>
        <w:rPr>
          <w:rStyle w:val="22"/>
          <w:rFonts w:hint="eastAsia" w:ascii="宋体" w:hAnsi="宋体" w:eastAsia="宋体" w:cs="宋体"/>
          <w:color w:val="auto"/>
          <w:kern w:val="0"/>
          <w:highlight w:val="none"/>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70952D2A">
      <w:pPr>
        <w:pStyle w:val="32"/>
        <w:snapToGrid w:val="0"/>
        <w:ind w:firstLineChars="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10.1.3.2</w:t>
      </w:r>
      <w:r>
        <w:rPr>
          <w:rStyle w:val="22"/>
          <w:rFonts w:hint="eastAsia" w:ascii="宋体" w:hAnsi="宋体" w:eastAsia="宋体" w:cs="宋体"/>
          <w:color w:val="auto"/>
          <w:kern w:val="0"/>
          <w:highlight w:val="none"/>
        </w:rPr>
        <w:t xml:space="preserve"> 投标文件封套、封面、组成内容中凡要求录入投标人名称且注明“盖单位章”处盖单位法人公章（电子印章）。</w:t>
      </w:r>
    </w:p>
    <w:p w14:paraId="07E2DE5F">
      <w:pPr>
        <w:pStyle w:val="32"/>
        <w:snapToGrid w:val="0"/>
        <w:ind w:firstLineChars="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10.1.3.3</w:t>
      </w: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lang w:val="en-US" w:eastAsia="zh-CN"/>
        </w:rPr>
        <w:t>投标文件的签字均为签字人本人亲笔署名或签章（电子印章），其余部分的复印件无须另行签字、盖章。</w:t>
      </w:r>
    </w:p>
    <w:p w14:paraId="23F8F580">
      <w:pPr>
        <w:pStyle w:val="26"/>
        <w:snapToGrid w:val="0"/>
        <w:ind w:firstLine="482" w:firstLineChars="200"/>
        <w:jc w:val="both"/>
        <w:rPr>
          <w:rStyle w:val="22"/>
          <w:rFonts w:hint="eastAsia" w:ascii="宋体" w:hAnsi="宋体" w:eastAsia="宋体" w:cs="宋体"/>
          <w:b/>
          <w:bCs/>
          <w:color w:val="auto"/>
          <w:highlight w:val="none"/>
        </w:rPr>
      </w:pPr>
      <w:bookmarkStart w:id="40" w:name="_Toc23762"/>
      <w:bookmarkStart w:id="41" w:name="_Toc274313880"/>
      <w:bookmarkStart w:id="42" w:name="_Toc28154"/>
      <w:bookmarkStart w:id="43" w:name="_Toc14523"/>
      <w:bookmarkStart w:id="44" w:name="_Toc28294"/>
      <w:bookmarkStart w:id="45" w:name="_Toc11533"/>
      <w:bookmarkStart w:id="46" w:name="_Toc257031159"/>
      <w:r>
        <w:rPr>
          <w:rStyle w:val="22"/>
          <w:rFonts w:hint="eastAsia" w:ascii="宋体" w:hAnsi="宋体" w:eastAsia="宋体" w:cs="宋体"/>
          <w:b/>
          <w:bCs/>
          <w:color w:val="auto"/>
          <w:highlight w:val="none"/>
        </w:rPr>
        <w:t>10.2 商务标书的编制要求</w:t>
      </w:r>
      <w:bookmarkEnd w:id="40"/>
      <w:bookmarkEnd w:id="41"/>
      <w:bookmarkEnd w:id="42"/>
      <w:bookmarkEnd w:id="43"/>
      <w:bookmarkEnd w:id="44"/>
      <w:bookmarkEnd w:id="45"/>
      <w:bookmarkEnd w:id="46"/>
    </w:p>
    <w:p w14:paraId="3DAB11A9">
      <w:pPr>
        <w:pStyle w:val="26"/>
        <w:snapToGrid w:val="0"/>
        <w:ind w:firstLine="482" w:firstLineChars="200"/>
        <w:jc w:val="both"/>
        <w:rPr>
          <w:rStyle w:val="22"/>
          <w:rFonts w:hint="eastAsia" w:ascii="宋体" w:hAnsi="宋体" w:eastAsia="宋体" w:cs="宋体"/>
          <w:color w:val="auto"/>
          <w:highlight w:val="none"/>
        </w:rPr>
      </w:pPr>
      <w:r>
        <w:rPr>
          <w:rStyle w:val="22"/>
          <w:rFonts w:hint="eastAsia" w:ascii="宋体" w:hAnsi="宋体" w:eastAsia="宋体" w:cs="宋体"/>
          <w:b/>
          <w:bCs/>
          <w:color w:val="auto"/>
          <w:highlight w:val="none"/>
        </w:rPr>
        <w:t xml:space="preserve">10.2.1 </w:t>
      </w:r>
      <w:r>
        <w:rPr>
          <w:rStyle w:val="22"/>
          <w:rFonts w:hint="eastAsia" w:ascii="宋体" w:hAnsi="宋体" w:eastAsia="宋体" w:cs="宋体"/>
          <w:color w:val="auto"/>
          <w:highlight w:val="none"/>
        </w:rPr>
        <w:t>商务标书包括但不限于以下内容：</w:t>
      </w:r>
    </w:p>
    <w:p w14:paraId="17FDB738">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（1）封面（格式一）；</w:t>
      </w:r>
    </w:p>
    <w:p w14:paraId="2BF07E81">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（2）目录；</w:t>
      </w:r>
    </w:p>
    <w:p w14:paraId="475D460F">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（3）《投标函》（格式二）；</w:t>
      </w:r>
    </w:p>
    <w:p w14:paraId="2006913D">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（4）《各项承诺一览表》（格式三）；</w:t>
      </w:r>
    </w:p>
    <w:p w14:paraId="3336D5AD">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（5）《授权委托书》（格式四）；</w:t>
      </w:r>
    </w:p>
    <w:p w14:paraId="54346A3D">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（6）《法定代表人身份证明》（格式五）；</w:t>
      </w:r>
    </w:p>
    <w:p w14:paraId="2A121092">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（7）《联合体协议书》（格式六）及所附资料；</w:t>
      </w:r>
    </w:p>
    <w:p w14:paraId="3CDFA4DF">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8）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val="0"/>
          <w:snapToGrid w:val="0"/>
          <w:color w:val="auto"/>
          <w:kern w:val="0"/>
          <w:sz w:val="24"/>
          <w:highlight w:val="none"/>
        </w:rPr>
        <w:t>韶关市公共资源交易一体化平台保证金缴纳信息》页面截图</w:t>
      </w:r>
      <w:r>
        <w:rPr>
          <w:rFonts w:hint="eastAsia" w:ascii="宋体" w:hAnsi="宋体" w:eastAsia="宋体" w:cs="宋体"/>
          <w:b w:val="0"/>
          <w:snapToGrid w:val="0"/>
          <w:color w:val="auto"/>
          <w:kern w:val="0"/>
          <w:sz w:val="24"/>
          <w:highlight w:val="none"/>
        </w:rPr>
        <w:t>）；</w:t>
      </w:r>
    </w:p>
    <w:p w14:paraId="5B44B84F">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（9）《投标人基本情况表》（格式七）及所附资料；</w:t>
      </w:r>
    </w:p>
    <w:p w14:paraId="2FF595B4">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（10）《项目经理简历表》（格式八）及所附资料；</w:t>
      </w:r>
    </w:p>
    <w:p w14:paraId="67C27E02">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（11）《项目经理任职声明》（格式九）；</w:t>
      </w:r>
    </w:p>
    <w:p w14:paraId="0982DE6C">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（12）《项目技术负责人简历表》（格式十）及所附资料；</w:t>
      </w:r>
    </w:p>
    <w:p w14:paraId="300DF247">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（1</w:t>
      </w:r>
      <w:r>
        <w:rPr>
          <w:rFonts w:hint="eastAsia" w:ascii="宋体" w:hAnsi="宋体" w:cs="宋体"/>
          <w:b w:val="0"/>
          <w:snapToGrid w:val="0"/>
          <w:color w:val="auto"/>
          <w:kern w:val="0"/>
          <w:sz w:val="24"/>
          <w:highlight w:val="none"/>
          <w:lang w:val="en-US" w:eastAsia="zh-CN"/>
        </w:rPr>
        <w:t>3</w:t>
      </w:r>
      <w:r>
        <w:rPr>
          <w:rFonts w:hint="eastAsia" w:ascii="宋体" w:hAnsi="宋体" w:eastAsia="宋体" w:cs="宋体"/>
          <w:b w:val="0"/>
          <w:snapToGrid w:val="0"/>
          <w:color w:val="auto"/>
          <w:kern w:val="0"/>
          <w:sz w:val="24"/>
          <w:highlight w:val="none"/>
        </w:rPr>
        <w:t>）《专职安全员简历表》（格式十</w:t>
      </w:r>
      <w:r>
        <w:rPr>
          <w:rFonts w:hint="eastAsia" w:ascii="宋体" w:hAnsi="宋体" w:eastAsia="宋体" w:cs="宋体"/>
          <w:snapToGrid w:val="0"/>
          <w:color w:val="auto"/>
          <w:kern w:val="0"/>
          <w:highlight w:val="none"/>
        </w:rPr>
        <w:t>一</w:t>
      </w:r>
      <w:r>
        <w:rPr>
          <w:rFonts w:hint="eastAsia" w:ascii="宋体" w:hAnsi="宋体" w:eastAsia="宋体" w:cs="宋体"/>
          <w:b w:val="0"/>
          <w:snapToGrid w:val="0"/>
          <w:color w:val="auto"/>
          <w:kern w:val="0"/>
          <w:sz w:val="24"/>
          <w:highlight w:val="none"/>
        </w:rPr>
        <w:t>）及所附资料；</w:t>
      </w:r>
    </w:p>
    <w:p w14:paraId="1B012178">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w:t>
      </w:r>
      <w:r>
        <w:rPr>
          <w:rFonts w:hint="eastAsia" w:hAnsi="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）《项目管理机构组成表》（格式十</w:t>
      </w:r>
      <w:r>
        <w:rPr>
          <w:rFonts w:hint="eastAsia" w:hAnsi="宋体" w:cs="宋体"/>
          <w:snapToGrid w:val="0"/>
          <w:color w:val="auto"/>
          <w:kern w:val="0"/>
          <w:highlight w:val="none"/>
          <w:lang w:val="en-US" w:eastAsia="zh-CN"/>
        </w:rPr>
        <w:t>二</w:t>
      </w:r>
      <w:r>
        <w:rPr>
          <w:rFonts w:hint="eastAsia" w:ascii="宋体" w:hAnsi="宋体" w:eastAsia="宋体" w:cs="宋体"/>
          <w:snapToGrid w:val="0"/>
          <w:color w:val="auto"/>
          <w:kern w:val="0"/>
          <w:highlight w:val="none"/>
        </w:rPr>
        <w:t>）及所附资料；</w:t>
      </w:r>
    </w:p>
    <w:p w14:paraId="3C8AAE47">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w:t>
      </w:r>
      <w:r>
        <w:rPr>
          <w:rFonts w:hint="eastAsia" w:hAnsi="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）本节第15.5.1目“评标方法”要求提供的评审资料；</w:t>
      </w:r>
    </w:p>
    <w:p w14:paraId="4DB65C19">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w:t>
      </w:r>
      <w:r>
        <w:rPr>
          <w:rFonts w:hint="eastAsia" w:hAnsi="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）投标人认为有必要补充的其他资料。（</w:t>
      </w:r>
      <w:r>
        <w:rPr>
          <w:rFonts w:hint="eastAsia" w:ascii="宋体" w:hAnsi="宋体" w:eastAsia="宋体" w:cs="宋体"/>
          <w:snapToGrid w:val="0"/>
          <w:color w:val="auto"/>
          <w:kern w:val="0"/>
          <w:szCs w:val="18"/>
          <w:highlight w:val="none"/>
        </w:rPr>
        <w:t>例如投标人已经工商变更，但其企业资质证书、安全生产许可证或其员工执业资格注册证书上的企业名称未能在投标期间完成变更的书面说明和佐证材料；外省企业所在省、地级市住建部门或其授权的组织（机构）关于企业资质、人员资格有效期自动顺延或延期办理的相关文件等</w:t>
      </w:r>
      <w:r>
        <w:rPr>
          <w:rFonts w:hint="eastAsia" w:ascii="宋体" w:hAnsi="宋体" w:eastAsia="宋体" w:cs="宋体"/>
          <w:snapToGrid w:val="0"/>
          <w:color w:val="auto"/>
          <w:kern w:val="0"/>
          <w:highlight w:val="none"/>
        </w:rPr>
        <w:t>）。</w:t>
      </w:r>
    </w:p>
    <w:p w14:paraId="2A2FB438">
      <w:pPr>
        <w:wordWrap w:val="0"/>
        <w:adjustRightInd w:val="0"/>
        <w:snapToGrid w:val="0"/>
        <w:ind w:firstLine="482" w:firstLineChars="200"/>
        <w:rPr>
          <w:rFonts w:hint="eastAsia" w:ascii="宋体" w:hAnsi="宋体" w:eastAsia="宋体" w:cs="宋体"/>
          <w:snapToGrid w:val="0"/>
          <w:color w:val="auto"/>
          <w:kern w:val="0"/>
          <w:szCs w:val="18"/>
          <w:highlight w:val="none"/>
        </w:rPr>
      </w:pPr>
      <w:r>
        <w:rPr>
          <w:rFonts w:hint="eastAsia" w:ascii="宋体" w:hAnsi="宋体" w:eastAsia="宋体" w:cs="宋体"/>
          <w:b/>
          <w:bCs/>
          <w:snapToGrid w:val="0"/>
          <w:color w:val="auto"/>
          <w:kern w:val="0"/>
          <w:szCs w:val="18"/>
          <w:highlight w:val="none"/>
        </w:rPr>
        <w:t>10.2.2</w:t>
      </w:r>
      <w:r>
        <w:rPr>
          <w:rFonts w:hint="eastAsia" w:ascii="宋体" w:hAnsi="宋体" w:eastAsia="宋体" w:cs="宋体"/>
          <w:snapToGrid w:val="0"/>
          <w:color w:val="auto"/>
          <w:kern w:val="0"/>
          <w:szCs w:val="18"/>
          <w:highlight w:val="none"/>
        </w:rPr>
        <w:t xml:space="preserve"> 本节第</w:t>
      </w:r>
      <w:r>
        <w:rPr>
          <w:rFonts w:hint="eastAsia" w:ascii="宋体" w:hAnsi="宋体" w:eastAsia="宋体" w:cs="宋体"/>
          <w:b/>
          <w:bCs/>
          <w:snapToGrid w:val="0"/>
          <w:color w:val="auto"/>
          <w:kern w:val="0"/>
          <w:szCs w:val="18"/>
          <w:highlight w:val="none"/>
        </w:rPr>
        <w:t>10.2.1</w:t>
      </w:r>
      <w:r>
        <w:rPr>
          <w:rFonts w:hint="eastAsia" w:ascii="宋体" w:hAnsi="宋体" w:eastAsia="宋体" w:cs="宋体"/>
          <w:snapToGrid w:val="0"/>
          <w:color w:val="auto"/>
          <w:kern w:val="0"/>
          <w:szCs w:val="18"/>
          <w:highlight w:val="none"/>
        </w:rPr>
        <w:t>目中所列出的商务标书组成内容中，第（1）至第（1</w:t>
      </w:r>
      <w:r>
        <w:rPr>
          <w:rFonts w:hint="eastAsia" w:hAnsi="宋体" w:cs="宋体"/>
          <w:snapToGrid w:val="0"/>
          <w:color w:val="auto"/>
          <w:kern w:val="0"/>
          <w:szCs w:val="18"/>
          <w:highlight w:val="none"/>
          <w:lang w:val="en-US" w:eastAsia="zh-CN"/>
        </w:rPr>
        <w:t>4</w:t>
      </w:r>
      <w:r>
        <w:rPr>
          <w:rFonts w:hint="eastAsia" w:ascii="宋体" w:hAnsi="宋体" w:eastAsia="宋体" w:cs="宋体"/>
          <w:snapToGrid w:val="0"/>
          <w:color w:val="auto"/>
          <w:kern w:val="0"/>
          <w:szCs w:val="18"/>
          <w:highlight w:val="none"/>
        </w:rPr>
        <w:t>）项所有投标人均应提供，</w:t>
      </w:r>
      <w:r>
        <w:rPr>
          <w:rFonts w:hint="eastAsia" w:ascii="宋体" w:hAnsi="宋体" w:eastAsia="宋体" w:cs="宋体"/>
          <w:b/>
          <w:bCs/>
          <w:snapToGrid w:val="0"/>
          <w:color w:val="auto"/>
          <w:kern w:val="0"/>
          <w:szCs w:val="18"/>
          <w:highlight w:val="none"/>
        </w:rPr>
        <w:t>但非联合体投标的，无需提供第（7）项内容。</w:t>
      </w:r>
    </w:p>
    <w:p w14:paraId="4D0C86E6">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10.2.3</w:t>
      </w:r>
      <w:r>
        <w:rPr>
          <w:rFonts w:hint="eastAsia" w:ascii="宋体" w:hAnsi="宋体" w:eastAsia="宋体" w:cs="宋体"/>
          <w:snapToGrid w:val="0"/>
          <w:color w:val="auto"/>
          <w:kern w:val="0"/>
          <w:highlight w:val="none"/>
        </w:rPr>
        <w:t xml:space="preserve"> 商务标书的组成内容按本节第</w:t>
      </w:r>
      <w:r>
        <w:rPr>
          <w:rFonts w:hint="eastAsia" w:ascii="宋体" w:hAnsi="宋体" w:eastAsia="宋体" w:cs="宋体"/>
          <w:b/>
          <w:bCs/>
          <w:snapToGrid w:val="0"/>
          <w:color w:val="auto"/>
          <w:kern w:val="0"/>
          <w:highlight w:val="none"/>
        </w:rPr>
        <w:t>10.2.1</w:t>
      </w:r>
      <w:r>
        <w:rPr>
          <w:rFonts w:hint="eastAsia" w:ascii="宋体" w:hAnsi="宋体" w:eastAsia="宋体" w:cs="宋体"/>
          <w:snapToGrid w:val="0"/>
          <w:color w:val="auto"/>
          <w:kern w:val="0"/>
          <w:highlight w:val="none"/>
        </w:rPr>
        <w:t>目规定的顺序整理、编排后，逐页</w:t>
      </w:r>
      <w:r>
        <w:rPr>
          <w:rFonts w:hint="eastAsia" w:ascii="宋体" w:hAnsi="宋体" w:eastAsia="宋体" w:cs="宋体"/>
          <w:snapToGrid w:val="0"/>
          <w:color w:val="auto"/>
          <w:kern w:val="0"/>
          <w:szCs w:val="18"/>
          <w:highlight w:val="none"/>
        </w:rPr>
        <w:t>（页码起始从封面开始）</w:t>
      </w:r>
      <w:r>
        <w:rPr>
          <w:rFonts w:hint="eastAsia" w:ascii="宋体" w:hAnsi="宋体" w:eastAsia="宋体" w:cs="宋体"/>
          <w:snapToGrid w:val="0"/>
          <w:color w:val="auto"/>
          <w:kern w:val="0"/>
          <w:highlight w:val="none"/>
        </w:rPr>
        <w:t>连续标记页码。</w:t>
      </w:r>
    </w:p>
    <w:p w14:paraId="36AD8160">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10.2.4</w:t>
      </w:r>
      <w:r>
        <w:rPr>
          <w:rFonts w:hint="eastAsia" w:ascii="宋体" w:hAnsi="宋体" w:eastAsia="宋体" w:cs="宋体"/>
          <w:snapToGrid w:val="0"/>
          <w:color w:val="auto"/>
          <w:kern w:val="0"/>
          <w:highlight w:val="none"/>
        </w:rPr>
        <w:t xml:space="preserve"> 商务标书电子文件制作要求</w:t>
      </w:r>
    </w:p>
    <w:p w14:paraId="34413F21">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投标人应将商务标书正本的所有内容按本节第10.2.1目规定的顺序整理、编排后，从封面开始标记页码，作成一个PDF格式电子文件。</w:t>
      </w:r>
    </w:p>
    <w:p w14:paraId="4B650B4B">
      <w:pPr>
        <w:pStyle w:val="26"/>
        <w:snapToGrid w:val="0"/>
        <w:ind w:firstLine="482" w:firstLineChars="200"/>
        <w:jc w:val="both"/>
        <w:rPr>
          <w:rStyle w:val="22"/>
          <w:rFonts w:hint="eastAsia" w:ascii="宋体" w:hAnsi="宋体" w:eastAsia="宋体" w:cs="宋体"/>
          <w:b/>
          <w:bCs/>
          <w:color w:val="auto"/>
          <w:highlight w:val="none"/>
        </w:rPr>
      </w:pPr>
      <w:bookmarkStart w:id="47" w:name="_Toc23486"/>
      <w:bookmarkStart w:id="48" w:name="_Toc29164"/>
      <w:bookmarkStart w:id="49" w:name="_Toc10756"/>
      <w:bookmarkStart w:id="50" w:name="_Toc28389"/>
      <w:bookmarkStart w:id="51" w:name="_Toc18154"/>
      <w:bookmarkStart w:id="52" w:name="_Toc4083"/>
      <w:r>
        <w:rPr>
          <w:rStyle w:val="22"/>
          <w:rFonts w:hint="eastAsia" w:ascii="宋体" w:hAnsi="宋体" w:eastAsia="宋体" w:cs="宋体"/>
          <w:b/>
          <w:bCs/>
          <w:color w:val="auto"/>
          <w:highlight w:val="none"/>
        </w:rPr>
        <w:t>10.3 经济标书的编制要求</w:t>
      </w:r>
      <w:bookmarkEnd w:id="47"/>
      <w:bookmarkEnd w:id="48"/>
      <w:bookmarkEnd w:id="49"/>
      <w:bookmarkEnd w:id="50"/>
      <w:bookmarkEnd w:id="51"/>
      <w:bookmarkEnd w:id="52"/>
    </w:p>
    <w:p w14:paraId="619EE1B6">
      <w:pPr>
        <w:tabs>
          <w:tab w:val="left" w:pos="7020"/>
        </w:tabs>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10.3.1</w:t>
      </w:r>
      <w:r>
        <w:rPr>
          <w:rFonts w:hint="eastAsia" w:ascii="宋体" w:hAnsi="宋体" w:eastAsia="宋体" w:cs="宋体"/>
          <w:snapToGrid w:val="0"/>
          <w:color w:val="auto"/>
          <w:kern w:val="0"/>
          <w:highlight w:val="none"/>
        </w:rPr>
        <w:t xml:space="preserve"> 经济标书包括以下内容：</w:t>
      </w:r>
    </w:p>
    <w:p w14:paraId="4B93E0DF">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（1）封面（格式一）；</w:t>
      </w:r>
    </w:p>
    <w:p w14:paraId="03D8A829">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（2）目录；</w:t>
      </w:r>
    </w:p>
    <w:p w14:paraId="404557B9">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（3）《投标总价》；</w:t>
      </w:r>
    </w:p>
    <w:p w14:paraId="7BFFAD67">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说明：投标人应在招标工程量清单中填报价格，形成已标价工程量清单，同时按照</w:t>
      </w:r>
      <w:r>
        <w:rPr>
          <w:rStyle w:val="22"/>
          <w:rFonts w:hint="eastAsia" w:hAnsi="宋体" w:cs="宋体"/>
          <w:color w:val="auto"/>
          <w:kern w:val="0"/>
          <w:highlight w:val="none"/>
          <w:lang w:eastAsia="zh-CN"/>
        </w:rPr>
        <w:t>《建设工程工程量清单计价标准》（GB/T50500-2024）</w:t>
      </w:r>
      <w:r>
        <w:rPr>
          <w:rFonts w:hint="eastAsia" w:ascii="宋体" w:hAnsi="宋体" w:eastAsia="宋体" w:cs="宋体"/>
          <w:snapToGrid w:val="0"/>
          <w:color w:val="auto"/>
          <w:kern w:val="0"/>
          <w:highlight w:val="none"/>
        </w:rPr>
        <w:t>有关格式和以下要求制作封面、扉页、</w:t>
      </w:r>
      <w:r>
        <w:rPr>
          <w:rFonts w:hint="eastAsia" w:hAnsi="宋体" w:cs="宋体"/>
          <w:snapToGrid w:val="0"/>
          <w:color w:val="auto"/>
          <w:kern w:val="0"/>
          <w:highlight w:val="none"/>
          <w:lang w:val="en-US" w:eastAsia="zh-CN"/>
        </w:rPr>
        <w:t>投标报价填报</w:t>
      </w:r>
      <w:r>
        <w:rPr>
          <w:rFonts w:hint="eastAsia" w:ascii="宋体" w:hAnsi="宋体" w:eastAsia="宋体" w:cs="宋体"/>
          <w:snapToGrid w:val="0"/>
          <w:color w:val="auto"/>
          <w:kern w:val="0"/>
          <w:highlight w:val="none"/>
        </w:rPr>
        <w:t>说明：</w:t>
      </w:r>
    </w:p>
    <w:p w14:paraId="4223BCAD">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lang w:eastAsia="zh-CN"/>
        </w:rPr>
      </w:pPr>
      <w:r>
        <w:rPr>
          <w:rFonts w:hint="eastAsia" w:ascii="宋体" w:hAnsi="宋体" w:eastAsia="宋体" w:cs="宋体"/>
          <w:snapToGrid w:val="0"/>
          <w:color w:val="auto"/>
          <w:kern w:val="0"/>
          <w:highlight w:val="none"/>
          <w:lang w:eastAsia="zh-CN"/>
        </w:rPr>
        <w:t>a．《投标总价扉页》后应附编制人的造价工程师注册证书彩色扫描 件（须扫描至变更注册栏，一级造价师或二级造价师均可提供电子证书）；投标人委托造价咨询单位编制《投标总价》的，在该扉页“投标人 ”栏目加盖造价咨询人公章，并在该扉页后附造价咨询人的营业执照彩色扫描件。</w:t>
      </w:r>
    </w:p>
    <w:p w14:paraId="722B1CB1">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snapToGrid w:val="0"/>
          <w:color w:val="auto"/>
          <w:kern w:val="0"/>
          <w:highlight w:val="none"/>
          <w:lang w:eastAsia="zh-CN"/>
        </w:rPr>
        <w:t>b．投标人认为有必要补充的其他资料（例如关于投标总价下浮率超过 15%的书面说明和佐证材料）。</w:t>
      </w:r>
    </w:p>
    <w:p w14:paraId="74726957">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（4）投标人认为有必要补充的其他资料（例如关于投标总价下浮率超过15%的书面说明和佐证材料）。</w:t>
      </w:r>
    </w:p>
    <w:p w14:paraId="142A0F6A">
      <w:pPr>
        <w:tabs>
          <w:tab w:val="left" w:pos="7020"/>
        </w:tabs>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10.3.2</w:t>
      </w:r>
      <w:r>
        <w:rPr>
          <w:rFonts w:hint="eastAsia" w:ascii="宋体" w:hAnsi="宋体" w:eastAsia="宋体" w:cs="宋体"/>
          <w:snapToGrid w:val="0"/>
          <w:color w:val="auto"/>
          <w:kern w:val="0"/>
          <w:highlight w:val="none"/>
        </w:rPr>
        <w:t xml:space="preserve"> 本节</w:t>
      </w:r>
      <w:r>
        <w:rPr>
          <w:rFonts w:hint="eastAsia" w:ascii="宋体" w:hAnsi="宋体" w:eastAsia="宋体" w:cs="宋体"/>
          <w:b/>
          <w:bCs/>
          <w:snapToGrid w:val="0"/>
          <w:color w:val="auto"/>
          <w:kern w:val="0"/>
          <w:highlight w:val="none"/>
        </w:rPr>
        <w:t>第10.3.1目</w:t>
      </w:r>
      <w:r>
        <w:rPr>
          <w:rFonts w:hint="eastAsia" w:ascii="宋体" w:hAnsi="宋体" w:eastAsia="宋体" w:cs="宋体"/>
          <w:snapToGrid w:val="0"/>
          <w:color w:val="auto"/>
          <w:kern w:val="0"/>
          <w:highlight w:val="none"/>
        </w:rPr>
        <w:t>中所列出的经济标书组成内容中，第（1）至第（3）项所有投标人均应提供。</w:t>
      </w:r>
    </w:p>
    <w:p w14:paraId="31983623">
      <w:pPr>
        <w:tabs>
          <w:tab w:val="left" w:pos="7020"/>
        </w:tabs>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10.3.3</w:t>
      </w:r>
      <w:r>
        <w:rPr>
          <w:rFonts w:hint="eastAsia" w:ascii="宋体" w:hAnsi="宋体" w:eastAsia="宋体" w:cs="宋体"/>
          <w:snapToGrid w:val="0"/>
          <w:color w:val="auto"/>
          <w:kern w:val="0"/>
          <w:highlight w:val="none"/>
        </w:rPr>
        <w:t xml:space="preserve"> 经济标书的组成内容按本节第10.3.1目规定的顺序整理、编排后，逐页</w:t>
      </w:r>
      <w:r>
        <w:rPr>
          <w:rFonts w:hint="eastAsia" w:ascii="宋体" w:hAnsi="宋体" w:eastAsia="宋体" w:cs="宋体"/>
          <w:color w:val="auto"/>
          <w:highlight w:val="none"/>
        </w:rPr>
        <w:t>（页码起始从封面开始）</w:t>
      </w:r>
      <w:r>
        <w:rPr>
          <w:rFonts w:hint="eastAsia" w:ascii="宋体" w:hAnsi="宋体" w:eastAsia="宋体" w:cs="宋体"/>
          <w:snapToGrid w:val="0"/>
          <w:color w:val="auto"/>
          <w:kern w:val="0"/>
          <w:highlight w:val="none"/>
        </w:rPr>
        <w:t>连续标记页码。</w:t>
      </w:r>
    </w:p>
    <w:p w14:paraId="49AAD8A5">
      <w:pPr>
        <w:wordWrap w:val="0"/>
        <w:adjustRightInd w:val="0"/>
        <w:snapToGrid w:val="0"/>
        <w:ind w:firstLine="48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10.4</w:t>
      </w:r>
      <w:r>
        <w:rPr>
          <w:rStyle w:val="22"/>
          <w:rFonts w:hint="eastAsia" w:ascii="宋体" w:hAnsi="宋体" w:eastAsia="宋体" w:cs="宋体"/>
          <w:b/>
          <w:bCs/>
          <w:color w:val="auto"/>
          <w:kern w:val="0"/>
          <w:highlight w:val="none"/>
        </w:rPr>
        <w:t xml:space="preserve"> 施工组织设计的编制要求</w:t>
      </w:r>
    </w:p>
    <w:p w14:paraId="6142EAA0">
      <w:pPr>
        <w:wordWrap w:val="0"/>
        <w:adjustRightInd w:val="0"/>
        <w:ind w:firstLine="480"/>
        <w:rPr>
          <w:rFonts w:hint="eastAsia" w:ascii="宋体" w:hAnsi="宋体" w:eastAsia="宋体" w:cs="宋体"/>
          <w:bCs/>
          <w:snapToGrid w:val="0"/>
          <w:color w:val="auto"/>
          <w:kern w:val="0"/>
          <w:highlight w:val="none"/>
        </w:rPr>
      </w:pPr>
      <w:r>
        <w:rPr>
          <w:rFonts w:hint="eastAsia" w:ascii="宋体" w:hAnsi="宋体" w:eastAsia="宋体" w:cs="宋体"/>
          <w:b/>
          <w:bCs/>
          <w:snapToGrid w:val="0"/>
          <w:color w:val="auto"/>
          <w:kern w:val="0"/>
          <w:highlight w:val="none"/>
        </w:rPr>
        <w:t>10.4.1</w:t>
      </w:r>
      <w:r>
        <w:rPr>
          <w:rFonts w:hint="eastAsia" w:ascii="宋体" w:hAnsi="宋体" w:eastAsia="宋体" w:cs="宋体"/>
          <w:snapToGrid w:val="0"/>
          <w:color w:val="auto"/>
          <w:kern w:val="0"/>
          <w:highlight w:val="none"/>
        </w:rPr>
        <w:t xml:space="preserve"> 施工组织设计的编制依据包括且不限于</w:t>
      </w:r>
      <w:r>
        <w:rPr>
          <w:rFonts w:hint="eastAsia" w:ascii="宋体" w:hAnsi="宋体" w:eastAsia="宋体" w:cs="宋体"/>
          <w:bCs/>
          <w:snapToGrid w:val="0"/>
          <w:color w:val="auto"/>
          <w:kern w:val="0"/>
          <w:highlight w:val="none"/>
        </w:rPr>
        <w:t>：</w:t>
      </w:r>
    </w:p>
    <w:p w14:paraId="48B5F78D">
      <w:pPr>
        <w:wordWrap w:val="0"/>
        <w:adjustRightIn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（1）招标文件及</w:t>
      </w:r>
      <w:r>
        <w:rPr>
          <w:rFonts w:hint="eastAsia" w:ascii="宋体" w:hAnsi="宋体" w:eastAsia="宋体" w:cs="宋体"/>
          <w:snapToGrid w:val="0"/>
          <w:color w:val="auto"/>
          <w:kern w:val="0"/>
          <w:highlight w:val="none"/>
        </w:rPr>
        <w:t>其答疑（或修改）公告；</w:t>
      </w:r>
    </w:p>
    <w:p w14:paraId="69FC64A2">
      <w:pPr>
        <w:wordWrap w:val="0"/>
        <w:adjustRightIn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（2）施工图及相关资料；</w:t>
      </w:r>
    </w:p>
    <w:p w14:paraId="4BA5A46A">
      <w:pPr>
        <w:wordWrap w:val="0"/>
        <w:adjustRightIn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（3）施工现场情况、工程特点；</w:t>
      </w:r>
    </w:p>
    <w:p w14:paraId="6203D9D3">
      <w:pPr>
        <w:wordWrap w:val="0"/>
        <w:adjustRightIn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（4）相关法律、法规、规定；</w:t>
      </w:r>
    </w:p>
    <w:p w14:paraId="57857D78">
      <w:pPr>
        <w:wordWrap w:val="0"/>
        <w:adjustRightIn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776BC8E2">
      <w:pPr>
        <w:wordWrap w:val="0"/>
        <w:adjustRightInd w:val="0"/>
        <w:ind w:firstLine="480"/>
        <w:rPr>
          <w:rFonts w:hint="eastAsia" w:ascii="宋体" w:hAnsi="宋体" w:eastAsia="宋体" w:cs="宋体"/>
          <w:snapToGrid w:val="0"/>
          <w:color w:val="auto"/>
          <w:kern w:val="0"/>
          <w:highlight w:val="none"/>
        </w:rPr>
      </w:pPr>
      <w:r>
        <w:rPr>
          <w:rFonts w:hint="eastAsia" w:ascii="宋体" w:hAnsi="宋体" w:eastAsia="宋体" w:cs="宋体"/>
          <w:bCs/>
          <w:snapToGrid w:val="0"/>
          <w:color w:val="auto"/>
          <w:kern w:val="0"/>
          <w:highlight w:val="none"/>
        </w:rPr>
        <w:t>（6）企业内部标准、工法。</w:t>
      </w:r>
    </w:p>
    <w:p w14:paraId="54E2326A">
      <w:pPr>
        <w:wordWrap w:val="0"/>
        <w:adjustRightIn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snapToGrid w:val="0"/>
          <w:color w:val="auto"/>
          <w:kern w:val="0"/>
          <w:highlight w:val="none"/>
        </w:rPr>
        <w:t>10.4.2</w:t>
      </w:r>
      <w:r>
        <w:rPr>
          <w:rFonts w:hint="eastAsia" w:ascii="宋体" w:hAnsi="宋体" w:eastAsia="宋体" w:cs="宋体"/>
          <w:bCs/>
          <w:snapToGrid w:val="0"/>
          <w:color w:val="auto"/>
          <w:kern w:val="0"/>
          <w:highlight w:val="none"/>
        </w:rPr>
        <w:t xml:space="preserve"> </w:t>
      </w:r>
      <w:r>
        <w:rPr>
          <w:rFonts w:hint="eastAsia" w:ascii="宋体" w:hAnsi="宋体" w:eastAsia="宋体" w:cs="宋体"/>
          <w:snapToGrid w:val="0"/>
          <w:color w:val="auto"/>
          <w:kern w:val="0"/>
          <w:highlight w:val="none"/>
        </w:rPr>
        <w:t>施工组织设计包括但不限于以下内容：</w:t>
      </w:r>
    </w:p>
    <w:p w14:paraId="21EC7E6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（1）封面（格式一）；</w:t>
      </w:r>
    </w:p>
    <w:p w14:paraId="29A7DF4A">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（2）目录；</w:t>
      </w:r>
    </w:p>
    <w:p w14:paraId="55F0503E">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（3）总体概述（包括施工程序总体设想及施工段划分等内容）；</w:t>
      </w:r>
    </w:p>
    <w:p w14:paraId="696D50C9">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（4）施工总进度计划及保证措施（包括进度管理目标；以横道图或标明关键线路的网络进度计划；保障进度计划需要的人、材、机需求计划及保证措施；违约责任承诺等内容）；</w:t>
      </w:r>
    </w:p>
    <w:p w14:paraId="3742AB2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（5）质量保证措施（包括质量管理目标；相应保证措施；违约责任承诺等内容）；</w:t>
      </w:r>
    </w:p>
    <w:p w14:paraId="3BF78199">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（6）施工技术措施（包括关键施工技术、工艺及工程项目实施的重点、难点分析和解决方案；新技术应用与承诺等内容）；</w:t>
      </w:r>
    </w:p>
    <w:p w14:paraId="6A809513">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（7）绿色施工、安全防护、文明施工措施计划</w:t>
      </w:r>
      <w:r>
        <w:rPr>
          <w:rFonts w:hint="eastAsia" w:ascii="宋体" w:hAnsi="宋体" w:eastAsia="宋体" w:cs="宋体"/>
          <w:b/>
          <w:bCs/>
          <w:snapToGrid w:val="0"/>
          <w:color w:val="auto"/>
          <w:kern w:val="0"/>
          <w:highlight w:val="none"/>
        </w:rPr>
        <w:t>【应对建设单位组织的勘察设计等单位在施工招标文件中列出的危大工程清单(详见格式十</w:t>
      </w:r>
      <w:r>
        <w:rPr>
          <w:rFonts w:hint="eastAsia" w:hAnsi="宋体" w:cs="宋体"/>
          <w:b/>
          <w:bCs/>
          <w:snapToGrid w:val="0"/>
          <w:color w:val="auto"/>
          <w:kern w:val="0"/>
          <w:highlight w:val="none"/>
          <w:lang w:val="en-US" w:eastAsia="zh-CN"/>
        </w:rPr>
        <w:t>四</w:t>
      </w:r>
      <w:r>
        <w:rPr>
          <w:rFonts w:hint="eastAsia" w:ascii="宋体" w:hAnsi="宋体" w:eastAsia="宋体" w:cs="宋体"/>
          <w:b/>
          <w:bCs/>
          <w:snapToGrid w:val="0"/>
          <w:color w:val="auto"/>
          <w:kern w:val="0"/>
          <w:highlight w:val="none"/>
        </w:rPr>
        <w:t>)进行投标文件回应,如有】</w:t>
      </w:r>
      <w:r>
        <w:rPr>
          <w:rFonts w:hint="eastAsia" w:ascii="宋体" w:hAnsi="宋体" w:eastAsia="宋体" w:cs="宋体"/>
          <w:snapToGrid w:val="0"/>
          <w:color w:val="auto"/>
          <w:kern w:val="0"/>
          <w:highlight w:val="none"/>
        </w:rPr>
        <w:t>；</w:t>
      </w:r>
    </w:p>
    <w:p w14:paraId="7799AAD8">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8）施工现场总平面布置（投标人应递交一份施工现场总平面布置图，绘出现场临时设施布置图表并附文字说明，说明临时设施、加工车间、现场办公、设备及仓储、供电、供水、卫生、生活、道路、消防等设施的情况和布置）；</w:t>
      </w:r>
    </w:p>
    <w:p w14:paraId="47FB6D90">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（9）项目管理机构。</w:t>
      </w:r>
    </w:p>
    <w:p w14:paraId="51EB73E5">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（10）投标人认为有必要补充的其他内容（例如对总包管理的认识以及对专业分包工程的管理、协调、配合、服务方案）。</w:t>
      </w:r>
    </w:p>
    <w:p w14:paraId="2046E280">
      <w:pPr>
        <w:wordWrap w:val="0"/>
        <w:adjustRightIn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10.4.3</w:t>
      </w:r>
      <w:r>
        <w:rPr>
          <w:rFonts w:hint="eastAsia" w:ascii="宋体" w:hAnsi="宋体" w:eastAsia="宋体" w:cs="宋体"/>
          <w:snapToGrid w:val="0"/>
          <w:color w:val="auto"/>
          <w:kern w:val="0"/>
          <w:highlight w:val="none"/>
        </w:rPr>
        <w:t xml:space="preserve"> 本节第</w:t>
      </w:r>
      <w:r>
        <w:rPr>
          <w:rFonts w:hint="eastAsia" w:ascii="宋体" w:hAnsi="宋体" w:eastAsia="宋体" w:cs="宋体"/>
          <w:b/>
          <w:bCs/>
          <w:snapToGrid w:val="0"/>
          <w:color w:val="auto"/>
          <w:kern w:val="0"/>
          <w:highlight w:val="none"/>
        </w:rPr>
        <w:t>10.4.2</w:t>
      </w:r>
      <w:r>
        <w:rPr>
          <w:rFonts w:hint="eastAsia" w:ascii="宋体" w:hAnsi="宋体" w:eastAsia="宋体" w:cs="宋体"/>
          <w:snapToGrid w:val="0"/>
          <w:color w:val="auto"/>
          <w:kern w:val="0"/>
          <w:highlight w:val="none"/>
        </w:rPr>
        <w:t>目中所列出的施工组织设计组成内容中，第（1）至第（9）项</w:t>
      </w:r>
      <w:r>
        <w:rPr>
          <w:rFonts w:hint="eastAsia" w:ascii="宋体" w:hAnsi="宋体" w:eastAsia="宋体" w:cs="宋体"/>
          <w:snapToGrid w:val="0"/>
          <w:color w:val="auto"/>
          <w:kern w:val="0"/>
          <w:szCs w:val="18"/>
          <w:highlight w:val="none"/>
        </w:rPr>
        <w:t>所有投标人均应提供</w:t>
      </w:r>
      <w:r>
        <w:rPr>
          <w:rFonts w:hint="eastAsia" w:ascii="宋体" w:hAnsi="宋体" w:eastAsia="宋体" w:cs="宋体"/>
          <w:snapToGrid w:val="0"/>
          <w:color w:val="auto"/>
          <w:kern w:val="0"/>
          <w:highlight w:val="none"/>
        </w:rPr>
        <w:t>。</w:t>
      </w:r>
    </w:p>
    <w:p w14:paraId="19CB18DA">
      <w:pPr>
        <w:wordWrap w:val="0"/>
        <w:adjustRightIn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10.4.4</w:t>
      </w:r>
      <w:r>
        <w:rPr>
          <w:rFonts w:hint="eastAsia" w:ascii="宋体" w:hAnsi="宋体" w:eastAsia="宋体" w:cs="宋体"/>
          <w:snapToGrid w:val="0"/>
          <w:color w:val="auto"/>
          <w:kern w:val="0"/>
          <w:highlight w:val="none"/>
        </w:rPr>
        <w:t xml:space="preserve"> 施工组织设计的组成内容按本节</w:t>
      </w:r>
      <w:r>
        <w:rPr>
          <w:rFonts w:hint="eastAsia" w:ascii="宋体" w:hAnsi="宋体" w:eastAsia="宋体" w:cs="宋体"/>
          <w:b/>
          <w:bCs/>
          <w:snapToGrid w:val="0"/>
          <w:color w:val="auto"/>
          <w:kern w:val="0"/>
          <w:highlight w:val="none"/>
        </w:rPr>
        <w:t>第10.4.2目</w:t>
      </w:r>
      <w:r>
        <w:rPr>
          <w:rFonts w:hint="eastAsia" w:ascii="宋体" w:hAnsi="宋体" w:eastAsia="宋体" w:cs="宋体"/>
          <w:snapToGrid w:val="0"/>
          <w:color w:val="auto"/>
          <w:kern w:val="0"/>
          <w:highlight w:val="none"/>
        </w:rPr>
        <w:t>规定的顺序整理、编排后，逐页</w:t>
      </w:r>
      <w:r>
        <w:rPr>
          <w:rFonts w:hint="eastAsia" w:ascii="宋体" w:hAnsi="宋体" w:eastAsia="宋体" w:cs="宋体"/>
          <w:color w:val="auto"/>
          <w:highlight w:val="none"/>
        </w:rPr>
        <w:t>（页码起始从封面开始）</w:t>
      </w:r>
      <w:r>
        <w:rPr>
          <w:rFonts w:hint="eastAsia" w:ascii="宋体" w:hAnsi="宋体" w:eastAsia="宋体" w:cs="宋体"/>
          <w:snapToGrid w:val="0"/>
          <w:color w:val="auto"/>
          <w:kern w:val="0"/>
          <w:highlight w:val="none"/>
        </w:rPr>
        <w:t>连续标记页码。</w:t>
      </w:r>
    </w:p>
    <w:p w14:paraId="5A3F16A0">
      <w:pPr>
        <w:wordWrap w:val="0"/>
        <w:adjustRightInd w:val="0"/>
        <w:spacing w:line="440" w:lineRule="exact"/>
        <w:ind w:firstLine="482" w:firstLineChars="200"/>
        <w:rPr>
          <w:rFonts w:hint="eastAsia" w:ascii="宋体" w:hAnsi="宋体" w:eastAsia="宋体" w:cs="宋体"/>
          <w:bCs/>
          <w:snapToGrid w:val="0"/>
          <w:color w:val="auto"/>
          <w:highlight w:val="none"/>
        </w:rPr>
      </w:pPr>
      <w:r>
        <w:rPr>
          <w:rFonts w:hint="eastAsia" w:ascii="宋体" w:hAnsi="宋体" w:eastAsia="宋体" w:cs="宋体"/>
          <w:b/>
          <w:bCs/>
          <w:snapToGrid w:val="0"/>
          <w:color w:val="auto"/>
          <w:kern w:val="0"/>
          <w:highlight w:val="none"/>
        </w:rPr>
        <w:t>10.4.5</w:t>
      </w:r>
      <w:r>
        <w:rPr>
          <w:rFonts w:hint="eastAsia" w:ascii="宋体" w:hAnsi="宋体" w:eastAsia="宋体" w:cs="宋体"/>
          <w:snapToGrid w:val="0"/>
          <w:color w:val="auto"/>
          <w:kern w:val="0"/>
          <w:highlight w:val="none"/>
        </w:rPr>
        <w:t xml:space="preserve"> 施工组织设计的正文除施工现场平面布置图和进度计划图用白色标准A3纸</w:t>
      </w:r>
      <w:r>
        <w:rPr>
          <w:rFonts w:hint="eastAsia" w:ascii="宋体" w:hAnsi="宋体" w:eastAsia="宋体" w:cs="宋体"/>
          <w:bCs/>
          <w:snapToGrid w:val="0"/>
          <w:color w:val="auto"/>
          <w:highlight w:val="none"/>
        </w:rPr>
        <w:t>设置外，其他内容一律用白色标准A4纸设置。</w:t>
      </w:r>
    </w:p>
    <w:p w14:paraId="7A7C2A63">
      <w:pPr>
        <w:wordWrap w:val="0"/>
        <w:adjustRightInd w:val="0"/>
        <w:snapToGrid w:val="0"/>
        <w:ind w:firstLine="480"/>
        <w:rPr>
          <w:rStyle w:val="22"/>
          <w:rFonts w:hint="eastAsia" w:ascii="宋体" w:hAnsi="宋体" w:eastAsia="宋体" w:cs="宋体"/>
          <w:b/>
          <w:bCs/>
          <w:color w:val="auto"/>
          <w:highlight w:val="none"/>
          <w:lang w:val="en-US" w:eastAsia="zh-CN"/>
        </w:rPr>
      </w:pPr>
      <w:bookmarkStart w:id="53" w:name="_Toc20579"/>
      <w:r>
        <w:rPr>
          <w:rStyle w:val="22"/>
          <w:rFonts w:hint="eastAsia" w:ascii="宋体" w:hAnsi="宋体" w:eastAsia="宋体" w:cs="宋体"/>
          <w:b/>
          <w:bCs/>
          <w:color w:val="auto"/>
          <w:highlight w:val="none"/>
          <w:lang w:val="en-US" w:eastAsia="zh-CN"/>
        </w:rPr>
        <w:t>10.5定标文件的编制要求：</w:t>
      </w:r>
    </w:p>
    <w:p w14:paraId="3FE95EF5">
      <w:pPr>
        <w:wordWrap w:val="0"/>
        <w:adjustRightIn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w:t>
      </w:r>
      <w:r>
        <w:rPr>
          <w:rFonts w:hint="eastAsia" w:ascii="宋体" w:hAnsi="宋体" w:eastAsia="宋体" w:cs="宋体"/>
          <w:b/>
          <w:bCs/>
          <w:snapToGrid w:val="0"/>
          <w:color w:val="auto"/>
          <w:kern w:val="0"/>
          <w:highlight w:val="none"/>
          <w:lang w:val="en-US" w:eastAsia="zh-CN"/>
        </w:rPr>
        <w:t>0.5</w:t>
      </w:r>
      <w:r>
        <w:rPr>
          <w:rFonts w:hint="eastAsia" w:ascii="宋体" w:hAnsi="宋体" w:eastAsia="宋体" w:cs="宋体"/>
          <w:b/>
          <w:bCs/>
          <w:snapToGrid w:val="0"/>
          <w:color w:val="auto"/>
          <w:kern w:val="0"/>
          <w:highlight w:val="none"/>
        </w:rPr>
        <w:t>.1</w:t>
      </w: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lang w:val="en-US" w:eastAsia="zh-CN"/>
        </w:rPr>
        <w:t>定标文件</w:t>
      </w:r>
      <w:r>
        <w:rPr>
          <w:rFonts w:hint="eastAsia" w:ascii="宋体" w:hAnsi="宋体" w:eastAsia="宋体" w:cs="宋体"/>
          <w:snapToGrid w:val="0"/>
          <w:color w:val="auto"/>
          <w:kern w:val="0"/>
          <w:highlight w:val="none"/>
        </w:rPr>
        <w:t>包括以下内容：</w:t>
      </w:r>
    </w:p>
    <w:p w14:paraId="28CFD8C3">
      <w:pPr>
        <w:wordWrap w:val="0"/>
        <w:adjustRightInd w:val="0"/>
        <w:spacing w:line="440" w:lineRule="exact"/>
        <w:ind w:firstLine="480" w:firstLineChars="200"/>
        <w:rPr>
          <w:rFonts w:hint="eastAsia" w:hAnsi="宋体" w:cs="宋体"/>
          <w:snapToGrid w:val="0"/>
          <w:color w:val="auto"/>
          <w:kern w:val="0"/>
          <w:highlight w:val="none"/>
          <w:lang w:val="en-US" w:eastAsia="zh-CN"/>
        </w:rPr>
      </w:pPr>
      <w:r>
        <w:rPr>
          <w:rFonts w:hint="eastAsia" w:hAnsi="宋体" w:cs="宋体"/>
          <w:snapToGrid w:val="0"/>
          <w:color w:val="auto"/>
          <w:kern w:val="0"/>
          <w:highlight w:val="none"/>
          <w:lang w:eastAsia="zh-CN"/>
        </w:rPr>
        <w:t>（</w:t>
      </w:r>
      <w:r>
        <w:rPr>
          <w:rFonts w:hint="eastAsia" w:hAnsi="宋体" w:cs="宋体"/>
          <w:snapToGrid w:val="0"/>
          <w:color w:val="auto"/>
          <w:kern w:val="0"/>
          <w:highlight w:val="none"/>
          <w:lang w:val="en-US" w:eastAsia="zh-CN"/>
        </w:rPr>
        <w:t>1</w:t>
      </w:r>
      <w:r>
        <w:rPr>
          <w:rFonts w:hint="eastAsia" w:hAnsi="宋体" w:cs="宋体"/>
          <w:snapToGrid w:val="0"/>
          <w:color w:val="auto"/>
          <w:kern w:val="0"/>
          <w:highlight w:val="none"/>
          <w:lang w:eastAsia="zh-CN"/>
        </w:rPr>
        <w:t>）</w:t>
      </w:r>
      <w:r>
        <w:rPr>
          <w:rFonts w:hint="eastAsia" w:hAnsi="宋体" w:cs="宋体"/>
          <w:snapToGrid w:val="0"/>
          <w:color w:val="auto"/>
          <w:kern w:val="0"/>
          <w:highlight w:val="none"/>
          <w:lang w:val="en-US" w:eastAsia="zh-CN"/>
        </w:rPr>
        <w:t>封面</w:t>
      </w:r>
      <w:r>
        <w:rPr>
          <w:rFonts w:hint="eastAsia" w:ascii="宋体" w:hAnsi="宋体" w:eastAsia="宋体" w:cs="宋体"/>
          <w:snapToGrid w:val="0"/>
          <w:color w:val="auto"/>
          <w:kern w:val="0"/>
          <w:highlight w:val="none"/>
          <w:lang w:val="en-US" w:eastAsia="zh-CN"/>
        </w:rPr>
        <w:t>（格式十</w:t>
      </w:r>
      <w:r>
        <w:rPr>
          <w:rFonts w:hint="eastAsia" w:hAnsi="宋体" w:cs="宋体"/>
          <w:snapToGrid w:val="0"/>
          <w:color w:val="auto"/>
          <w:kern w:val="0"/>
          <w:highlight w:val="none"/>
          <w:lang w:val="en-US" w:eastAsia="zh-CN"/>
        </w:rPr>
        <w:t>五</w:t>
      </w:r>
      <w:r>
        <w:rPr>
          <w:rFonts w:hint="eastAsia" w:ascii="宋体" w:hAnsi="宋体" w:eastAsia="宋体" w:cs="宋体"/>
          <w:snapToGrid w:val="0"/>
          <w:color w:val="auto"/>
          <w:kern w:val="0"/>
          <w:highlight w:val="none"/>
          <w:lang w:val="en-US" w:eastAsia="zh-CN"/>
        </w:rPr>
        <w:t>）</w:t>
      </w:r>
    </w:p>
    <w:p w14:paraId="74A87F2D">
      <w:pPr>
        <w:wordWrap w:val="0"/>
        <w:adjustRightInd w:val="0"/>
        <w:spacing w:line="440" w:lineRule="exact"/>
        <w:ind w:firstLine="480" w:firstLineChars="200"/>
        <w:rPr>
          <w:rFonts w:hint="eastAsia" w:ascii="宋体" w:hAnsi="宋体" w:eastAsia="宋体" w:cs="宋体"/>
          <w:snapToGrid w:val="0"/>
          <w:color w:val="auto"/>
          <w:kern w:val="0"/>
          <w:highlight w:val="none"/>
        </w:rPr>
      </w:pPr>
      <w:r>
        <w:rPr>
          <w:rFonts w:hint="eastAsia" w:hAnsi="宋体" w:cs="宋体"/>
          <w:snapToGrid w:val="0"/>
          <w:color w:val="auto"/>
          <w:kern w:val="0"/>
          <w:highlight w:val="none"/>
          <w:lang w:val="en-US" w:eastAsia="zh-CN"/>
        </w:rPr>
        <w:t>（2）</w:t>
      </w:r>
      <w:r>
        <w:rPr>
          <w:rFonts w:hint="eastAsia" w:ascii="宋体" w:hAnsi="宋体" w:eastAsia="宋体" w:cs="宋体"/>
          <w:snapToGrid w:val="0"/>
          <w:color w:val="auto"/>
          <w:kern w:val="0"/>
          <w:highlight w:val="none"/>
          <w:lang w:val="en-US" w:eastAsia="zh-CN"/>
        </w:rPr>
        <w:t>定标因素评审资料（格式十</w:t>
      </w:r>
      <w:r>
        <w:rPr>
          <w:rFonts w:hint="eastAsia" w:hAnsi="宋体" w:cs="宋体"/>
          <w:snapToGrid w:val="0"/>
          <w:color w:val="auto"/>
          <w:kern w:val="0"/>
          <w:highlight w:val="none"/>
          <w:lang w:val="en-US" w:eastAsia="zh-CN"/>
        </w:rPr>
        <w:t>六</w:t>
      </w:r>
      <w:r>
        <w:rPr>
          <w:rFonts w:hint="eastAsia" w:ascii="宋体" w:hAnsi="宋体" w:eastAsia="宋体" w:cs="宋体"/>
          <w:snapToGrid w:val="0"/>
          <w:color w:val="auto"/>
          <w:kern w:val="0"/>
          <w:highlight w:val="none"/>
          <w:lang w:val="en-US" w:eastAsia="zh-CN"/>
        </w:rPr>
        <w:t>）</w:t>
      </w:r>
    </w:p>
    <w:p w14:paraId="2A1AABC7">
      <w:pPr>
        <w:wordWrap w:val="0"/>
        <w:adjustRightInd w:val="0"/>
        <w:spacing w:line="440" w:lineRule="exact"/>
        <w:ind w:firstLine="482"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highlight w:val="none"/>
        </w:rPr>
        <w:t>1</w:t>
      </w:r>
      <w:r>
        <w:rPr>
          <w:rFonts w:hint="eastAsia" w:ascii="宋体" w:hAnsi="宋体" w:eastAsia="宋体" w:cs="宋体"/>
          <w:b/>
          <w:bCs/>
          <w:snapToGrid w:val="0"/>
          <w:color w:val="auto"/>
          <w:kern w:val="0"/>
          <w:highlight w:val="none"/>
          <w:lang w:val="en-US" w:eastAsia="zh-CN"/>
        </w:rPr>
        <w:t>0.5</w:t>
      </w:r>
      <w:r>
        <w:rPr>
          <w:rFonts w:hint="eastAsia" w:ascii="宋体" w:hAnsi="宋体" w:eastAsia="宋体" w:cs="宋体"/>
          <w:b/>
          <w:bCs/>
          <w:snapToGrid w:val="0"/>
          <w:color w:val="auto"/>
          <w:kern w:val="0"/>
          <w:highlight w:val="none"/>
        </w:rPr>
        <w:t>.</w:t>
      </w:r>
      <w:r>
        <w:rPr>
          <w:rFonts w:hint="eastAsia" w:ascii="宋体" w:hAnsi="宋体" w:eastAsia="宋体" w:cs="宋体"/>
          <w:b/>
          <w:bCs/>
          <w:snapToGrid w:val="0"/>
          <w:color w:val="auto"/>
          <w:kern w:val="0"/>
          <w:highlight w:val="none"/>
          <w:lang w:val="en-US" w:eastAsia="zh-CN"/>
        </w:rPr>
        <w:t>2</w:t>
      </w:r>
      <w:r>
        <w:rPr>
          <w:rFonts w:hint="eastAsia" w:ascii="宋体" w:hAnsi="宋体" w:eastAsia="宋体" w:cs="宋体"/>
          <w:snapToGrid w:val="0"/>
          <w:color w:val="auto"/>
          <w:kern w:val="0"/>
          <w:highlight w:val="none"/>
        </w:rPr>
        <w:t xml:space="preserve"> 本节第1</w:t>
      </w:r>
      <w:r>
        <w:rPr>
          <w:rFonts w:hint="eastAsia" w:ascii="宋体" w:hAnsi="宋体" w:eastAsia="宋体" w:cs="宋体"/>
          <w:snapToGrid w:val="0"/>
          <w:color w:val="auto"/>
          <w:kern w:val="0"/>
          <w:highlight w:val="none"/>
          <w:lang w:val="en-US" w:eastAsia="zh-CN"/>
        </w:rPr>
        <w:t>0.5</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目中所列出的组成内容中，第（1）项所有投标人均应提供。</w:t>
      </w:r>
    </w:p>
    <w:p w14:paraId="31541DBD">
      <w:pPr>
        <w:wordWrap w:val="0"/>
        <w:adjustRightInd w:val="0"/>
        <w:spacing w:line="440" w:lineRule="exact"/>
        <w:ind w:firstLine="482" w:firstLineChars="200"/>
        <w:rPr>
          <w:rFonts w:hint="default"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注：</w:t>
      </w:r>
      <w:r>
        <w:rPr>
          <w:rFonts w:hint="eastAsia" w:hAnsi="宋体" w:cs="宋体"/>
          <w:b/>
          <w:bCs/>
          <w:snapToGrid w:val="0"/>
          <w:color w:val="auto"/>
          <w:kern w:val="0"/>
          <w:highlight w:val="none"/>
          <w:lang w:val="en-US" w:eastAsia="zh-CN"/>
        </w:rPr>
        <w:t>定标文件只适用于定标阶段提交给定标委员会查阅，评标委员会评标时不采用定标文件评审。</w:t>
      </w:r>
    </w:p>
    <w:p w14:paraId="53772C23">
      <w:pPr>
        <w:wordWrap w:val="0"/>
        <w:adjustRightInd w:val="0"/>
        <w:spacing w:line="440" w:lineRule="exact"/>
        <w:rPr>
          <w:rFonts w:hint="eastAsia" w:ascii="宋体" w:hAnsi="宋体" w:eastAsia="宋体" w:cs="宋体"/>
          <w:bCs/>
          <w:snapToGrid w:val="0"/>
          <w:color w:val="auto"/>
          <w:highlight w:val="none"/>
        </w:rPr>
      </w:pPr>
    </w:p>
    <w:bookmarkEnd w:id="53"/>
    <w:p w14:paraId="4FCCD48D">
      <w:pPr>
        <w:wordWrap w:val="0"/>
        <w:adjustRightInd w:val="0"/>
        <w:ind w:firstLine="482" w:firstLineChars="200"/>
        <w:rPr>
          <w:rFonts w:hint="eastAsia" w:ascii="宋体" w:hAnsi="宋体" w:eastAsia="宋体" w:cs="宋体"/>
          <w:b/>
          <w:snapToGrid w:val="0"/>
          <w:color w:val="auto"/>
          <w:highlight w:val="none"/>
        </w:rPr>
      </w:pPr>
      <w:r>
        <w:rPr>
          <w:rFonts w:hint="eastAsia" w:ascii="宋体" w:hAnsi="宋体" w:eastAsia="宋体" w:cs="宋体"/>
          <w:b/>
          <w:snapToGrid w:val="0"/>
          <w:color w:val="auto"/>
          <w:highlight w:val="none"/>
        </w:rPr>
        <w:t>11.电子投标：</w:t>
      </w:r>
    </w:p>
    <w:p w14:paraId="2E80F560">
      <w:pPr>
        <w:wordWrap w:val="0"/>
        <w:adjustRightInd w:val="0"/>
        <w:ind w:firstLine="480" w:firstLineChars="200"/>
        <w:rPr>
          <w:rFonts w:hint="eastAsia" w:ascii="宋体" w:hAnsi="宋体" w:eastAsia="宋体" w:cs="宋体"/>
          <w:b/>
          <w:snapToGrid w:val="0"/>
          <w:color w:val="auto"/>
          <w:highlight w:val="none"/>
        </w:rPr>
      </w:pPr>
      <w:r>
        <w:rPr>
          <w:rFonts w:hint="eastAsia" w:ascii="宋体" w:hAnsi="宋体" w:eastAsia="宋体" w:cs="宋体"/>
          <w:bCs/>
          <w:snapToGrid w:val="0"/>
          <w:color w:val="auto"/>
          <w:highlight w:val="none"/>
        </w:rPr>
        <w:t>11.1</w:t>
      </w:r>
      <w:r>
        <w:rPr>
          <w:rFonts w:hint="eastAsia" w:hAnsi="宋体" w:cs="宋体"/>
          <w:bCs/>
          <w:snapToGrid w:val="0"/>
          <w:color w:val="auto"/>
          <w:szCs w:val="24"/>
          <w:highlight w:val="none"/>
        </w:rPr>
        <w:t>在建设工程交易系统上传加盖了电子印章的投标文件、录入相关信息及标书页码信息，（页码起始从封面开始）并提交投标标书。提交标书为已加密投标文件。具体操作参照</w:t>
      </w:r>
      <w:r>
        <w:rPr>
          <w:rFonts w:hint="eastAsia" w:ascii="宋体" w:hAnsi="宋体" w:eastAsia="宋体" w:cs="宋体"/>
          <w:bCs/>
          <w:snapToGrid w:val="0"/>
          <w:color w:val="auto"/>
          <w:szCs w:val="24"/>
          <w:highlight w:val="none"/>
        </w:rPr>
        <w:t>《韶关市公共资源建设工程交易系统-投标人操作指南（电子评标）》。</w:t>
      </w:r>
      <w:r>
        <w:rPr>
          <w:rFonts w:hint="eastAsia" w:hAnsi="宋体" w:cs="宋体"/>
          <w:bCs/>
          <w:snapToGrid w:val="0"/>
          <w:color w:val="auto"/>
          <w:szCs w:val="24"/>
          <w:highlight w:val="none"/>
        </w:rPr>
        <w:t>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45197F62">
      <w:pPr>
        <w:wordWrap w:val="0"/>
        <w:adjustRightInd w:val="0"/>
        <w:ind w:firstLine="480" w:firstLineChars="200"/>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11.2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521B8C41">
      <w:pPr>
        <w:wordWrap w:val="0"/>
        <w:adjustRightInd w:val="0"/>
        <w:snapToGrid w:val="0"/>
        <w:ind w:firstLine="480"/>
        <w:rPr>
          <w:rFonts w:hint="eastAsia" w:ascii="宋体" w:hAnsi="宋体" w:eastAsia="宋体" w:cs="宋体"/>
          <w:snapToGrid w:val="0"/>
          <w:color w:val="auto"/>
          <w:kern w:val="0"/>
          <w:highlight w:val="none"/>
        </w:rPr>
      </w:pPr>
      <w:bookmarkStart w:id="54" w:name="_Toc17508"/>
      <w:r>
        <w:rPr>
          <w:rFonts w:hint="eastAsia" w:ascii="宋体" w:hAnsi="宋体" w:eastAsia="宋体" w:cs="宋体"/>
          <w:b/>
          <w:bCs/>
          <w:snapToGrid w:val="0"/>
          <w:color w:val="auto"/>
          <w:kern w:val="0"/>
          <w:highlight w:val="none"/>
        </w:rPr>
        <w:t>12.</w:t>
      </w:r>
      <w:r>
        <w:rPr>
          <w:rFonts w:hint="eastAsia" w:ascii="宋体" w:hAnsi="宋体" w:eastAsia="宋体" w:cs="宋体"/>
          <w:snapToGrid w:val="0"/>
          <w:color w:val="auto"/>
          <w:kern w:val="0"/>
          <w:highlight w:val="none"/>
        </w:rPr>
        <w:t>电子投标及投标解密失败及突发情况的补救方案</w:t>
      </w:r>
      <w:bookmarkEnd w:id="54"/>
    </w:p>
    <w:p w14:paraId="3FF77EC9">
      <w:pPr>
        <w:wordWrap w:val="0"/>
        <w:adjustRightInd w:val="0"/>
        <w:ind w:firstLine="480" w:firstLineChars="200"/>
        <w:rPr>
          <w:rFonts w:hint="eastAsia" w:ascii="宋体" w:hAnsi="宋体" w:eastAsia="宋体" w:cs="宋体"/>
          <w:bCs/>
          <w:strike/>
          <w:snapToGrid w:val="0"/>
          <w:color w:val="auto"/>
          <w:highlight w:val="none"/>
          <w:u w:val="single"/>
        </w:rPr>
      </w:pPr>
      <w:r>
        <w:rPr>
          <w:rFonts w:hint="eastAsia" w:ascii="宋体" w:hAnsi="宋体" w:eastAsia="宋体" w:cs="宋体"/>
          <w:bCs/>
          <w:snapToGrid w:val="0"/>
          <w:color w:val="auto"/>
          <w:highlight w:val="none"/>
        </w:rPr>
        <w:t>12.1按照交易平台关于全流程电子化项目的相关</w:t>
      </w:r>
      <w:r>
        <w:rPr>
          <w:rFonts w:hint="eastAsia" w:ascii="宋体" w:hAnsi="宋体" w:eastAsia="宋体" w:cs="宋体"/>
          <w:snapToGrid w:val="0"/>
          <w:color w:val="auto"/>
          <w:kern w:val="0"/>
          <w:highlight w:val="none"/>
        </w:rPr>
        <w:t>指引</w:t>
      </w:r>
      <w:r>
        <w:rPr>
          <w:rFonts w:hint="eastAsia" w:ascii="宋体" w:hAnsi="宋体" w:eastAsia="宋体" w:cs="宋体"/>
          <w:bCs/>
          <w:snapToGrid w:val="0"/>
          <w:color w:val="auto"/>
          <w:highlight w:val="none"/>
        </w:rPr>
        <w:t>进行操作。详见：全国公共资源交易平台（广东省·韶关市）（https://ygp.gdzwfw.gov.cn/ggzy-portal/#/440200/index）交易指引栏目发布的最新版操作指引。</w:t>
      </w:r>
    </w:p>
    <w:p w14:paraId="1D18238C">
      <w:pPr>
        <w:wordWrap w:val="0"/>
        <w:adjustRightInd w:val="0"/>
        <w:ind w:firstLine="480" w:firstLineChars="200"/>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12.2补救方案：</w:t>
      </w:r>
    </w:p>
    <w:p w14:paraId="48613441">
      <w:pPr>
        <w:widowControl w:val="0"/>
        <w:numPr>
          <w:ilvl w:val="0"/>
          <w:numId w:val="3"/>
        </w:numPr>
        <w:ind w:firstLine="480" w:firstLineChars="200"/>
        <w:textAlignment w:val="auto"/>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投标文件解密失败的补救方案：</w:t>
      </w:r>
    </w:p>
    <w:p w14:paraId="4F629F9C">
      <w:pPr>
        <w:wordWrap w:val="0"/>
        <w:adjustRightInd w:val="0"/>
        <w:ind w:firstLine="480" w:firstLineChars="200"/>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在规定时间内，因投标人之外原因(指网络瘫痪、服务器损坏、交易系统故障短期无法恢复)等导致的电子投标文件解密失败，在开标现场解密环节由代理授权后，解密失败投标人可在交易平台在规定时间（代理机构授权后30分钟内）内重新提交投标文件继续开标程序。</w:t>
      </w:r>
    </w:p>
    <w:p w14:paraId="56518819">
      <w:pPr>
        <w:wordWrap w:val="0"/>
        <w:adjustRightInd w:val="0"/>
        <w:ind w:firstLine="480" w:firstLineChars="200"/>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（2）评标时突发情况的补救方案</w:t>
      </w:r>
    </w:p>
    <w:p w14:paraId="0968D8ED">
      <w:pPr>
        <w:wordWrap w:val="0"/>
        <w:adjustRightInd w:val="0"/>
        <w:ind w:firstLine="480" w:firstLineChars="200"/>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1F785721">
      <w:pPr>
        <w:wordWrap w:val="0"/>
        <w:adjustRightInd w:val="0"/>
        <w:ind w:firstLine="480" w:firstLineChars="200"/>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（3）除发生上述情况外，开标评标均以投标人通过交易平台网上递交的电子投标文件为准。</w:t>
      </w:r>
    </w:p>
    <w:p w14:paraId="77D5A32C">
      <w:pPr>
        <w:adjustRightInd w:val="0"/>
        <w:rPr>
          <w:rFonts w:hint="eastAsia" w:ascii="宋体" w:hAnsi="宋体" w:eastAsia="宋体" w:cs="宋体"/>
          <w:b/>
          <w:bCs/>
          <w:snapToGrid w:val="0"/>
          <w:color w:val="auto"/>
          <w:kern w:val="0"/>
          <w:highlight w:val="none"/>
        </w:rPr>
      </w:pPr>
      <w:bookmarkStart w:id="55" w:name="_Toc12525"/>
      <w:r>
        <w:rPr>
          <w:rFonts w:hint="eastAsia" w:ascii="宋体" w:hAnsi="宋体" w:eastAsia="宋体" w:cs="宋体"/>
          <w:b/>
          <w:bCs/>
          <w:snapToGrid w:val="0"/>
          <w:color w:val="auto"/>
          <w:kern w:val="0"/>
          <w:highlight w:val="none"/>
        </w:rPr>
        <w:t>13．</w:t>
      </w:r>
      <w:bookmarkEnd w:id="55"/>
      <w:r>
        <w:rPr>
          <w:rFonts w:hint="eastAsia" w:ascii="宋体" w:hAnsi="宋体" w:eastAsia="宋体" w:cs="宋体"/>
          <w:b/>
          <w:bCs/>
          <w:snapToGrid w:val="0"/>
          <w:color w:val="auto"/>
          <w:kern w:val="0"/>
          <w:highlight w:val="none"/>
        </w:rPr>
        <w:t>投标文件的提交</w:t>
      </w:r>
    </w:p>
    <w:p w14:paraId="4B39F6C4">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13.1</w:t>
      </w:r>
      <w:r>
        <w:rPr>
          <w:rFonts w:hint="eastAsia" w:ascii="Times New Roman"/>
          <w:snapToGrid w:val="0"/>
          <w:color w:val="auto"/>
          <w:kern w:val="0"/>
          <w:highlight w:val="none"/>
        </w:rPr>
        <w:t>在投标文件提交截止时间前，投标人通过全国公共资源交易平台（广东省·韶关市）提交已加密投标文件。逾期提交的电子投标文件，全国公共资源交易平台（广东省·韶关市）将予以拒收。</w:t>
      </w:r>
    </w:p>
    <w:p w14:paraId="439181A3">
      <w:pPr>
        <w:wordWrap w:val="0"/>
        <w:adjustRightInd w:val="0"/>
        <w:snapToGrid w:val="0"/>
        <w:ind w:firstLine="480" w:firstLineChars="200"/>
        <w:rPr>
          <w:rFonts w:hint="eastAsia" w:ascii="宋体" w:hAnsi="宋体" w:eastAsia="宋体" w:cs="宋体"/>
          <w:snapToGrid w:val="0"/>
          <w:color w:val="auto"/>
          <w:kern w:val="0"/>
          <w:highlight w:val="none"/>
          <w:lang w:eastAsia="zh-CN"/>
        </w:rPr>
      </w:pPr>
      <w:r>
        <w:rPr>
          <w:rFonts w:hint="eastAsia" w:ascii="宋体" w:hAnsi="宋体" w:eastAsia="宋体" w:cs="宋体"/>
          <w:snapToGrid w:val="0"/>
          <w:color w:val="auto"/>
          <w:kern w:val="0"/>
          <w:highlight w:val="none"/>
        </w:rPr>
        <w:t>13.2递交时间和地点：见本章第二节“重要事项时间地点一览表”</w:t>
      </w:r>
      <w:r>
        <w:rPr>
          <w:rFonts w:hint="eastAsia" w:hAnsi="宋体" w:eastAsia="宋体" w:cs="宋体"/>
          <w:snapToGrid w:val="0"/>
          <w:color w:val="auto"/>
          <w:kern w:val="0"/>
          <w:highlight w:val="none"/>
          <w:lang w:eastAsia="zh-CN"/>
        </w:rPr>
        <w:t>。</w:t>
      </w:r>
    </w:p>
    <w:p w14:paraId="25B0B6B5">
      <w:pPr>
        <w:pStyle w:val="5"/>
        <w:spacing w:line="360" w:lineRule="auto"/>
        <w:ind w:firstLine="480" w:firstLineChars="200"/>
        <w:rPr>
          <w:rFonts w:hint="eastAsia" w:ascii="宋体" w:hAnsi="宋体" w:eastAsia="宋体" w:cs="宋体"/>
          <w:bCs/>
          <w:snapToGrid w:val="0"/>
          <w:color w:val="auto"/>
          <w:highlight w:val="none"/>
        </w:rPr>
      </w:pPr>
      <w:r>
        <w:rPr>
          <w:rFonts w:hint="eastAsia" w:ascii="宋体" w:hAnsi="宋体" w:eastAsia="宋体" w:cs="宋体"/>
          <w:snapToGrid w:val="0"/>
          <w:color w:val="auto"/>
          <w:highlight w:val="none"/>
        </w:rPr>
        <w:t xml:space="preserve">13.3 </w:t>
      </w:r>
      <w:r>
        <w:rPr>
          <w:rFonts w:hint="eastAsia" w:ascii="宋体" w:hAnsi="宋体" w:eastAsia="宋体" w:cs="宋体"/>
          <w:bCs/>
          <w:snapToGrid w:val="0"/>
          <w:color w:val="auto"/>
          <w:highlight w:val="none"/>
        </w:rPr>
        <w:t>投标人法定代表人或其委托代理人（以下简称“投标人代表”）应在指定的时间和地点递交投标相关资料（如有）。</w:t>
      </w:r>
    </w:p>
    <w:p w14:paraId="51CEFFED">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13.</w:t>
      </w:r>
      <w:r>
        <w:rPr>
          <w:rFonts w:hint="eastAsia" w:hAnsi="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代理机构对因不可抗力事件造成的投标文件的损坏、丢失的，不承担责任。</w:t>
      </w:r>
    </w:p>
    <w:p w14:paraId="0018AE8D">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13.</w:t>
      </w:r>
      <w:r>
        <w:rPr>
          <w:rFonts w:hint="eastAsia" w:hAnsi="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出现下述情形之一，属于未成功提交投标文件，按无效投标处理：</w:t>
      </w:r>
    </w:p>
    <w:p w14:paraId="67D017B5">
      <w:pPr>
        <w:numPr>
          <w:ilvl w:val="0"/>
          <w:numId w:val="4"/>
        </w:numPr>
        <w:ind w:firstLine="720" w:firstLineChars="3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至提交投标文件截止时，投标文件未完整上传及提交标书；</w:t>
      </w:r>
    </w:p>
    <w:p w14:paraId="3D18F65D">
      <w:pPr>
        <w:numPr>
          <w:ilvl w:val="0"/>
          <w:numId w:val="4"/>
        </w:numPr>
        <w:ind w:firstLine="720" w:firstLineChars="3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投标文件未按投标格式中注明需签字盖章的要求进行签名（含电子签名）和加盖电子印章，或签名（含电子签名）或电子印章不完整的；</w:t>
      </w:r>
    </w:p>
    <w:p w14:paraId="2B3FF8CE">
      <w:pPr>
        <w:numPr>
          <w:ilvl w:val="0"/>
          <w:numId w:val="4"/>
        </w:numPr>
        <w:ind w:firstLine="720" w:firstLineChars="3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解密失败且在规定时间内未重新提交投标文件的；</w:t>
      </w:r>
    </w:p>
    <w:p w14:paraId="34687296">
      <w:pPr>
        <w:numPr>
          <w:ilvl w:val="0"/>
          <w:numId w:val="4"/>
        </w:numPr>
        <w:ind w:firstLine="720" w:firstLineChars="3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投标文件损坏或格式不正确的；</w:t>
      </w:r>
    </w:p>
    <w:p w14:paraId="22CB93CC">
      <w:pPr>
        <w:ind w:firstLine="720" w:firstLineChars="300"/>
        <w:rPr>
          <w:rFonts w:hint="eastAsia" w:ascii="宋体" w:hAnsi="宋体" w:eastAsia="宋体" w:cs="宋体"/>
          <w:strike/>
          <w:dstrike w:val="0"/>
          <w:color w:val="auto"/>
          <w:highlight w:val="none"/>
        </w:rPr>
      </w:pPr>
      <w:r>
        <w:rPr>
          <w:rFonts w:hint="eastAsia" w:ascii="宋体" w:hAnsi="宋体" w:eastAsia="宋体" w:cs="宋体"/>
          <w:snapToGrid w:val="0"/>
          <w:color w:val="auto"/>
          <w:kern w:val="0"/>
          <w:highlight w:val="none"/>
        </w:rPr>
        <w:t>13.</w:t>
      </w:r>
      <w:r>
        <w:rPr>
          <w:rFonts w:hint="eastAsia" w:hAnsi="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 xml:space="preserve"> 本次招标投标有效期为90个日历天，投标有效期从提交投标文件的截止之日起计算。在此期间，投标人不得撤销或修改其投标文件，否则其投标保证不予退还。</w:t>
      </w:r>
    </w:p>
    <w:p w14:paraId="16418AFA">
      <w:pPr>
        <w:adjustRightInd w:val="0"/>
        <w:rPr>
          <w:rFonts w:hint="eastAsia" w:ascii="宋体" w:hAnsi="宋体" w:eastAsia="宋体" w:cs="宋体"/>
          <w:b/>
          <w:bCs/>
          <w:snapToGrid w:val="0"/>
          <w:color w:val="auto"/>
          <w:kern w:val="0"/>
          <w:highlight w:val="none"/>
        </w:rPr>
      </w:pPr>
      <w:bookmarkStart w:id="56" w:name="_Toc29880"/>
      <w:r>
        <w:rPr>
          <w:rFonts w:hint="eastAsia" w:ascii="宋体" w:hAnsi="宋体" w:eastAsia="宋体" w:cs="宋体"/>
          <w:b/>
          <w:bCs/>
          <w:snapToGrid w:val="0"/>
          <w:color w:val="auto"/>
          <w:kern w:val="0"/>
          <w:highlight w:val="none"/>
        </w:rPr>
        <w:t>14．开标</w:t>
      </w:r>
      <w:bookmarkEnd w:id="56"/>
    </w:p>
    <w:p w14:paraId="562E6EF9">
      <w:pPr>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14.1</w:t>
      </w:r>
      <w:r>
        <w:rPr>
          <w:rFonts w:hint="eastAsia" w:ascii="宋体" w:hAnsi="宋体" w:eastAsia="宋体" w:cs="宋体"/>
          <w:snapToGrid w:val="0"/>
          <w:color w:val="auto"/>
          <w:kern w:val="0"/>
          <w:highlight w:val="none"/>
        </w:rPr>
        <w:t xml:space="preserve"> </w:t>
      </w:r>
      <w:r>
        <w:rPr>
          <w:rFonts w:hint="eastAsia"/>
          <w:snapToGrid w:val="0"/>
          <w:color w:val="auto"/>
          <w:kern w:val="0"/>
          <w:sz w:val="24"/>
          <w:highlight w:val="none"/>
        </w:rPr>
        <w:t>招标人邀请所有正确</w:t>
      </w:r>
      <w:r>
        <w:rPr>
          <w:rFonts w:hint="eastAsia" w:ascii="宋体" w:hAnsi="宋体" w:cs="宋体"/>
          <w:snapToGrid w:val="0"/>
          <w:color w:val="auto"/>
          <w:kern w:val="0"/>
          <w:sz w:val="24"/>
          <w:highlight w:val="none"/>
        </w:rPr>
        <w:t>获取招标文件、</w:t>
      </w:r>
      <w:r>
        <w:rPr>
          <w:rFonts w:hint="eastAsia"/>
          <w:snapToGrid w:val="0"/>
          <w:color w:val="auto"/>
          <w:kern w:val="0"/>
          <w:sz w:val="24"/>
          <w:highlight w:val="none"/>
        </w:rPr>
        <w:t>电子投标、缴纳投标保证的投标人参加开标，投标人可自主决定是否参加。</w:t>
      </w:r>
      <w:r>
        <w:rPr>
          <w:rFonts w:hint="eastAsia" w:ascii="宋体" w:hAnsi="宋体" w:cs="宋体"/>
          <w:snapToGrid w:val="0"/>
          <w:color w:val="auto"/>
          <w:kern w:val="0"/>
          <w:sz w:val="24"/>
          <w:highlight w:val="none"/>
        </w:rPr>
        <w:t>投标人可登陆交易平台观看开标实况、提出异议或进行澄清、确认等操作（具体按招标文件和系统操作手册为准）。</w:t>
      </w:r>
      <w:r>
        <w:rPr>
          <w:rFonts w:hint="eastAsia" w:ascii="宋体" w:hAnsi="宋体" w:eastAsia="宋体" w:cs="宋体"/>
          <w:snapToGrid w:val="0"/>
          <w:color w:val="auto"/>
          <w:kern w:val="0"/>
          <w:highlight w:val="none"/>
        </w:rPr>
        <w:t>投标人不参加开标的，视其默认开标结果，以及放弃在开标期间见证、监督、投诉、申辩的权利。</w:t>
      </w:r>
    </w:p>
    <w:p w14:paraId="6E7924A4">
      <w:pPr>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14.1.1</w:t>
      </w:r>
      <w:r>
        <w:rPr>
          <w:rFonts w:hint="eastAsia" w:ascii="宋体" w:hAnsi="宋体" w:eastAsia="宋体" w:cs="宋体"/>
          <w:snapToGrid w:val="0"/>
          <w:color w:val="auto"/>
          <w:kern w:val="0"/>
          <w:highlight w:val="none"/>
        </w:rPr>
        <w:t xml:space="preserve"> 开标时间和地点：见本章第二节“重要事项时间地点一览表”。</w:t>
      </w:r>
    </w:p>
    <w:p w14:paraId="723049D5">
      <w:pPr>
        <w:keepNext w:val="0"/>
        <w:keepLines w:val="0"/>
        <w:pageBreakBefore w:val="0"/>
        <w:widowControl/>
        <w:kinsoku/>
        <w:wordWrap w:val="0"/>
        <w:overflowPunct/>
        <w:topLinePunct w:val="0"/>
        <w:autoSpaceDE/>
        <w:autoSpaceDN/>
        <w:bidi w:val="0"/>
        <w:adjustRightInd/>
        <w:snapToGrid/>
        <w:ind w:firstLine="482" w:firstLineChars="200"/>
        <w:textAlignment w:val="baseline"/>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14.1.2</w:t>
      </w:r>
      <w:r>
        <w:rPr>
          <w:rFonts w:hint="eastAsia" w:ascii="宋体" w:hAnsi="宋体" w:eastAsia="宋体" w:cs="宋体"/>
          <w:snapToGrid w:val="0"/>
          <w:color w:val="auto"/>
          <w:kern w:val="0"/>
          <w:highlight w:val="none"/>
        </w:rPr>
        <w:t xml:space="preserve"> 开标前24小时，若</w:t>
      </w:r>
      <w:r>
        <w:rPr>
          <w:rFonts w:hint="eastAsia" w:hAnsi="宋体" w:eastAsia="宋体" w:cs="宋体"/>
          <w:snapToGrid w:val="0"/>
          <w:color w:val="auto"/>
          <w:kern w:val="0"/>
          <w:highlight w:val="none"/>
          <w:lang w:eastAsia="zh-CN"/>
        </w:rPr>
        <w:t>建设工程交易系统</w:t>
      </w:r>
      <w:r>
        <w:rPr>
          <w:rFonts w:hint="eastAsia" w:ascii="宋体" w:hAnsi="宋体" w:eastAsia="宋体" w:cs="宋体"/>
          <w:snapToGrid w:val="0"/>
          <w:color w:val="auto"/>
          <w:kern w:val="0"/>
          <w:highlight w:val="none"/>
        </w:rPr>
        <w:t>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全国公共资源交易平台（广东省·韶关市）（https://ygp.gdzwfw.gov.cn/ggzy-portal/#/440200/index）查询是否发布了取消开标活动的相关信息。</w:t>
      </w:r>
    </w:p>
    <w:p w14:paraId="1A196C78">
      <w:pPr>
        <w:keepNext w:val="0"/>
        <w:keepLines w:val="0"/>
        <w:pageBreakBefore w:val="0"/>
        <w:widowControl/>
        <w:kinsoku/>
        <w:wordWrap w:val="0"/>
        <w:overflowPunct/>
        <w:topLinePunct w:val="0"/>
        <w:autoSpaceDE/>
        <w:autoSpaceDN/>
        <w:bidi w:val="0"/>
        <w:adjustRightInd/>
        <w:snapToGrid/>
        <w:ind w:firstLine="482" w:firstLineChars="200"/>
        <w:textAlignment w:val="baseline"/>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14.1.3</w:t>
      </w:r>
      <w:r>
        <w:rPr>
          <w:rFonts w:hint="eastAsia" w:ascii="宋体" w:hAnsi="宋体" w:eastAsia="宋体" w:cs="宋体"/>
          <w:snapToGrid w:val="0"/>
          <w:color w:val="auto"/>
          <w:kern w:val="0"/>
          <w:highlight w:val="none"/>
        </w:rPr>
        <w:t>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76A0E3E2">
      <w:pPr>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14.2 </w:t>
      </w:r>
      <w:r>
        <w:rPr>
          <w:rFonts w:hint="eastAsia" w:ascii="宋体" w:hAnsi="宋体" w:eastAsia="宋体" w:cs="宋体"/>
          <w:snapToGrid w:val="0"/>
          <w:color w:val="auto"/>
          <w:kern w:val="0"/>
          <w:highlight w:val="none"/>
        </w:rPr>
        <w:t>开标程序</w:t>
      </w:r>
    </w:p>
    <w:p w14:paraId="05C091C1">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（1）主持人（招标人代表或招标人授权的招标代理机构人员）宣读开标纪律。</w:t>
      </w:r>
    </w:p>
    <w:p w14:paraId="1DCC9783">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（2）主持人宣布唱标人、记录人、见证人、监督人等有关人员姓名。</w:t>
      </w:r>
    </w:p>
    <w:p w14:paraId="65645BF7">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（3）唱标人公布在投标截止时间前进行投标文件的投标人数量和名称，并现场核实参加开标的投标人数量和名称。</w:t>
      </w:r>
    </w:p>
    <w:p w14:paraId="70DF929C">
      <w:pPr>
        <w:wordWrap w:val="0"/>
        <w:adjustRightInd w:val="0"/>
        <w:snapToGrid w:val="0"/>
        <w:ind w:firstLine="480" w:firstLineChars="200"/>
        <w:rPr>
          <w:rFonts w:hint="eastAsia" w:ascii="宋体" w:hAnsi="宋体" w:eastAsia="宋体" w:cs="宋体"/>
          <w:color w:val="auto"/>
          <w:highlight w:val="none"/>
        </w:rPr>
      </w:pPr>
      <w:r>
        <w:rPr>
          <w:rFonts w:hint="eastAsia" w:ascii="宋体" w:hAnsi="宋体" w:eastAsia="宋体" w:cs="宋体"/>
          <w:snapToGrid w:val="0"/>
          <w:color w:val="auto"/>
          <w:kern w:val="0"/>
          <w:highlight w:val="none"/>
        </w:rPr>
        <w:t>（4）</w:t>
      </w:r>
      <w:r>
        <w:rPr>
          <w:rFonts w:hint="eastAsia" w:ascii="宋体" w:hAnsi="宋体" w:eastAsia="宋体" w:cs="宋体"/>
          <w:color w:val="auto"/>
          <w:highlight w:val="none"/>
        </w:rPr>
        <w:t>招标代理机构在交易场所工作人员的见证下，对投标人的电子投标信息进行解密，</w:t>
      </w:r>
      <w:r>
        <w:rPr>
          <w:rFonts w:hint="eastAsia" w:ascii="宋体" w:hAnsi="宋体" w:eastAsia="宋体" w:cs="宋体"/>
          <w:snapToGrid w:val="0"/>
          <w:color w:val="auto"/>
          <w:kern w:val="0"/>
          <w:highlight w:val="none"/>
        </w:rPr>
        <w:t>建设工程交易系统</w:t>
      </w:r>
      <w:r>
        <w:rPr>
          <w:rFonts w:hint="eastAsia" w:ascii="宋体" w:hAnsi="宋体" w:eastAsia="宋体" w:cs="宋体"/>
          <w:color w:val="auto"/>
          <w:highlight w:val="none"/>
        </w:rPr>
        <w:t>自动生成《投标保证缴纳情况表》和《开标一览表》。</w:t>
      </w:r>
    </w:p>
    <w:p w14:paraId="1F05E3AC">
      <w:pPr>
        <w:wordWrap w:val="0"/>
        <w:adjustRightInd w:val="0"/>
        <w:snapToGrid w:val="0"/>
        <w:ind w:firstLine="482" w:firstLineChars="200"/>
        <w:rPr>
          <w:rFonts w:hint="eastAsia" w:ascii="宋体" w:hAnsi="宋体" w:eastAsia="宋体" w:cs="宋体"/>
          <w:color w:val="auto"/>
          <w:highlight w:val="none"/>
        </w:rPr>
      </w:pPr>
      <w:r>
        <w:rPr>
          <w:rFonts w:hint="eastAsia" w:ascii="宋体" w:hAnsi="宋体" w:eastAsia="宋体" w:cs="宋体"/>
          <w:b/>
          <w:bCs/>
          <w:color w:val="auto"/>
          <w:highlight w:val="none"/>
        </w:rPr>
        <w:t>备注：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6D8F28A5">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14.3 </w:t>
      </w:r>
      <w:r>
        <w:rPr>
          <w:rFonts w:hint="eastAsia" w:ascii="宋体" w:hAnsi="宋体" w:eastAsia="宋体" w:cs="宋体"/>
          <w:snapToGrid w:val="0"/>
          <w:color w:val="auto"/>
          <w:kern w:val="0"/>
          <w:highlight w:val="none"/>
        </w:rPr>
        <w:t>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7244C586">
      <w:pPr>
        <w:wordWrap w:val="0"/>
        <w:adjustRightInd w:val="0"/>
        <w:snapToGrid w:val="0"/>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 xml:space="preserve">14.4 </w:t>
      </w:r>
      <w:bookmarkStart w:id="57" w:name="_Hlt127093805"/>
      <w:bookmarkEnd w:id="57"/>
      <w:r>
        <w:rPr>
          <w:rFonts w:hint="eastAsia" w:ascii="宋体" w:hAnsi="宋体" w:eastAsia="宋体" w:cs="宋体"/>
          <w:snapToGrid w:val="0"/>
          <w:color w:val="auto"/>
          <w:kern w:val="0"/>
          <w:highlight w:val="none"/>
        </w:rPr>
        <w:t>招标代理机构将《开标一览表》以及其他有关资料移交评标委员会。</w:t>
      </w:r>
    </w:p>
    <w:p w14:paraId="179E2682">
      <w:pPr>
        <w:pStyle w:val="26"/>
        <w:snapToGrid w:val="0"/>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15．评标</w:t>
      </w:r>
    </w:p>
    <w:p w14:paraId="58C77BF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150" w:right="150" w:firstLine="480" w:firstLineChars="200"/>
        <w:textAlignment w:val="auto"/>
        <w:rPr>
          <w:rFonts w:hint="eastAsia" w:ascii="宋体" w:hAnsi="宋体" w:eastAsia="宋体" w:cs="宋体"/>
          <w:b w:val="0"/>
          <w:bCs w:val="0"/>
          <w:i w:val="0"/>
          <w:iCs w:val="0"/>
          <w:caps w:val="0"/>
          <w:color w:val="auto"/>
          <w:spacing w:val="0"/>
          <w:sz w:val="24"/>
          <w:szCs w:val="24"/>
          <w:highlight w:val="none"/>
          <w:lang w:eastAsia="zh-CN"/>
        </w:rPr>
      </w:pPr>
      <w:r>
        <w:rPr>
          <w:rFonts w:hint="eastAsia" w:ascii="宋体" w:hAnsi="宋体" w:cs="宋体"/>
          <w:b w:val="0"/>
          <w:bCs w:val="0"/>
          <w:i w:val="0"/>
          <w:iCs w:val="0"/>
          <w:caps w:val="0"/>
          <w:color w:val="auto"/>
          <w:spacing w:val="0"/>
          <w:sz w:val="24"/>
          <w:szCs w:val="24"/>
          <w:highlight w:val="none"/>
          <w:lang w:eastAsia="zh-CN"/>
        </w:rPr>
        <w:t>评标分为初步评审和详细评审两个阶段，由评标委员会在有关部门的监督下，严格按照本招标文件指定的评标方法，对投标人的投标文件进行审查、评审。评标委员会完成评标后，评标委员会按照投标人评审综合总得分由高到低的原则,向招标人推荐已明确的定标候选人数量（不标明排序），并向招标人提交由全体评标委员会成员签字的评标报告。</w:t>
      </w:r>
    </w:p>
    <w:p w14:paraId="42D94C1E">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15.1</w:t>
      </w:r>
      <w:r>
        <w:rPr>
          <w:rStyle w:val="22"/>
          <w:rFonts w:hint="eastAsia" w:ascii="宋体" w:hAnsi="宋体" w:eastAsia="宋体" w:cs="宋体"/>
          <w:color w:val="auto"/>
          <w:kern w:val="0"/>
          <w:highlight w:val="none"/>
        </w:rPr>
        <w:t xml:space="preserve"> 评标委员会</w:t>
      </w:r>
    </w:p>
    <w:p w14:paraId="15599717">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15.1.1</w:t>
      </w:r>
      <w:r>
        <w:rPr>
          <w:rStyle w:val="22"/>
          <w:rFonts w:hint="eastAsia" w:ascii="宋体" w:hAnsi="宋体" w:eastAsia="宋体" w:cs="宋体"/>
          <w:color w:val="auto"/>
          <w:kern w:val="0"/>
          <w:highlight w:val="none"/>
        </w:rPr>
        <w:t xml:space="preserve"> 评标委员会由</w:t>
      </w:r>
      <w:r>
        <w:rPr>
          <w:rStyle w:val="22"/>
          <w:rFonts w:hint="eastAsia" w:ascii="宋体" w:hAnsi="宋体" w:eastAsia="宋体" w:cs="宋体"/>
          <w:color w:val="auto"/>
          <w:kern w:val="0"/>
          <w:highlight w:val="none"/>
          <w:u w:val="single"/>
        </w:rPr>
        <w:t>5</w:t>
      </w:r>
      <w:r>
        <w:rPr>
          <w:rStyle w:val="22"/>
          <w:rFonts w:hint="eastAsia" w:ascii="宋体" w:hAnsi="宋体" w:eastAsia="宋体" w:cs="宋体"/>
          <w:color w:val="auto"/>
          <w:kern w:val="0"/>
          <w:highlight w:val="none"/>
        </w:rPr>
        <w:t>人组成，其中招标人代表</w:t>
      </w:r>
      <w:r>
        <w:rPr>
          <w:rStyle w:val="22"/>
          <w:rFonts w:hint="eastAsia" w:ascii="宋体" w:hAnsi="宋体" w:eastAsia="宋体" w:cs="宋体"/>
          <w:color w:val="auto"/>
          <w:kern w:val="0"/>
          <w:highlight w:val="none"/>
          <w:u w:val="single"/>
        </w:rPr>
        <w:t>0</w:t>
      </w:r>
      <w:r>
        <w:rPr>
          <w:rStyle w:val="22"/>
          <w:rFonts w:hint="eastAsia" w:ascii="宋体" w:hAnsi="宋体" w:eastAsia="宋体" w:cs="宋体"/>
          <w:color w:val="auto"/>
          <w:kern w:val="0"/>
          <w:highlight w:val="none"/>
        </w:rPr>
        <w:t>人，专家</w:t>
      </w:r>
      <w:r>
        <w:rPr>
          <w:rStyle w:val="22"/>
          <w:rFonts w:hint="eastAsia" w:ascii="宋体" w:hAnsi="宋体" w:eastAsia="宋体" w:cs="宋体"/>
          <w:color w:val="auto"/>
          <w:kern w:val="0"/>
          <w:highlight w:val="none"/>
          <w:u w:val="single"/>
        </w:rPr>
        <w:t>5</w:t>
      </w:r>
      <w:r>
        <w:rPr>
          <w:rStyle w:val="22"/>
          <w:rFonts w:hint="eastAsia" w:ascii="宋体" w:hAnsi="宋体" w:eastAsia="宋体" w:cs="宋体"/>
          <w:color w:val="auto"/>
          <w:kern w:val="0"/>
          <w:highlight w:val="none"/>
        </w:rPr>
        <w:t>人。</w:t>
      </w:r>
      <w:r>
        <w:rPr>
          <w:rStyle w:val="22"/>
          <w:rFonts w:hint="eastAsia" w:ascii="宋体" w:hAnsi="宋体" w:eastAsia="宋体" w:cs="宋体"/>
          <w:color w:val="auto"/>
          <w:kern w:val="0"/>
          <w:highlight w:val="none"/>
          <w:lang w:eastAsia="zh-CN"/>
        </w:rPr>
        <w:t xml:space="preserve">专家从广东省综合评标评审专家库中随机抽取，其中技术类专家 </w:t>
      </w:r>
      <w:r>
        <w:rPr>
          <w:rStyle w:val="22"/>
          <w:rFonts w:hint="eastAsia" w:ascii="宋体" w:hAnsi="宋体" w:eastAsia="宋体" w:cs="宋体"/>
          <w:color w:val="auto"/>
          <w:kern w:val="0"/>
          <w:highlight w:val="none"/>
          <w:lang w:val="en-US" w:eastAsia="zh-CN"/>
        </w:rPr>
        <w:t>2</w:t>
      </w:r>
      <w:r>
        <w:rPr>
          <w:rStyle w:val="22"/>
          <w:rFonts w:hint="eastAsia" w:ascii="宋体" w:hAnsi="宋体" w:eastAsia="宋体" w:cs="宋体"/>
          <w:color w:val="auto"/>
          <w:kern w:val="0"/>
          <w:highlight w:val="none"/>
          <w:lang w:eastAsia="zh-CN"/>
        </w:rPr>
        <w:t xml:space="preserve"> 人，经济类专家 2 人。</w:t>
      </w:r>
      <w:r>
        <w:rPr>
          <w:rStyle w:val="22"/>
          <w:rFonts w:hint="eastAsia" w:ascii="宋体" w:hAnsi="宋体" w:eastAsia="宋体" w:cs="宋体"/>
          <w:color w:val="auto"/>
          <w:kern w:val="0"/>
          <w:highlight w:val="none"/>
          <w:lang w:val="en-US" w:eastAsia="zh-CN"/>
        </w:rPr>
        <w:t>根据《广东省远程异地评标招标项目范围规定（试行）》，本项目需抽取省内异地评委远程参与评标。</w:t>
      </w:r>
      <w:r>
        <w:rPr>
          <w:rStyle w:val="22"/>
          <w:rFonts w:hint="eastAsia" w:ascii="宋体" w:hAnsi="宋体" w:eastAsia="宋体" w:cs="宋体"/>
          <w:color w:val="auto"/>
          <w:kern w:val="0"/>
          <w:highlight w:val="none"/>
        </w:rPr>
        <w:t>评标委员会设负责人，由评标委员会成员推举产生。评标委员会负责人与评标委员会的其他成员有同等的表决权。</w:t>
      </w:r>
    </w:p>
    <w:p w14:paraId="4755EA4C">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15.1.2</w:t>
      </w:r>
      <w:r>
        <w:rPr>
          <w:rStyle w:val="22"/>
          <w:rFonts w:hint="eastAsia" w:ascii="宋体" w:hAnsi="宋体" w:eastAsia="宋体" w:cs="宋体"/>
          <w:color w:val="auto"/>
          <w:kern w:val="0"/>
          <w:highlight w:val="none"/>
        </w:rPr>
        <w:t xml:space="preserve"> 评标委员会应认真、公正、诚实、廉洁地履行职责。有下列情形之一的，不得担任评标委员会成员：</w:t>
      </w:r>
    </w:p>
    <w:p w14:paraId="1071C104">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（1）投标人或投标人主要负责人的近亲属；</w:t>
      </w:r>
    </w:p>
    <w:p w14:paraId="52702BDB">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（2）项目主管部门或者行政监督部门的人员；</w:t>
      </w:r>
    </w:p>
    <w:p w14:paraId="4BD55BDA">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（3）与投标人有经济利益关系，可能影响对投标公正评审的；</w:t>
      </w:r>
    </w:p>
    <w:p w14:paraId="7439049B">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（4）曾因在招标、评标以及其他与招标投标有关活动中从事违法行为而受过行政处罚或刑事处罚的。</w:t>
      </w:r>
    </w:p>
    <w:p w14:paraId="347122F9">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评标委员会成员有以上情形之一的，应主动提出回避。</w:t>
      </w:r>
    </w:p>
    <w:p w14:paraId="56D099B6">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15.1.3</w:t>
      </w:r>
      <w:r>
        <w:rPr>
          <w:rStyle w:val="22"/>
          <w:rFonts w:hint="eastAsia" w:ascii="宋体" w:hAnsi="宋体" w:eastAsia="宋体" w:cs="宋体"/>
          <w:color w:val="auto"/>
          <w:kern w:val="0"/>
          <w:highlight w:val="none"/>
        </w:rPr>
        <w:t xml:space="preserve"> 评标全过程实行封闭式管理，在中标结果公布前，禁止评标委员会成员以任何方式私下接触投标人。</w:t>
      </w:r>
    </w:p>
    <w:p w14:paraId="7E7EC1EF">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15.1.4</w:t>
      </w:r>
      <w:r>
        <w:rPr>
          <w:rStyle w:val="22"/>
          <w:rFonts w:hint="eastAsia" w:ascii="宋体" w:hAnsi="宋体" w:eastAsia="宋体" w:cs="宋体"/>
          <w:color w:val="auto"/>
          <w:kern w:val="0"/>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35CE2F82">
      <w:pPr>
        <w:snapToGrid w:val="0"/>
        <w:ind w:firstLine="56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15.1.5</w:t>
      </w:r>
      <w:r>
        <w:rPr>
          <w:rStyle w:val="22"/>
          <w:rFonts w:hint="eastAsia" w:ascii="宋体" w:hAnsi="宋体" w:eastAsia="宋体" w:cs="宋体"/>
          <w:color w:val="auto"/>
          <w:kern w:val="0"/>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1BFC9219">
      <w:pPr>
        <w:snapToGrid w:val="0"/>
        <w:ind w:firstLine="561"/>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15.2</w:t>
      </w:r>
      <w:r>
        <w:rPr>
          <w:rStyle w:val="22"/>
          <w:rFonts w:hint="eastAsia" w:ascii="宋体" w:hAnsi="宋体" w:eastAsia="宋体" w:cs="宋体"/>
          <w:color w:val="auto"/>
          <w:kern w:val="0"/>
          <w:highlight w:val="none"/>
        </w:rPr>
        <w:t xml:space="preserve"> 评标方法 </w:t>
      </w:r>
    </w:p>
    <w:p w14:paraId="1FEADE23">
      <w:pPr>
        <w:snapToGrid w:val="0"/>
        <w:ind w:firstLine="562"/>
        <w:rPr>
          <w:rStyle w:val="22"/>
          <w:rFonts w:hint="eastAsia" w:ascii="宋体" w:hAnsi="宋体" w:eastAsia="宋体" w:cs="宋体"/>
          <w:i/>
          <w:iCs/>
          <w:color w:val="auto"/>
          <w:kern w:val="0"/>
          <w:highlight w:val="none"/>
        </w:rPr>
      </w:pPr>
      <w:r>
        <w:rPr>
          <w:rStyle w:val="22"/>
          <w:rFonts w:hint="eastAsia" w:ascii="宋体" w:hAnsi="宋体" w:eastAsia="宋体" w:cs="宋体"/>
          <w:color w:val="auto"/>
          <w:kern w:val="0"/>
          <w:highlight w:val="none"/>
        </w:rPr>
        <w:t>根据有关法律、法规的相关规定，结合本工程资金来源和规模特点，本次招标采用</w:t>
      </w:r>
      <w:r>
        <w:rPr>
          <w:rStyle w:val="22"/>
          <w:rFonts w:hint="eastAsia" w:ascii="宋体" w:hAnsi="宋体" w:eastAsia="宋体" w:cs="宋体"/>
          <w:color w:val="auto"/>
          <w:kern w:val="0"/>
          <w:highlight w:val="none"/>
          <w:u w:val="single"/>
        </w:rPr>
        <w:t>综合评估法</w:t>
      </w:r>
      <w:r>
        <w:rPr>
          <w:rStyle w:val="22"/>
          <w:rFonts w:hint="eastAsia" w:ascii="宋体" w:hAnsi="宋体" w:eastAsia="宋体" w:cs="宋体"/>
          <w:color w:val="auto"/>
          <w:kern w:val="0"/>
          <w:highlight w:val="none"/>
        </w:rPr>
        <w:t>进行评标。</w:t>
      </w:r>
    </w:p>
    <w:p w14:paraId="7F4D1891">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15.3</w:t>
      </w:r>
      <w:r>
        <w:rPr>
          <w:rStyle w:val="22"/>
          <w:rFonts w:hint="eastAsia" w:ascii="宋体" w:hAnsi="宋体" w:eastAsia="宋体" w:cs="宋体"/>
          <w:color w:val="auto"/>
          <w:kern w:val="0"/>
          <w:highlight w:val="none"/>
        </w:rPr>
        <w:t xml:space="preserve"> 评审范围：评标委员会应对所有投标人的投标文件进行评审。</w:t>
      </w:r>
    </w:p>
    <w:p w14:paraId="6F76A11E">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15.4</w:t>
      </w:r>
      <w:r>
        <w:rPr>
          <w:rStyle w:val="22"/>
          <w:rFonts w:hint="eastAsia" w:ascii="宋体" w:hAnsi="宋体" w:eastAsia="宋体" w:cs="宋体"/>
          <w:color w:val="auto"/>
          <w:kern w:val="0"/>
          <w:highlight w:val="none"/>
        </w:rPr>
        <w:t xml:space="preserve"> 初步评审阶段 </w:t>
      </w:r>
    </w:p>
    <w:p w14:paraId="71760E45">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初步评审阶段分为资格评审、形式评审和响应性评审三个环节。</w:t>
      </w:r>
    </w:p>
    <w:p w14:paraId="22231416">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15.4.1</w:t>
      </w:r>
      <w:r>
        <w:rPr>
          <w:rStyle w:val="22"/>
          <w:rFonts w:hint="eastAsia" w:ascii="宋体" w:hAnsi="宋体" w:eastAsia="宋体" w:cs="宋体"/>
          <w:color w:val="auto"/>
          <w:kern w:val="0"/>
          <w:highlight w:val="none"/>
        </w:rPr>
        <w:t xml:space="preserve"> 资格评审环节 </w:t>
      </w:r>
    </w:p>
    <w:p w14:paraId="4352D5A4">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资格评审事项包括：</w:t>
      </w:r>
    </w:p>
    <w:p w14:paraId="08813E71">
      <w:pPr>
        <w:pageBreakBefore w:val="0"/>
        <w:kinsoku/>
        <w:wordWrap w:val="0"/>
        <w:overflowPunct/>
        <w:autoSpaceDE/>
        <w:autoSpaceDN/>
        <w:bidi w:val="0"/>
        <w:adjustRightInd w:val="0"/>
        <w:snapToGrid w:val="0"/>
        <w:ind w:firstLine="480" w:firstLineChars="200"/>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（1）投标人是否符合本章第三节第2.4条“禁止投标条款”规定。</w:t>
      </w:r>
    </w:p>
    <w:p w14:paraId="6B8B6140">
      <w:pPr>
        <w:wordWrap w:val="0"/>
        <w:adjustRightInd w:val="0"/>
        <w:snapToGrid w:val="0"/>
        <w:ind w:firstLine="480" w:firstLineChars="200"/>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（2）</w:t>
      </w:r>
      <w:r>
        <w:rPr>
          <w:rFonts w:hint="eastAsia" w:ascii="宋体" w:hAnsi="宋体" w:eastAsia="宋体" w:cs="宋体"/>
          <w:snapToGrid w:val="0"/>
          <w:color w:val="auto"/>
          <w:kern w:val="0"/>
          <w:highlight w:val="none"/>
        </w:rPr>
        <w:t>投标人名称是否与营业执照、资质证书、安全生产许可证一致。</w:t>
      </w:r>
    </w:p>
    <w:p w14:paraId="49621700">
      <w:pPr>
        <w:wordWrap w:val="0"/>
        <w:adjustRightInd w:val="0"/>
        <w:snapToGrid w:val="0"/>
        <w:ind w:firstLine="480" w:firstLineChars="200"/>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（3）</w:t>
      </w:r>
      <w:r>
        <w:rPr>
          <w:rFonts w:hint="eastAsia" w:ascii="宋体" w:hAnsi="宋体" w:eastAsia="宋体" w:cs="宋体"/>
          <w:snapToGrid w:val="0"/>
          <w:color w:val="auto"/>
          <w:kern w:val="0"/>
          <w:highlight w:val="none"/>
        </w:rPr>
        <w:t>投标人的资质是否符合招标文件规定；其营业执照、资质证书、安全生产许可证是否合法、有效、准确。</w:t>
      </w:r>
    </w:p>
    <w:p w14:paraId="76771462">
      <w:pPr>
        <w:wordWrap w:val="0"/>
        <w:adjustRightInd w:val="0"/>
        <w:snapToGrid w:val="0"/>
        <w:ind w:firstLine="480" w:firstLineChars="200"/>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（4）</w:t>
      </w:r>
      <w:r>
        <w:rPr>
          <w:rFonts w:hint="eastAsia" w:ascii="宋体" w:hAnsi="宋体" w:eastAsia="宋体" w:cs="宋体"/>
          <w:snapToGrid w:val="0"/>
          <w:color w:val="auto"/>
          <w:kern w:val="0"/>
          <w:highlight w:val="none"/>
        </w:rPr>
        <w:t>《项目经理简历表》中拟派项目经理是否与《开标一览表》一致。</w:t>
      </w:r>
    </w:p>
    <w:p w14:paraId="41E0C651">
      <w:pPr>
        <w:wordWrap w:val="0"/>
        <w:adjustRightInd w:val="0"/>
        <w:snapToGrid w:val="0"/>
        <w:ind w:firstLine="480" w:firstLineChars="200"/>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（5）</w:t>
      </w:r>
      <w:r>
        <w:rPr>
          <w:rFonts w:hint="eastAsia" w:ascii="宋体" w:hAnsi="宋体" w:eastAsia="宋体" w:cs="宋体"/>
          <w:snapToGrid w:val="0"/>
          <w:color w:val="auto"/>
          <w:kern w:val="0"/>
          <w:highlight w:val="none"/>
        </w:rPr>
        <w:t>拟派项目经理、项目技术负责人、专职安全员的条件是否符合招标文件规定；项目管理机构组成人员的各类证书、证件、证明是否</w:t>
      </w:r>
      <w:r>
        <w:rPr>
          <w:rFonts w:hint="eastAsia" w:hAnsi="宋体" w:cs="宋体"/>
          <w:snapToGrid w:val="0"/>
          <w:color w:val="auto"/>
          <w:kern w:val="0"/>
          <w:highlight w:val="none"/>
          <w:lang w:val="en-US" w:eastAsia="zh-CN"/>
        </w:rPr>
        <w:t>在有效期</w:t>
      </w:r>
      <w:r>
        <w:rPr>
          <w:rFonts w:hint="eastAsia" w:ascii="宋体" w:hAnsi="宋体" w:eastAsia="宋体" w:cs="宋体"/>
          <w:snapToGrid w:val="0"/>
          <w:color w:val="auto"/>
          <w:kern w:val="0"/>
          <w:highlight w:val="none"/>
        </w:rPr>
        <w:t>；是否擅自修改、遗漏《项目经理任职声明》的实质性内容。</w:t>
      </w:r>
    </w:p>
    <w:p w14:paraId="2904B3F9">
      <w:pPr>
        <w:widowControl w:val="0"/>
        <w:wordWrap w:val="0"/>
        <w:adjustRightInd w:val="0"/>
        <w:snapToGrid w:val="0"/>
        <w:ind w:firstLine="480" w:firstLineChars="200"/>
        <w:textAlignment w:val="auto"/>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（6）</w:t>
      </w:r>
      <w:r>
        <w:rPr>
          <w:rFonts w:hint="eastAsia" w:ascii="宋体" w:hAnsi="宋体" w:eastAsia="宋体" w:cs="宋体"/>
          <w:snapToGrid w:val="0"/>
          <w:color w:val="auto"/>
          <w:kern w:val="0"/>
          <w:highlight w:val="none"/>
        </w:rPr>
        <w:t>投标人为外省建筑企业的，是否按规定在“进粤企业和人员诚信信息登记平台”录入企业</w:t>
      </w:r>
      <w:r>
        <w:rPr>
          <w:rFonts w:hint="eastAsia" w:ascii="Times New Roman"/>
          <w:snapToGrid w:val="0"/>
          <w:color w:val="auto"/>
          <w:kern w:val="0"/>
          <w:highlight w:val="none"/>
        </w:rPr>
        <w:t>及其拟派人员</w:t>
      </w:r>
      <w:r>
        <w:rPr>
          <w:rFonts w:hint="eastAsia" w:ascii="宋体" w:hAnsi="宋体" w:eastAsia="宋体" w:cs="宋体"/>
          <w:snapToGrid w:val="0"/>
          <w:color w:val="auto"/>
          <w:kern w:val="0"/>
          <w:highlight w:val="none"/>
        </w:rPr>
        <w:t>有关信息并通过数据规范检查。</w:t>
      </w:r>
    </w:p>
    <w:p w14:paraId="374688FE">
      <w:pPr>
        <w:snapToGrid w:val="0"/>
        <w:ind w:firstLine="482" w:firstLineChars="200"/>
        <w:rPr>
          <w:rStyle w:val="22"/>
          <w:rFonts w:hint="eastAsia" w:ascii="宋体" w:hAnsi="宋体" w:eastAsia="宋体" w:cs="宋体"/>
          <w:strike/>
          <w:dstrike w:val="0"/>
          <w:color w:val="auto"/>
          <w:kern w:val="0"/>
          <w:highlight w:val="none"/>
        </w:rPr>
      </w:pPr>
      <w:r>
        <w:rPr>
          <w:rStyle w:val="22"/>
          <w:rFonts w:hint="eastAsia" w:ascii="宋体" w:hAnsi="宋体" w:eastAsia="宋体" w:cs="宋体"/>
          <w:b/>
          <w:bCs/>
          <w:color w:val="auto"/>
          <w:kern w:val="0"/>
          <w:highlight w:val="none"/>
        </w:rPr>
        <w:t>15.4.2</w:t>
      </w:r>
      <w:r>
        <w:rPr>
          <w:rStyle w:val="22"/>
          <w:rFonts w:hint="eastAsia" w:ascii="宋体" w:hAnsi="宋体" w:eastAsia="宋体" w:cs="宋体"/>
          <w:color w:val="auto"/>
          <w:kern w:val="0"/>
          <w:highlight w:val="none"/>
        </w:rPr>
        <w:t xml:space="preserve"> 形式评审环节</w:t>
      </w:r>
    </w:p>
    <w:p w14:paraId="28D41E75">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形式评审事项包括：</w:t>
      </w:r>
    </w:p>
    <w:p w14:paraId="681CCCC9">
      <w:pPr>
        <w:widowControl w:val="0"/>
        <w:wordWrap w:val="0"/>
        <w:adjustRightInd w:val="0"/>
        <w:snapToGrid w:val="0"/>
        <w:ind w:firstLine="480" w:firstLineChars="200"/>
        <w:textAlignment w:val="auto"/>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（1）</w:t>
      </w:r>
      <w:r>
        <w:rPr>
          <w:rFonts w:hint="eastAsia" w:ascii="宋体" w:hAnsi="宋体" w:eastAsia="宋体" w:cs="宋体"/>
          <w:snapToGrid w:val="0"/>
          <w:color w:val="auto"/>
          <w:kern w:val="0"/>
          <w:highlight w:val="none"/>
        </w:rPr>
        <w:t>各分册是否按招标文件规定加盖电子印章。</w:t>
      </w:r>
    </w:p>
    <w:p w14:paraId="30C600CE">
      <w:pPr>
        <w:widowControl w:val="0"/>
        <w:wordWrap w:val="0"/>
        <w:adjustRightInd w:val="0"/>
        <w:snapToGrid w:val="0"/>
        <w:ind w:firstLine="480" w:firstLineChars="200"/>
        <w:textAlignment w:val="auto"/>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（2）</w:t>
      </w:r>
      <w:r>
        <w:rPr>
          <w:rFonts w:hint="eastAsia" w:ascii="宋体" w:hAnsi="宋体" w:eastAsia="宋体" w:cs="宋体"/>
          <w:snapToGrid w:val="0"/>
          <w:color w:val="auto"/>
          <w:kern w:val="0"/>
          <w:highlight w:val="none"/>
        </w:rPr>
        <w:t>本节第10.2.2目、第10.3.2目、第10.4.3目中规定的“所有投标人均应提供”的组成内容（包括该组成内容的所附资料）是否完整、齐全。</w:t>
      </w:r>
    </w:p>
    <w:p w14:paraId="460BEA5E">
      <w:pPr>
        <w:snapToGrid w:val="0"/>
        <w:ind w:firstLine="56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15.4.3</w:t>
      </w:r>
      <w:r>
        <w:rPr>
          <w:rStyle w:val="22"/>
          <w:rFonts w:hint="eastAsia" w:ascii="宋体" w:hAnsi="宋体" w:eastAsia="宋体" w:cs="宋体"/>
          <w:color w:val="auto"/>
          <w:kern w:val="0"/>
          <w:highlight w:val="none"/>
        </w:rPr>
        <w:t xml:space="preserve"> 响应性评审环节</w:t>
      </w:r>
    </w:p>
    <w:p w14:paraId="4841C764">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响应性评审事项包括：</w:t>
      </w:r>
    </w:p>
    <w:p w14:paraId="5ECC9F6C">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（1）投标有效期、质量标准、工期等是否响应招标文件实质性要求；是否擅自修改、遗漏《投标函》《各项承诺一览表》的实质性内容。</w:t>
      </w:r>
    </w:p>
    <w:p w14:paraId="5EDB267B">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（2）编制《投标总价》的造价工程师，其注册证书是否合法、有效。</w:t>
      </w:r>
    </w:p>
    <w:p w14:paraId="29F06127">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（3）投标人委托造价咨询单位编制《投标总价》的，是否在《投标总价扉页》“投标人 ”栏目加盖造价咨询人公章；是否提供造价咨询人的营业执照彩色扫描件。</w:t>
      </w:r>
    </w:p>
    <w:p w14:paraId="09723091">
      <w:pPr>
        <w:snapToGrid w:val="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（4）投标总价是否唯一；投标总价是否超出</w:t>
      </w:r>
      <w:r>
        <w:rPr>
          <w:rStyle w:val="22"/>
          <w:rFonts w:hint="eastAsia" w:hAnsi="宋体" w:cs="宋体"/>
          <w:color w:val="auto"/>
          <w:kern w:val="0"/>
          <w:highlight w:val="none"/>
          <w:lang w:eastAsia="zh-CN"/>
        </w:rPr>
        <w:t>最高投标限价</w:t>
      </w: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eastAsia="zh-CN"/>
        </w:rPr>
        <w:t>安全生产措施费</w:t>
      </w:r>
      <w:r>
        <w:rPr>
          <w:rStyle w:val="22"/>
          <w:rFonts w:hint="eastAsia" w:ascii="宋体" w:hAnsi="宋体" w:eastAsia="宋体" w:cs="宋体"/>
          <w:color w:val="auto"/>
          <w:kern w:val="0"/>
          <w:highlight w:val="none"/>
        </w:rPr>
        <w:t>是否达到最低要求；暂列金额、暂估价是否按照招标工程量清单统一报价；投标人是否以低于成本的价格竞标。</w:t>
      </w:r>
    </w:p>
    <w:p w14:paraId="718C57C5">
      <w:pPr>
        <w:snapToGrid w:val="0"/>
        <w:ind w:firstLine="56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注：如果某投标人的投标总价下浮率（投标总价下浮率＝100%－投标总价÷</w:t>
      </w:r>
      <w:r>
        <w:rPr>
          <w:rStyle w:val="22"/>
          <w:rFonts w:hint="eastAsia" w:hAnsi="宋体" w:cs="宋体"/>
          <w:b/>
          <w:bCs/>
          <w:color w:val="auto"/>
          <w:kern w:val="0"/>
          <w:highlight w:val="none"/>
          <w:lang w:eastAsia="zh-CN"/>
        </w:rPr>
        <w:t>最高投标限价</w:t>
      </w:r>
      <w:r>
        <w:rPr>
          <w:rStyle w:val="22"/>
          <w:rFonts w:hint="eastAsia" w:ascii="宋体" w:hAnsi="宋体" w:eastAsia="宋体" w:cs="宋体"/>
          <w:b/>
          <w:bCs/>
          <w:color w:val="auto"/>
          <w:kern w:val="0"/>
          <w:highlight w:val="none"/>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45F95F80">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（5）施工组织设计的质量、进度保障措施是否符合国家和省市现行有关规范、规定、标准，是否能实现工程质量、进度管理目标。</w:t>
      </w:r>
    </w:p>
    <w:p w14:paraId="206A4F40">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15.4.4</w:t>
      </w:r>
      <w:r>
        <w:rPr>
          <w:rStyle w:val="22"/>
          <w:rFonts w:hint="eastAsia" w:ascii="宋体" w:hAnsi="宋体" w:eastAsia="宋体" w:cs="宋体"/>
          <w:color w:val="auto"/>
          <w:kern w:val="0"/>
          <w:highlight w:val="none"/>
        </w:rPr>
        <w:t xml:space="preserve"> 否决投标说明</w:t>
      </w:r>
    </w:p>
    <w:p w14:paraId="09C27E8E">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初步评审阶段各个环节否决投标的全部条件，在本章第四节“否决投标条件”第</w:t>
      </w:r>
      <w:r>
        <w:rPr>
          <w:rStyle w:val="22"/>
          <w:rFonts w:hint="eastAsia" w:ascii="宋体" w:hAnsi="宋体" w:eastAsia="宋体" w:cs="宋体"/>
          <w:b/>
          <w:bCs/>
          <w:color w:val="auto"/>
          <w:kern w:val="0"/>
          <w:highlight w:val="none"/>
        </w:rPr>
        <w:t>1</w:t>
      </w:r>
      <w:r>
        <w:rPr>
          <w:rStyle w:val="22"/>
          <w:rFonts w:hint="eastAsia" w:ascii="宋体" w:hAnsi="宋体" w:eastAsia="宋体" w:cs="宋体"/>
          <w:color w:val="auto"/>
          <w:kern w:val="0"/>
          <w:highlight w:val="none"/>
        </w:rPr>
        <w:t>条至第</w:t>
      </w:r>
      <w:r>
        <w:rPr>
          <w:rStyle w:val="22"/>
          <w:rFonts w:hint="eastAsia" w:ascii="宋体" w:hAnsi="宋体" w:eastAsia="宋体" w:cs="宋体"/>
          <w:b/>
          <w:bCs/>
          <w:color w:val="auto"/>
          <w:kern w:val="0"/>
          <w:highlight w:val="none"/>
        </w:rPr>
        <w:t>4</w:t>
      </w:r>
      <w:r>
        <w:rPr>
          <w:rStyle w:val="22"/>
          <w:rFonts w:hint="eastAsia" w:ascii="宋体" w:hAnsi="宋体" w:eastAsia="宋体" w:cs="宋体"/>
          <w:color w:val="auto"/>
          <w:kern w:val="0"/>
          <w:highlight w:val="none"/>
        </w:rPr>
        <w:t>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14:paraId="127BF4C7">
      <w:pPr>
        <w:snapToGrid w:val="0"/>
        <w:ind w:firstLine="56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15.5</w:t>
      </w:r>
      <w:r>
        <w:rPr>
          <w:rStyle w:val="22"/>
          <w:rFonts w:hint="eastAsia" w:ascii="宋体" w:hAnsi="宋体" w:eastAsia="宋体" w:cs="宋体"/>
          <w:color w:val="auto"/>
          <w:kern w:val="0"/>
          <w:highlight w:val="none"/>
        </w:rPr>
        <w:t xml:space="preserve"> 详细评审阶段</w:t>
      </w:r>
    </w:p>
    <w:p w14:paraId="23D8AEEB">
      <w:pPr>
        <w:snapToGrid w:val="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    15.5.1</w:t>
      </w:r>
      <w:r>
        <w:rPr>
          <w:rStyle w:val="22"/>
          <w:rFonts w:hint="eastAsia" w:ascii="宋体" w:hAnsi="宋体" w:eastAsia="宋体" w:cs="宋体"/>
          <w:color w:val="auto"/>
          <w:kern w:val="0"/>
          <w:highlight w:val="none"/>
        </w:rPr>
        <w:t xml:space="preserve"> “综合评估法”评审程序</w:t>
      </w:r>
    </w:p>
    <w:p w14:paraId="3C310D12">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评审内容分为商务技术和投标报价两大部分。其中，商务技术合计满分</w:t>
      </w:r>
      <w:r>
        <w:rPr>
          <w:rFonts w:hint="eastAsia" w:ascii="宋体" w:hAnsi="宋体" w:eastAsia="宋体" w:cs="宋体"/>
          <w:snapToGrid w:val="0"/>
          <w:color w:val="auto"/>
          <w:kern w:val="0"/>
          <w:highlight w:val="none"/>
          <w:u w:val="single"/>
        </w:rPr>
        <w:t>100</w:t>
      </w:r>
      <w:r>
        <w:rPr>
          <w:rFonts w:hint="eastAsia" w:ascii="宋体" w:hAnsi="宋体" w:eastAsia="宋体" w:cs="宋体"/>
          <w:snapToGrid w:val="0"/>
          <w:color w:val="auto"/>
          <w:kern w:val="0"/>
          <w:highlight w:val="none"/>
        </w:rPr>
        <w:t>分，权重为</w:t>
      </w:r>
      <w:r>
        <w:rPr>
          <w:rFonts w:hint="eastAsia" w:ascii="宋体" w:hAnsi="宋体" w:eastAsia="宋体" w:cs="宋体"/>
          <w:snapToGrid w:val="0"/>
          <w:color w:val="auto"/>
          <w:kern w:val="0"/>
          <w:highlight w:val="none"/>
          <w:u w:val="single"/>
        </w:rPr>
        <w:t>40%</w:t>
      </w:r>
      <w:r>
        <w:rPr>
          <w:rFonts w:hint="eastAsia" w:ascii="宋体" w:hAnsi="宋体" w:eastAsia="宋体" w:cs="宋体"/>
          <w:snapToGrid w:val="0"/>
          <w:color w:val="auto"/>
          <w:kern w:val="0"/>
          <w:highlight w:val="none"/>
        </w:rPr>
        <w:t>；投标报价满分100分，权重为</w:t>
      </w:r>
      <w:r>
        <w:rPr>
          <w:rFonts w:hint="eastAsia" w:ascii="宋体" w:hAnsi="宋体" w:eastAsia="宋体" w:cs="宋体"/>
          <w:snapToGrid w:val="0"/>
          <w:color w:val="auto"/>
          <w:kern w:val="0"/>
          <w:highlight w:val="none"/>
          <w:u w:val="single"/>
        </w:rPr>
        <w:t>60%</w:t>
      </w:r>
      <w:r>
        <w:rPr>
          <w:rFonts w:hint="eastAsia" w:ascii="宋体" w:hAnsi="宋体" w:eastAsia="宋体" w:cs="宋体"/>
          <w:snapToGrid w:val="0"/>
          <w:color w:val="auto"/>
          <w:kern w:val="0"/>
          <w:highlight w:val="none"/>
        </w:rPr>
        <w:t>。两大部分权重之和应为</w:t>
      </w:r>
      <w:r>
        <w:rPr>
          <w:rFonts w:hint="eastAsia" w:ascii="宋体" w:hAnsi="宋体" w:eastAsia="宋体" w:cs="宋体"/>
          <w:snapToGrid w:val="0"/>
          <w:color w:val="auto"/>
          <w:kern w:val="0"/>
          <w:highlight w:val="none"/>
          <w:u w:val="single"/>
        </w:rPr>
        <w:t>100%</w:t>
      </w:r>
      <w:r>
        <w:rPr>
          <w:rFonts w:hint="eastAsia" w:ascii="宋体" w:hAnsi="宋体" w:eastAsia="宋体" w:cs="宋体"/>
          <w:snapToGrid w:val="0"/>
          <w:color w:val="auto"/>
          <w:kern w:val="0"/>
          <w:highlight w:val="none"/>
        </w:rPr>
        <w:t>。</w:t>
      </w:r>
    </w:p>
    <w:p w14:paraId="20436964">
      <w:pPr>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除特别注明外，综合得分以及商务技术得分、投标报价得分的中间过程计算值和最终值，均按“四舍五入”原则精确到两位小数。</w:t>
      </w:r>
    </w:p>
    <w:p w14:paraId="52E61952">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（1）商务技术得分M</w:t>
      </w:r>
    </w:p>
    <w:p w14:paraId="444A4900">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a</w:t>
      </w:r>
      <w:r>
        <w:rPr>
          <w:rFonts w:hint="eastAsia" w:ascii="宋体" w:hAnsi="宋体" w:eastAsia="宋体" w:cs="宋体"/>
          <w:snapToGrid w:val="0"/>
          <w:color w:val="auto"/>
          <w:kern w:val="0"/>
          <w:highlight w:val="none"/>
        </w:rPr>
        <w:t>．评标委员会按照《综合评分表》商务部分指定的评分标准对各评分因素进行打分。各评分因素得分之和即为某投标人的商务得分M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w:t>
      </w:r>
    </w:p>
    <w:p w14:paraId="6D55435C">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b</w:t>
      </w:r>
      <w:r>
        <w:rPr>
          <w:rFonts w:hint="eastAsia" w:ascii="宋体" w:hAnsi="宋体" w:eastAsia="宋体" w:cs="宋体"/>
          <w:snapToGrid w:val="0"/>
          <w:color w:val="auto"/>
          <w:kern w:val="0"/>
          <w:highlight w:val="none"/>
        </w:rPr>
        <w:t>．评标委员会各成员独立按照《综合评分表》技术部分（施工组织设计）指定的评分标准对各评分因素进行打分，累加后得出技术评分。将评标委员会所有成员的技术评分去掉一个最高分和一个最低分后，取算术平均值，即为某投标人的技术得分M</w:t>
      </w:r>
      <w:r>
        <w:rPr>
          <w:rFonts w:hint="eastAsia" w:ascii="宋体" w:hAnsi="宋体" w:eastAsia="宋体" w:cs="宋体"/>
          <w:snapToGrid w:val="0"/>
          <w:color w:val="auto"/>
          <w:kern w:val="0"/>
          <w:highlight w:val="none"/>
          <w:vertAlign w:val="subscript"/>
        </w:rPr>
        <w:t>2</w:t>
      </w:r>
      <w:r>
        <w:rPr>
          <w:rFonts w:hint="eastAsia" w:ascii="宋体" w:hAnsi="宋体" w:eastAsia="宋体" w:cs="宋体"/>
          <w:snapToGrid w:val="0"/>
          <w:color w:val="auto"/>
          <w:kern w:val="0"/>
          <w:highlight w:val="none"/>
        </w:rPr>
        <w:t>。</w:t>
      </w:r>
    </w:p>
    <w:p w14:paraId="4E70DBDC">
      <w:pPr>
        <w:wordWrap w:val="0"/>
        <w:adjustRightInd w:val="0"/>
        <w:snapToGrid w:val="0"/>
        <w:ind w:firstLine="482" w:firstLineChars="200"/>
        <w:rPr>
          <w:rFonts w:hint="eastAsia" w:ascii="宋体" w:hAnsi="宋体" w:eastAsia="宋体" w:cs="宋体"/>
          <w:snapToGrid w:val="0"/>
          <w:color w:val="auto"/>
          <w:kern w:val="0"/>
          <w:highlight w:val="none"/>
          <w:lang w:eastAsia="zh-CN"/>
        </w:rPr>
      </w:pPr>
      <w:r>
        <w:rPr>
          <w:rFonts w:hint="eastAsia" w:ascii="宋体" w:hAnsi="宋体" w:eastAsia="宋体" w:cs="宋体"/>
          <w:b/>
          <w:bCs/>
          <w:snapToGrid w:val="0"/>
          <w:color w:val="auto"/>
          <w:kern w:val="0"/>
          <w:highlight w:val="none"/>
        </w:rPr>
        <w:t>c</w:t>
      </w:r>
      <w:r>
        <w:rPr>
          <w:rFonts w:hint="eastAsia" w:ascii="宋体" w:hAnsi="宋体" w:eastAsia="宋体" w:cs="宋体"/>
          <w:snapToGrid w:val="0"/>
          <w:color w:val="auto"/>
          <w:kern w:val="0"/>
          <w:highlight w:val="none"/>
        </w:rPr>
        <w:t>．M＝M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＋M</w:t>
      </w:r>
      <w:r>
        <w:rPr>
          <w:rFonts w:hint="eastAsia" w:ascii="宋体" w:hAnsi="宋体" w:eastAsia="宋体" w:cs="宋体"/>
          <w:snapToGrid w:val="0"/>
          <w:color w:val="auto"/>
          <w:kern w:val="0"/>
          <w:highlight w:val="none"/>
          <w:vertAlign w:val="subscript"/>
        </w:rPr>
        <w:t>2</w:t>
      </w:r>
    </w:p>
    <w:p w14:paraId="184420A1">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式中：M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为某投标人的商务得分，M</w:t>
      </w:r>
      <w:r>
        <w:rPr>
          <w:rFonts w:hint="eastAsia" w:ascii="宋体" w:hAnsi="宋体" w:eastAsia="宋体" w:cs="宋体"/>
          <w:snapToGrid w:val="0"/>
          <w:color w:val="auto"/>
          <w:kern w:val="0"/>
          <w:highlight w:val="none"/>
          <w:vertAlign w:val="subscript"/>
        </w:rPr>
        <w:t>2</w:t>
      </w:r>
      <w:r>
        <w:rPr>
          <w:rFonts w:hint="eastAsia" w:ascii="宋体" w:hAnsi="宋体" w:eastAsia="宋体" w:cs="宋体"/>
          <w:snapToGrid w:val="0"/>
          <w:color w:val="auto"/>
          <w:kern w:val="0"/>
          <w:highlight w:val="none"/>
        </w:rPr>
        <w:t>为某投标人的技术得分。</w:t>
      </w:r>
    </w:p>
    <w:p w14:paraId="7EE37666">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（2）投标报价得分N</w:t>
      </w:r>
    </w:p>
    <w:p w14:paraId="7B0CDE1B">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a</w:t>
      </w:r>
      <w:r>
        <w:rPr>
          <w:rFonts w:hint="eastAsia" w:ascii="宋体" w:hAnsi="宋体" w:eastAsia="宋体" w:cs="宋体"/>
          <w:snapToGrid w:val="0"/>
          <w:color w:val="auto"/>
          <w:kern w:val="0"/>
          <w:highlight w:val="none"/>
        </w:rPr>
        <w:t>．评标委员会按照《综合评分表》投标报价部分指定的方法计算评标基准价D。</w:t>
      </w:r>
    </w:p>
    <w:p w14:paraId="341DF7E5">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b</w:t>
      </w:r>
      <w:r>
        <w:rPr>
          <w:rFonts w:hint="eastAsia" w:ascii="宋体" w:hAnsi="宋体" w:eastAsia="宋体" w:cs="宋体"/>
          <w:snapToGrid w:val="0"/>
          <w:color w:val="auto"/>
          <w:kern w:val="0"/>
          <w:highlight w:val="none"/>
        </w:rPr>
        <w:t>．采用内插法计算某投标人的投标报价得分N，即当投标人的投标总价等于评标基准价时得100分，每高于评标基准价一个百分点扣1分，每低于评标基准价一个百分点扣0.5分，扣完为止。公式如下：</w:t>
      </w:r>
    </w:p>
    <w:p w14:paraId="53295945">
      <w:pPr>
        <w:wordWrap w:val="0"/>
        <w:adjustRightInd w:val="0"/>
        <w:snapToGrid w:val="0"/>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N＝100－（| Di－D | ÷D）×100×E</w:t>
      </w:r>
    </w:p>
    <w:p w14:paraId="08B9B806">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式中：D为评标基准价；Di为某投标人的投标总价；E为扣分因子，当Di＞D时，E＝1；当Di＜D时，E＝0.5。</w:t>
      </w:r>
    </w:p>
    <w:p w14:paraId="04A828B6">
      <w:pPr>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（3）综合得分</w:t>
      </w:r>
    </w:p>
    <w:p w14:paraId="6CC329AE">
      <w:pPr>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综合得分换算为百分制，满分100分，公式如下：</w:t>
      </w:r>
    </w:p>
    <w:p w14:paraId="066E2D44">
      <w:pPr>
        <w:wordWrap w:val="0"/>
        <w:adjustRightInd w:val="0"/>
        <w:snapToGrid w:val="0"/>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综合得分＝M÷商务技术合计满分×100×商务技术权重＋N×投标报价权重</w:t>
      </w:r>
    </w:p>
    <w:p w14:paraId="443A0CAB">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式中：M为商务技术得分，N为投标报价得分。</w:t>
      </w:r>
    </w:p>
    <w:p w14:paraId="6E7BC265">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val="en-US" w:eastAsia="zh-CN"/>
        </w:rPr>
        <w:t>4</w:t>
      </w:r>
      <w:r>
        <w:rPr>
          <w:rStyle w:val="22"/>
          <w:rFonts w:hint="eastAsia" w:ascii="宋体" w:hAnsi="宋体" w:eastAsia="宋体" w:cs="宋体"/>
          <w:color w:val="auto"/>
          <w:kern w:val="0"/>
          <w:highlight w:val="none"/>
        </w:rPr>
        <w:t>）评标委员会根据招标文件规定的评分细则，对招标文件中的各评审因素进行评审、比较、打分，将得分前5名不排序（按企业统一社会信用代码后4位大小排位）的投标人作为定标候选人推荐给招标人，并对每个定标候选人的优势、风险等评审情况进行说明。当投标人综合总得分相同时，以报价低为前；当投标人综合总得分相同且报价相同时，由评标委员会投票确定排前。</w:t>
      </w:r>
    </w:p>
    <w:p w14:paraId="333E7622">
      <w:pPr>
        <w:snapToGrid w:val="0"/>
        <w:spacing w:line="440" w:lineRule="exact"/>
        <w:ind w:firstLine="480" w:firstLineChars="200"/>
        <w:rPr>
          <w:rStyle w:val="22"/>
          <w:rFonts w:hint="eastAsia" w:ascii="宋体" w:hAnsi="宋体" w:eastAsia="宋体" w:cs="宋体"/>
          <w:color w:val="auto"/>
          <w:kern w:val="0"/>
          <w:highlight w:val="none"/>
        </w:rPr>
        <w:sectPr>
          <w:endnotePr>
            <w:numFmt w:val="decimal"/>
          </w:endnotePr>
          <w:pgSz w:w="11906" w:h="16838"/>
          <w:pgMar w:top="1417" w:right="1310" w:bottom="1417" w:left="1304" w:header="850" w:footer="691" w:gutter="0"/>
          <w:cols w:space="720" w:num="1"/>
          <w:docGrid w:linePitch="327" w:charSpace="0"/>
        </w:sectPr>
      </w:pPr>
      <w:r>
        <w:rPr>
          <w:rStyle w:val="22"/>
          <w:rFonts w:hint="eastAsia" w:ascii="宋体" w:hAnsi="宋体" w:eastAsia="宋体" w:cs="宋体"/>
          <w:color w:val="auto"/>
          <w:kern w:val="0"/>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6D27B88C">
      <w:pPr>
        <w:wordWrap w:val="0"/>
        <w:adjustRightInd w:val="0"/>
        <w:snapToGrid w:val="0"/>
        <w:spacing w:before="260" w:after="260" w:line="440" w:lineRule="exact"/>
        <w:ind w:firstLine="602" w:firstLineChars="200"/>
        <w:jc w:val="center"/>
        <w:rPr>
          <w:rFonts w:hint="eastAsia" w:ascii="Times New Roman"/>
          <w:b/>
          <w:bCs/>
          <w:snapToGrid w:val="0"/>
          <w:color w:val="auto"/>
          <w:kern w:val="0"/>
          <w:sz w:val="30"/>
          <w:szCs w:val="30"/>
          <w:highlight w:val="none"/>
        </w:rPr>
      </w:pPr>
      <w:r>
        <w:rPr>
          <w:rFonts w:hint="eastAsia" w:ascii="Times New Roman"/>
          <w:b/>
          <w:bCs/>
          <w:snapToGrid w:val="0"/>
          <w:color w:val="auto"/>
          <w:kern w:val="0"/>
          <w:sz w:val="30"/>
          <w:szCs w:val="30"/>
          <w:highlight w:val="none"/>
        </w:rPr>
        <w:t>综合评分表</w:t>
      </w:r>
    </w:p>
    <w:tbl>
      <w:tblPr>
        <w:tblStyle w:val="18"/>
        <w:tblW w:w="9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4"/>
        <w:gridCol w:w="4053"/>
        <w:gridCol w:w="4223"/>
      </w:tblGrid>
      <w:tr w14:paraId="0C82B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9560" w:type="dxa"/>
            <w:gridSpan w:val="3"/>
            <w:noWrap w:val="0"/>
            <w:vAlign w:val="center"/>
          </w:tcPr>
          <w:p w14:paraId="4A1B17F2">
            <w:pPr>
              <w:keepNext w:val="0"/>
              <w:keepLines w:val="0"/>
              <w:pageBreakBefore w:val="0"/>
              <w:widowControl w:val="0"/>
              <w:kinsoku/>
              <w:wordWrap/>
              <w:overflowPunct/>
              <w:topLinePunct w:val="0"/>
              <w:bidi w:val="0"/>
              <w:adjustRightInd/>
              <w:snapToGrid/>
              <w:spacing w:line="360" w:lineRule="exact"/>
              <w:jc w:val="both"/>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val="0"/>
                <w:color w:val="auto"/>
                <w:sz w:val="21"/>
                <w:szCs w:val="21"/>
                <w:highlight w:val="none"/>
              </w:rPr>
              <w:t>商务部分（</w:t>
            </w:r>
            <w:r>
              <w:rPr>
                <w:rFonts w:hint="eastAsia" w:ascii="宋体" w:hAnsi="宋体" w:eastAsia="宋体" w:cs="宋体"/>
                <w:b/>
                <w:bCs w:val="0"/>
                <w:color w:val="auto"/>
                <w:sz w:val="21"/>
                <w:szCs w:val="21"/>
                <w:highlight w:val="none"/>
                <w:lang w:eastAsia="zh-CN"/>
              </w:rPr>
              <w:t>满分</w:t>
            </w:r>
            <w:r>
              <w:rPr>
                <w:rFonts w:hint="eastAsia" w:ascii="宋体" w:hAnsi="宋体" w:eastAsia="宋体" w:cs="宋体"/>
                <w:b/>
                <w:bCs w:val="0"/>
                <w:color w:val="auto"/>
                <w:sz w:val="21"/>
                <w:szCs w:val="21"/>
                <w:highlight w:val="none"/>
                <w:lang w:val="en-US" w:eastAsia="zh-CN"/>
              </w:rPr>
              <w:t>80</w:t>
            </w:r>
            <w:r>
              <w:rPr>
                <w:rFonts w:hint="eastAsia" w:ascii="宋体" w:hAnsi="宋体" w:eastAsia="宋体" w:cs="宋体"/>
                <w:b/>
                <w:bCs w:val="0"/>
                <w:color w:val="auto"/>
                <w:sz w:val="21"/>
                <w:szCs w:val="21"/>
                <w:highlight w:val="none"/>
              </w:rPr>
              <w:t>分）</w:t>
            </w:r>
          </w:p>
        </w:tc>
      </w:tr>
      <w:tr w14:paraId="6733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284" w:type="dxa"/>
            <w:noWrap w:val="0"/>
            <w:vAlign w:val="center"/>
          </w:tcPr>
          <w:p w14:paraId="780E71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评分因素</w:t>
            </w:r>
          </w:p>
        </w:tc>
        <w:tc>
          <w:tcPr>
            <w:tcW w:w="4053" w:type="dxa"/>
            <w:noWrap w:val="0"/>
            <w:vAlign w:val="center"/>
          </w:tcPr>
          <w:p w14:paraId="0162464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评分标准</w:t>
            </w:r>
          </w:p>
        </w:tc>
        <w:tc>
          <w:tcPr>
            <w:tcW w:w="4223" w:type="dxa"/>
            <w:noWrap w:val="0"/>
            <w:vAlign w:val="center"/>
          </w:tcPr>
          <w:p w14:paraId="60DC78B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备注</w:t>
            </w:r>
          </w:p>
        </w:tc>
      </w:tr>
      <w:tr w14:paraId="2824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9" w:hRule="atLeast"/>
          <w:jc w:val="center"/>
        </w:trPr>
        <w:tc>
          <w:tcPr>
            <w:tcW w:w="1284" w:type="dxa"/>
            <w:noWrap w:val="0"/>
            <w:vAlign w:val="center"/>
          </w:tcPr>
          <w:p w14:paraId="5BC757F8">
            <w:pPr>
              <w:keepNext w:val="0"/>
              <w:keepLines w:val="0"/>
              <w:pageBreakBefore w:val="0"/>
              <w:widowControl w:val="0"/>
              <w:kinsoku/>
              <w:wordWrap w:val="0"/>
              <w:overflowPunct/>
              <w:topLinePunct w:val="0"/>
              <w:autoSpaceDE/>
              <w:autoSpaceDN/>
              <w:bidi w:val="0"/>
              <w:adjustRightInd w:val="0"/>
              <w:snapToGrid w:val="0"/>
              <w:spacing w:after="0"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企业奖项</w:t>
            </w:r>
          </w:p>
          <w:p w14:paraId="4EFB3100">
            <w:pPr>
              <w:keepNext w:val="0"/>
              <w:keepLines w:val="0"/>
              <w:pageBreakBefore w:val="0"/>
              <w:widowControl w:val="0"/>
              <w:kinsoku/>
              <w:wordWrap w:val="0"/>
              <w:overflowPunct/>
              <w:topLinePunct w:val="0"/>
              <w:autoSpaceDE/>
              <w:autoSpaceDN/>
              <w:bidi w:val="0"/>
              <w:adjustRightInd w:val="0"/>
              <w:snapToGrid w:val="0"/>
              <w:spacing w:after="0" w:line="36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（10分）</w:t>
            </w:r>
          </w:p>
        </w:tc>
        <w:tc>
          <w:tcPr>
            <w:tcW w:w="4053" w:type="dxa"/>
            <w:noWrap w:val="0"/>
            <w:vAlign w:val="center"/>
          </w:tcPr>
          <w:p w14:paraId="770AD237">
            <w:pPr>
              <w:keepNext w:val="0"/>
              <w:keepLines w:val="0"/>
              <w:pageBreakBefore w:val="0"/>
              <w:widowControl w:val="0"/>
              <w:kinsoku/>
              <w:wordWrap w:val="0"/>
              <w:overflowPunct/>
              <w:topLinePunct w:val="0"/>
              <w:autoSpaceDE/>
              <w:autoSpaceDN/>
              <w:bidi w:val="0"/>
              <w:adjustRightInd w:val="0"/>
              <w:snapToGrid w:val="0"/>
              <w:spacing w:after="0" w:line="360" w:lineRule="exact"/>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投标人2021年1月1日至今获得工程类奖项情况：</w:t>
            </w:r>
          </w:p>
          <w:p w14:paraId="00C6E80E">
            <w:pPr>
              <w:keepNext w:val="0"/>
              <w:keepLines w:val="0"/>
              <w:pageBreakBefore w:val="0"/>
              <w:widowControl w:val="0"/>
              <w:kinsoku/>
              <w:wordWrap w:val="0"/>
              <w:overflowPunct/>
              <w:topLinePunct w:val="0"/>
              <w:autoSpaceDE/>
              <w:autoSpaceDN/>
              <w:bidi w:val="0"/>
              <w:adjustRightInd w:val="0"/>
              <w:snapToGrid w:val="0"/>
              <w:spacing w:after="0" w:line="360" w:lineRule="exact"/>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1．获得国家级奖项的，每个得</w:t>
            </w:r>
            <w:r>
              <w:rPr>
                <w:rFonts w:hint="eastAsia" w:ascii="宋体" w:hAnsi="宋体" w:eastAsia="宋体" w:cs="宋体"/>
                <w:snapToGrid w:val="0"/>
                <w:color w:val="auto"/>
                <w:kern w:val="0"/>
                <w:sz w:val="21"/>
                <w:szCs w:val="21"/>
                <w:highlight w:val="none"/>
                <w:u w:val="single"/>
                <w:lang w:val="en-US" w:eastAsia="zh-CN" w:bidi="ar-SA"/>
              </w:rPr>
              <w:t xml:space="preserve"> 8 </w:t>
            </w:r>
            <w:r>
              <w:rPr>
                <w:rFonts w:hint="eastAsia" w:ascii="宋体" w:hAnsi="宋体" w:eastAsia="宋体" w:cs="宋体"/>
                <w:snapToGrid w:val="0"/>
                <w:color w:val="auto"/>
                <w:kern w:val="0"/>
                <w:sz w:val="21"/>
                <w:szCs w:val="21"/>
                <w:highlight w:val="none"/>
                <w:lang w:val="en-US" w:eastAsia="zh-CN" w:bidi="ar-SA"/>
              </w:rPr>
              <w:t>分。</w:t>
            </w:r>
          </w:p>
          <w:p w14:paraId="4EFD15BC">
            <w:pPr>
              <w:keepNext w:val="0"/>
              <w:keepLines w:val="0"/>
              <w:pageBreakBefore w:val="0"/>
              <w:widowControl w:val="0"/>
              <w:kinsoku/>
              <w:wordWrap w:val="0"/>
              <w:overflowPunct/>
              <w:topLinePunct w:val="0"/>
              <w:autoSpaceDE/>
              <w:autoSpaceDN/>
              <w:bidi w:val="0"/>
              <w:adjustRightInd w:val="0"/>
              <w:snapToGrid w:val="0"/>
              <w:spacing w:after="0" w:line="360" w:lineRule="exact"/>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2．获得省级奖项的，每个得</w:t>
            </w:r>
            <w:r>
              <w:rPr>
                <w:rFonts w:hint="eastAsia" w:ascii="宋体" w:hAnsi="宋体" w:eastAsia="宋体" w:cs="宋体"/>
                <w:snapToGrid w:val="0"/>
                <w:color w:val="auto"/>
                <w:kern w:val="0"/>
                <w:sz w:val="21"/>
                <w:szCs w:val="21"/>
                <w:highlight w:val="none"/>
                <w:u w:val="single"/>
                <w:lang w:val="en-US" w:eastAsia="zh-CN" w:bidi="ar-SA"/>
              </w:rPr>
              <w:t xml:space="preserve"> 4 </w:t>
            </w:r>
            <w:r>
              <w:rPr>
                <w:rFonts w:hint="eastAsia" w:ascii="宋体" w:hAnsi="宋体" w:eastAsia="宋体" w:cs="宋体"/>
                <w:snapToGrid w:val="0"/>
                <w:color w:val="auto"/>
                <w:kern w:val="0"/>
                <w:sz w:val="21"/>
                <w:szCs w:val="21"/>
                <w:highlight w:val="none"/>
                <w:lang w:val="en-US" w:eastAsia="zh-CN" w:bidi="ar-SA"/>
              </w:rPr>
              <w:t>分。</w:t>
            </w:r>
          </w:p>
          <w:p w14:paraId="7AACD1C8">
            <w:pPr>
              <w:keepNext w:val="0"/>
              <w:keepLines w:val="0"/>
              <w:pageBreakBefore w:val="0"/>
              <w:widowControl w:val="0"/>
              <w:kinsoku/>
              <w:wordWrap w:val="0"/>
              <w:overflowPunct/>
              <w:topLinePunct w:val="0"/>
              <w:autoSpaceDE/>
              <w:autoSpaceDN/>
              <w:bidi w:val="0"/>
              <w:adjustRightInd w:val="0"/>
              <w:snapToGrid w:val="0"/>
              <w:spacing w:after="0" w:line="360" w:lineRule="exact"/>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3．获得地市级奖项的，每个得</w:t>
            </w:r>
            <w:r>
              <w:rPr>
                <w:rFonts w:hint="eastAsia" w:ascii="宋体" w:hAnsi="宋体" w:eastAsia="宋体" w:cs="宋体"/>
                <w:snapToGrid w:val="0"/>
                <w:color w:val="auto"/>
                <w:kern w:val="0"/>
                <w:sz w:val="21"/>
                <w:szCs w:val="21"/>
                <w:highlight w:val="none"/>
                <w:u w:val="single"/>
                <w:lang w:val="en-US" w:eastAsia="zh-CN" w:bidi="ar-SA"/>
              </w:rPr>
              <w:t xml:space="preserve"> 2 </w:t>
            </w:r>
            <w:r>
              <w:rPr>
                <w:rFonts w:hint="eastAsia" w:ascii="宋体" w:hAnsi="宋体" w:eastAsia="宋体" w:cs="宋体"/>
                <w:snapToGrid w:val="0"/>
                <w:color w:val="auto"/>
                <w:kern w:val="0"/>
                <w:sz w:val="21"/>
                <w:szCs w:val="21"/>
                <w:highlight w:val="none"/>
                <w:lang w:val="en-US" w:eastAsia="zh-CN" w:bidi="ar-SA"/>
              </w:rPr>
              <w:t>分。</w:t>
            </w:r>
          </w:p>
          <w:p w14:paraId="64B8C139">
            <w:pPr>
              <w:keepNext w:val="0"/>
              <w:keepLines w:val="0"/>
              <w:pageBreakBefore w:val="0"/>
              <w:widowControl w:val="0"/>
              <w:kinsoku/>
              <w:wordWrap w:val="0"/>
              <w:overflowPunct/>
              <w:topLinePunct w:val="0"/>
              <w:autoSpaceDE/>
              <w:autoSpaceDN/>
              <w:bidi w:val="0"/>
              <w:adjustRightInd w:val="0"/>
              <w:snapToGrid w:val="0"/>
              <w:spacing w:after="0" w:line="360" w:lineRule="exact"/>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4．以上奖项均未获得的，不予计分。</w:t>
            </w:r>
          </w:p>
          <w:p w14:paraId="04DBB65D">
            <w:pPr>
              <w:keepNext w:val="0"/>
              <w:keepLines w:val="0"/>
              <w:pageBreakBefore w:val="0"/>
              <w:widowControl w:val="0"/>
              <w:kinsoku/>
              <w:wordWrap w:val="0"/>
              <w:overflowPunct/>
              <w:topLinePunct w:val="0"/>
              <w:autoSpaceDE/>
              <w:autoSpaceDN/>
              <w:bidi w:val="0"/>
              <w:adjustRightInd w:val="0"/>
              <w:snapToGrid w:val="0"/>
              <w:spacing w:after="0" w:line="360" w:lineRule="exact"/>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5．本项最高得</w:t>
            </w:r>
            <w:r>
              <w:rPr>
                <w:rFonts w:hint="eastAsia" w:ascii="宋体" w:hAnsi="宋体" w:eastAsia="宋体" w:cs="宋体"/>
                <w:snapToGrid w:val="0"/>
                <w:color w:val="auto"/>
                <w:kern w:val="0"/>
                <w:sz w:val="21"/>
                <w:szCs w:val="21"/>
                <w:highlight w:val="none"/>
                <w:u w:val="single"/>
                <w:lang w:val="en-US" w:eastAsia="zh-CN" w:bidi="ar-SA"/>
              </w:rPr>
              <w:t>10</w:t>
            </w:r>
            <w:r>
              <w:rPr>
                <w:rFonts w:hint="eastAsia" w:ascii="宋体" w:hAnsi="宋体" w:eastAsia="宋体" w:cs="宋体"/>
                <w:snapToGrid w:val="0"/>
                <w:color w:val="auto"/>
                <w:kern w:val="0"/>
                <w:sz w:val="21"/>
                <w:szCs w:val="21"/>
                <w:highlight w:val="none"/>
                <w:lang w:val="en-US" w:eastAsia="zh-CN" w:bidi="ar-SA"/>
              </w:rPr>
              <w:t>分。</w:t>
            </w:r>
          </w:p>
        </w:tc>
        <w:tc>
          <w:tcPr>
            <w:tcW w:w="4223" w:type="dxa"/>
            <w:noWrap w:val="0"/>
            <w:vAlign w:val="center"/>
          </w:tcPr>
          <w:p w14:paraId="1B3CF71C">
            <w:pPr>
              <w:keepNext w:val="0"/>
              <w:keepLines w:val="0"/>
              <w:pageBreakBefore w:val="0"/>
              <w:widowControl w:val="0"/>
              <w:kinsoku/>
              <w:overflowPunct/>
              <w:topLinePunct w:val="0"/>
              <w:autoSpaceDE/>
              <w:autoSpaceDN/>
              <w:bidi w:val="0"/>
              <w:adjustRightInd w:val="0"/>
              <w:snapToGrid w:val="0"/>
              <w:spacing w:after="0" w:line="360" w:lineRule="exact"/>
              <w:jc w:val="both"/>
              <w:textAlignment w:val="auto"/>
              <w:rPr>
                <w:rFonts w:hint="eastAsia" w:ascii="宋体" w:hAnsi="宋体" w:eastAsia="宋体" w:cs="宋体"/>
                <w:strike/>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1．允许投标人提交多个业绩，但同一业绩只按最高级别奖项计分一次。</w:t>
            </w:r>
          </w:p>
          <w:p w14:paraId="7B84AB6F">
            <w:pPr>
              <w:keepNext w:val="0"/>
              <w:keepLines w:val="0"/>
              <w:pageBreakBefore w:val="0"/>
              <w:widowControl w:val="0"/>
              <w:kinsoku/>
              <w:overflowPunct/>
              <w:topLinePunct w:val="0"/>
              <w:autoSpaceDE/>
              <w:autoSpaceDN/>
              <w:bidi w:val="0"/>
              <w:adjustRightInd w:val="0"/>
              <w:snapToGrid w:val="0"/>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2．需附有关奖项证明</w:t>
            </w:r>
            <w:r>
              <w:rPr>
                <w:rFonts w:hint="eastAsia" w:ascii="宋体" w:hAnsi="宋体" w:eastAsia="宋体" w:cs="宋体"/>
                <w:b w:val="0"/>
                <w:bCs w:val="0"/>
                <w:snapToGrid w:val="0"/>
                <w:color w:val="auto"/>
                <w:kern w:val="0"/>
                <w:sz w:val="21"/>
                <w:szCs w:val="21"/>
                <w:highlight w:val="none"/>
                <w:u w:val="single"/>
                <w:lang w:val="en-US" w:eastAsia="zh-CN" w:bidi="ar-SA"/>
              </w:rPr>
              <w:t>彩色扫描件并加盖单位公章，否则不得分。</w:t>
            </w:r>
          </w:p>
          <w:p w14:paraId="27755CB7">
            <w:pPr>
              <w:keepNext w:val="0"/>
              <w:keepLines w:val="0"/>
              <w:pageBreakBefore w:val="0"/>
              <w:widowControl w:val="0"/>
              <w:kinsoku/>
              <w:overflowPunct/>
              <w:topLinePunct w:val="0"/>
              <w:autoSpaceDE/>
              <w:autoSpaceDN/>
              <w:bidi w:val="0"/>
              <w:adjustRightInd w:val="0"/>
              <w:snapToGrid w:val="0"/>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3．颁发机构限定以下范围：</w:t>
            </w:r>
          </w:p>
          <w:p w14:paraId="1EB2A964">
            <w:pPr>
              <w:keepNext w:val="0"/>
              <w:keepLines w:val="0"/>
              <w:pageBreakBefore w:val="0"/>
              <w:widowControl w:val="0"/>
              <w:kinsoku/>
              <w:overflowPunct/>
              <w:topLinePunct w:val="0"/>
              <w:autoSpaceDE/>
              <w:autoSpaceDN/>
              <w:bidi w:val="0"/>
              <w:adjustRightInd w:val="0"/>
              <w:snapToGrid w:val="0"/>
              <w:spacing w:after="0" w:line="360" w:lineRule="exact"/>
              <w:jc w:val="both"/>
              <w:textAlignment w:val="auto"/>
              <w:rPr>
                <w:rFonts w:hint="eastAsia" w:ascii="宋体" w:hAnsi="宋体" w:eastAsia="宋体" w:cs="宋体"/>
                <w:b w:val="0"/>
                <w:bCs w:val="0"/>
                <w:snapToGrid w:val="0"/>
                <w:color w:val="auto"/>
                <w:kern w:val="0"/>
                <w:sz w:val="21"/>
                <w:szCs w:val="21"/>
                <w:highlight w:val="none"/>
                <w:u w:val="none"/>
                <w:lang w:val="en-US" w:eastAsia="zh-CN" w:bidi="ar-SA"/>
              </w:rPr>
            </w:pPr>
            <w:r>
              <w:rPr>
                <w:rFonts w:hint="eastAsia" w:ascii="宋体" w:hAnsi="宋体" w:eastAsia="宋体" w:cs="宋体"/>
                <w:snapToGrid w:val="0"/>
                <w:color w:val="auto"/>
                <w:kern w:val="0"/>
                <w:sz w:val="21"/>
                <w:szCs w:val="21"/>
                <w:highlight w:val="none"/>
                <w:lang w:val="en-US" w:eastAsia="zh-CN" w:bidi="ar-SA"/>
              </w:rPr>
              <w:t>①国家级奖项：</w:t>
            </w:r>
            <w:r>
              <w:rPr>
                <w:rFonts w:hint="eastAsia" w:ascii="宋体" w:hAnsi="宋体" w:eastAsia="宋体" w:cs="宋体"/>
                <w:b w:val="0"/>
                <w:bCs w:val="0"/>
                <w:iCs/>
                <w:snapToGrid w:val="0"/>
                <w:color w:val="auto"/>
                <w:kern w:val="0"/>
                <w:sz w:val="21"/>
                <w:szCs w:val="21"/>
                <w:highlight w:val="none"/>
                <w:u w:val="none"/>
                <w:lang w:val="en-US" w:eastAsia="zh-CN" w:bidi="ar-SA"/>
              </w:rPr>
              <w:t>国务院、住建部、中国建筑或市政协会</w:t>
            </w:r>
            <w:r>
              <w:rPr>
                <w:rFonts w:hint="eastAsia" w:ascii="宋体" w:hAnsi="宋体" w:eastAsia="宋体" w:cs="宋体"/>
                <w:b w:val="0"/>
                <w:bCs w:val="0"/>
                <w:snapToGrid w:val="0"/>
                <w:color w:val="auto"/>
                <w:kern w:val="0"/>
                <w:sz w:val="21"/>
                <w:szCs w:val="21"/>
                <w:highlight w:val="none"/>
                <w:u w:val="none"/>
                <w:lang w:val="en-US" w:eastAsia="zh-CN" w:bidi="ar-SA"/>
              </w:rPr>
              <w:t>；</w:t>
            </w:r>
            <w:r>
              <w:rPr>
                <w:rFonts w:hint="eastAsia" w:ascii="宋体" w:hAnsi="宋体" w:eastAsia="宋体" w:cs="宋体"/>
                <w:b w:val="0"/>
                <w:bCs w:val="0"/>
                <w:iCs/>
                <w:snapToGrid w:val="0"/>
                <w:color w:val="auto"/>
                <w:kern w:val="0"/>
                <w:sz w:val="21"/>
                <w:szCs w:val="21"/>
                <w:highlight w:val="none"/>
                <w:u w:val="none"/>
                <w:lang w:val="en-US" w:eastAsia="zh-CN" w:bidi="ar-SA"/>
              </w:rPr>
              <w:t>（相关协会需经民政部门备案）</w:t>
            </w:r>
            <w:r>
              <w:rPr>
                <w:rFonts w:hint="eastAsia" w:ascii="宋体" w:hAnsi="宋体" w:eastAsia="宋体" w:cs="宋体"/>
                <w:b w:val="0"/>
                <w:bCs w:val="0"/>
                <w:snapToGrid w:val="0"/>
                <w:color w:val="auto"/>
                <w:kern w:val="0"/>
                <w:sz w:val="21"/>
                <w:szCs w:val="21"/>
                <w:highlight w:val="none"/>
                <w:u w:val="none"/>
                <w:lang w:val="en-US" w:eastAsia="zh-CN" w:bidi="ar-SA"/>
              </w:rPr>
              <w:t xml:space="preserve"> </w:t>
            </w:r>
          </w:p>
          <w:p w14:paraId="4E83BE5E">
            <w:pPr>
              <w:keepNext w:val="0"/>
              <w:keepLines w:val="0"/>
              <w:pageBreakBefore w:val="0"/>
              <w:widowControl w:val="0"/>
              <w:kinsoku/>
              <w:overflowPunct/>
              <w:topLinePunct w:val="0"/>
              <w:autoSpaceDE/>
              <w:autoSpaceDN/>
              <w:bidi w:val="0"/>
              <w:adjustRightInd w:val="0"/>
              <w:snapToGrid w:val="0"/>
              <w:spacing w:after="0" w:line="360" w:lineRule="exact"/>
              <w:jc w:val="both"/>
              <w:textAlignment w:val="auto"/>
              <w:rPr>
                <w:rFonts w:hint="eastAsia" w:ascii="宋体" w:hAnsi="宋体" w:eastAsia="宋体" w:cs="宋体"/>
                <w:b w:val="0"/>
                <w:bCs w:val="0"/>
                <w:snapToGrid w:val="0"/>
                <w:color w:val="auto"/>
                <w:kern w:val="0"/>
                <w:sz w:val="21"/>
                <w:szCs w:val="21"/>
                <w:highlight w:val="none"/>
                <w:u w:val="none"/>
                <w:lang w:val="en-US" w:eastAsia="zh-CN" w:bidi="ar-SA"/>
              </w:rPr>
            </w:pPr>
            <w:r>
              <w:rPr>
                <w:rFonts w:hint="eastAsia" w:ascii="宋体" w:hAnsi="宋体" w:eastAsia="宋体" w:cs="宋体"/>
                <w:b w:val="0"/>
                <w:bCs w:val="0"/>
                <w:snapToGrid w:val="0"/>
                <w:color w:val="auto"/>
                <w:kern w:val="0"/>
                <w:sz w:val="21"/>
                <w:szCs w:val="21"/>
                <w:highlight w:val="none"/>
                <w:u w:val="none"/>
                <w:lang w:val="en-US" w:eastAsia="zh-CN" w:bidi="ar-SA"/>
              </w:rPr>
              <w:t>②省级奖项：</w:t>
            </w:r>
            <w:r>
              <w:rPr>
                <w:rFonts w:hint="eastAsia" w:ascii="宋体" w:hAnsi="宋体" w:eastAsia="宋体" w:cs="宋体"/>
                <w:b w:val="0"/>
                <w:bCs w:val="0"/>
                <w:iCs/>
                <w:snapToGrid w:val="0"/>
                <w:color w:val="auto"/>
                <w:kern w:val="0"/>
                <w:sz w:val="21"/>
                <w:szCs w:val="21"/>
                <w:highlight w:val="none"/>
                <w:u w:val="none"/>
                <w:lang w:val="en-US" w:eastAsia="zh-CN" w:bidi="ar-SA"/>
              </w:rPr>
              <w:t>省级人民政府、省级住建部门或监督部门、省级建筑或市政协会</w:t>
            </w:r>
            <w:r>
              <w:rPr>
                <w:rFonts w:hint="eastAsia" w:ascii="宋体" w:hAnsi="宋体" w:eastAsia="宋体" w:cs="宋体"/>
                <w:b w:val="0"/>
                <w:bCs w:val="0"/>
                <w:snapToGrid w:val="0"/>
                <w:color w:val="auto"/>
                <w:kern w:val="0"/>
                <w:sz w:val="21"/>
                <w:szCs w:val="21"/>
                <w:highlight w:val="none"/>
                <w:u w:val="none"/>
                <w:lang w:val="en-US" w:eastAsia="zh-CN" w:bidi="ar-SA"/>
              </w:rPr>
              <w:t>；</w:t>
            </w:r>
            <w:r>
              <w:rPr>
                <w:rFonts w:hint="eastAsia" w:ascii="宋体" w:hAnsi="宋体" w:eastAsia="宋体" w:cs="宋体"/>
                <w:b w:val="0"/>
                <w:bCs w:val="0"/>
                <w:iCs/>
                <w:snapToGrid w:val="0"/>
                <w:color w:val="auto"/>
                <w:kern w:val="0"/>
                <w:sz w:val="21"/>
                <w:szCs w:val="21"/>
                <w:highlight w:val="none"/>
                <w:u w:val="none"/>
                <w:lang w:val="en-US" w:eastAsia="zh-CN" w:bidi="ar-SA"/>
              </w:rPr>
              <w:t>（相关协会需经民政部门备案）</w:t>
            </w:r>
            <w:r>
              <w:rPr>
                <w:rFonts w:hint="eastAsia" w:ascii="宋体" w:hAnsi="宋体" w:eastAsia="宋体" w:cs="宋体"/>
                <w:b w:val="0"/>
                <w:bCs w:val="0"/>
                <w:snapToGrid w:val="0"/>
                <w:color w:val="auto"/>
                <w:kern w:val="0"/>
                <w:sz w:val="21"/>
                <w:szCs w:val="21"/>
                <w:highlight w:val="none"/>
                <w:u w:val="none"/>
                <w:lang w:val="en-US" w:eastAsia="zh-CN" w:bidi="ar-SA"/>
              </w:rPr>
              <w:t xml:space="preserve"> </w:t>
            </w:r>
          </w:p>
          <w:p w14:paraId="45A415EF">
            <w:pPr>
              <w:keepNext w:val="0"/>
              <w:keepLines w:val="0"/>
              <w:pageBreakBefore w:val="0"/>
              <w:widowControl w:val="0"/>
              <w:kinsoku/>
              <w:overflowPunct/>
              <w:topLinePunct w:val="0"/>
              <w:autoSpaceDE/>
              <w:autoSpaceDN/>
              <w:bidi w:val="0"/>
              <w:adjustRightInd w:val="0"/>
              <w:snapToGrid w:val="0"/>
              <w:spacing w:after="0" w:line="360" w:lineRule="exact"/>
              <w:jc w:val="both"/>
              <w:textAlignment w:val="auto"/>
              <w:rPr>
                <w:rFonts w:hint="eastAsia" w:ascii="宋体" w:hAnsi="宋体" w:eastAsia="宋体" w:cs="宋体"/>
                <w:b w:val="0"/>
                <w:bCs w:val="0"/>
                <w:snapToGrid w:val="0"/>
                <w:color w:val="auto"/>
                <w:kern w:val="0"/>
                <w:sz w:val="21"/>
                <w:szCs w:val="21"/>
                <w:highlight w:val="none"/>
                <w:u w:val="none"/>
                <w:lang w:val="en-US" w:eastAsia="zh-CN" w:bidi="ar-SA"/>
              </w:rPr>
            </w:pPr>
            <w:r>
              <w:rPr>
                <w:rFonts w:hint="eastAsia" w:ascii="宋体" w:hAnsi="宋体" w:eastAsia="宋体" w:cs="宋体"/>
                <w:b w:val="0"/>
                <w:bCs w:val="0"/>
                <w:snapToGrid w:val="0"/>
                <w:color w:val="auto"/>
                <w:kern w:val="0"/>
                <w:sz w:val="21"/>
                <w:szCs w:val="21"/>
                <w:highlight w:val="none"/>
                <w:u w:val="none"/>
                <w:lang w:val="en-US" w:eastAsia="zh-CN" w:bidi="ar-SA"/>
              </w:rPr>
              <w:t>③地市级奖项：</w:t>
            </w:r>
            <w:r>
              <w:rPr>
                <w:rFonts w:hint="eastAsia" w:ascii="宋体" w:hAnsi="宋体" w:eastAsia="宋体" w:cs="宋体"/>
                <w:b w:val="0"/>
                <w:bCs w:val="0"/>
                <w:iCs/>
                <w:snapToGrid w:val="0"/>
                <w:color w:val="auto"/>
                <w:kern w:val="0"/>
                <w:sz w:val="21"/>
                <w:szCs w:val="21"/>
                <w:highlight w:val="none"/>
                <w:u w:val="none"/>
                <w:lang w:val="en-US" w:eastAsia="zh-CN" w:bidi="ar-SA"/>
              </w:rPr>
              <w:t>地市级人民政府、地市级住建部门或监督部门、地级市建筑或市政协会</w:t>
            </w:r>
            <w:r>
              <w:rPr>
                <w:rFonts w:hint="eastAsia" w:ascii="宋体" w:hAnsi="宋体" w:eastAsia="宋体" w:cs="宋体"/>
                <w:b w:val="0"/>
                <w:bCs w:val="0"/>
                <w:snapToGrid w:val="0"/>
                <w:color w:val="auto"/>
                <w:kern w:val="0"/>
                <w:sz w:val="21"/>
                <w:szCs w:val="21"/>
                <w:highlight w:val="none"/>
                <w:u w:val="none"/>
                <w:lang w:val="en-US" w:eastAsia="zh-CN" w:bidi="ar-SA"/>
              </w:rPr>
              <w:t>。</w:t>
            </w:r>
            <w:r>
              <w:rPr>
                <w:rFonts w:hint="eastAsia" w:ascii="宋体" w:hAnsi="宋体" w:eastAsia="宋体" w:cs="宋体"/>
                <w:b w:val="0"/>
                <w:bCs w:val="0"/>
                <w:iCs/>
                <w:snapToGrid w:val="0"/>
                <w:color w:val="auto"/>
                <w:kern w:val="0"/>
                <w:sz w:val="21"/>
                <w:szCs w:val="21"/>
                <w:highlight w:val="none"/>
                <w:u w:val="none"/>
                <w:lang w:val="en-US" w:eastAsia="zh-CN" w:bidi="ar-SA"/>
              </w:rPr>
              <w:t>（相关协会需经民政部门备案）</w:t>
            </w:r>
          </w:p>
          <w:p w14:paraId="4A51BE57">
            <w:pPr>
              <w:keepNext w:val="0"/>
              <w:keepLines w:val="0"/>
              <w:pageBreakBefore w:val="0"/>
              <w:widowControl w:val="0"/>
              <w:kinsoku/>
              <w:overflowPunct/>
              <w:topLinePunct w:val="0"/>
              <w:autoSpaceDE/>
              <w:autoSpaceDN/>
              <w:bidi w:val="0"/>
              <w:adjustRightInd w:val="0"/>
              <w:snapToGrid w:val="0"/>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4．获奖时间以奖项证明的落款日期</w:t>
            </w:r>
            <w:r>
              <w:rPr>
                <w:rFonts w:hint="eastAsia" w:ascii="宋体" w:hAnsi="宋体" w:eastAsia="宋体" w:cs="宋体"/>
                <w:snapToGrid w:val="0"/>
                <w:color w:val="auto"/>
                <w:kern w:val="0"/>
                <w:sz w:val="21"/>
                <w:szCs w:val="21"/>
                <w:highlight w:val="none"/>
                <w:lang w:val="en-US" w:eastAsia="zh-CN" w:bidi="ar-SA"/>
              </w:rPr>
              <w:t>为准。</w:t>
            </w:r>
          </w:p>
          <w:p w14:paraId="51898158">
            <w:pPr>
              <w:keepNext w:val="0"/>
              <w:keepLines w:val="0"/>
              <w:pageBreakBefore w:val="0"/>
              <w:widowControl w:val="0"/>
              <w:kinsoku/>
              <w:overflowPunct/>
              <w:topLinePunct w:val="0"/>
              <w:autoSpaceDE/>
              <w:autoSpaceDN/>
              <w:bidi w:val="0"/>
              <w:adjustRightInd w:val="0"/>
              <w:snapToGrid w:val="0"/>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5．任一奖项有以下情形之一的，该奖项视为无效，不予计分：</w:t>
            </w:r>
          </w:p>
          <w:p w14:paraId="12FAAED5">
            <w:pPr>
              <w:keepNext w:val="0"/>
              <w:keepLines w:val="0"/>
              <w:pageBreakBefore w:val="0"/>
              <w:widowControl w:val="0"/>
              <w:kinsoku/>
              <w:overflowPunct/>
              <w:topLinePunct w:val="0"/>
              <w:autoSpaceDE/>
              <w:autoSpaceDN/>
              <w:bidi w:val="0"/>
              <w:adjustRightInd w:val="0"/>
              <w:snapToGrid w:val="0"/>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①奖项不属于指定类别的；</w:t>
            </w:r>
          </w:p>
          <w:p w14:paraId="4EC12098">
            <w:pPr>
              <w:keepNext w:val="0"/>
              <w:keepLines w:val="0"/>
              <w:pageBreakBefore w:val="0"/>
              <w:widowControl w:val="0"/>
              <w:kinsoku/>
              <w:overflowPunct/>
              <w:topLinePunct w:val="0"/>
              <w:autoSpaceDE/>
              <w:autoSpaceDN/>
              <w:bidi w:val="0"/>
              <w:adjustRightInd w:val="0"/>
              <w:snapToGrid w:val="0"/>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②颁发机构不符合要求的；</w:t>
            </w:r>
          </w:p>
          <w:p w14:paraId="656826DD">
            <w:pPr>
              <w:keepNext w:val="0"/>
              <w:keepLines w:val="0"/>
              <w:pageBreakBefore w:val="0"/>
              <w:widowControl w:val="0"/>
              <w:kinsoku/>
              <w:wordWrap w:val="0"/>
              <w:overflowPunct/>
              <w:topLinePunct w:val="0"/>
              <w:autoSpaceDE/>
              <w:autoSpaceDN/>
              <w:bidi w:val="0"/>
              <w:adjustRightInd w:val="0"/>
              <w:snapToGrid w:val="0"/>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③获奖时间不符合要求的。</w:t>
            </w:r>
          </w:p>
          <w:p w14:paraId="38765A84">
            <w:pPr>
              <w:keepNext w:val="0"/>
              <w:keepLines w:val="0"/>
              <w:pageBreakBefore w:val="0"/>
              <w:widowControl w:val="0"/>
              <w:kinsoku/>
              <w:overflowPunct/>
              <w:topLinePunct w:val="0"/>
              <w:autoSpaceDE/>
              <w:autoSpaceDN/>
              <w:bidi w:val="0"/>
              <w:snapToGrid w:val="0"/>
              <w:spacing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说明：以上所称“要求 ”均指本表评分标准及备注的要求，下同。</w:t>
            </w:r>
          </w:p>
        </w:tc>
      </w:tr>
      <w:tr w14:paraId="1BF25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4" w:type="dxa"/>
            <w:noWrap w:val="0"/>
            <w:vAlign w:val="center"/>
          </w:tcPr>
          <w:p w14:paraId="6DCD94B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企业业绩</w:t>
            </w:r>
          </w:p>
          <w:p w14:paraId="505FC45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hAnsi="宋体" w:cs="宋体"/>
                <w:color w:val="auto"/>
                <w:kern w:val="2"/>
                <w:sz w:val="21"/>
                <w:szCs w:val="21"/>
                <w:highlight w:val="none"/>
                <w:lang w:val="en-US" w:eastAsia="zh-CN" w:bidi="ar-SA"/>
              </w:rPr>
              <w:t>20</w:t>
            </w:r>
            <w:r>
              <w:rPr>
                <w:rFonts w:hint="eastAsia" w:ascii="宋体" w:hAnsi="宋体" w:eastAsia="宋体" w:cs="宋体"/>
                <w:color w:val="auto"/>
                <w:kern w:val="2"/>
                <w:sz w:val="21"/>
                <w:szCs w:val="21"/>
                <w:highlight w:val="none"/>
                <w:lang w:val="en-US" w:eastAsia="zh-CN" w:bidi="ar-SA"/>
              </w:rPr>
              <w:t>分）</w:t>
            </w:r>
          </w:p>
        </w:tc>
        <w:tc>
          <w:tcPr>
            <w:tcW w:w="4053" w:type="dxa"/>
            <w:noWrap w:val="0"/>
            <w:vAlign w:val="center"/>
          </w:tcPr>
          <w:p w14:paraId="5428CF2F">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投标人</w:t>
            </w:r>
            <w:r>
              <w:rPr>
                <w:rFonts w:hint="eastAsia" w:ascii="宋体" w:hAnsi="宋体" w:eastAsia="宋体" w:cs="宋体"/>
                <w:snapToGrid w:val="0"/>
                <w:color w:val="auto"/>
                <w:kern w:val="0"/>
                <w:sz w:val="21"/>
                <w:szCs w:val="21"/>
                <w:highlight w:val="none"/>
              </w:rPr>
              <w:t>202</w:t>
            </w:r>
            <w:r>
              <w:rPr>
                <w:rFonts w:hint="eastAsia" w:ascii="宋体" w:hAnsi="宋体" w:eastAsia="宋体" w:cs="宋体"/>
                <w:snapToGrid w:val="0"/>
                <w:color w:val="auto"/>
                <w:kern w:val="0"/>
                <w:sz w:val="21"/>
                <w:szCs w:val="21"/>
                <w:highlight w:val="none"/>
                <w:lang w:val="en-US" w:eastAsia="zh-CN"/>
              </w:rPr>
              <w:t>1</w:t>
            </w:r>
            <w:r>
              <w:rPr>
                <w:rFonts w:hint="eastAsia" w:ascii="宋体" w:hAnsi="宋体" w:eastAsia="宋体" w:cs="宋体"/>
                <w:snapToGrid w:val="0"/>
                <w:color w:val="auto"/>
                <w:kern w:val="0"/>
                <w:sz w:val="21"/>
                <w:szCs w:val="21"/>
                <w:highlight w:val="none"/>
              </w:rPr>
              <w:t>年1月1日至今</w:t>
            </w:r>
            <w:r>
              <w:rPr>
                <w:rFonts w:hint="eastAsia" w:ascii="宋体" w:hAnsi="宋体" w:eastAsia="宋体" w:cs="宋体"/>
                <w:snapToGrid w:val="0"/>
                <w:color w:val="auto"/>
                <w:kern w:val="0"/>
                <w:sz w:val="21"/>
                <w:szCs w:val="21"/>
                <w:highlight w:val="none"/>
                <w:lang w:eastAsia="zh-CN"/>
              </w:rPr>
              <w:t>业</w:t>
            </w:r>
            <w:r>
              <w:rPr>
                <w:rFonts w:hint="eastAsia" w:ascii="宋体" w:hAnsi="宋体" w:eastAsia="宋体" w:cs="宋体"/>
                <w:snapToGrid w:val="0"/>
                <w:color w:val="auto"/>
                <w:kern w:val="0"/>
                <w:sz w:val="21"/>
                <w:szCs w:val="21"/>
                <w:highlight w:val="none"/>
              </w:rPr>
              <w:t>绩情况：</w:t>
            </w:r>
          </w:p>
          <w:p w14:paraId="45B122F6">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r>
              <w:rPr>
                <w:rFonts w:hint="eastAsia" w:ascii="Times New Roman" w:hAnsi="宋体" w:eastAsia="宋体" w:cs="宋体"/>
                <w:snapToGrid w:val="0"/>
                <w:color w:val="auto"/>
                <w:kern w:val="0"/>
                <w:sz w:val="22"/>
                <w:szCs w:val="22"/>
                <w:highlight w:val="none"/>
                <w:u w:val="single"/>
              </w:rPr>
              <w:t>承接</w:t>
            </w:r>
            <w:r>
              <w:rPr>
                <w:rFonts w:hint="eastAsia" w:ascii="宋体" w:hAnsi="宋体" w:eastAsia="宋体" w:cs="宋体"/>
                <w:snapToGrid w:val="0"/>
                <w:color w:val="auto"/>
                <w:kern w:val="0"/>
                <w:sz w:val="21"/>
                <w:szCs w:val="21"/>
                <w:highlight w:val="none"/>
              </w:rPr>
              <w:t>过类似工程的，每个得</w:t>
            </w:r>
            <w:r>
              <w:rPr>
                <w:rFonts w:hint="eastAsia" w:hAnsi="宋体" w:cs="宋体"/>
                <w:snapToGrid w:val="0"/>
                <w:color w:val="auto"/>
                <w:kern w:val="0"/>
                <w:sz w:val="21"/>
                <w:szCs w:val="21"/>
                <w:highlight w:val="none"/>
                <w:lang w:val="en-US" w:eastAsia="zh-CN"/>
              </w:rPr>
              <w:t>10</w:t>
            </w:r>
            <w:r>
              <w:rPr>
                <w:rFonts w:hint="eastAsia" w:ascii="宋体" w:hAnsi="宋体" w:eastAsia="宋体" w:cs="宋体"/>
                <w:snapToGrid w:val="0"/>
                <w:color w:val="auto"/>
                <w:kern w:val="0"/>
                <w:sz w:val="21"/>
                <w:szCs w:val="21"/>
                <w:highlight w:val="none"/>
              </w:rPr>
              <w:t>分。</w:t>
            </w:r>
          </w:p>
          <w:p w14:paraId="4335BB63">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2.未</w:t>
            </w:r>
            <w:r>
              <w:rPr>
                <w:rFonts w:hint="eastAsia" w:ascii="Times New Roman" w:hAnsi="宋体" w:eastAsia="宋体" w:cs="宋体"/>
                <w:snapToGrid w:val="0"/>
                <w:color w:val="auto"/>
                <w:kern w:val="0"/>
                <w:sz w:val="22"/>
                <w:szCs w:val="22"/>
                <w:highlight w:val="none"/>
                <w:u w:val="single"/>
              </w:rPr>
              <w:t>承接</w:t>
            </w:r>
            <w:r>
              <w:rPr>
                <w:rFonts w:hint="eastAsia" w:ascii="宋体" w:hAnsi="宋体" w:eastAsia="宋体" w:cs="宋体"/>
                <w:snapToGrid w:val="0"/>
                <w:color w:val="auto"/>
                <w:kern w:val="0"/>
                <w:sz w:val="21"/>
                <w:szCs w:val="21"/>
                <w:highlight w:val="none"/>
              </w:rPr>
              <w:t>过类似工程的，不予计分。</w:t>
            </w:r>
          </w:p>
          <w:p w14:paraId="7960AA10">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shd w:val="clear" w:color="auto" w:fill="FFFFFF"/>
                <w:lang w:val="en-US" w:eastAsia="zh-CN"/>
              </w:rPr>
            </w:pPr>
            <w:r>
              <w:rPr>
                <w:rFonts w:hint="eastAsia" w:ascii="宋体" w:hAnsi="宋体" w:eastAsia="宋体" w:cs="宋体"/>
                <w:snapToGrid w:val="0"/>
                <w:color w:val="auto"/>
                <w:kern w:val="0"/>
                <w:sz w:val="21"/>
                <w:szCs w:val="21"/>
                <w:highlight w:val="none"/>
              </w:rPr>
              <w:t>本项最高得</w:t>
            </w:r>
            <w:r>
              <w:rPr>
                <w:rFonts w:hint="eastAsia" w:hAnsi="宋体" w:cs="宋体"/>
                <w:snapToGrid w:val="0"/>
                <w:color w:val="auto"/>
                <w:kern w:val="0"/>
                <w:sz w:val="21"/>
                <w:szCs w:val="21"/>
                <w:highlight w:val="none"/>
                <w:lang w:val="en-US" w:eastAsia="zh-CN"/>
              </w:rPr>
              <w:t>20</w:t>
            </w:r>
            <w:r>
              <w:rPr>
                <w:rFonts w:hint="eastAsia" w:ascii="宋体" w:hAnsi="宋体" w:eastAsia="宋体" w:cs="宋体"/>
                <w:snapToGrid w:val="0"/>
                <w:color w:val="auto"/>
                <w:kern w:val="0"/>
                <w:sz w:val="21"/>
                <w:szCs w:val="21"/>
                <w:highlight w:val="none"/>
              </w:rPr>
              <w:t>分。</w:t>
            </w:r>
          </w:p>
        </w:tc>
        <w:tc>
          <w:tcPr>
            <w:tcW w:w="4223" w:type="dxa"/>
            <w:noWrap w:val="0"/>
            <w:vAlign w:val="center"/>
          </w:tcPr>
          <w:p w14:paraId="70999304">
            <w:pPr>
              <w:keepNext w:val="0"/>
              <w:keepLines w:val="0"/>
              <w:pageBreakBefore w:val="0"/>
              <w:widowControl w:val="0"/>
              <w:shd w:val="clear" w:color="auto" w:fill="auto"/>
              <w:kinsoku/>
              <w:wordWrap w:val="0"/>
              <w:overflowPunct/>
              <w:topLinePunct w:val="0"/>
              <w:autoSpaceDE/>
              <w:autoSpaceDN/>
              <w:bidi w:val="0"/>
              <w:adjustRightInd/>
              <w:snapToGrid/>
              <w:spacing w:line="320" w:lineRule="exact"/>
              <w:textAlignment w:val="auto"/>
              <w:rPr>
                <w:rFonts w:hint="eastAsia" w:ascii="宋体" w:hAnsi="宋体" w:eastAsia="宋体" w:cs="宋体"/>
                <w:snapToGrid w:val="0"/>
                <w:color w:val="auto"/>
                <w:kern w:val="0"/>
                <w:sz w:val="21"/>
                <w:szCs w:val="21"/>
                <w:highlight w:val="none"/>
                <w:u w:val="single"/>
              </w:rPr>
            </w:pPr>
            <w:r>
              <w:rPr>
                <w:rFonts w:hint="eastAsia" w:ascii="宋体" w:hAnsi="宋体" w:eastAsia="宋体" w:cs="宋体"/>
                <w:snapToGrid w:val="0"/>
                <w:color w:val="auto"/>
                <w:kern w:val="0"/>
                <w:sz w:val="21"/>
                <w:szCs w:val="21"/>
                <w:highlight w:val="none"/>
                <w:lang w:val="en-US" w:eastAsia="zh-CN"/>
              </w:rPr>
              <w:t>1.</w:t>
            </w:r>
            <w:r>
              <w:rPr>
                <w:rFonts w:hint="eastAsia" w:ascii="宋体" w:hAnsi="宋体" w:eastAsia="宋体" w:cs="宋体"/>
                <w:snapToGrid w:val="0"/>
                <w:color w:val="auto"/>
                <w:kern w:val="0"/>
                <w:sz w:val="21"/>
                <w:szCs w:val="21"/>
                <w:highlight w:val="none"/>
              </w:rPr>
              <w:t>类似工程指：</w:t>
            </w:r>
            <w:r>
              <w:rPr>
                <w:rFonts w:hint="eastAsia" w:ascii="宋体" w:hAnsi="宋体" w:eastAsia="宋体" w:cs="宋体"/>
                <w:snapToGrid w:val="0"/>
                <w:color w:val="auto"/>
                <w:kern w:val="0"/>
                <w:sz w:val="21"/>
                <w:szCs w:val="21"/>
                <w:highlight w:val="none"/>
                <w:u w:val="single"/>
              </w:rPr>
              <w:t>合同金额≥</w:t>
            </w:r>
            <w:r>
              <w:rPr>
                <w:rFonts w:hint="eastAsia" w:hAnsi="宋体" w:cs="宋体"/>
                <w:snapToGrid w:val="0"/>
                <w:color w:val="auto"/>
                <w:kern w:val="0"/>
                <w:sz w:val="21"/>
                <w:szCs w:val="21"/>
                <w:highlight w:val="none"/>
                <w:u w:val="single"/>
                <w:lang w:val="en-US" w:eastAsia="zh-CN"/>
              </w:rPr>
              <w:t>650</w:t>
            </w:r>
            <w:r>
              <w:rPr>
                <w:rFonts w:hint="eastAsia" w:ascii="宋体" w:hAnsi="宋体" w:eastAsia="宋体" w:cs="宋体"/>
                <w:snapToGrid w:val="0"/>
                <w:color w:val="auto"/>
                <w:kern w:val="0"/>
                <w:sz w:val="21"/>
                <w:szCs w:val="21"/>
                <w:highlight w:val="none"/>
                <w:u w:val="single"/>
              </w:rPr>
              <w:t>万的</w:t>
            </w:r>
            <w:r>
              <w:rPr>
                <w:rFonts w:hint="eastAsia" w:ascii="宋体" w:hAnsi="宋体" w:eastAsia="宋体" w:cs="宋体"/>
                <w:snapToGrid w:val="0"/>
                <w:color w:val="auto"/>
                <w:kern w:val="0"/>
                <w:sz w:val="21"/>
                <w:szCs w:val="21"/>
                <w:highlight w:val="none"/>
                <w:u w:val="single"/>
                <w:lang w:val="en-US" w:eastAsia="zh-CN"/>
              </w:rPr>
              <w:t>市政类</w:t>
            </w:r>
            <w:r>
              <w:rPr>
                <w:rFonts w:hint="eastAsia" w:ascii="宋体" w:hAnsi="宋体" w:eastAsia="宋体" w:cs="宋体"/>
                <w:snapToGrid w:val="0"/>
                <w:color w:val="auto"/>
                <w:kern w:val="0"/>
                <w:sz w:val="21"/>
                <w:szCs w:val="21"/>
                <w:highlight w:val="none"/>
                <w:u w:val="single"/>
              </w:rPr>
              <w:t>施工总承包项目(或设计施工总承包或勘察</w:t>
            </w:r>
            <w:r>
              <w:rPr>
                <w:rFonts w:hint="eastAsia" w:ascii="宋体" w:hAnsi="宋体" w:eastAsia="宋体" w:cs="宋体"/>
                <w:snapToGrid w:val="0"/>
                <w:color w:val="auto"/>
                <w:kern w:val="0"/>
                <w:sz w:val="21"/>
                <w:szCs w:val="21"/>
                <w:highlight w:val="none"/>
                <w:u w:val="single"/>
                <w:lang w:eastAsia="zh-CN"/>
              </w:rPr>
              <w:t>（测）</w:t>
            </w:r>
            <w:r>
              <w:rPr>
                <w:rFonts w:hint="eastAsia" w:ascii="宋体" w:hAnsi="宋体" w:eastAsia="宋体" w:cs="宋体"/>
                <w:snapToGrid w:val="0"/>
                <w:color w:val="auto"/>
                <w:kern w:val="0"/>
                <w:sz w:val="21"/>
                <w:szCs w:val="21"/>
                <w:highlight w:val="none"/>
                <w:u w:val="single"/>
              </w:rPr>
              <w:t>设计施工总承包项目)。</w:t>
            </w:r>
          </w:p>
          <w:p w14:paraId="43E1667E">
            <w:pPr>
              <w:keepNext w:val="0"/>
              <w:keepLines w:val="0"/>
              <w:pageBreakBefore w:val="0"/>
              <w:widowControl w:val="0"/>
              <w:shd w:val="clear" w:color="auto" w:fill="auto"/>
              <w:kinsoku/>
              <w:wordWrap/>
              <w:overflowPunct/>
              <w:topLinePunct w:val="0"/>
              <w:autoSpaceDE/>
              <w:autoSpaceDN/>
              <w:bidi w:val="0"/>
              <w:adjustRightInd/>
              <w:snapToGrid/>
              <w:spacing w:line="320" w:lineRule="exact"/>
              <w:textAlignment w:val="auto"/>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r>
              <w:rPr>
                <w:rFonts w:hint="eastAsia" w:ascii="宋体" w:hAnsi="宋体" w:eastAsia="宋体" w:cs="宋体"/>
                <w:snapToGrid w:val="0"/>
                <w:color w:val="auto"/>
                <w:kern w:val="0"/>
                <w:sz w:val="21"/>
                <w:szCs w:val="21"/>
                <w:highlight w:val="none"/>
                <w:lang w:eastAsia="zh-CN"/>
              </w:rPr>
              <w:t>需附</w:t>
            </w:r>
            <w:r>
              <w:rPr>
                <w:rFonts w:hint="eastAsia" w:ascii="宋体" w:hAnsi="宋体" w:eastAsia="宋体" w:cs="宋体"/>
                <w:snapToGrid w:val="0"/>
                <w:color w:val="auto"/>
                <w:kern w:val="0"/>
                <w:sz w:val="21"/>
                <w:szCs w:val="21"/>
                <w:highlight w:val="none"/>
              </w:rPr>
              <w:t>有关业绩合同协议书关键页</w:t>
            </w:r>
            <w:r>
              <w:rPr>
                <w:rFonts w:hint="eastAsia" w:ascii="宋体" w:hAnsi="宋体" w:eastAsia="宋体" w:cs="宋体"/>
                <w:snapToGrid w:val="0"/>
                <w:color w:val="auto"/>
                <w:kern w:val="0"/>
                <w:sz w:val="21"/>
                <w:szCs w:val="21"/>
                <w:highlight w:val="none"/>
                <w:lang w:eastAsia="zh-CN"/>
              </w:rPr>
              <w:t>和中标通知书的</w:t>
            </w:r>
            <w:r>
              <w:rPr>
                <w:rFonts w:hint="eastAsia" w:ascii="宋体" w:hAnsi="宋体" w:eastAsia="宋体" w:cs="宋体"/>
                <w:b w:val="0"/>
                <w:bCs w:val="0"/>
                <w:snapToGrid w:val="0"/>
                <w:color w:val="auto"/>
                <w:kern w:val="0"/>
                <w:sz w:val="21"/>
                <w:szCs w:val="21"/>
                <w:highlight w:val="none"/>
                <w:u w:val="single"/>
              </w:rPr>
              <w:t>彩色扫描件</w:t>
            </w:r>
            <w:r>
              <w:rPr>
                <w:rFonts w:hint="eastAsia" w:ascii="宋体" w:hAnsi="宋体" w:eastAsia="宋体" w:cs="宋体"/>
                <w:b w:val="0"/>
                <w:bCs w:val="0"/>
                <w:snapToGrid w:val="0"/>
                <w:color w:val="auto"/>
                <w:kern w:val="0"/>
                <w:sz w:val="21"/>
                <w:szCs w:val="21"/>
                <w:highlight w:val="none"/>
                <w:u w:val="single"/>
                <w:lang w:eastAsia="zh-CN"/>
              </w:rPr>
              <w:t>并加盖</w:t>
            </w:r>
            <w:r>
              <w:rPr>
                <w:rFonts w:hint="eastAsia" w:ascii="宋体" w:hAnsi="宋体" w:eastAsia="宋体" w:cs="宋体"/>
                <w:b w:val="0"/>
                <w:bCs w:val="0"/>
                <w:snapToGrid w:val="0"/>
                <w:color w:val="auto"/>
                <w:kern w:val="0"/>
                <w:sz w:val="21"/>
                <w:szCs w:val="21"/>
                <w:highlight w:val="none"/>
                <w:u w:val="single"/>
                <w:lang w:val="en-US" w:eastAsia="zh-CN"/>
              </w:rPr>
              <w:t>单位</w:t>
            </w:r>
            <w:r>
              <w:rPr>
                <w:rFonts w:hint="eastAsia" w:ascii="宋体" w:hAnsi="宋体" w:eastAsia="宋体" w:cs="宋体"/>
                <w:b w:val="0"/>
                <w:bCs w:val="0"/>
                <w:snapToGrid w:val="0"/>
                <w:color w:val="auto"/>
                <w:kern w:val="0"/>
                <w:sz w:val="21"/>
                <w:szCs w:val="21"/>
                <w:highlight w:val="none"/>
                <w:u w:val="single"/>
                <w:lang w:eastAsia="zh-CN"/>
              </w:rPr>
              <w:t>公章，否则不得分。</w:t>
            </w:r>
          </w:p>
          <w:p w14:paraId="73C47154">
            <w:pPr>
              <w:keepNext w:val="0"/>
              <w:keepLines w:val="0"/>
              <w:pageBreakBefore w:val="0"/>
              <w:widowControl w:val="0"/>
              <w:shd w:val="clear" w:color="auto" w:fill="auto"/>
              <w:kinsoku/>
              <w:wordWrap/>
              <w:overflowPunct/>
              <w:topLinePunct w:val="0"/>
              <w:autoSpaceDE/>
              <w:autoSpaceDN/>
              <w:bidi w:val="0"/>
              <w:adjustRightInd/>
              <w:snapToGrid/>
              <w:spacing w:line="320" w:lineRule="exac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3.业绩时间以</w:t>
            </w:r>
            <w:r>
              <w:rPr>
                <w:rFonts w:hint="eastAsia" w:ascii="宋体" w:hAnsi="宋体" w:eastAsia="宋体" w:cs="宋体"/>
                <w:snapToGrid w:val="0"/>
                <w:color w:val="auto"/>
                <w:kern w:val="0"/>
                <w:sz w:val="21"/>
                <w:szCs w:val="21"/>
                <w:highlight w:val="none"/>
                <w:lang w:eastAsia="zh-CN"/>
              </w:rPr>
              <w:t>合同签订</w:t>
            </w:r>
            <w:r>
              <w:rPr>
                <w:rFonts w:hint="eastAsia" w:ascii="宋体" w:hAnsi="宋体" w:eastAsia="宋体" w:cs="宋体"/>
                <w:snapToGrid w:val="0"/>
                <w:color w:val="auto"/>
                <w:kern w:val="0"/>
                <w:sz w:val="21"/>
                <w:szCs w:val="21"/>
                <w:highlight w:val="none"/>
              </w:rPr>
              <w:t>日期为准。</w:t>
            </w:r>
          </w:p>
          <w:p w14:paraId="31C3B056">
            <w:pPr>
              <w:keepNext w:val="0"/>
              <w:keepLines w:val="0"/>
              <w:pageBreakBefore w:val="0"/>
              <w:widowControl w:val="0"/>
              <w:shd w:val="clear" w:color="auto" w:fill="auto"/>
              <w:kinsoku/>
              <w:wordWrap/>
              <w:overflowPunct/>
              <w:topLinePunct w:val="0"/>
              <w:autoSpaceDE/>
              <w:autoSpaceDN/>
              <w:bidi w:val="0"/>
              <w:adjustRightInd/>
              <w:snapToGrid/>
              <w:spacing w:line="320" w:lineRule="exac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4.任一业绩有以下情形之一的，该业绩视为无效，不予计分：</w:t>
            </w:r>
          </w:p>
          <w:p w14:paraId="0B45E8F1">
            <w:pPr>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①业绩不属于类似工程的；</w:t>
            </w:r>
          </w:p>
          <w:p w14:paraId="101238C6">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宋体" w:cs="Times New Roman"/>
                <w:color w:val="auto"/>
                <w:kern w:val="0"/>
                <w:sz w:val="24"/>
                <w:szCs w:val="24"/>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②业绩时间不符合要求的。</w:t>
            </w:r>
          </w:p>
        </w:tc>
      </w:tr>
      <w:tr w14:paraId="2BEF9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3" w:hRule="atLeast"/>
          <w:jc w:val="center"/>
        </w:trPr>
        <w:tc>
          <w:tcPr>
            <w:tcW w:w="1284" w:type="dxa"/>
            <w:noWrap w:val="0"/>
            <w:vAlign w:val="center"/>
          </w:tcPr>
          <w:p w14:paraId="742D1F20">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企业银行</w:t>
            </w:r>
          </w:p>
          <w:p w14:paraId="7EC2673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资信评级</w:t>
            </w:r>
          </w:p>
          <w:p w14:paraId="3CE7DF1D">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（10分）</w:t>
            </w:r>
          </w:p>
        </w:tc>
        <w:tc>
          <w:tcPr>
            <w:tcW w:w="4053" w:type="dxa"/>
            <w:noWrap w:val="0"/>
            <w:vAlign w:val="center"/>
          </w:tcPr>
          <w:p w14:paraId="396C670B">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宋体" w:cs="宋体"/>
                <w:snapToGrid w:val="0"/>
                <w:color w:val="auto"/>
                <w:kern w:val="0"/>
                <w:sz w:val="21"/>
                <w:szCs w:val="21"/>
                <w:highlight w:val="none"/>
                <w:u w:val="none"/>
                <w:lang w:val="en-US" w:eastAsia="zh-CN" w:bidi="ar-SA"/>
              </w:rPr>
            </w:pPr>
            <w:r>
              <w:rPr>
                <w:rFonts w:hint="eastAsia" w:ascii="宋体" w:hAnsi="宋体" w:eastAsia="宋体" w:cs="宋体"/>
                <w:snapToGrid w:val="0"/>
                <w:color w:val="auto"/>
                <w:kern w:val="0"/>
                <w:sz w:val="21"/>
                <w:szCs w:val="21"/>
                <w:highlight w:val="none"/>
                <w:u w:val="none"/>
                <w:lang w:val="en-US" w:eastAsia="zh-CN" w:bidi="ar-SA"/>
              </w:rPr>
              <w:t>1.银行资信评级AAA的，得10分；</w:t>
            </w:r>
          </w:p>
          <w:p w14:paraId="628E14A7">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宋体" w:cs="宋体"/>
                <w:snapToGrid w:val="0"/>
                <w:color w:val="auto"/>
                <w:kern w:val="0"/>
                <w:sz w:val="21"/>
                <w:szCs w:val="21"/>
                <w:highlight w:val="none"/>
                <w:u w:val="none"/>
                <w:lang w:val="en-US" w:eastAsia="zh-CN" w:bidi="ar-SA"/>
              </w:rPr>
            </w:pPr>
            <w:r>
              <w:rPr>
                <w:rFonts w:hint="eastAsia" w:ascii="宋体" w:hAnsi="宋体" w:eastAsia="宋体" w:cs="宋体"/>
                <w:snapToGrid w:val="0"/>
                <w:color w:val="auto"/>
                <w:kern w:val="0"/>
                <w:sz w:val="21"/>
                <w:szCs w:val="21"/>
                <w:highlight w:val="none"/>
                <w:u w:val="none"/>
                <w:lang w:val="en-US" w:eastAsia="zh-CN" w:bidi="ar-SA"/>
              </w:rPr>
              <w:t>2.银行资信评级AA（含AA＋、AA－）的，得5分。</w:t>
            </w:r>
          </w:p>
          <w:p w14:paraId="3FDDBCA7">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宋体" w:cs="宋体"/>
                <w:snapToGrid w:val="0"/>
                <w:color w:val="auto"/>
                <w:kern w:val="0"/>
                <w:sz w:val="21"/>
                <w:szCs w:val="21"/>
                <w:highlight w:val="none"/>
                <w:u w:val="none"/>
                <w:lang w:val="en-US" w:eastAsia="zh-CN" w:bidi="ar-SA"/>
              </w:rPr>
            </w:pPr>
            <w:r>
              <w:rPr>
                <w:rFonts w:hint="eastAsia" w:ascii="宋体" w:hAnsi="宋体" w:eastAsia="宋体" w:cs="宋体"/>
                <w:snapToGrid w:val="0"/>
                <w:color w:val="auto"/>
                <w:kern w:val="0"/>
                <w:sz w:val="21"/>
                <w:szCs w:val="21"/>
                <w:highlight w:val="none"/>
                <w:u w:val="none"/>
                <w:lang w:val="en-US" w:eastAsia="zh-CN" w:bidi="ar-SA"/>
              </w:rPr>
              <w:t>3.银行资信评级A（含A＋、A－）的，得1分。</w:t>
            </w:r>
          </w:p>
          <w:p w14:paraId="6AB5336A">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宋体" w:cs="宋体"/>
                <w:snapToGrid w:val="0"/>
                <w:color w:val="auto"/>
                <w:kern w:val="0"/>
                <w:sz w:val="21"/>
                <w:szCs w:val="21"/>
                <w:highlight w:val="none"/>
                <w:u w:val="none"/>
                <w:lang w:val="en-US" w:eastAsia="zh-CN" w:bidi="ar-SA"/>
              </w:rPr>
            </w:pPr>
            <w:r>
              <w:rPr>
                <w:rFonts w:hint="eastAsia" w:ascii="宋体" w:hAnsi="宋体" w:eastAsia="宋体" w:cs="宋体"/>
                <w:snapToGrid w:val="0"/>
                <w:color w:val="auto"/>
                <w:kern w:val="0"/>
                <w:sz w:val="21"/>
                <w:szCs w:val="21"/>
                <w:highlight w:val="none"/>
                <w:u w:val="none"/>
                <w:lang w:val="en-US" w:eastAsia="zh-CN" w:bidi="ar-SA"/>
              </w:rPr>
              <w:t>4.未获得过以上评级的，或评级证书无效的，不予计分。</w:t>
            </w:r>
          </w:p>
          <w:p w14:paraId="68EDB8E4">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宋体" w:cs="宋体"/>
                <w:snapToGrid w:val="0"/>
                <w:color w:val="auto"/>
                <w:kern w:val="0"/>
                <w:sz w:val="21"/>
                <w:szCs w:val="21"/>
                <w:highlight w:val="none"/>
                <w:u w:val="none"/>
                <w:lang w:val="en-US" w:eastAsia="zh-CN" w:bidi="ar-SA"/>
              </w:rPr>
            </w:pPr>
            <w:r>
              <w:rPr>
                <w:rFonts w:hint="eastAsia" w:ascii="宋体" w:hAnsi="宋体" w:eastAsia="宋体" w:cs="宋体"/>
                <w:snapToGrid w:val="0"/>
                <w:color w:val="auto"/>
                <w:kern w:val="0"/>
                <w:sz w:val="21"/>
                <w:szCs w:val="21"/>
                <w:highlight w:val="none"/>
                <w:lang w:val="en-US" w:eastAsia="zh-CN" w:bidi="ar-SA"/>
              </w:rPr>
              <w:t>本项最高得10分。</w:t>
            </w:r>
          </w:p>
        </w:tc>
        <w:tc>
          <w:tcPr>
            <w:tcW w:w="4223" w:type="dxa"/>
            <w:noWrap w:val="0"/>
            <w:vAlign w:val="center"/>
          </w:tcPr>
          <w:p w14:paraId="3EE93FED">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1.需提供在有效期内的资信评级证书（证明）</w:t>
            </w:r>
            <w:r>
              <w:rPr>
                <w:rFonts w:hint="eastAsia" w:ascii="宋体" w:hAnsi="宋体" w:eastAsia="宋体" w:cs="宋体"/>
                <w:b w:val="0"/>
                <w:bCs w:val="0"/>
                <w:snapToGrid w:val="0"/>
                <w:color w:val="auto"/>
                <w:kern w:val="0"/>
                <w:sz w:val="21"/>
                <w:szCs w:val="21"/>
                <w:highlight w:val="none"/>
                <w:u w:val="single"/>
                <w:lang w:val="en-US" w:eastAsia="zh-CN" w:bidi="ar-SA"/>
              </w:rPr>
              <w:t>彩色扫描件并加盖单位公章，否则不得分。</w:t>
            </w:r>
          </w:p>
          <w:p w14:paraId="1C2C6FAA">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2.评级证书（证明）须由</w:t>
            </w:r>
            <w:r>
              <w:rPr>
                <w:rFonts w:hint="eastAsia" w:ascii="宋体" w:hAnsi="宋体" w:eastAsia="宋体" w:cs="宋体"/>
                <w:b w:val="0"/>
                <w:bCs w:val="0"/>
                <w:snapToGrid w:val="0"/>
                <w:color w:val="auto"/>
                <w:kern w:val="0"/>
                <w:sz w:val="21"/>
                <w:szCs w:val="21"/>
                <w:highlight w:val="none"/>
                <w:u w:val="single"/>
                <w:lang w:val="en-US" w:eastAsia="zh-CN" w:bidi="ar-SA"/>
              </w:rPr>
              <w:t xml:space="preserve"> 金融机构 </w:t>
            </w:r>
            <w:r>
              <w:rPr>
                <w:rFonts w:hint="eastAsia" w:ascii="宋体" w:hAnsi="宋体" w:eastAsia="宋体" w:cs="宋体"/>
                <w:snapToGrid w:val="0"/>
                <w:color w:val="auto"/>
                <w:kern w:val="0"/>
                <w:sz w:val="21"/>
                <w:szCs w:val="21"/>
                <w:highlight w:val="none"/>
                <w:lang w:val="en-US" w:eastAsia="zh-CN" w:bidi="ar-SA"/>
              </w:rPr>
              <w:t>出具。</w:t>
            </w:r>
          </w:p>
          <w:p w14:paraId="3B2C596C">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3.评级证书（证明）有以下情形之一的，视为无效：</w:t>
            </w:r>
          </w:p>
          <w:p w14:paraId="51CB0C15">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①评级证书（证明）不在有效期内的；</w:t>
            </w:r>
          </w:p>
          <w:p w14:paraId="7FC9C679">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宋体" w:cs="宋体"/>
                <w:b/>
                <w:bCs/>
                <w:color w:val="auto"/>
                <w:kern w:val="0"/>
                <w:sz w:val="21"/>
                <w:szCs w:val="21"/>
                <w:highlight w:val="none"/>
                <w:shd w:val="clear" w:color="auto" w:fill="FFFFFF"/>
                <w:lang w:val="en-US" w:eastAsia="zh-CN" w:bidi="ar-SA"/>
              </w:rPr>
            </w:pPr>
            <w:r>
              <w:rPr>
                <w:rFonts w:hint="eastAsia" w:ascii="宋体" w:hAnsi="宋体" w:eastAsia="宋体" w:cs="宋体"/>
                <w:snapToGrid w:val="0"/>
                <w:color w:val="auto"/>
                <w:kern w:val="0"/>
                <w:sz w:val="21"/>
                <w:szCs w:val="21"/>
                <w:highlight w:val="none"/>
                <w:lang w:val="en-US" w:eastAsia="zh-CN" w:bidi="ar-SA"/>
              </w:rPr>
              <w:t>②出具机构不符合要求的。</w:t>
            </w:r>
          </w:p>
        </w:tc>
      </w:tr>
      <w:tr w14:paraId="2156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5" w:hRule="atLeast"/>
          <w:jc w:val="center"/>
        </w:trPr>
        <w:tc>
          <w:tcPr>
            <w:tcW w:w="1284" w:type="dxa"/>
            <w:noWrap w:val="0"/>
            <w:vAlign w:val="center"/>
          </w:tcPr>
          <w:p w14:paraId="3B463F7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b w:val="0"/>
                <w:bCs w:val="0"/>
                <w:color w:val="auto"/>
                <w:kern w:val="0"/>
                <w:sz w:val="21"/>
                <w:szCs w:val="21"/>
                <w:highlight w:val="none"/>
                <w:shd w:val="clear" w:color="auto" w:fill="FFFFFF"/>
                <w:lang w:val="en-US" w:eastAsia="zh-CN" w:bidi="ar-SA"/>
              </w:rPr>
            </w:pPr>
            <w:r>
              <w:rPr>
                <w:rFonts w:hint="eastAsia" w:ascii="宋体" w:hAnsi="宋体" w:eastAsia="宋体" w:cs="宋体"/>
                <w:b w:val="0"/>
                <w:bCs w:val="0"/>
                <w:color w:val="auto"/>
                <w:kern w:val="0"/>
                <w:sz w:val="21"/>
                <w:szCs w:val="21"/>
                <w:highlight w:val="none"/>
                <w:shd w:val="clear" w:color="auto" w:fill="FFFFFF"/>
                <w:lang w:val="en-US" w:eastAsia="zh-CN" w:bidi="ar-SA"/>
              </w:rPr>
              <w:t>企业财务</w:t>
            </w:r>
          </w:p>
          <w:p w14:paraId="605942FB">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b w:val="0"/>
                <w:bCs w:val="0"/>
                <w:color w:val="auto"/>
                <w:kern w:val="0"/>
                <w:sz w:val="21"/>
                <w:szCs w:val="21"/>
                <w:highlight w:val="none"/>
                <w:shd w:val="clear" w:color="auto" w:fill="FFFFFF"/>
                <w:lang w:val="en-US" w:eastAsia="zh-CN" w:bidi="ar-SA"/>
              </w:rPr>
            </w:pPr>
            <w:r>
              <w:rPr>
                <w:rFonts w:hint="eastAsia" w:ascii="宋体" w:hAnsi="宋体" w:eastAsia="宋体" w:cs="宋体"/>
                <w:b w:val="0"/>
                <w:bCs w:val="0"/>
                <w:color w:val="auto"/>
                <w:kern w:val="0"/>
                <w:sz w:val="21"/>
                <w:szCs w:val="21"/>
                <w:highlight w:val="none"/>
                <w:shd w:val="clear" w:color="auto" w:fill="FFFFFF"/>
                <w:lang w:val="en-US" w:eastAsia="zh-CN" w:bidi="ar-SA"/>
              </w:rPr>
              <w:t>状况</w:t>
            </w:r>
          </w:p>
          <w:p w14:paraId="794DC648">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b w:val="0"/>
                <w:bCs w:val="0"/>
                <w:color w:val="auto"/>
                <w:kern w:val="0"/>
                <w:sz w:val="21"/>
                <w:szCs w:val="21"/>
                <w:highlight w:val="none"/>
                <w:shd w:val="clear" w:color="auto" w:fill="FFFFFF"/>
                <w:lang w:val="en-US" w:eastAsia="zh-CN" w:bidi="ar-SA"/>
              </w:rPr>
              <w:t>（10分）</w:t>
            </w:r>
          </w:p>
        </w:tc>
        <w:tc>
          <w:tcPr>
            <w:tcW w:w="4053" w:type="dxa"/>
            <w:noWrap w:val="0"/>
            <w:vAlign w:val="center"/>
          </w:tcPr>
          <w:p w14:paraId="0BB00F08">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 w:val="0"/>
                <w:bCs w:val="0"/>
                <w:color w:val="auto"/>
                <w:kern w:val="0"/>
                <w:sz w:val="21"/>
                <w:szCs w:val="21"/>
                <w:highlight w:val="none"/>
                <w:shd w:val="clear" w:color="auto" w:fill="FFFFFF"/>
                <w:lang w:val="en-US" w:eastAsia="zh-CN" w:bidi="ar-SA"/>
              </w:rPr>
            </w:pPr>
            <w:r>
              <w:rPr>
                <w:rFonts w:hint="eastAsia" w:ascii="宋体" w:hAnsi="宋体" w:eastAsia="宋体" w:cs="宋体"/>
                <w:b w:val="0"/>
                <w:bCs w:val="0"/>
                <w:color w:val="auto"/>
                <w:kern w:val="0"/>
                <w:sz w:val="21"/>
                <w:szCs w:val="21"/>
                <w:highlight w:val="none"/>
                <w:shd w:val="clear" w:color="auto" w:fill="FFFFFF"/>
                <w:lang w:val="en-US" w:eastAsia="zh-CN" w:bidi="ar-SA"/>
              </w:rPr>
              <w:t>投标人提供不少于</w:t>
            </w:r>
            <w:r>
              <w:rPr>
                <w:rFonts w:hint="eastAsia" w:hAnsi="宋体" w:cs="宋体"/>
                <w:b w:val="0"/>
                <w:bCs w:val="0"/>
                <w:color w:val="auto"/>
                <w:kern w:val="0"/>
                <w:sz w:val="21"/>
                <w:szCs w:val="21"/>
                <w:highlight w:val="none"/>
                <w:u w:val="single"/>
                <w:shd w:val="clear" w:color="auto" w:fill="FFFFFF"/>
                <w:lang w:val="en-US" w:eastAsia="zh-CN" w:bidi="ar-SA"/>
              </w:rPr>
              <w:t>230</w:t>
            </w:r>
            <w:r>
              <w:rPr>
                <w:rFonts w:hint="eastAsia" w:ascii="宋体" w:hAnsi="宋体" w:eastAsia="宋体" w:cs="宋体"/>
                <w:b w:val="0"/>
                <w:bCs w:val="0"/>
                <w:color w:val="auto"/>
                <w:kern w:val="0"/>
                <w:sz w:val="21"/>
                <w:szCs w:val="21"/>
                <w:highlight w:val="none"/>
                <w:shd w:val="clear" w:color="auto" w:fill="FFFFFF"/>
                <w:lang w:val="en-US" w:eastAsia="zh-CN" w:bidi="ar-SA"/>
              </w:rPr>
              <w:t>万元银行授信或银行资信证明的，得10分。其他情况不得分。</w:t>
            </w:r>
          </w:p>
          <w:p w14:paraId="799966F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 w:val="0"/>
                <w:bCs w:val="0"/>
                <w:color w:val="auto"/>
                <w:kern w:val="0"/>
                <w:sz w:val="21"/>
                <w:szCs w:val="21"/>
                <w:highlight w:val="none"/>
                <w:shd w:val="clear" w:color="auto" w:fill="FFFFFF"/>
                <w:lang w:val="en-US" w:eastAsia="zh-CN" w:bidi="ar-SA"/>
              </w:rPr>
            </w:pPr>
            <w:r>
              <w:rPr>
                <w:rFonts w:hint="eastAsia" w:ascii="宋体" w:hAnsi="宋体" w:eastAsia="宋体" w:cs="宋体"/>
                <w:snapToGrid w:val="0"/>
                <w:color w:val="auto"/>
                <w:kern w:val="0"/>
                <w:sz w:val="21"/>
                <w:szCs w:val="21"/>
                <w:highlight w:val="none"/>
                <w:lang w:val="en-US" w:eastAsia="zh-CN" w:bidi="ar-SA"/>
              </w:rPr>
              <w:t>本项最高得10分。</w:t>
            </w:r>
          </w:p>
        </w:tc>
        <w:tc>
          <w:tcPr>
            <w:tcW w:w="4223" w:type="dxa"/>
            <w:noWrap w:val="0"/>
            <w:vAlign w:val="center"/>
          </w:tcPr>
          <w:p w14:paraId="237401B4">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 w:val="0"/>
                <w:bCs w:val="0"/>
                <w:color w:val="auto"/>
                <w:kern w:val="0"/>
                <w:sz w:val="21"/>
                <w:szCs w:val="21"/>
                <w:highlight w:val="none"/>
                <w:shd w:val="clear" w:color="auto" w:fill="FFFFFF"/>
                <w:lang w:val="en-US" w:eastAsia="zh-CN" w:bidi="ar-SA"/>
              </w:rPr>
            </w:pPr>
            <w:r>
              <w:rPr>
                <w:rFonts w:hint="eastAsia" w:ascii="宋体" w:hAnsi="宋体" w:eastAsia="宋体" w:cs="宋体"/>
                <w:b w:val="0"/>
                <w:bCs w:val="0"/>
                <w:color w:val="auto"/>
                <w:kern w:val="0"/>
                <w:sz w:val="21"/>
                <w:szCs w:val="21"/>
                <w:highlight w:val="none"/>
                <w:shd w:val="clear" w:color="auto" w:fill="FFFFFF"/>
                <w:lang w:val="en-US" w:eastAsia="zh-CN" w:bidi="ar-SA"/>
              </w:rPr>
              <w:t>1.需提供在有效期内的有关证明</w:t>
            </w:r>
            <w:r>
              <w:rPr>
                <w:rFonts w:hint="eastAsia" w:ascii="宋体" w:hAnsi="宋体" w:eastAsia="宋体" w:cs="宋体"/>
                <w:b w:val="0"/>
                <w:bCs w:val="0"/>
                <w:snapToGrid w:val="0"/>
                <w:color w:val="auto"/>
                <w:kern w:val="0"/>
                <w:sz w:val="21"/>
                <w:szCs w:val="21"/>
                <w:highlight w:val="none"/>
                <w:u w:val="single"/>
                <w:lang w:val="en-US" w:eastAsia="zh-CN" w:bidi="ar-SA"/>
              </w:rPr>
              <w:t>彩色扫描件并加盖单位公章，否则不得分。</w:t>
            </w:r>
          </w:p>
          <w:p w14:paraId="1582CEA2">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 w:val="0"/>
                <w:bCs w:val="0"/>
                <w:color w:val="auto"/>
                <w:kern w:val="0"/>
                <w:sz w:val="21"/>
                <w:szCs w:val="21"/>
                <w:highlight w:val="none"/>
                <w:shd w:val="clear" w:color="auto" w:fill="FFFFFF"/>
                <w:lang w:val="en-US" w:eastAsia="zh-CN" w:bidi="ar-SA"/>
              </w:rPr>
            </w:pPr>
            <w:r>
              <w:rPr>
                <w:rFonts w:hint="eastAsia" w:ascii="宋体" w:hAnsi="宋体" w:eastAsia="宋体" w:cs="宋体"/>
                <w:b w:val="0"/>
                <w:bCs w:val="0"/>
                <w:color w:val="auto"/>
                <w:kern w:val="0"/>
                <w:sz w:val="21"/>
                <w:szCs w:val="21"/>
                <w:highlight w:val="none"/>
                <w:shd w:val="clear" w:color="auto" w:fill="FFFFFF"/>
                <w:lang w:val="en-US" w:eastAsia="zh-CN" w:bidi="ar-SA"/>
              </w:rPr>
              <w:t>2.银行授信或银行资信证明有以下情形之一的，视为无效，不予计分：</w:t>
            </w:r>
          </w:p>
          <w:p w14:paraId="11ACF7E8">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 w:val="0"/>
                <w:bCs w:val="0"/>
                <w:color w:val="auto"/>
                <w:kern w:val="0"/>
                <w:sz w:val="21"/>
                <w:szCs w:val="21"/>
                <w:highlight w:val="none"/>
                <w:shd w:val="clear" w:color="auto" w:fill="FFFFFF"/>
                <w:lang w:val="en-US" w:eastAsia="zh-CN" w:bidi="ar-SA"/>
              </w:rPr>
            </w:pPr>
            <w:r>
              <w:rPr>
                <w:rFonts w:hint="eastAsia" w:ascii="宋体" w:hAnsi="宋体" w:eastAsia="宋体" w:cs="宋体"/>
                <w:b w:val="0"/>
                <w:bCs w:val="0"/>
                <w:color w:val="auto"/>
                <w:kern w:val="0"/>
                <w:sz w:val="21"/>
                <w:szCs w:val="21"/>
                <w:highlight w:val="none"/>
                <w:shd w:val="clear" w:color="auto" w:fill="FFFFFF"/>
                <w:lang w:val="en-US" w:eastAsia="zh-CN" w:bidi="ar-SA"/>
              </w:rPr>
              <w:t>①授信或资信证明不在有效期内的；</w:t>
            </w:r>
          </w:p>
          <w:p w14:paraId="6FBBE02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
                <w:bCs/>
                <w:color w:val="auto"/>
                <w:kern w:val="0"/>
                <w:sz w:val="21"/>
                <w:szCs w:val="21"/>
                <w:highlight w:val="none"/>
                <w:shd w:val="clear" w:color="auto" w:fill="FFFFFF"/>
                <w:lang w:val="en-US" w:eastAsia="zh-CN" w:bidi="ar-SA"/>
              </w:rPr>
            </w:pPr>
            <w:r>
              <w:rPr>
                <w:rFonts w:hint="eastAsia" w:ascii="宋体" w:hAnsi="宋体" w:eastAsia="宋体" w:cs="宋体"/>
                <w:b w:val="0"/>
                <w:bCs w:val="0"/>
                <w:color w:val="auto"/>
                <w:kern w:val="0"/>
                <w:sz w:val="21"/>
                <w:szCs w:val="21"/>
                <w:highlight w:val="none"/>
                <w:shd w:val="clear" w:color="auto" w:fill="FFFFFF"/>
                <w:lang w:val="en-US" w:eastAsia="zh-CN" w:bidi="ar-SA"/>
              </w:rPr>
              <w:t>②授信或资信额度不符合要求的。</w:t>
            </w:r>
          </w:p>
        </w:tc>
      </w:tr>
      <w:tr w14:paraId="4E1BD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284" w:type="dxa"/>
            <w:noWrap w:val="0"/>
            <w:vAlign w:val="center"/>
          </w:tcPr>
          <w:p w14:paraId="5DA338A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企业管理</w:t>
            </w:r>
          </w:p>
          <w:p w14:paraId="5788F16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体系认证</w:t>
            </w:r>
          </w:p>
          <w:p w14:paraId="0410FFF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（10分）</w:t>
            </w:r>
          </w:p>
        </w:tc>
        <w:tc>
          <w:tcPr>
            <w:tcW w:w="4053" w:type="dxa"/>
            <w:noWrap w:val="0"/>
            <w:vAlign w:val="center"/>
          </w:tcPr>
          <w:p w14:paraId="7EB6DDE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投标人提供</w:t>
            </w:r>
            <w:r>
              <w:rPr>
                <w:rFonts w:hint="eastAsia" w:ascii="宋体" w:hAnsi="宋体" w:eastAsia="宋体" w:cs="宋体"/>
                <w:color w:val="auto"/>
                <w:kern w:val="0"/>
                <w:sz w:val="21"/>
                <w:szCs w:val="21"/>
                <w:highlight w:val="none"/>
                <w:lang w:val="en-US" w:eastAsia="zh-CN" w:bidi="ar-SA"/>
              </w:rPr>
              <w:t>质量管理体系认证证书、职业健康安全管理体系认证证书、环境管理体系认证：</w:t>
            </w:r>
          </w:p>
          <w:p w14:paraId="5EA005A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1.企业获得以上3项证书的得10分；</w:t>
            </w:r>
          </w:p>
          <w:p w14:paraId="6755EC1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2.企业获得其中2项证书的得5分；</w:t>
            </w:r>
          </w:p>
          <w:p w14:paraId="679D7F7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3.企业获得其中1项证书的得1分；</w:t>
            </w:r>
          </w:p>
          <w:p w14:paraId="18DE202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4.未获得以上认证的，不予计分。</w:t>
            </w:r>
          </w:p>
          <w:p w14:paraId="5FCF112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本项最高得10分。</w:t>
            </w:r>
          </w:p>
        </w:tc>
        <w:tc>
          <w:tcPr>
            <w:tcW w:w="4223" w:type="dxa"/>
            <w:noWrap w:val="0"/>
            <w:vAlign w:val="center"/>
          </w:tcPr>
          <w:p w14:paraId="7E3A0E84">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宋体" w:cs="宋体"/>
                <w:strike/>
                <w:dstrike w:val="0"/>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1.需提供在有效期内的认证证书</w:t>
            </w:r>
            <w:r>
              <w:rPr>
                <w:rFonts w:hint="eastAsia" w:ascii="宋体" w:hAnsi="宋体" w:eastAsia="宋体" w:cs="宋体"/>
                <w:b w:val="0"/>
                <w:bCs w:val="0"/>
                <w:snapToGrid w:val="0"/>
                <w:color w:val="auto"/>
                <w:kern w:val="0"/>
                <w:sz w:val="21"/>
                <w:szCs w:val="21"/>
                <w:highlight w:val="none"/>
                <w:u w:val="single"/>
                <w:lang w:val="en-US" w:eastAsia="zh-CN" w:bidi="ar-SA"/>
              </w:rPr>
              <w:t>彩色扫描件并加盖单位公章，否则不得分。</w:t>
            </w:r>
          </w:p>
          <w:p w14:paraId="1AD317B7">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2.任一认证证书不在有效期内的，该认证证书视为无效，不予计分。</w:t>
            </w:r>
          </w:p>
        </w:tc>
      </w:tr>
      <w:tr w14:paraId="54AE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284" w:type="dxa"/>
            <w:noWrap w:val="0"/>
            <w:vAlign w:val="center"/>
          </w:tcPr>
          <w:p w14:paraId="26FE5F6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企业信誉</w:t>
            </w:r>
            <w:r>
              <w:rPr>
                <w:rFonts w:hint="eastAsia" w:ascii="宋体" w:hAnsi="宋体" w:eastAsia="宋体" w:cs="宋体"/>
                <w:color w:val="auto"/>
                <w:kern w:val="0"/>
                <w:sz w:val="21"/>
                <w:szCs w:val="21"/>
                <w:highlight w:val="none"/>
                <w:lang w:val="en-US" w:eastAsia="zh-CN" w:bidi="ar-SA"/>
              </w:rPr>
              <w:t>（10分）</w:t>
            </w:r>
          </w:p>
        </w:tc>
        <w:tc>
          <w:tcPr>
            <w:tcW w:w="4053" w:type="dxa"/>
            <w:noWrap w:val="0"/>
            <w:vAlign w:val="center"/>
          </w:tcPr>
          <w:p w14:paraId="0B5CFA59">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eastAsia="zh-CN"/>
              </w:rPr>
              <w:t>投标人</w:t>
            </w:r>
            <w:r>
              <w:rPr>
                <w:rFonts w:hint="eastAsia" w:ascii="宋体" w:hAnsi="宋体" w:eastAsia="宋体" w:cs="宋体"/>
                <w:b w:val="0"/>
                <w:bCs w:val="0"/>
                <w:snapToGrid w:val="0"/>
                <w:color w:val="auto"/>
                <w:kern w:val="0"/>
                <w:sz w:val="21"/>
                <w:szCs w:val="21"/>
                <w:highlight w:val="none"/>
                <w:lang w:val="en-US" w:eastAsia="zh-CN" w:bidi="ar-SA"/>
              </w:rPr>
              <w:t>获得地级市及以上建筑协会颁发的建筑企业信誉AAA级施工企业情况（其中必须有2024年度）：</w:t>
            </w:r>
          </w:p>
          <w:p w14:paraId="5A83EDCF">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1.企业连续16年及以上获得的，得10分；</w:t>
            </w:r>
          </w:p>
          <w:p w14:paraId="3E0D7D3E">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2.企业连续11-15年获得的，得7分；</w:t>
            </w:r>
          </w:p>
          <w:p w14:paraId="3F3B2E12">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3.企业连续6-10年获得的，得5分；</w:t>
            </w:r>
          </w:p>
          <w:p w14:paraId="16A9474C">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4.企业连续1-5年获得的，得1分；</w:t>
            </w:r>
          </w:p>
          <w:p w14:paraId="2C804BB3">
            <w:pPr>
              <w:keepNext w:val="0"/>
              <w:keepLines w:val="0"/>
              <w:pageBreakBefore w:val="0"/>
              <w:widowControl/>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5.其他情形的，不予计分。</w:t>
            </w:r>
          </w:p>
          <w:p w14:paraId="26A6193B">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本项最高得10分。</w:t>
            </w:r>
          </w:p>
        </w:tc>
        <w:tc>
          <w:tcPr>
            <w:tcW w:w="4223" w:type="dxa"/>
            <w:noWrap w:val="0"/>
            <w:vAlign w:val="center"/>
          </w:tcPr>
          <w:p w14:paraId="0ACB5BEB">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1.需提供“企业信誉”称号须由地级市或以上建筑协会颁发的证书</w:t>
            </w:r>
            <w:r>
              <w:rPr>
                <w:rFonts w:hint="eastAsia" w:ascii="宋体" w:hAnsi="宋体" w:eastAsia="宋体" w:cs="宋体"/>
                <w:color w:val="auto"/>
                <w:sz w:val="21"/>
                <w:highlight w:val="none"/>
                <w:u w:val="single"/>
                <w:lang w:val="en-US" w:eastAsia="zh-CN"/>
              </w:rPr>
              <w:t>彩色扫描件</w:t>
            </w:r>
            <w:r>
              <w:rPr>
                <w:rFonts w:hint="eastAsia" w:ascii="宋体" w:hAnsi="宋体" w:eastAsia="宋体" w:cs="宋体"/>
                <w:color w:val="auto"/>
                <w:sz w:val="21"/>
                <w:highlight w:val="none"/>
                <w:lang w:val="en-US" w:eastAsia="zh-CN"/>
              </w:rPr>
              <w:t>及发文材料</w:t>
            </w:r>
            <w:r>
              <w:rPr>
                <w:rFonts w:hint="eastAsia" w:ascii="宋体" w:hAnsi="宋体" w:eastAsia="宋体" w:cs="宋体"/>
                <w:b w:val="0"/>
                <w:bCs w:val="0"/>
                <w:snapToGrid w:val="0"/>
                <w:color w:val="auto"/>
                <w:kern w:val="0"/>
                <w:sz w:val="21"/>
                <w:szCs w:val="21"/>
                <w:highlight w:val="none"/>
                <w:u w:val="single"/>
                <w:lang w:eastAsia="zh-CN"/>
              </w:rPr>
              <w:t>并加盖</w:t>
            </w:r>
            <w:r>
              <w:rPr>
                <w:rFonts w:hint="eastAsia" w:ascii="宋体" w:hAnsi="宋体" w:eastAsia="宋体" w:cs="宋体"/>
                <w:b w:val="0"/>
                <w:bCs w:val="0"/>
                <w:snapToGrid w:val="0"/>
                <w:color w:val="auto"/>
                <w:kern w:val="0"/>
                <w:sz w:val="21"/>
                <w:szCs w:val="21"/>
                <w:highlight w:val="none"/>
                <w:u w:val="single"/>
                <w:lang w:val="en-US" w:eastAsia="zh-CN"/>
              </w:rPr>
              <w:t>单位</w:t>
            </w:r>
            <w:r>
              <w:rPr>
                <w:rFonts w:hint="eastAsia" w:ascii="宋体" w:hAnsi="宋体" w:eastAsia="宋体" w:cs="宋体"/>
                <w:b w:val="0"/>
                <w:bCs w:val="0"/>
                <w:snapToGrid w:val="0"/>
                <w:color w:val="auto"/>
                <w:kern w:val="0"/>
                <w:sz w:val="21"/>
                <w:szCs w:val="21"/>
                <w:highlight w:val="none"/>
                <w:u w:val="single"/>
                <w:lang w:eastAsia="zh-CN"/>
              </w:rPr>
              <w:t>公章</w:t>
            </w:r>
            <w:r>
              <w:rPr>
                <w:rFonts w:hint="eastAsia" w:ascii="宋体" w:hAnsi="宋体" w:eastAsia="宋体" w:cs="宋体"/>
                <w:b w:val="0"/>
                <w:bCs w:val="0"/>
                <w:color w:val="auto"/>
                <w:sz w:val="21"/>
                <w:szCs w:val="21"/>
                <w:highlight w:val="none"/>
                <w:u w:val="single"/>
                <w:shd w:val="clear" w:color="auto" w:fill="FFFFFF"/>
                <w:lang w:val="en-US" w:eastAsia="zh-CN"/>
              </w:rPr>
              <w:t>，否则不得分。</w:t>
            </w:r>
          </w:p>
          <w:p w14:paraId="67A65043">
            <w:pPr>
              <w:keepNext w:val="0"/>
              <w:keepLines w:val="0"/>
              <w:pageBreakBefore w:val="0"/>
              <w:widowControl w:val="0"/>
              <w:kinsoku/>
              <w:wordWrap/>
              <w:overflowPunct/>
              <w:topLinePunct w:val="0"/>
              <w:autoSpaceDE/>
              <w:autoSpaceDN/>
              <w:bidi w:val="0"/>
              <w:adjustRightInd/>
              <w:snapToGrid/>
              <w:spacing w:after="120" w:line="320" w:lineRule="exact"/>
              <w:ind w:left="0" w:leftChars="0" w:firstLine="0" w:firstLineChars="0"/>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w:t>
            </w:r>
            <w:r>
              <w:rPr>
                <w:rFonts w:hint="eastAsia" w:ascii="宋体" w:hAnsi="宋体" w:eastAsia="宋体" w:cs="宋体"/>
                <w:snapToGrid w:val="0"/>
                <w:color w:val="auto"/>
                <w:kern w:val="0"/>
                <w:sz w:val="21"/>
                <w:szCs w:val="21"/>
                <w:highlight w:val="none"/>
                <w:lang w:val="en-US" w:eastAsia="zh-CN" w:bidi="ar-SA"/>
              </w:rPr>
              <w:t>颁发机构不符合要求的；</w:t>
            </w:r>
            <w:r>
              <w:rPr>
                <w:rFonts w:hint="eastAsia" w:ascii="宋体" w:hAnsi="宋体" w:eastAsia="宋体" w:cs="宋体"/>
                <w:b w:val="0"/>
                <w:bCs w:val="0"/>
                <w:color w:val="auto"/>
                <w:kern w:val="0"/>
                <w:sz w:val="21"/>
                <w:szCs w:val="21"/>
                <w:highlight w:val="none"/>
                <w:shd w:val="clear" w:color="auto" w:fill="FFFFFF"/>
                <w:lang w:val="en-US" w:eastAsia="zh-CN" w:bidi="ar-SA"/>
              </w:rPr>
              <w:t>不予计分。</w:t>
            </w:r>
          </w:p>
        </w:tc>
      </w:tr>
      <w:tr w14:paraId="6FD3C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1284" w:type="dxa"/>
            <w:noWrap w:val="0"/>
            <w:vAlign w:val="center"/>
          </w:tcPr>
          <w:p w14:paraId="2BF164C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招标人</w:t>
            </w:r>
          </w:p>
          <w:p w14:paraId="3AC9747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自选项</w:t>
            </w:r>
          </w:p>
          <w:p w14:paraId="36E80CB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宋体" w:cs="宋体"/>
                <w:b w:val="0"/>
                <w:bCs w:val="0"/>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lang w:val="en-US" w:eastAsia="zh-CN" w:bidi="ar-SA"/>
              </w:rPr>
              <w:t>（</w:t>
            </w:r>
            <w:r>
              <w:rPr>
                <w:rFonts w:hint="eastAsia" w:hAnsi="宋体" w:cs="宋体"/>
                <w:color w:val="auto"/>
                <w:kern w:val="0"/>
                <w:sz w:val="21"/>
                <w:szCs w:val="21"/>
                <w:highlight w:val="none"/>
                <w:lang w:val="en-US" w:eastAsia="zh-CN" w:bidi="ar-SA"/>
              </w:rPr>
              <w:t>1</w:t>
            </w:r>
            <w:r>
              <w:rPr>
                <w:rFonts w:hint="eastAsia" w:ascii="宋体" w:hAnsi="宋体" w:eastAsia="宋体" w:cs="宋体"/>
                <w:color w:val="auto"/>
                <w:kern w:val="0"/>
                <w:sz w:val="21"/>
                <w:szCs w:val="21"/>
                <w:highlight w:val="none"/>
                <w:lang w:val="en-US" w:eastAsia="zh-CN" w:bidi="ar-SA"/>
              </w:rPr>
              <w:t>0分）</w:t>
            </w:r>
          </w:p>
        </w:tc>
        <w:tc>
          <w:tcPr>
            <w:tcW w:w="4053" w:type="dxa"/>
            <w:noWrap w:val="0"/>
            <w:vAlign w:val="center"/>
          </w:tcPr>
          <w:p w14:paraId="3E2984C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 w:val="0"/>
                <w:bCs w:val="0"/>
                <w:color w:val="auto"/>
                <w:kern w:val="0"/>
                <w:sz w:val="21"/>
                <w:szCs w:val="21"/>
                <w:highlight w:val="none"/>
                <w:shd w:val="clear" w:color="auto" w:fill="FFFFFF"/>
                <w:lang w:val="en-US" w:eastAsia="zh-CN" w:bidi="ar-SA"/>
              </w:rPr>
            </w:pPr>
            <w:r>
              <w:rPr>
                <w:rFonts w:hint="eastAsia" w:ascii="宋体" w:hAnsi="宋体" w:eastAsia="宋体" w:cs="宋体"/>
                <w:b w:val="0"/>
                <w:bCs w:val="0"/>
                <w:color w:val="auto"/>
                <w:kern w:val="0"/>
                <w:sz w:val="21"/>
                <w:szCs w:val="21"/>
                <w:highlight w:val="none"/>
                <w:shd w:val="clear" w:color="auto" w:fill="FFFFFF"/>
                <w:lang w:val="en-US" w:eastAsia="zh-CN" w:bidi="ar-SA"/>
              </w:rPr>
              <w:t>投标人获得纳税信用A级纳税人的情况（其中必须有2025年度）：</w:t>
            </w:r>
          </w:p>
          <w:p w14:paraId="2044DBBC">
            <w:pPr>
              <w:keepNext w:val="0"/>
              <w:keepLines w:val="0"/>
              <w:pageBreakBefore w:val="0"/>
              <w:widowControl/>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1.企业连续8年及以上获得的，得10分；</w:t>
            </w:r>
          </w:p>
          <w:p w14:paraId="61FB889B">
            <w:pPr>
              <w:keepNext w:val="0"/>
              <w:keepLines w:val="0"/>
              <w:pageBreakBefore w:val="0"/>
              <w:widowControl/>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2.企业连续6-7年获得的，得7分；</w:t>
            </w:r>
          </w:p>
          <w:p w14:paraId="0A1A2966">
            <w:pPr>
              <w:keepNext w:val="0"/>
              <w:keepLines w:val="0"/>
              <w:pageBreakBefore w:val="0"/>
              <w:widowControl/>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3.企业连续4-5年获得的，得5分；</w:t>
            </w:r>
          </w:p>
          <w:p w14:paraId="6C7C9F92">
            <w:pPr>
              <w:keepNext w:val="0"/>
              <w:keepLines w:val="0"/>
              <w:pageBreakBefore w:val="0"/>
              <w:widowControl/>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4.企业连续1-3年获得的，得1分；</w:t>
            </w:r>
          </w:p>
          <w:p w14:paraId="63BB6EC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5.其他情形的，不予计分。</w:t>
            </w:r>
          </w:p>
          <w:p w14:paraId="7E918B26">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本项最高得10分。</w:t>
            </w:r>
          </w:p>
        </w:tc>
        <w:tc>
          <w:tcPr>
            <w:tcW w:w="4223" w:type="dxa"/>
            <w:noWrap w:val="0"/>
            <w:vAlign w:val="center"/>
          </w:tcPr>
          <w:p w14:paraId="43C82DBC">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 w:val="0"/>
                <w:bCs w:val="0"/>
                <w:color w:val="auto"/>
                <w:kern w:val="0"/>
                <w:sz w:val="21"/>
                <w:szCs w:val="21"/>
                <w:highlight w:val="none"/>
                <w:shd w:val="clear" w:color="auto" w:fill="FFFFFF"/>
                <w:lang w:val="en-US" w:eastAsia="zh-CN" w:bidi="ar-SA"/>
              </w:rPr>
            </w:pPr>
            <w:r>
              <w:rPr>
                <w:rFonts w:hint="eastAsia" w:ascii="宋体" w:hAnsi="宋体" w:eastAsia="宋体" w:cs="宋体"/>
                <w:b w:val="0"/>
                <w:bCs w:val="0"/>
                <w:color w:val="auto"/>
                <w:kern w:val="0"/>
                <w:sz w:val="21"/>
                <w:szCs w:val="21"/>
                <w:highlight w:val="none"/>
                <w:shd w:val="clear" w:color="auto" w:fill="FFFFFF"/>
                <w:lang w:val="en-US" w:eastAsia="zh-CN" w:bidi="ar-SA"/>
              </w:rPr>
              <w:t>1.需提供企业纳税信用A级纳税人证明材料（或证书）</w:t>
            </w:r>
            <w:r>
              <w:rPr>
                <w:rFonts w:hint="eastAsia" w:ascii="宋体" w:hAnsi="宋体" w:eastAsia="宋体" w:cs="宋体"/>
                <w:b w:val="0"/>
                <w:bCs w:val="0"/>
                <w:color w:val="auto"/>
                <w:kern w:val="0"/>
                <w:sz w:val="21"/>
                <w:szCs w:val="21"/>
                <w:highlight w:val="none"/>
                <w:u w:val="single"/>
                <w:shd w:val="clear" w:color="auto" w:fill="FFFFFF"/>
                <w:lang w:val="en-US" w:eastAsia="zh-CN" w:bidi="ar-SA"/>
              </w:rPr>
              <w:t>彩色扫描件</w:t>
            </w:r>
            <w:r>
              <w:rPr>
                <w:rFonts w:hint="eastAsia" w:ascii="宋体" w:hAnsi="宋体" w:eastAsia="宋体" w:cs="宋体"/>
                <w:b w:val="0"/>
                <w:bCs w:val="0"/>
                <w:color w:val="auto"/>
                <w:kern w:val="0"/>
                <w:sz w:val="21"/>
                <w:szCs w:val="21"/>
                <w:highlight w:val="none"/>
                <w:shd w:val="clear" w:color="auto" w:fill="FFFFFF"/>
                <w:lang w:val="en-US" w:eastAsia="zh-CN" w:bidi="ar-SA"/>
              </w:rPr>
              <w:t>及国家税务总局（或省级电子税务局）网上查询截图</w:t>
            </w:r>
            <w:r>
              <w:rPr>
                <w:rFonts w:hint="eastAsia" w:ascii="宋体" w:hAnsi="宋体" w:eastAsia="宋体" w:cs="宋体"/>
                <w:b w:val="0"/>
                <w:bCs w:val="0"/>
                <w:snapToGrid w:val="0"/>
                <w:color w:val="auto"/>
                <w:kern w:val="0"/>
                <w:sz w:val="21"/>
                <w:szCs w:val="21"/>
                <w:highlight w:val="none"/>
                <w:u w:val="single"/>
                <w:lang w:val="en-US" w:eastAsia="zh-CN" w:bidi="ar-SA"/>
              </w:rPr>
              <w:t>并加盖单位公章</w:t>
            </w:r>
            <w:r>
              <w:rPr>
                <w:rFonts w:hint="eastAsia" w:ascii="宋体" w:hAnsi="宋体" w:eastAsia="宋体" w:cs="宋体"/>
                <w:b w:val="0"/>
                <w:bCs w:val="0"/>
                <w:color w:val="auto"/>
                <w:kern w:val="0"/>
                <w:sz w:val="21"/>
                <w:szCs w:val="21"/>
                <w:highlight w:val="none"/>
                <w:shd w:val="clear" w:color="auto" w:fill="FFFFFF"/>
                <w:lang w:val="en-US" w:eastAsia="zh-CN" w:bidi="ar-SA"/>
              </w:rPr>
              <w:t>，否则不得分。</w:t>
            </w:r>
          </w:p>
          <w:p w14:paraId="22160DFB">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宋体" w:hAnsi="宋体" w:eastAsia="宋体" w:cs="宋体"/>
                <w:b w:val="0"/>
                <w:bCs w:val="0"/>
                <w:color w:val="auto"/>
                <w:kern w:val="0"/>
                <w:sz w:val="21"/>
                <w:szCs w:val="21"/>
                <w:highlight w:val="none"/>
                <w:shd w:val="clear" w:color="auto" w:fill="FFFFFF"/>
                <w:lang w:val="en-US" w:eastAsia="zh-CN" w:bidi="ar-SA"/>
              </w:rPr>
            </w:pPr>
            <w:r>
              <w:rPr>
                <w:rFonts w:hint="eastAsia" w:ascii="宋体" w:hAnsi="宋体" w:eastAsia="宋体" w:cs="宋体"/>
                <w:b w:val="0"/>
                <w:bCs w:val="0"/>
                <w:color w:val="auto"/>
                <w:kern w:val="0"/>
                <w:sz w:val="21"/>
                <w:szCs w:val="21"/>
                <w:highlight w:val="none"/>
                <w:shd w:val="clear" w:color="auto" w:fill="FFFFFF"/>
                <w:lang w:val="en-US" w:eastAsia="zh-CN" w:bidi="ar-SA"/>
              </w:rPr>
              <w:t>2.只计算投标人自身（不计算投标人的分公司、子公司及分支机构）。</w:t>
            </w:r>
          </w:p>
        </w:tc>
      </w:tr>
      <w:tr w14:paraId="4B60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9560" w:type="dxa"/>
            <w:gridSpan w:val="3"/>
            <w:noWrap w:val="0"/>
            <w:vAlign w:val="center"/>
          </w:tcPr>
          <w:p w14:paraId="5BADDFEB">
            <w:pPr>
              <w:widowControl/>
              <w:spacing w:line="240" w:lineRule="auto"/>
              <w:jc w:val="both"/>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snapToGrid w:val="0"/>
                <w:color w:val="auto"/>
                <w:kern w:val="0"/>
                <w:sz w:val="21"/>
                <w:szCs w:val="21"/>
                <w:highlight w:val="none"/>
              </w:rPr>
              <w:t>技术部分（施工组织设计）</w:t>
            </w:r>
            <w:r>
              <w:rPr>
                <w:rFonts w:hint="eastAsia" w:ascii="宋体" w:hAnsi="宋体" w:eastAsia="宋体" w:cs="宋体"/>
                <w:b/>
                <w:bCs/>
                <w:color w:val="auto"/>
                <w:sz w:val="21"/>
                <w:szCs w:val="21"/>
                <w:highlight w:val="none"/>
              </w:rPr>
              <w:t>（</w:t>
            </w:r>
            <w:r>
              <w:rPr>
                <w:rFonts w:hint="eastAsia" w:ascii="宋体" w:hAnsi="宋体" w:eastAsia="宋体" w:cs="宋体"/>
                <w:b/>
                <w:bCs w:val="0"/>
                <w:color w:val="auto"/>
                <w:sz w:val="21"/>
                <w:szCs w:val="21"/>
                <w:highlight w:val="none"/>
                <w:lang w:eastAsia="zh-CN"/>
              </w:rPr>
              <w:t>满分</w:t>
            </w: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分）</w:t>
            </w:r>
          </w:p>
        </w:tc>
      </w:tr>
      <w:tr w14:paraId="2616D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284" w:type="dxa"/>
            <w:noWrap w:val="0"/>
            <w:vAlign w:val="center"/>
          </w:tcPr>
          <w:p w14:paraId="3DC292CC">
            <w:pPr>
              <w:widowControl w:val="0"/>
              <w:spacing w:line="240" w:lineRule="auto"/>
              <w:jc w:val="center"/>
              <w:textAlignment w:val="auto"/>
              <w:rPr>
                <w:rFonts w:hint="eastAsia" w:ascii="宋体" w:hAnsi="宋体" w:eastAsia="宋体" w:cs="宋体"/>
                <w:color w:val="auto"/>
                <w:spacing w:val="1"/>
                <w:sz w:val="21"/>
                <w:szCs w:val="21"/>
                <w:highlight w:val="none"/>
              </w:rPr>
            </w:pPr>
            <w:r>
              <w:rPr>
                <w:rFonts w:hint="eastAsia" w:ascii="宋体" w:hAnsi="宋体" w:eastAsia="宋体" w:cs="宋体"/>
                <w:b/>
                <w:bCs/>
                <w:color w:val="auto"/>
                <w:sz w:val="21"/>
                <w:szCs w:val="21"/>
                <w:highlight w:val="none"/>
              </w:rPr>
              <w:t>评分因素</w:t>
            </w:r>
          </w:p>
        </w:tc>
        <w:tc>
          <w:tcPr>
            <w:tcW w:w="4053" w:type="dxa"/>
            <w:noWrap w:val="0"/>
            <w:vAlign w:val="center"/>
          </w:tcPr>
          <w:p w14:paraId="76BFC862">
            <w:pPr>
              <w:widowControl/>
              <w:spacing w:line="240" w:lineRule="auto"/>
              <w:jc w:val="center"/>
              <w:textAlignment w:val="auto"/>
              <w:rPr>
                <w:rFonts w:hint="eastAsia" w:ascii="宋体" w:hAnsi="宋体" w:eastAsia="宋体" w:cs="宋体"/>
                <w:color w:val="auto"/>
                <w:spacing w:val="5"/>
                <w:sz w:val="21"/>
                <w:szCs w:val="21"/>
                <w:highlight w:val="none"/>
              </w:rPr>
            </w:pPr>
            <w:r>
              <w:rPr>
                <w:rFonts w:hint="eastAsia" w:ascii="宋体" w:hAnsi="宋体" w:eastAsia="宋体" w:cs="宋体"/>
                <w:b/>
                <w:bCs/>
                <w:color w:val="auto"/>
                <w:sz w:val="21"/>
                <w:szCs w:val="21"/>
                <w:highlight w:val="none"/>
              </w:rPr>
              <w:t>评分标准</w:t>
            </w:r>
          </w:p>
        </w:tc>
        <w:tc>
          <w:tcPr>
            <w:tcW w:w="4223" w:type="dxa"/>
            <w:noWrap w:val="0"/>
            <w:vAlign w:val="center"/>
          </w:tcPr>
          <w:p w14:paraId="15FE1D53">
            <w:pPr>
              <w:widowControl/>
              <w:spacing w:line="240" w:lineRule="auto"/>
              <w:jc w:val="center"/>
              <w:textAlignment w:val="auto"/>
              <w:rPr>
                <w:rFonts w:hint="eastAsia" w:ascii="宋体" w:hAnsi="宋体" w:eastAsia="宋体" w:cs="宋体"/>
                <w:color w:val="auto"/>
                <w:spacing w:val="5"/>
                <w:sz w:val="21"/>
                <w:szCs w:val="21"/>
                <w:highlight w:val="none"/>
              </w:rPr>
            </w:pPr>
            <w:r>
              <w:rPr>
                <w:rFonts w:hint="eastAsia" w:ascii="宋体" w:hAnsi="宋体" w:eastAsia="宋体" w:cs="宋体"/>
                <w:b/>
                <w:bCs/>
                <w:color w:val="auto"/>
                <w:sz w:val="21"/>
                <w:szCs w:val="21"/>
                <w:highlight w:val="none"/>
                <w:lang w:eastAsia="zh-CN"/>
              </w:rPr>
              <w:t>备注</w:t>
            </w:r>
          </w:p>
        </w:tc>
      </w:tr>
      <w:tr w14:paraId="6C9B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8" w:hRule="atLeast"/>
          <w:jc w:val="center"/>
        </w:trPr>
        <w:tc>
          <w:tcPr>
            <w:tcW w:w="1284" w:type="dxa"/>
            <w:noWrap w:val="0"/>
            <w:vAlign w:val="center"/>
          </w:tcPr>
          <w:p w14:paraId="4E534933">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 xml:space="preserve"> 总体概述</w:t>
            </w:r>
          </w:p>
          <w:p w14:paraId="78E81D45">
            <w:pPr>
              <w:keepNext w:val="0"/>
              <w:keepLines w:val="0"/>
              <w:pageBreakBefore w:val="0"/>
              <w:widowControl w:val="0"/>
              <w:kinsoku/>
              <w:wordWrap w:val="0"/>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color w:val="auto"/>
                <w:spacing w:val="1"/>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w:t>
            </w:r>
            <w:r>
              <w:rPr>
                <w:rFonts w:hint="eastAsia" w:ascii="宋体" w:hAnsi="宋体" w:eastAsia="宋体" w:cs="宋体"/>
                <w:snapToGrid w:val="0"/>
                <w:color w:val="auto"/>
                <w:kern w:val="0"/>
                <w:sz w:val="21"/>
                <w:szCs w:val="21"/>
                <w:highlight w:val="none"/>
                <w:u w:val="single"/>
                <w:lang w:val="en-US" w:eastAsia="zh-CN" w:bidi="ar-SA"/>
              </w:rPr>
              <w:t xml:space="preserve"> 3 </w:t>
            </w:r>
            <w:r>
              <w:rPr>
                <w:rFonts w:hint="eastAsia" w:ascii="宋体" w:hAnsi="宋体" w:eastAsia="宋体" w:cs="宋体"/>
                <w:snapToGrid w:val="0"/>
                <w:color w:val="auto"/>
                <w:kern w:val="0"/>
                <w:sz w:val="21"/>
                <w:szCs w:val="21"/>
                <w:highlight w:val="none"/>
                <w:lang w:val="en-US" w:eastAsia="zh-CN" w:bidi="ar-SA"/>
              </w:rPr>
              <w:t>分）</w:t>
            </w:r>
          </w:p>
        </w:tc>
        <w:tc>
          <w:tcPr>
            <w:tcW w:w="4053" w:type="dxa"/>
            <w:noWrap w:val="0"/>
            <w:vAlign w:val="center"/>
          </w:tcPr>
          <w:p w14:paraId="02BE184E">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【优】得该项评分因素分值的90%～100%（含90%）。</w:t>
            </w:r>
          </w:p>
          <w:p w14:paraId="3E774ECD">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【良】得该项评分因素分值的80%～90%（含80%）。</w:t>
            </w:r>
          </w:p>
          <w:p w14:paraId="5B7FA7A7">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【中】得该项评分因素分值的70%～80%（含70%）。</w:t>
            </w:r>
          </w:p>
          <w:p w14:paraId="46C4C02F">
            <w:pPr>
              <w:keepNext w:val="0"/>
              <w:keepLines w:val="0"/>
              <w:pageBreakBefore w:val="0"/>
              <w:widowControl w:val="0"/>
              <w:kinsoku/>
              <w:wordWrap w:val="0"/>
              <w:overflowPunct/>
              <w:topLinePunct w:val="0"/>
              <w:autoSpaceDE/>
              <w:autoSpaceDN/>
              <w:bidi w:val="0"/>
              <w:adjustRightInd w:val="0"/>
              <w:snapToGrid w:val="0"/>
              <w:spacing w:after="0" w:afterLines="0" w:line="320" w:lineRule="exact"/>
              <w:jc w:val="left"/>
              <w:textAlignment w:val="auto"/>
              <w:rPr>
                <w:rFonts w:hint="eastAsia" w:ascii="宋体" w:hAnsi="宋体" w:eastAsia="宋体" w:cs="宋体"/>
                <w:color w:val="auto"/>
                <w:spacing w:val="5"/>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【差】得该项评分因素分值的60～70%（含60%）。</w:t>
            </w:r>
          </w:p>
        </w:tc>
        <w:tc>
          <w:tcPr>
            <w:tcW w:w="4223" w:type="dxa"/>
            <w:noWrap w:val="0"/>
            <w:vAlign w:val="center"/>
          </w:tcPr>
          <w:p w14:paraId="654A88D2">
            <w:pPr>
              <w:keepNext w:val="0"/>
              <w:keepLines w:val="0"/>
              <w:pageBreakBefore w:val="0"/>
              <w:widowControl w:val="0"/>
              <w:kinsoku/>
              <w:wordWrap w:val="0"/>
              <w:overflowPunct/>
              <w:topLinePunct w:val="0"/>
              <w:autoSpaceDE/>
              <w:autoSpaceDN/>
              <w:bidi w:val="0"/>
              <w:adjustRightInd w:val="0"/>
              <w:snapToGrid w:val="0"/>
              <w:spacing w:after="0" w:afterLines="0" w:line="320" w:lineRule="exact"/>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【优】对项目总体有深刻认识，表述清晰、完整、严谨、合理，措施先进、具体、有效、成熟，采用了新技术、新工艺、新材料、新设备；施工段划分呼应总体表述，划分清晰、合理，符合规范要求。</w:t>
            </w:r>
          </w:p>
          <w:p w14:paraId="273B6026">
            <w:pPr>
              <w:keepNext w:val="0"/>
              <w:keepLines w:val="0"/>
              <w:pageBreakBefore w:val="0"/>
              <w:widowControl w:val="0"/>
              <w:kinsoku/>
              <w:wordWrap w:val="0"/>
              <w:overflowPunct/>
              <w:topLinePunct w:val="0"/>
              <w:autoSpaceDE/>
              <w:autoSpaceDN/>
              <w:bidi w:val="0"/>
              <w:adjustRightInd w:val="0"/>
              <w:snapToGrid w:val="0"/>
              <w:spacing w:after="0" w:afterLines="0" w:line="320" w:lineRule="exact"/>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【良】对项目总体有一定认识，表述清晰、完整，措施具体有效；施工段划分呼应总体表述，划分清晰，符合规范要求。</w:t>
            </w:r>
          </w:p>
          <w:p w14:paraId="13047085">
            <w:pPr>
              <w:keepNext w:val="0"/>
              <w:keepLines w:val="0"/>
              <w:pageBreakBefore w:val="0"/>
              <w:widowControl w:val="0"/>
              <w:kinsoku/>
              <w:wordWrap w:val="0"/>
              <w:overflowPunct/>
              <w:topLinePunct w:val="0"/>
              <w:autoSpaceDE/>
              <w:autoSpaceDN/>
              <w:bidi w:val="0"/>
              <w:adjustRightInd w:val="0"/>
              <w:snapToGrid w:val="0"/>
              <w:spacing w:after="0" w:afterLines="0" w:line="320" w:lineRule="exact"/>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【中】对项目总体有认识，有一定的措施但部分不具体；施工段划分较合理，符合规范要求。</w:t>
            </w:r>
          </w:p>
          <w:p w14:paraId="01DC8BEA">
            <w:pPr>
              <w:keepNext w:val="0"/>
              <w:keepLines w:val="0"/>
              <w:pageBreakBefore w:val="0"/>
              <w:widowControl w:val="0"/>
              <w:kinsoku/>
              <w:wordWrap w:val="0"/>
              <w:overflowPunct/>
              <w:topLinePunct w:val="0"/>
              <w:autoSpaceDE/>
              <w:autoSpaceDN/>
              <w:bidi w:val="0"/>
              <w:adjustRightInd w:val="0"/>
              <w:snapToGrid w:val="0"/>
              <w:spacing w:after="0" w:afterLines="0" w:line="320" w:lineRule="exact"/>
              <w:jc w:val="left"/>
              <w:textAlignment w:val="auto"/>
              <w:rPr>
                <w:rFonts w:hint="eastAsia" w:ascii="宋体" w:hAnsi="宋体" w:eastAsia="宋体" w:cs="宋体"/>
                <w:color w:val="auto"/>
                <w:spacing w:val="5"/>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【差】对项目认识不足，表述不清晰，措施不具体；施工段划分不合理。</w:t>
            </w:r>
          </w:p>
        </w:tc>
      </w:tr>
      <w:tr w14:paraId="32F65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4" w:hRule="atLeast"/>
          <w:jc w:val="center"/>
        </w:trPr>
        <w:tc>
          <w:tcPr>
            <w:tcW w:w="1284" w:type="dxa"/>
            <w:noWrap w:val="0"/>
            <w:vAlign w:val="center"/>
          </w:tcPr>
          <w:p w14:paraId="17CCE25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施工总进</w:t>
            </w:r>
          </w:p>
          <w:p w14:paraId="05F1A70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度计划及</w:t>
            </w:r>
          </w:p>
          <w:p w14:paraId="21722387">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保证措施</w:t>
            </w:r>
          </w:p>
          <w:p w14:paraId="52A1E4C8">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pacing w:val="1"/>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 xml:space="preserve">（ </w:t>
            </w:r>
            <w:r>
              <w:rPr>
                <w:rFonts w:hint="eastAsia" w:ascii="宋体" w:hAnsi="宋体" w:eastAsia="宋体" w:cs="宋体"/>
                <w:snapToGrid w:val="0"/>
                <w:color w:val="auto"/>
                <w:kern w:val="0"/>
                <w:sz w:val="21"/>
                <w:szCs w:val="21"/>
                <w:highlight w:val="none"/>
                <w:u w:val="single"/>
                <w:lang w:val="en-US" w:eastAsia="zh-CN" w:bidi="ar-SA"/>
              </w:rPr>
              <w:t xml:space="preserve">3 </w:t>
            </w:r>
            <w:r>
              <w:rPr>
                <w:rFonts w:hint="eastAsia" w:ascii="宋体" w:hAnsi="宋体" w:eastAsia="宋体" w:cs="宋体"/>
                <w:snapToGrid w:val="0"/>
                <w:color w:val="auto"/>
                <w:kern w:val="0"/>
                <w:sz w:val="21"/>
                <w:szCs w:val="21"/>
                <w:highlight w:val="none"/>
                <w:lang w:val="en-US" w:eastAsia="zh-CN" w:bidi="ar-SA"/>
              </w:rPr>
              <w:t>分）</w:t>
            </w:r>
          </w:p>
        </w:tc>
        <w:tc>
          <w:tcPr>
            <w:tcW w:w="4053" w:type="dxa"/>
            <w:noWrap w:val="0"/>
            <w:vAlign w:val="center"/>
          </w:tcPr>
          <w:p w14:paraId="78767EB4">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【优】得该项评分因素分值的90%～100%（含90%）。</w:t>
            </w:r>
          </w:p>
          <w:p w14:paraId="0AF5DEDA">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【良】得该项评分因素分值的80%～90%（含80%）。</w:t>
            </w:r>
          </w:p>
          <w:p w14:paraId="04E24F60">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【中】得该项评分因素分值的70%～80%（含70%）。</w:t>
            </w:r>
          </w:p>
          <w:p w14:paraId="350DA4C6">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color w:val="auto"/>
                <w:spacing w:val="5"/>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【差】得该项评分因素分值的60～70%（含60%）。</w:t>
            </w:r>
          </w:p>
        </w:tc>
        <w:tc>
          <w:tcPr>
            <w:tcW w:w="4223" w:type="dxa"/>
            <w:noWrap w:val="0"/>
            <w:vAlign w:val="center"/>
          </w:tcPr>
          <w:p w14:paraId="7AB95521">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【优】关键线路清晰、准确、完整，计划编制合理、可行。关键节点的控制措施有力、合理、可行。人、材、机需求和进场计划与进度计划相呼应，较好满足施</w:t>
            </w:r>
            <w:r>
              <w:rPr>
                <w:rFonts w:hint="eastAsia" w:ascii="宋体" w:hAnsi="宋体" w:eastAsia="宋体" w:cs="宋体"/>
                <w:b w:val="0"/>
                <w:bCs w:val="0"/>
                <w:snapToGrid w:val="0"/>
                <w:color w:val="auto"/>
                <w:kern w:val="0"/>
                <w:sz w:val="21"/>
                <w:szCs w:val="21"/>
                <w:highlight w:val="none"/>
                <w:lang w:val="en-US" w:eastAsia="zh-CN" w:bidi="ar-SA"/>
              </w:rPr>
              <w:t>工需要，调配投入计划合理、准确。进度违约责任承诺具体，经济赔偿合理。</w:t>
            </w:r>
          </w:p>
          <w:p w14:paraId="12813277">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良】关键线路清晰、准确、完整，计划编制可行。关键节点的控制措施合理、可行。人、材、机需求和进场计划与进度计划相呼应，基本满足施工需要，调配投入计划基本合理、准确。进度违约责任承诺具体，经济赔偿较合理。</w:t>
            </w:r>
          </w:p>
          <w:p w14:paraId="6185D019">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【中】关键线路基本准确，计划编制基本合理。关键节点的控制措施基本可行。人、材、机需求和进场计划与进度计划相呼应</w:t>
            </w:r>
            <w:r>
              <w:rPr>
                <w:rFonts w:hint="eastAsia" w:ascii="宋体" w:hAnsi="宋体" w:eastAsia="宋体" w:cs="宋体"/>
                <w:snapToGrid w:val="0"/>
                <w:color w:val="auto"/>
                <w:kern w:val="0"/>
                <w:sz w:val="21"/>
                <w:szCs w:val="21"/>
                <w:highlight w:val="none"/>
                <w:lang w:val="en-US" w:eastAsia="zh-CN" w:bidi="ar-SA"/>
              </w:rPr>
              <w:t>，基本满足施工需要，调配投入计划基本合理。进度违约责任承诺具体。</w:t>
            </w:r>
          </w:p>
          <w:p w14:paraId="7E8B7A86">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color w:val="auto"/>
                <w:spacing w:val="5"/>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【差】关键线路不准确，计划编制不合理。关键节点的控制不可行。人、材、机需求和进场计划与进度计划不相呼应，不能满足施工需要。没有违约责任承诺。</w:t>
            </w:r>
          </w:p>
        </w:tc>
      </w:tr>
      <w:tr w14:paraId="3F72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6" w:hRule="atLeast"/>
          <w:jc w:val="center"/>
        </w:trPr>
        <w:tc>
          <w:tcPr>
            <w:tcW w:w="1284" w:type="dxa"/>
            <w:noWrap w:val="0"/>
            <w:vAlign w:val="center"/>
          </w:tcPr>
          <w:p w14:paraId="1CF85683">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质量</w:t>
            </w:r>
          </w:p>
          <w:p w14:paraId="2BF358B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保证措施</w:t>
            </w:r>
          </w:p>
          <w:p w14:paraId="7E03834A">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pacing w:val="1"/>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w:t>
            </w:r>
            <w:r>
              <w:rPr>
                <w:rFonts w:hint="eastAsia" w:ascii="宋体" w:hAnsi="宋体" w:eastAsia="宋体" w:cs="宋体"/>
                <w:snapToGrid w:val="0"/>
                <w:color w:val="auto"/>
                <w:kern w:val="0"/>
                <w:sz w:val="21"/>
                <w:szCs w:val="21"/>
                <w:highlight w:val="none"/>
                <w:u w:val="single"/>
                <w:lang w:val="en-US" w:eastAsia="zh-CN" w:bidi="ar-SA"/>
              </w:rPr>
              <w:t>3</w:t>
            </w:r>
            <w:r>
              <w:rPr>
                <w:rFonts w:hint="eastAsia" w:ascii="宋体" w:hAnsi="宋体" w:eastAsia="宋体" w:cs="宋体"/>
                <w:snapToGrid w:val="0"/>
                <w:color w:val="auto"/>
                <w:kern w:val="0"/>
                <w:sz w:val="21"/>
                <w:szCs w:val="21"/>
                <w:highlight w:val="none"/>
                <w:lang w:val="en-US" w:eastAsia="zh-CN" w:bidi="ar-SA"/>
              </w:rPr>
              <w:t>分）</w:t>
            </w:r>
          </w:p>
        </w:tc>
        <w:tc>
          <w:tcPr>
            <w:tcW w:w="4053" w:type="dxa"/>
            <w:noWrap w:val="0"/>
            <w:vAlign w:val="center"/>
          </w:tcPr>
          <w:p w14:paraId="47D11AC6">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【优】得该项评分因素分值的90%～100%（含90%）。</w:t>
            </w:r>
          </w:p>
          <w:p w14:paraId="299FD9E5">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【良】得该项评分因素分值的80%～90%（含80%）。</w:t>
            </w:r>
          </w:p>
          <w:p w14:paraId="4D0D9E83">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【中】得该项评分因素分值的70%～80%（含70%）。</w:t>
            </w:r>
          </w:p>
          <w:p w14:paraId="44EDFF92">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color w:val="auto"/>
                <w:spacing w:val="5"/>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【差】得该项评分因素分值的60～70%（含60%）。</w:t>
            </w:r>
          </w:p>
        </w:tc>
        <w:tc>
          <w:tcPr>
            <w:tcW w:w="4223" w:type="dxa"/>
            <w:noWrap w:val="0"/>
            <w:vAlign w:val="center"/>
          </w:tcPr>
          <w:p w14:paraId="70B8328B">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b/>
                <w:bCs/>
                <w:strike/>
                <w:dstrike w:val="0"/>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【优】应用新技术、新工艺、新材料、新设备，针对项目实际提出先进、可行、具体的保证措施。超过招标文件的质量要求。</w:t>
            </w:r>
          </w:p>
          <w:p w14:paraId="66E0DCE2">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b/>
                <w:bCs/>
                <w:strike/>
                <w:dstrike w:val="0"/>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【良】针对项目实际提出先进、可行、具体的保证措施。满足招标文件的质量要求。</w:t>
            </w:r>
          </w:p>
          <w:p w14:paraId="519C937A">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【中】具体措施可行。满足招标文件的质量要求。</w:t>
            </w:r>
          </w:p>
          <w:p w14:paraId="757C9D9F">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color w:val="auto"/>
                <w:spacing w:val="5"/>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【差】措施不可行，没有质量违约责任承诺。</w:t>
            </w:r>
          </w:p>
        </w:tc>
      </w:tr>
      <w:tr w14:paraId="792B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7" w:hRule="atLeast"/>
          <w:jc w:val="center"/>
        </w:trPr>
        <w:tc>
          <w:tcPr>
            <w:tcW w:w="1284" w:type="dxa"/>
            <w:noWrap w:val="0"/>
            <w:vAlign w:val="center"/>
          </w:tcPr>
          <w:p w14:paraId="6DB7655F">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施工</w:t>
            </w:r>
          </w:p>
          <w:p w14:paraId="11847EB4">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技术措施</w:t>
            </w:r>
          </w:p>
          <w:p w14:paraId="3C72725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pacing w:val="1"/>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w:t>
            </w:r>
            <w:r>
              <w:rPr>
                <w:rFonts w:hint="eastAsia" w:ascii="宋体" w:hAnsi="宋体" w:eastAsia="宋体" w:cs="宋体"/>
                <w:snapToGrid w:val="0"/>
                <w:color w:val="auto"/>
                <w:kern w:val="0"/>
                <w:sz w:val="21"/>
                <w:szCs w:val="21"/>
                <w:highlight w:val="none"/>
                <w:u w:val="single"/>
                <w:lang w:val="en-US" w:eastAsia="zh-CN" w:bidi="ar-SA"/>
              </w:rPr>
              <w:t xml:space="preserve"> 3 </w:t>
            </w:r>
            <w:r>
              <w:rPr>
                <w:rFonts w:hint="eastAsia" w:ascii="宋体" w:hAnsi="宋体" w:eastAsia="宋体" w:cs="宋体"/>
                <w:snapToGrid w:val="0"/>
                <w:color w:val="auto"/>
                <w:kern w:val="0"/>
                <w:sz w:val="21"/>
                <w:szCs w:val="21"/>
                <w:highlight w:val="none"/>
                <w:lang w:val="en-US" w:eastAsia="zh-CN" w:bidi="ar-SA"/>
              </w:rPr>
              <w:t>分）</w:t>
            </w:r>
          </w:p>
        </w:tc>
        <w:tc>
          <w:tcPr>
            <w:tcW w:w="4053" w:type="dxa"/>
            <w:noWrap w:val="0"/>
            <w:vAlign w:val="center"/>
          </w:tcPr>
          <w:p w14:paraId="598603C7">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【优】得该项评分因素分值的90%～100%（含90%）。</w:t>
            </w:r>
          </w:p>
          <w:p w14:paraId="4B439C4A">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【良】得该项评分因素分值的80%～90%（含80%）。</w:t>
            </w:r>
          </w:p>
          <w:p w14:paraId="59787A76">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【中】得该项评分因素分值的70%～80%（含70%）。</w:t>
            </w:r>
          </w:p>
          <w:p w14:paraId="0B5D28E7">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color w:val="auto"/>
                <w:spacing w:val="5"/>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【差】得该项评分因素分值的60～70%（含60%）。</w:t>
            </w:r>
          </w:p>
        </w:tc>
        <w:tc>
          <w:tcPr>
            <w:tcW w:w="4223" w:type="dxa"/>
            <w:noWrap w:val="0"/>
            <w:vAlign w:val="center"/>
          </w:tcPr>
          <w:p w14:paraId="16473265">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对项目关键技术、工艺有深入的表述，对重点、难点有先进、合理的建议，解决方案完整、经济、安全、切实可行，措施得力。针对项目实际，提出采用新技术的具体措施。新技术的验证材料可靠，对节约投资和工期的保证措施得力</w:t>
            </w:r>
            <w:r>
              <w:rPr>
                <w:rFonts w:hint="eastAsia" w:ascii="宋体" w:hAnsi="宋体" w:eastAsia="宋体" w:cs="宋体"/>
                <w:b w:val="0"/>
                <w:bCs w:val="0"/>
                <w:snapToGrid w:val="0"/>
                <w:color w:val="auto"/>
                <w:kern w:val="0"/>
                <w:sz w:val="21"/>
                <w:szCs w:val="21"/>
                <w:highlight w:val="none"/>
                <w:lang w:val="en-US" w:eastAsia="zh-CN" w:bidi="ar-SA"/>
              </w:rPr>
              <w:t>、具体、严谨。对采用新技术可能产生的风险有充分的预见，违约承诺具体，经济赔偿合理。</w:t>
            </w:r>
          </w:p>
          <w:p w14:paraId="54996A02">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较合理。</w:t>
            </w:r>
          </w:p>
          <w:p w14:paraId="7DA3F945">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【中】对项目关键技术有一定了解，对重点、难点有建议，解决方案基本可行。有新技术措施，但验证材料不充分，</w:t>
            </w:r>
            <w:r>
              <w:rPr>
                <w:rFonts w:hint="eastAsia" w:ascii="宋体" w:hAnsi="宋体" w:eastAsia="宋体" w:cs="宋体"/>
                <w:snapToGrid w:val="0"/>
                <w:color w:val="auto"/>
                <w:kern w:val="0"/>
                <w:sz w:val="21"/>
                <w:szCs w:val="21"/>
                <w:highlight w:val="none"/>
                <w:lang w:val="en-US" w:eastAsia="zh-CN" w:bidi="ar-SA"/>
              </w:rPr>
              <w:t>对节约投资和工期可能有一定收益，但对采用的新技术可能产生的风险预见不足。有违约责任承诺。</w:t>
            </w:r>
          </w:p>
          <w:p w14:paraId="61CE4EE7">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color w:val="auto"/>
                <w:spacing w:val="5"/>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【差】对项目关键技术有表述，对重点、难点有建议，解决方案不可行。采用的新技术针对性不强或验证材料不可靠，对节约投资、工期没有具体收益。无违约责任承诺。</w:t>
            </w:r>
          </w:p>
        </w:tc>
      </w:tr>
      <w:tr w14:paraId="7B0EE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6" w:hRule="atLeast"/>
          <w:jc w:val="center"/>
        </w:trPr>
        <w:tc>
          <w:tcPr>
            <w:tcW w:w="1284" w:type="dxa"/>
            <w:noWrap w:val="0"/>
            <w:vAlign w:val="center"/>
          </w:tcPr>
          <w:p w14:paraId="4C3DFFC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绿色施工、</w:t>
            </w:r>
          </w:p>
          <w:p w14:paraId="68B9563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安全防护、</w:t>
            </w:r>
          </w:p>
          <w:p w14:paraId="2F2D686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文明施工</w:t>
            </w:r>
          </w:p>
          <w:p w14:paraId="5C7FE5E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措施计划</w:t>
            </w:r>
          </w:p>
          <w:p w14:paraId="5E50FD0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pacing w:val="1"/>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w:t>
            </w:r>
            <w:r>
              <w:rPr>
                <w:rFonts w:hint="eastAsia" w:ascii="宋体" w:hAnsi="宋体" w:eastAsia="宋体" w:cs="宋体"/>
                <w:snapToGrid w:val="0"/>
                <w:color w:val="auto"/>
                <w:kern w:val="0"/>
                <w:sz w:val="21"/>
                <w:szCs w:val="21"/>
                <w:highlight w:val="none"/>
                <w:u w:val="single"/>
                <w:lang w:val="en-US" w:eastAsia="zh-CN" w:bidi="ar-SA"/>
              </w:rPr>
              <w:t xml:space="preserve"> 3 </w:t>
            </w:r>
            <w:r>
              <w:rPr>
                <w:rFonts w:hint="eastAsia" w:ascii="宋体" w:hAnsi="宋体" w:eastAsia="宋体" w:cs="宋体"/>
                <w:snapToGrid w:val="0"/>
                <w:color w:val="auto"/>
                <w:kern w:val="0"/>
                <w:sz w:val="21"/>
                <w:szCs w:val="21"/>
                <w:highlight w:val="none"/>
                <w:lang w:val="en-US" w:eastAsia="zh-CN" w:bidi="ar-SA"/>
              </w:rPr>
              <w:t>分）</w:t>
            </w:r>
          </w:p>
        </w:tc>
        <w:tc>
          <w:tcPr>
            <w:tcW w:w="4053" w:type="dxa"/>
            <w:noWrap w:val="0"/>
            <w:vAlign w:val="center"/>
          </w:tcPr>
          <w:p w14:paraId="164CC5F0">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【优】得该项评分因素分值的90%～100%（含90%）。</w:t>
            </w:r>
          </w:p>
          <w:p w14:paraId="72A7750A">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【良】得该项评分因素分值的80%～90%（含80%）。</w:t>
            </w:r>
          </w:p>
          <w:p w14:paraId="4F547F25">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【中】得该项评分因素分值的70%～80%（含70%）。</w:t>
            </w:r>
          </w:p>
          <w:p w14:paraId="4A93B6E7">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color w:val="auto"/>
                <w:spacing w:val="5"/>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【差】得该项评分因素分值的60～70%（含60%）。</w:t>
            </w:r>
          </w:p>
        </w:tc>
        <w:tc>
          <w:tcPr>
            <w:tcW w:w="4223" w:type="dxa"/>
            <w:noWrap w:val="0"/>
            <w:vAlign w:val="center"/>
          </w:tcPr>
          <w:p w14:paraId="6E30A126">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【优】针对项目实际情况，有先进、具体、完整、可行的措施，采用规范准确、清晰。</w:t>
            </w:r>
          </w:p>
          <w:p w14:paraId="2AAAAEA4">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【良】针对项目实际情况，有合理的措施且具体、完整，采用规范准确。</w:t>
            </w:r>
          </w:p>
          <w:p w14:paraId="2841B1D1">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【中】有基本合理的措施，采用规范准确。</w:t>
            </w:r>
          </w:p>
          <w:p w14:paraId="2CF1B98A">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color w:val="auto"/>
                <w:spacing w:val="5"/>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【差】措施不力，采用规范不正确。</w:t>
            </w:r>
          </w:p>
        </w:tc>
      </w:tr>
      <w:tr w14:paraId="016B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6" w:hRule="atLeast"/>
          <w:jc w:val="center"/>
        </w:trPr>
        <w:tc>
          <w:tcPr>
            <w:tcW w:w="1284" w:type="dxa"/>
            <w:noWrap w:val="0"/>
            <w:vAlign w:val="center"/>
          </w:tcPr>
          <w:p w14:paraId="61712BE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施工平面</w:t>
            </w:r>
          </w:p>
          <w:p w14:paraId="21AA6E06">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布置和临时设施布置</w:t>
            </w:r>
          </w:p>
          <w:p w14:paraId="1D9E2C6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pacing w:val="1"/>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w:t>
            </w:r>
            <w:r>
              <w:rPr>
                <w:rFonts w:hint="eastAsia" w:ascii="宋体" w:hAnsi="宋体" w:eastAsia="宋体" w:cs="宋体"/>
                <w:snapToGrid w:val="0"/>
                <w:color w:val="auto"/>
                <w:kern w:val="0"/>
                <w:sz w:val="21"/>
                <w:szCs w:val="21"/>
                <w:highlight w:val="none"/>
                <w:u w:val="single"/>
                <w:lang w:val="en-US" w:eastAsia="zh-CN" w:bidi="ar-SA"/>
              </w:rPr>
              <w:t xml:space="preserve"> 3 </w:t>
            </w:r>
            <w:r>
              <w:rPr>
                <w:rFonts w:hint="eastAsia" w:ascii="宋体" w:hAnsi="宋体" w:eastAsia="宋体" w:cs="宋体"/>
                <w:snapToGrid w:val="0"/>
                <w:color w:val="auto"/>
                <w:kern w:val="0"/>
                <w:sz w:val="21"/>
                <w:szCs w:val="21"/>
                <w:highlight w:val="none"/>
                <w:lang w:val="en-US" w:eastAsia="zh-CN" w:bidi="ar-SA"/>
              </w:rPr>
              <w:t>分）</w:t>
            </w:r>
          </w:p>
        </w:tc>
        <w:tc>
          <w:tcPr>
            <w:tcW w:w="4053" w:type="dxa"/>
            <w:noWrap w:val="0"/>
            <w:vAlign w:val="center"/>
          </w:tcPr>
          <w:p w14:paraId="07E833F3">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【优】得该项评分因素分值的90%～100%（含90%）。</w:t>
            </w:r>
          </w:p>
          <w:p w14:paraId="290CAD8B">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【良】得该项评分因素分值的80%～90%（含80%）。</w:t>
            </w:r>
          </w:p>
          <w:p w14:paraId="1F3AFE32">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【中】得该项评分因素分值的70%～80%（含70%）。</w:t>
            </w:r>
          </w:p>
          <w:p w14:paraId="583941E5">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color w:val="auto"/>
                <w:spacing w:val="5"/>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【差】得该项评分因素分值的60～70%（含60%）。</w:t>
            </w:r>
          </w:p>
        </w:tc>
        <w:tc>
          <w:tcPr>
            <w:tcW w:w="4223" w:type="dxa"/>
            <w:noWrap w:val="0"/>
            <w:vAlign w:val="center"/>
          </w:tcPr>
          <w:p w14:paraId="35E8E538">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【优】总体布置有针对性、合理，较好满足施工需要，符合绿色施工、安全防护、文明施工要求。</w:t>
            </w:r>
          </w:p>
          <w:p w14:paraId="71171F62">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【良】总体布置合理，能满足施工需要，基本符合绿色施工、安全防护、文明施工要求。</w:t>
            </w:r>
          </w:p>
          <w:p w14:paraId="41419B0B">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【中】总体布置基本合理，基本满足施工需要。</w:t>
            </w:r>
          </w:p>
          <w:p w14:paraId="6A257EDD">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color w:val="auto"/>
                <w:spacing w:val="5"/>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【差】总体布置不合理，不符合绿色施工、安全防护、文明施工要求。</w:t>
            </w:r>
          </w:p>
        </w:tc>
      </w:tr>
      <w:tr w14:paraId="161C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1284" w:type="dxa"/>
            <w:noWrap w:val="0"/>
            <w:vAlign w:val="center"/>
          </w:tcPr>
          <w:p w14:paraId="5EE2594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项目</w:t>
            </w:r>
          </w:p>
          <w:p w14:paraId="7D1EF5C6">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管理机构</w:t>
            </w:r>
          </w:p>
          <w:p w14:paraId="11C6547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pacing w:val="1"/>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w:t>
            </w:r>
            <w:r>
              <w:rPr>
                <w:rFonts w:hint="eastAsia" w:ascii="宋体" w:hAnsi="宋体" w:eastAsia="宋体" w:cs="宋体"/>
                <w:snapToGrid w:val="0"/>
                <w:color w:val="auto"/>
                <w:kern w:val="0"/>
                <w:sz w:val="21"/>
                <w:szCs w:val="21"/>
                <w:highlight w:val="none"/>
                <w:u w:val="single"/>
                <w:lang w:val="en-US" w:eastAsia="zh-CN" w:bidi="ar-SA"/>
              </w:rPr>
              <w:t xml:space="preserve"> 2 </w:t>
            </w:r>
            <w:r>
              <w:rPr>
                <w:rFonts w:hint="eastAsia" w:ascii="宋体" w:hAnsi="宋体" w:eastAsia="宋体" w:cs="宋体"/>
                <w:snapToGrid w:val="0"/>
                <w:color w:val="auto"/>
                <w:kern w:val="0"/>
                <w:sz w:val="21"/>
                <w:szCs w:val="21"/>
                <w:highlight w:val="none"/>
                <w:lang w:val="en-US" w:eastAsia="zh-CN" w:bidi="ar-SA"/>
              </w:rPr>
              <w:t>分）</w:t>
            </w:r>
          </w:p>
        </w:tc>
        <w:tc>
          <w:tcPr>
            <w:tcW w:w="4053" w:type="dxa"/>
            <w:noWrap w:val="0"/>
            <w:vAlign w:val="center"/>
          </w:tcPr>
          <w:p w14:paraId="75B76843">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【优】得该项评分因素分值的90%～100%（含90%）。</w:t>
            </w:r>
          </w:p>
          <w:p w14:paraId="247FAC7C">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【良】得该项评分因素分值的80%～90%（含80%）。</w:t>
            </w:r>
          </w:p>
          <w:p w14:paraId="5FF56152">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【中】得该项评分因素分值的70%～80%（含70%）。</w:t>
            </w:r>
          </w:p>
          <w:p w14:paraId="095A1369">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color w:val="auto"/>
                <w:spacing w:val="5"/>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【差】得该项评分因素分值的60～70%（含60%）。</w:t>
            </w:r>
          </w:p>
        </w:tc>
        <w:tc>
          <w:tcPr>
            <w:tcW w:w="4223" w:type="dxa"/>
            <w:noWrap w:val="0"/>
            <w:vAlign w:val="center"/>
          </w:tcPr>
          <w:p w14:paraId="1375FFC9">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【优】组织机构形式合理，有完善的指挥系统，生产及质量、绿色施工、安全、文明施工、创优达标监控系统、联络协调系统。</w:t>
            </w:r>
          </w:p>
          <w:p w14:paraId="26FF40D6">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【良】组织机构形式合理，指挥系统，生产及质量、绿色施工、安全、文明施工、创优达标监控系统、联络协调系统齐全。</w:t>
            </w:r>
          </w:p>
          <w:p w14:paraId="77A567B8">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【中】组织机构形式基本合理，有指挥系统，生产及质量、绿色施工、安全、文明施工、创优达标监控系统、联络协调系统。</w:t>
            </w:r>
          </w:p>
          <w:p w14:paraId="2811E882">
            <w:pPr>
              <w:keepNext w:val="0"/>
              <w:keepLines w:val="0"/>
              <w:pageBreakBefore w:val="0"/>
              <w:widowControl w:val="0"/>
              <w:kinsoku/>
              <w:wordWrap w:val="0"/>
              <w:overflowPunct/>
              <w:topLinePunct w:val="0"/>
              <w:autoSpaceDE/>
              <w:autoSpaceDN/>
              <w:bidi w:val="0"/>
              <w:adjustRightInd w:val="0"/>
              <w:snapToGrid w:val="0"/>
              <w:spacing w:line="320" w:lineRule="exact"/>
              <w:jc w:val="both"/>
              <w:textAlignment w:val="auto"/>
              <w:rPr>
                <w:rFonts w:hint="eastAsia" w:ascii="宋体" w:hAnsi="宋体" w:eastAsia="宋体" w:cs="宋体"/>
                <w:color w:val="auto"/>
                <w:spacing w:val="5"/>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【差】组织机构形式合理，指挥系统，生产及质量、绿色施工、安全、文明施工、创优达标监控系统、联络协调系统不齐全。</w:t>
            </w:r>
          </w:p>
        </w:tc>
      </w:tr>
      <w:tr w14:paraId="3DDAD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9560" w:type="dxa"/>
            <w:gridSpan w:val="3"/>
            <w:noWrap w:val="0"/>
            <w:vAlign w:val="center"/>
          </w:tcPr>
          <w:p w14:paraId="7A4BC5AB">
            <w:pPr>
              <w:keepNext w:val="0"/>
              <w:keepLines w:val="0"/>
              <w:pageBreakBefore w:val="0"/>
              <w:widowControl w:val="0"/>
              <w:kinsoku/>
              <w:wordWrap/>
              <w:overflowPunct/>
              <w:topLinePunct w:val="0"/>
              <w:bidi w:val="0"/>
              <w:adjustRightInd/>
              <w:snapToGrid/>
              <w:spacing w:line="360" w:lineRule="exac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b/>
                <w:bCs/>
                <w:color w:val="auto"/>
                <w:sz w:val="21"/>
                <w:szCs w:val="21"/>
                <w:highlight w:val="none"/>
              </w:rPr>
              <w:t>投标报价</w:t>
            </w:r>
            <w:r>
              <w:rPr>
                <w:rFonts w:hint="eastAsia" w:ascii="宋体" w:hAnsi="宋体" w:eastAsia="宋体" w:cs="宋体"/>
                <w:b/>
                <w:bCs/>
                <w:color w:val="auto"/>
                <w:sz w:val="21"/>
                <w:szCs w:val="21"/>
                <w:highlight w:val="none"/>
                <w:lang w:val="en-US" w:eastAsia="zh-CN"/>
              </w:rPr>
              <w:t>部分</w:t>
            </w:r>
            <w:r>
              <w:rPr>
                <w:rFonts w:hint="eastAsia" w:ascii="宋体" w:hAnsi="宋体" w:eastAsia="宋体" w:cs="宋体"/>
                <w:b/>
                <w:bCs/>
                <w:color w:val="auto"/>
                <w:sz w:val="21"/>
                <w:szCs w:val="21"/>
                <w:highlight w:val="none"/>
              </w:rPr>
              <w:t>（</w:t>
            </w:r>
            <w:r>
              <w:rPr>
                <w:rFonts w:hint="eastAsia" w:ascii="宋体" w:hAnsi="宋体" w:eastAsia="宋体" w:cs="宋体"/>
                <w:b/>
                <w:bCs w:val="0"/>
                <w:color w:val="auto"/>
                <w:sz w:val="21"/>
                <w:szCs w:val="21"/>
                <w:highlight w:val="none"/>
                <w:lang w:eastAsia="zh-CN"/>
              </w:rPr>
              <w:t>满分</w:t>
            </w:r>
            <w:r>
              <w:rPr>
                <w:rFonts w:hint="eastAsia" w:ascii="宋体" w:hAnsi="宋体" w:eastAsia="宋体" w:cs="宋体"/>
                <w:b/>
                <w:bCs/>
                <w:color w:val="auto"/>
                <w:sz w:val="21"/>
                <w:szCs w:val="21"/>
                <w:highlight w:val="none"/>
                <w:lang w:val="en-US" w:eastAsia="zh-CN"/>
              </w:rPr>
              <w:t>100</w:t>
            </w:r>
            <w:r>
              <w:rPr>
                <w:rFonts w:hint="eastAsia" w:ascii="宋体" w:hAnsi="宋体" w:eastAsia="宋体" w:cs="宋体"/>
                <w:b/>
                <w:bCs/>
                <w:color w:val="auto"/>
                <w:sz w:val="21"/>
                <w:szCs w:val="21"/>
                <w:highlight w:val="none"/>
              </w:rPr>
              <w:t>分）</w:t>
            </w:r>
          </w:p>
        </w:tc>
      </w:tr>
      <w:tr w14:paraId="3CB6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2" w:hRule="atLeast"/>
          <w:jc w:val="center"/>
        </w:trPr>
        <w:tc>
          <w:tcPr>
            <w:tcW w:w="1284" w:type="dxa"/>
            <w:noWrap w:val="0"/>
            <w:vAlign w:val="center"/>
          </w:tcPr>
          <w:p w14:paraId="3F87BB93">
            <w:pPr>
              <w:keepNext w:val="0"/>
              <w:keepLines w:val="0"/>
              <w:pageBreakBefore w:val="0"/>
              <w:widowControl w:val="0"/>
              <w:tabs>
                <w:tab w:val="left" w:pos="384"/>
              </w:tabs>
              <w:kinsoku/>
              <w:wordWrap/>
              <w:overflowPunct/>
              <w:topLinePunct w:val="0"/>
              <w:autoSpaceDE/>
              <w:autoSpaceDN/>
              <w:bidi w:val="0"/>
              <w:adjustRightInd/>
              <w:snapToGrid/>
              <w:spacing w:line="360" w:lineRule="exact"/>
              <w:ind w:right="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评标基准</w:t>
            </w:r>
          </w:p>
          <w:p w14:paraId="2684B5BA">
            <w:pPr>
              <w:keepNext w:val="0"/>
              <w:keepLines w:val="0"/>
              <w:pageBreakBefore w:val="0"/>
              <w:widowControl w:val="0"/>
              <w:tabs>
                <w:tab w:val="left" w:pos="384"/>
              </w:tabs>
              <w:kinsoku/>
              <w:wordWrap/>
              <w:overflowPunct/>
              <w:topLinePunct w:val="0"/>
              <w:autoSpaceDE/>
              <w:autoSpaceDN/>
              <w:bidi w:val="0"/>
              <w:adjustRightInd/>
              <w:snapToGrid/>
              <w:spacing w:line="360" w:lineRule="exact"/>
              <w:ind w:right="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snapToGrid w:val="0"/>
                <w:color w:val="auto"/>
                <w:kern w:val="0"/>
                <w:sz w:val="21"/>
                <w:szCs w:val="21"/>
                <w:highlight w:val="none"/>
              </w:rPr>
              <w:t>价D</w:t>
            </w:r>
          </w:p>
        </w:tc>
        <w:tc>
          <w:tcPr>
            <w:tcW w:w="8276" w:type="dxa"/>
            <w:gridSpan w:val="2"/>
            <w:noWrap w:val="0"/>
            <w:vAlign w:val="center"/>
          </w:tcPr>
          <w:p w14:paraId="27FFE5E5">
            <w:pPr>
              <w:keepNext w:val="0"/>
              <w:keepLines w:val="0"/>
              <w:pageBreakBefore w:val="0"/>
              <w:widowControl w:val="0"/>
              <w:kinsoku/>
              <w:wordWrap w:val="0"/>
              <w:overflowPunct/>
              <w:topLinePunct w:val="0"/>
              <w:autoSpaceDE/>
              <w:autoSpaceDN/>
              <w:bidi w:val="0"/>
              <w:adjustRightInd w:val="0"/>
              <w:snapToGrid w:val="0"/>
              <w:spacing w:after="0" w:line="320" w:lineRule="atLeas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（1）确定招标控制价下浮系数n：用1～21号球分别代表一个下浮系数，由评委代表从这21个号码中随机抽取 3 次，每次抽取1个号码，抽出的号球不参与下次抽取。所抽取的3个号码对应下浮系数的算术平均值作为招标控制价下浮系数n。具体号码对应的下浮系数详见下表：</w:t>
            </w:r>
          </w:p>
          <w:tbl>
            <w:tblPr>
              <w:tblStyle w:val="18"/>
              <w:tblW w:w="0" w:type="auto"/>
              <w:jc w:val="center"/>
              <w:tblLayout w:type="fixed"/>
              <w:tblCellMar>
                <w:top w:w="0" w:type="dxa"/>
                <w:left w:w="108" w:type="dxa"/>
                <w:bottom w:w="0" w:type="dxa"/>
                <w:right w:w="108" w:type="dxa"/>
              </w:tblCellMar>
            </w:tblPr>
            <w:tblGrid>
              <w:gridCol w:w="1543"/>
              <w:gridCol w:w="702"/>
              <w:gridCol w:w="687"/>
              <w:gridCol w:w="819"/>
              <w:gridCol w:w="804"/>
              <w:gridCol w:w="837"/>
              <w:gridCol w:w="787"/>
              <w:gridCol w:w="777"/>
            </w:tblGrid>
            <w:tr w14:paraId="18242883">
              <w:tblPrEx>
                <w:tblCellMar>
                  <w:top w:w="0" w:type="dxa"/>
                  <w:left w:w="108" w:type="dxa"/>
                  <w:bottom w:w="0" w:type="dxa"/>
                  <w:right w:w="108" w:type="dxa"/>
                </w:tblCellMar>
              </w:tblPrEx>
              <w:trPr>
                <w:trHeight w:val="356" w:hRule="atLeast"/>
                <w:jc w:val="center"/>
              </w:trPr>
              <w:tc>
                <w:tcPr>
                  <w:tcW w:w="1543" w:type="dxa"/>
                  <w:tcBorders>
                    <w:top w:val="single" w:color="000000" w:sz="4" w:space="0"/>
                    <w:left w:val="single" w:color="000000" w:sz="4" w:space="0"/>
                    <w:bottom w:val="single" w:color="000000" w:sz="4" w:space="0"/>
                    <w:right w:val="single" w:color="000000" w:sz="4" w:space="0"/>
                  </w:tcBorders>
                  <w:noWrap w:val="0"/>
                  <w:vAlign w:val="center"/>
                </w:tcPr>
                <w:p w14:paraId="242CF1FB">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号球</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14612FD0">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14:paraId="2119E347">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7C6E4D72">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49445656">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4</w:t>
                  </w:r>
                </w:p>
              </w:tc>
              <w:tc>
                <w:tcPr>
                  <w:tcW w:w="837" w:type="dxa"/>
                  <w:tcBorders>
                    <w:top w:val="single" w:color="000000" w:sz="4" w:space="0"/>
                    <w:left w:val="single" w:color="000000" w:sz="4" w:space="0"/>
                    <w:bottom w:val="single" w:color="000000" w:sz="4" w:space="0"/>
                    <w:right w:val="single" w:color="000000" w:sz="4" w:space="0"/>
                  </w:tcBorders>
                  <w:noWrap w:val="0"/>
                  <w:vAlign w:val="center"/>
                </w:tcPr>
                <w:p w14:paraId="5A5A1E8A">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5</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590B30AC">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6</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34E33879">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7</w:t>
                  </w:r>
                </w:p>
              </w:tc>
            </w:tr>
            <w:tr w14:paraId="5800DDA5">
              <w:tblPrEx>
                <w:tblCellMar>
                  <w:top w:w="0" w:type="dxa"/>
                  <w:left w:w="108" w:type="dxa"/>
                  <w:bottom w:w="0" w:type="dxa"/>
                  <w:right w:w="108" w:type="dxa"/>
                </w:tblCellMar>
              </w:tblPrEx>
              <w:trPr>
                <w:trHeight w:val="444" w:hRule="atLeast"/>
                <w:jc w:val="center"/>
              </w:trPr>
              <w:tc>
                <w:tcPr>
                  <w:tcW w:w="1543" w:type="dxa"/>
                  <w:tcBorders>
                    <w:top w:val="single" w:color="000000" w:sz="4" w:space="0"/>
                    <w:left w:val="single" w:color="000000" w:sz="4" w:space="0"/>
                    <w:bottom w:val="single" w:color="000000" w:sz="4" w:space="0"/>
                    <w:right w:val="single" w:color="000000" w:sz="4" w:space="0"/>
                  </w:tcBorders>
                  <w:noWrap w:val="0"/>
                  <w:vAlign w:val="center"/>
                </w:tcPr>
                <w:p w14:paraId="001DDBDB">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下浮系数（%）</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54C3B11C">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1.0</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14:paraId="49B3E6C8">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1.1</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686352DB">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1.2</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3BC42A08">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1.3</w:t>
                  </w:r>
                </w:p>
              </w:tc>
              <w:tc>
                <w:tcPr>
                  <w:tcW w:w="837" w:type="dxa"/>
                  <w:tcBorders>
                    <w:top w:val="single" w:color="000000" w:sz="4" w:space="0"/>
                    <w:left w:val="single" w:color="000000" w:sz="4" w:space="0"/>
                    <w:bottom w:val="single" w:color="000000" w:sz="4" w:space="0"/>
                    <w:right w:val="single" w:color="000000" w:sz="4" w:space="0"/>
                  </w:tcBorders>
                  <w:noWrap w:val="0"/>
                  <w:vAlign w:val="center"/>
                </w:tcPr>
                <w:p w14:paraId="138006CB">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1.4</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791FAFCC">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1.5</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06A0D982">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1.6</w:t>
                  </w:r>
                </w:p>
              </w:tc>
            </w:tr>
            <w:tr w14:paraId="62332603">
              <w:tblPrEx>
                <w:tblCellMar>
                  <w:top w:w="0" w:type="dxa"/>
                  <w:left w:w="108" w:type="dxa"/>
                  <w:bottom w:w="0" w:type="dxa"/>
                  <w:right w:w="108" w:type="dxa"/>
                </w:tblCellMar>
              </w:tblPrEx>
              <w:trPr>
                <w:trHeight w:val="365" w:hRule="atLeast"/>
                <w:jc w:val="center"/>
              </w:trPr>
              <w:tc>
                <w:tcPr>
                  <w:tcW w:w="1543" w:type="dxa"/>
                  <w:tcBorders>
                    <w:top w:val="single" w:color="000000" w:sz="4" w:space="0"/>
                    <w:left w:val="single" w:color="000000" w:sz="4" w:space="0"/>
                    <w:bottom w:val="single" w:color="000000" w:sz="4" w:space="0"/>
                    <w:right w:val="single" w:color="000000" w:sz="4" w:space="0"/>
                  </w:tcBorders>
                  <w:noWrap w:val="0"/>
                  <w:vAlign w:val="center"/>
                </w:tcPr>
                <w:p w14:paraId="0193BDF8">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号球</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1D45B097">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8</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14:paraId="72177595">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9</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4BED8157">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4E7912D1">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11</w:t>
                  </w:r>
                </w:p>
              </w:tc>
              <w:tc>
                <w:tcPr>
                  <w:tcW w:w="837" w:type="dxa"/>
                  <w:tcBorders>
                    <w:top w:val="single" w:color="000000" w:sz="4" w:space="0"/>
                    <w:left w:val="single" w:color="000000" w:sz="4" w:space="0"/>
                    <w:bottom w:val="single" w:color="000000" w:sz="4" w:space="0"/>
                    <w:right w:val="single" w:color="000000" w:sz="4" w:space="0"/>
                  </w:tcBorders>
                  <w:noWrap w:val="0"/>
                  <w:vAlign w:val="center"/>
                </w:tcPr>
                <w:p w14:paraId="1472F41A">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12</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048E3CCF">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13</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0948D757">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14</w:t>
                  </w:r>
                </w:p>
              </w:tc>
            </w:tr>
            <w:tr w14:paraId="5514A475">
              <w:tblPrEx>
                <w:tblCellMar>
                  <w:top w:w="0" w:type="dxa"/>
                  <w:left w:w="108" w:type="dxa"/>
                  <w:bottom w:w="0" w:type="dxa"/>
                  <w:right w:w="108" w:type="dxa"/>
                </w:tblCellMar>
              </w:tblPrEx>
              <w:trPr>
                <w:trHeight w:val="373" w:hRule="atLeast"/>
                <w:jc w:val="center"/>
              </w:trPr>
              <w:tc>
                <w:tcPr>
                  <w:tcW w:w="1543" w:type="dxa"/>
                  <w:tcBorders>
                    <w:top w:val="single" w:color="000000" w:sz="4" w:space="0"/>
                    <w:left w:val="single" w:color="000000" w:sz="4" w:space="0"/>
                    <w:bottom w:val="single" w:color="000000" w:sz="4" w:space="0"/>
                    <w:right w:val="single" w:color="000000" w:sz="4" w:space="0"/>
                  </w:tcBorders>
                  <w:noWrap w:val="0"/>
                  <w:vAlign w:val="center"/>
                </w:tcPr>
                <w:p w14:paraId="64BE6164">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下浮系数（%）</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29C06512">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1.7</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14:paraId="4169DE22">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1.8</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675C8C51">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1.9</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70E090B7">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2.0</w:t>
                  </w:r>
                </w:p>
              </w:tc>
              <w:tc>
                <w:tcPr>
                  <w:tcW w:w="837" w:type="dxa"/>
                  <w:tcBorders>
                    <w:top w:val="single" w:color="000000" w:sz="4" w:space="0"/>
                    <w:left w:val="single" w:color="000000" w:sz="4" w:space="0"/>
                    <w:bottom w:val="single" w:color="000000" w:sz="4" w:space="0"/>
                    <w:right w:val="single" w:color="000000" w:sz="4" w:space="0"/>
                  </w:tcBorders>
                  <w:noWrap w:val="0"/>
                  <w:vAlign w:val="center"/>
                </w:tcPr>
                <w:p w14:paraId="378C8055">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2.1</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46CA5B4D">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2.2</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0FF17136">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w:t>
                  </w:r>
                </w:p>
              </w:tc>
            </w:tr>
            <w:tr w14:paraId="01CFD500">
              <w:tblPrEx>
                <w:tblCellMar>
                  <w:top w:w="0" w:type="dxa"/>
                  <w:left w:w="108" w:type="dxa"/>
                  <w:bottom w:w="0" w:type="dxa"/>
                  <w:right w:w="108" w:type="dxa"/>
                </w:tblCellMar>
              </w:tblPrEx>
              <w:trPr>
                <w:trHeight w:val="364" w:hRule="atLeast"/>
                <w:jc w:val="center"/>
              </w:trPr>
              <w:tc>
                <w:tcPr>
                  <w:tcW w:w="1543" w:type="dxa"/>
                  <w:tcBorders>
                    <w:top w:val="single" w:color="000000" w:sz="4" w:space="0"/>
                    <w:left w:val="single" w:color="000000" w:sz="4" w:space="0"/>
                    <w:bottom w:val="single" w:color="000000" w:sz="4" w:space="0"/>
                    <w:right w:val="single" w:color="000000" w:sz="4" w:space="0"/>
                  </w:tcBorders>
                  <w:noWrap w:val="0"/>
                  <w:vAlign w:val="center"/>
                </w:tcPr>
                <w:p w14:paraId="7C7E1614">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号球</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2B456BB0">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15</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14:paraId="626CB443">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16</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3F0E67DD">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17</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2175D67E">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18</w:t>
                  </w:r>
                </w:p>
              </w:tc>
              <w:tc>
                <w:tcPr>
                  <w:tcW w:w="837" w:type="dxa"/>
                  <w:tcBorders>
                    <w:top w:val="single" w:color="000000" w:sz="4" w:space="0"/>
                    <w:left w:val="single" w:color="000000" w:sz="4" w:space="0"/>
                    <w:bottom w:val="single" w:color="000000" w:sz="4" w:space="0"/>
                    <w:right w:val="single" w:color="000000" w:sz="4" w:space="0"/>
                  </w:tcBorders>
                  <w:noWrap w:val="0"/>
                  <w:vAlign w:val="center"/>
                </w:tcPr>
                <w:p w14:paraId="34EC5DAF">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19</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7FDE0E7E">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20</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56B4D69B">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21</w:t>
                  </w:r>
                </w:p>
              </w:tc>
            </w:tr>
            <w:tr w14:paraId="0EEC5AF2">
              <w:tblPrEx>
                <w:tblCellMar>
                  <w:top w:w="0" w:type="dxa"/>
                  <w:left w:w="108" w:type="dxa"/>
                  <w:bottom w:w="0" w:type="dxa"/>
                  <w:right w:w="108" w:type="dxa"/>
                </w:tblCellMar>
              </w:tblPrEx>
              <w:trPr>
                <w:trHeight w:val="453" w:hRule="atLeast"/>
                <w:jc w:val="center"/>
              </w:trPr>
              <w:tc>
                <w:tcPr>
                  <w:tcW w:w="1543" w:type="dxa"/>
                  <w:tcBorders>
                    <w:top w:val="single" w:color="000000" w:sz="4" w:space="0"/>
                    <w:left w:val="single" w:color="000000" w:sz="4" w:space="0"/>
                    <w:bottom w:val="single" w:color="000000" w:sz="4" w:space="0"/>
                    <w:right w:val="single" w:color="000000" w:sz="4" w:space="0"/>
                  </w:tcBorders>
                  <w:noWrap w:val="0"/>
                  <w:vAlign w:val="center"/>
                </w:tcPr>
                <w:p w14:paraId="7CA5886A">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下浮系数（%）</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2E549367">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2.4</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14:paraId="270D7A47">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2.5</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40D8E8E7">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2.6</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754E0C88">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2.7</w:t>
                  </w:r>
                </w:p>
              </w:tc>
              <w:tc>
                <w:tcPr>
                  <w:tcW w:w="837" w:type="dxa"/>
                  <w:tcBorders>
                    <w:top w:val="single" w:color="000000" w:sz="4" w:space="0"/>
                    <w:left w:val="single" w:color="000000" w:sz="4" w:space="0"/>
                    <w:bottom w:val="single" w:color="000000" w:sz="4" w:space="0"/>
                    <w:right w:val="single" w:color="000000" w:sz="4" w:space="0"/>
                  </w:tcBorders>
                  <w:noWrap w:val="0"/>
                  <w:vAlign w:val="center"/>
                </w:tcPr>
                <w:p w14:paraId="1E371ED8">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2.8</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1A5EB785">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2.9</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3F73014D">
                  <w:pPr>
                    <w:keepNext w:val="0"/>
                    <w:keepLines w:val="0"/>
                    <w:pageBreakBefore w:val="0"/>
                    <w:widowControl w:val="0"/>
                    <w:kinsoku/>
                    <w:wordWrap w:val="0"/>
                    <w:overflowPunct/>
                    <w:topLinePunct w:val="0"/>
                    <w:autoSpaceDE/>
                    <w:autoSpaceDN/>
                    <w:bidi w:val="0"/>
                    <w:adjustRightInd w:val="0"/>
                    <w:snapToGrid w:val="0"/>
                    <w:spacing w:after="0" w:line="320" w:lineRule="atLeas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3.0</w:t>
                  </w:r>
                </w:p>
              </w:tc>
            </w:tr>
          </w:tbl>
          <w:p w14:paraId="26D38FC3">
            <w:pPr>
              <w:keepNext w:val="0"/>
              <w:keepLines w:val="0"/>
              <w:pageBreakBefore w:val="0"/>
              <w:widowControl w:val="0"/>
              <w:kinsoku/>
              <w:wordWrap/>
              <w:overflowPunct/>
              <w:topLinePunct w:val="0"/>
              <w:autoSpaceDE/>
              <w:autoSpaceDN/>
              <w:bidi w:val="0"/>
              <w:adjustRightInd/>
              <w:snapToGrid/>
              <w:spacing w:line="320" w:lineRule="atLeast"/>
              <w:ind w:firstLine="210" w:firstLineChars="10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（2）评标基准价D＝招标控制价×（1－n）</w:t>
            </w:r>
          </w:p>
        </w:tc>
      </w:tr>
      <w:tr w14:paraId="434A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7" w:hRule="atLeast"/>
          <w:jc w:val="center"/>
        </w:trPr>
        <w:tc>
          <w:tcPr>
            <w:tcW w:w="1284" w:type="dxa"/>
            <w:noWrap w:val="0"/>
            <w:vAlign w:val="center"/>
          </w:tcPr>
          <w:p w14:paraId="4E10125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投标报价</w:t>
            </w:r>
          </w:p>
          <w:p w14:paraId="72257A1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得分N</w:t>
            </w:r>
          </w:p>
        </w:tc>
        <w:tc>
          <w:tcPr>
            <w:tcW w:w="8276" w:type="dxa"/>
            <w:gridSpan w:val="2"/>
            <w:noWrap w:val="0"/>
            <w:vAlign w:val="center"/>
          </w:tcPr>
          <w:p w14:paraId="1860A4AA">
            <w:pPr>
              <w:keepNext w:val="0"/>
              <w:keepLines w:val="0"/>
              <w:pageBreakBefore w:val="0"/>
              <w:widowControl w:val="0"/>
              <w:kinsoku/>
              <w:wordWrap w:val="0"/>
              <w:overflowPunct/>
              <w:topLinePunct w:val="0"/>
              <w:autoSpaceDE/>
              <w:autoSpaceDN/>
              <w:bidi w:val="0"/>
              <w:adjustRightInd w:val="0"/>
              <w:snapToGrid w:val="0"/>
              <w:spacing w:after="0" w:line="320" w:lineRule="atLeas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采用内插法计算某投标人的投标报价得分N，即当投标人的投标总价等于评标基准价时得100分，每高于评标基准价一个百分点扣1 分，每低于评标基准价一个百分点扣0.5分，扣完为止。公式如下：</w:t>
            </w:r>
          </w:p>
          <w:p w14:paraId="28296591">
            <w:pPr>
              <w:keepNext w:val="0"/>
              <w:keepLines w:val="0"/>
              <w:pageBreakBefore w:val="0"/>
              <w:widowControl w:val="0"/>
              <w:kinsoku/>
              <w:wordWrap w:val="0"/>
              <w:overflowPunct/>
              <w:topLinePunct w:val="0"/>
              <w:autoSpaceDE/>
              <w:autoSpaceDN/>
              <w:bidi w:val="0"/>
              <w:adjustRightInd w:val="0"/>
              <w:snapToGrid w:val="0"/>
              <w:spacing w:after="0" w:line="320" w:lineRule="atLeas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N＝100－（| Di－D | ÷D）×100×E</w:t>
            </w:r>
          </w:p>
          <w:p w14:paraId="7328D05B">
            <w:pPr>
              <w:keepNext w:val="0"/>
              <w:keepLines w:val="0"/>
              <w:pageBreakBefore w:val="0"/>
              <w:widowControl/>
              <w:kinsoku/>
              <w:wordWrap/>
              <w:overflowPunct/>
              <w:topLinePunct w:val="0"/>
              <w:autoSpaceDE/>
              <w:autoSpaceDN/>
              <w:bidi w:val="0"/>
              <w:adjustRightInd/>
              <w:snapToGrid/>
              <w:spacing w:line="320" w:lineRule="atLeast"/>
              <w:jc w:val="lef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式中：D为评标基准价；Di为某投标人的投标总价；E为扣分因子，当Di＞D时，E＝1 ；当Di＜D时，E＝0.5。</w:t>
            </w:r>
          </w:p>
        </w:tc>
      </w:tr>
    </w:tbl>
    <w:p w14:paraId="00A42CEC">
      <w:pPr>
        <w:snapToGrid w:val="0"/>
        <w:spacing w:line="440" w:lineRule="exact"/>
        <w:rPr>
          <w:rStyle w:val="22"/>
          <w:rFonts w:hint="eastAsia" w:ascii="宋体" w:hAnsi="宋体" w:eastAsia="宋体" w:cs="宋体"/>
          <w:b/>
          <w:bCs/>
          <w:color w:val="auto"/>
          <w:kern w:val="0"/>
          <w:highlight w:val="none"/>
        </w:rPr>
      </w:pPr>
    </w:p>
    <w:p w14:paraId="0CAB8F94">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15.5.2 </w:t>
      </w:r>
      <w:r>
        <w:rPr>
          <w:rStyle w:val="22"/>
          <w:rFonts w:hint="eastAsia" w:ascii="宋体" w:hAnsi="宋体" w:eastAsia="宋体" w:cs="宋体"/>
          <w:color w:val="auto"/>
          <w:kern w:val="0"/>
          <w:highlight w:val="none"/>
        </w:rPr>
        <w:t>否决投标说明</w:t>
      </w:r>
    </w:p>
    <w:p w14:paraId="006850D2">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详细评审阶段否决投标的全部条件，在本章第四节“否决投标条件”第4条中集中列示。投标人有其中所列任何一种情形的，由评标委员会否决其投标。经详细评审后，有效投标人数量不足3个时，招标人应依法重新组织招标。</w:t>
      </w:r>
    </w:p>
    <w:p w14:paraId="079F310D">
      <w:pPr>
        <w:snapToGrid w:val="0"/>
        <w:spacing w:line="440" w:lineRule="exact"/>
        <w:ind w:firstLine="482" w:firstLineChars="20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注：投标人在详细评审阶段根据评分方法提供的佐证材料，其合法性、有效性和准确性不符合要求的，有关量化因素（或评分因素）的折算、调整（或评分）按相应量化标准（或评分标准）处理，但不否决投标。</w:t>
      </w:r>
    </w:p>
    <w:p w14:paraId="178B7331">
      <w:pPr>
        <w:pStyle w:val="30"/>
        <w:jc w:val="both"/>
        <w:rPr>
          <w:rStyle w:val="22"/>
          <w:rFonts w:hint="eastAsia" w:ascii="宋体" w:hAnsi="宋体" w:eastAsia="宋体" w:cs="宋体"/>
          <w:color w:val="auto"/>
          <w:highlight w:val="none"/>
        </w:rPr>
      </w:pPr>
    </w:p>
    <w:p w14:paraId="0E9C6C21">
      <w:pPr>
        <w:snapToGrid w:val="0"/>
        <w:spacing w:line="360" w:lineRule="auto"/>
        <w:ind w:firstLine="482" w:firstLineChars="200"/>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16．</w:t>
      </w:r>
      <w:r>
        <w:rPr>
          <w:rStyle w:val="22"/>
          <w:rFonts w:hint="eastAsia" w:hAnsi="宋体" w:cs="宋体"/>
          <w:b/>
          <w:bCs/>
          <w:color w:val="auto"/>
          <w:highlight w:val="none"/>
          <w:lang w:val="en-US" w:eastAsia="zh-CN"/>
        </w:rPr>
        <w:t>评</w:t>
      </w:r>
      <w:r>
        <w:rPr>
          <w:rStyle w:val="22"/>
          <w:rFonts w:hint="eastAsia" w:ascii="宋体" w:hAnsi="宋体" w:eastAsia="宋体" w:cs="宋体"/>
          <w:b/>
          <w:bCs/>
          <w:color w:val="auto"/>
          <w:highlight w:val="none"/>
        </w:rPr>
        <w:t>标结果公示</w:t>
      </w:r>
    </w:p>
    <w:p w14:paraId="64548300">
      <w:pPr>
        <w:snapToGrid w:val="0"/>
        <w:spacing w:line="360" w:lineRule="auto"/>
        <w:ind w:firstLine="480" w:firstLineChars="200"/>
        <w:rPr>
          <w:rStyle w:val="22"/>
          <w:rFonts w:hint="eastAsia" w:ascii="宋体" w:hAnsi="宋体" w:eastAsia="宋体" w:cs="宋体"/>
          <w:b w:val="0"/>
          <w:bCs w:val="0"/>
          <w:color w:val="auto"/>
          <w:kern w:val="0"/>
          <w:highlight w:val="none"/>
        </w:rPr>
        <w:sectPr>
          <w:endnotePr>
            <w:numFmt w:val="decimal"/>
          </w:endnotePr>
          <w:pgSz w:w="11906" w:h="16838"/>
          <w:pgMar w:top="1168" w:right="1417" w:bottom="1398" w:left="1417" w:header="850" w:footer="992" w:gutter="0"/>
          <w:cols w:space="720" w:num="1"/>
          <w:docGrid w:linePitch="327" w:charSpace="0"/>
        </w:sectPr>
      </w:pPr>
      <w:r>
        <w:rPr>
          <w:rStyle w:val="22"/>
          <w:rFonts w:hint="eastAsia" w:ascii="宋体" w:hAnsi="宋体" w:eastAsia="宋体" w:cs="宋体"/>
          <w:b w:val="0"/>
          <w:bCs w:val="0"/>
          <w:color w:val="auto"/>
          <w:highlight w:val="none"/>
        </w:rPr>
        <w:t>16.1 评标委员会按照投标人评审综合总得分由高到低的原则,向招标人推荐已明确的定标候选人数量（不标明排序）。评标委员会推荐定标候选人后，招标人应于评标会结束后3日内将定标候选人和评标情况在广东省招标投标监管网和韶关市公共资源交易中心建设工程交易系统上公示，公示时间不少于3日。公示主要内容包括：（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3CBF72EC">
      <w:pPr>
        <w:tabs>
          <w:tab w:val="left" w:pos="885"/>
        </w:tabs>
        <w:snapToGrid w:val="0"/>
        <w:spacing w:line="440" w:lineRule="exact"/>
        <w:jc w:val="center"/>
        <w:outlineLvl w:val="1"/>
        <w:rPr>
          <w:rStyle w:val="22"/>
          <w:rFonts w:hint="eastAsia" w:ascii="宋体" w:hAnsi="宋体" w:eastAsia="宋体" w:cs="宋体"/>
          <w:b/>
          <w:bCs/>
          <w:color w:val="auto"/>
          <w:highlight w:val="none"/>
        </w:rPr>
      </w:pPr>
      <w:bookmarkStart w:id="58" w:name="_Toc9616"/>
      <w:bookmarkStart w:id="59" w:name="_Toc1623"/>
      <w:bookmarkStart w:id="60" w:name="_Toc11724"/>
      <w:bookmarkStart w:id="61" w:name="_Toc611"/>
      <w:bookmarkStart w:id="62" w:name="_Toc26670"/>
      <w:bookmarkStart w:id="63" w:name="_Toc21572"/>
      <w:bookmarkStart w:id="64" w:name="_Toc19086"/>
      <w:bookmarkStart w:id="65" w:name="_Toc14558"/>
      <w:bookmarkStart w:id="66" w:name="_Toc32101"/>
      <w:bookmarkStart w:id="67" w:name="_Toc14995"/>
      <w:r>
        <w:rPr>
          <w:rStyle w:val="22"/>
          <w:rFonts w:hint="eastAsia" w:ascii="宋体" w:hAnsi="宋体" w:eastAsia="宋体" w:cs="宋体"/>
          <w:b/>
          <w:bCs/>
          <w:color w:val="auto"/>
          <w:highlight w:val="none"/>
        </w:rPr>
        <w:t>第四节 否决投标条件</w:t>
      </w:r>
      <w:bookmarkEnd w:id="58"/>
      <w:bookmarkEnd w:id="59"/>
      <w:bookmarkEnd w:id="60"/>
      <w:bookmarkEnd w:id="61"/>
      <w:bookmarkEnd w:id="62"/>
      <w:bookmarkEnd w:id="63"/>
      <w:bookmarkEnd w:id="64"/>
      <w:bookmarkEnd w:id="65"/>
      <w:bookmarkEnd w:id="66"/>
      <w:bookmarkEnd w:id="67"/>
    </w:p>
    <w:p w14:paraId="05F64B3F">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本节所集中列示的否决投标条件，是本章第三节“投标人须知正文”的组成部分，是对本章第三节所规定的否决投标条件的总结和补充。</w:t>
      </w:r>
      <w:r>
        <w:rPr>
          <w:rStyle w:val="22"/>
          <w:rFonts w:hint="eastAsia" w:ascii="宋体" w:hAnsi="宋体" w:eastAsia="宋体" w:cs="宋体"/>
          <w:b/>
          <w:bCs/>
          <w:color w:val="auto"/>
          <w:kern w:val="0"/>
          <w:highlight w:val="none"/>
        </w:rPr>
        <w:t>投标人未有列入本节情形的，评标时一律不得否决其投标。</w:t>
      </w:r>
      <w:r>
        <w:rPr>
          <w:rStyle w:val="22"/>
          <w:rFonts w:hint="eastAsia" w:ascii="宋体" w:hAnsi="宋体" w:eastAsia="宋体" w:cs="宋体"/>
          <w:color w:val="auto"/>
          <w:kern w:val="0"/>
          <w:highlight w:val="none"/>
        </w:rPr>
        <w:t>本节所称“规定”均指招标文件的规定。</w:t>
      </w:r>
    </w:p>
    <w:p w14:paraId="4890C5E1">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1．资格评审环节</w:t>
      </w:r>
    </w:p>
    <w:p w14:paraId="4CC120BC">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投标人有下列情形之一的，评标委员会应否决其投标。被否决的投标人，不进入形式评审环节。</w:t>
      </w:r>
    </w:p>
    <w:p w14:paraId="3941548D">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（1）有本章第三节第</w:t>
      </w:r>
      <w:r>
        <w:rPr>
          <w:rStyle w:val="22"/>
          <w:rFonts w:hint="eastAsia" w:ascii="宋体" w:hAnsi="宋体" w:eastAsia="宋体" w:cs="宋体"/>
          <w:b/>
          <w:bCs/>
          <w:color w:val="auto"/>
          <w:kern w:val="0"/>
          <w:highlight w:val="none"/>
        </w:rPr>
        <w:t>2.4</w:t>
      </w:r>
      <w:r>
        <w:rPr>
          <w:rStyle w:val="22"/>
          <w:rFonts w:hint="eastAsia" w:ascii="宋体" w:hAnsi="宋体" w:eastAsia="宋体" w:cs="宋体"/>
          <w:color w:val="auto"/>
          <w:kern w:val="0"/>
          <w:highlight w:val="none"/>
        </w:rPr>
        <w:t>条“禁止投标条款”规定的任何一种情形；</w:t>
      </w:r>
    </w:p>
    <w:p w14:paraId="4E0DE903">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（2）投标人资质不符合规定的；</w:t>
      </w:r>
    </w:p>
    <w:p w14:paraId="4655EDCC">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14:paraId="22863791">
      <w:pPr>
        <w:snapToGrid w:val="0"/>
        <w:spacing w:line="440" w:lineRule="exact"/>
        <w:ind w:firstLine="48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0F0A71DB">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（4）拟派项目经理、项目技术负责人、专职安全员的条件不符合规定的；拟派专职安全员数量不符合规定的；</w:t>
      </w:r>
    </w:p>
    <w:p w14:paraId="0DF4071A">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项目经理简历表》中拟派项目经理与《开标一览表》不一致的；一级建造师的电子注册证书不是国家住建部颁发的；二级建造师的电子注册证书不是广东省住建厅颁发的；建造师的注册单位与投标人不一致的；项目管理班子组成人员的各类证书、证件、证明不在有效期内的（建造师注册证书不在使用有效期内的）；擅自修改、遗漏《项目经理任职声明》实质性内容的；</w:t>
      </w:r>
    </w:p>
    <w:p w14:paraId="344B652A">
      <w:pPr>
        <w:snapToGrid w:val="0"/>
        <w:spacing w:line="360" w:lineRule="auto"/>
        <w:ind w:firstLine="48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注：投标人已经工商变更，但其员工执业资格注册证书的注册单位名称未完成变更的，不得否决其投标。</w:t>
      </w:r>
    </w:p>
    <w:p w14:paraId="68455B67">
      <w:pPr>
        <w:snapToGrid w:val="0"/>
        <w:spacing w:line="360" w:lineRule="auto"/>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（6）招标文件规定不接受联合体投标，但以联合体投标的；</w:t>
      </w:r>
    </w:p>
    <w:p w14:paraId="7C50F951">
      <w:pPr>
        <w:snapToGrid w:val="0"/>
        <w:spacing w:line="360" w:lineRule="auto"/>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7）联合体投标，未提交《联合体协议书》的；擅自修改、遗漏《联合体协议书》实质性内容的；联合体成员的数量、资质不符合规定的；联合体成员同时以自己名义单独投标或者参加其他联合体投标的；（本次招标不适用）</w:t>
      </w:r>
    </w:p>
    <w:p w14:paraId="53F025BF">
      <w:pPr>
        <w:snapToGrid w:val="0"/>
        <w:spacing w:line="360" w:lineRule="auto"/>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（8）投标人为外省建筑企业，但未提供“进粤企业和人员诚信信息登记平台”企业</w:t>
      </w:r>
      <w:r>
        <w:rPr>
          <w:rFonts w:hint="eastAsia" w:ascii="Times New Roman"/>
          <w:snapToGrid w:val="0"/>
          <w:color w:val="auto"/>
          <w:kern w:val="0"/>
          <w:highlight w:val="none"/>
        </w:rPr>
        <w:t>和拟派人员</w:t>
      </w:r>
      <w:r>
        <w:rPr>
          <w:rStyle w:val="22"/>
          <w:rFonts w:hint="eastAsia" w:ascii="宋体" w:hAnsi="宋体" w:eastAsia="宋体" w:cs="宋体"/>
          <w:color w:val="auto"/>
          <w:kern w:val="0"/>
          <w:highlight w:val="none"/>
        </w:rPr>
        <w:t>信息情况打印页</w:t>
      </w:r>
      <w:r>
        <w:rPr>
          <w:rFonts w:hint="eastAsia" w:ascii="宋体" w:hAnsi="宋体" w:eastAsia="宋体" w:cs="宋体"/>
          <w:snapToGrid w:val="0"/>
          <w:color w:val="auto"/>
          <w:kern w:val="0"/>
          <w:highlight w:val="none"/>
        </w:rPr>
        <w:t>或网页截图</w:t>
      </w:r>
      <w:r>
        <w:rPr>
          <w:rStyle w:val="22"/>
          <w:rFonts w:hint="eastAsia" w:ascii="宋体" w:hAnsi="宋体" w:eastAsia="宋体" w:cs="宋体"/>
          <w:color w:val="auto"/>
          <w:kern w:val="0"/>
          <w:highlight w:val="none"/>
        </w:rPr>
        <w:t>的。</w:t>
      </w:r>
    </w:p>
    <w:p w14:paraId="2A0B5C7C">
      <w:pPr>
        <w:snapToGrid w:val="0"/>
        <w:spacing w:line="360" w:lineRule="auto"/>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2．形式评审环节</w:t>
      </w:r>
    </w:p>
    <w:p w14:paraId="7046AAB9">
      <w:pPr>
        <w:snapToGrid w:val="0"/>
        <w:spacing w:line="360" w:lineRule="auto"/>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投标人有下列情形之一的，评标委员会应否决其投标。被否决的投标人，不进入响应性评审环节。</w:t>
      </w:r>
    </w:p>
    <w:p w14:paraId="7D5CD8B1">
      <w:pPr>
        <w:wordWrap w:val="0"/>
        <w:adjustRightInd w:val="0"/>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strike w:val="0"/>
          <w:color w:val="auto"/>
          <w:highlight w:val="none"/>
        </w:rPr>
        <w:t>各分册</w:t>
      </w:r>
      <w:r>
        <w:rPr>
          <w:rFonts w:hint="eastAsia" w:hAnsi="宋体" w:cs="宋体"/>
          <w:strike w:val="0"/>
          <w:color w:val="auto"/>
          <w:highlight w:val="none"/>
          <w:lang w:eastAsia="zh-CN"/>
        </w:rPr>
        <w:t>未按</w:t>
      </w:r>
      <w:r>
        <w:rPr>
          <w:rFonts w:hint="eastAsia" w:ascii="宋体" w:hAnsi="宋体" w:eastAsia="宋体" w:cs="宋体"/>
          <w:strike w:val="0"/>
          <w:color w:val="auto"/>
          <w:highlight w:val="none"/>
        </w:rPr>
        <w:t>招标文件规定加盖电子印章</w:t>
      </w:r>
      <w:r>
        <w:rPr>
          <w:rFonts w:hint="eastAsia" w:ascii="宋体" w:hAnsi="宋体" w:eastAsia="宋体" w:cs="宋体"/>
          <w:color w:val="auto"/>
          <w:highlight w:val="none"/>
        </w:rPr>
        <w:t>；</w:t>
      </w:r>
    </w:p>
    <w:p w14:paraId="645A81ED">
      <w:pPr>
        <w:wordWrap w:val="0"/>
        <w:adjustRightInd w:val="0"/>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（2）本章第三节第</w:t>
      </w:r>
      <w:r>
        <w:rPr>
          <w:rFonts w:hint="eastAsia" w:ascii="宋体" w:hAnsi="宋体" w:eastAsia="宋体" w:cs="宋体"/>
          <w:b/>
          <w:bCs/>
          <w:color w:val="auto"/>
          <w:highlight w:val="none"/>
        </w:rPr>
        <w:t>10.2.2</w:t>
      </w:r>
      <w:r>
        <w:rPr>
          <w:rFonts w:hint="eastAsia" w:ascii="宋体" w:hAnsi="宋体" w:eastAsia="宋体" w:cs="宋体"/>
          <w:color w:val="auto"/>
          <w:highlight w:val="none"/>
        </w:rPr>
        <w:t>目、第</w:t>
      </w:r>
      <w:r>
        <w:rPr>
          <w:rFonts w:hint="eastAsia" w:ascii="宋体" w:hAnsi="宋体" w:eastAsia="宋体" w:cs="宋体"/>
          <w:b/>
          <w:bCs/>
          <w:color w:val="auto"/>
          <w:highlight w:val="none"/>
        </w:rPr>
        <w:t>10.3.2</w:t>
      </w:r>
      <w:r>
        <w:rPr>
          <w:rFonts w:hint="eastAsia" w:ascii="宋体" w:hAnsi="宋体" w:eastAsia="宋体" w:cs="宋体"/>
          <w:color w:val="auto"/>
          <w:highlight w:val="none"/>
        </w:rPr>
        <w:t>目、第</w:t>
      </w:r>
      <w:r>
        <w:rPr>
          <w:rFonts w:hint="eastAsia" w:ascii="宋体" w:hAnsi="宋体" w:eastAsia="宋体" w:cs="宋体"/>
          <w:b/>
          <w:bCs/>
          <w:color w:val="auto"/>
          <w:highlight w:val="none"/>
        </w:rPr>
        <w:t>10.4.3</w:t>
      </w:r>
      <w:r>
        <w:rPr>
          <w:rFonts w:hint="eastAsia" w:ascii="宋体" w:hAnsi="宋体" w:eastAsia="宋体" w:cs="宋体"/>
          <w:color w:val="auto"/>
          <w:highlight w:val="none"/>
        </w:rPr>
        <w:t>目中规定的“所有投标人均应提供”的组成内容（包括该组成内容的所附资料）中，任何一项有缺漏的；</w:t>
      </w:r>
    </w:p>
    <w:p w14:paraId="7B7D1FC7">
      <w:pPr>
        <w:spacing w:line="360" w:lineRule="auto"/>
        <w:ind w:firstLine="422" w:firstLineChars="176"/>
        <w:rPr>
          <w:rFonts w:hint="eastAsia" w:ascii="宋体" w:hAnsi="宋体" w:eastAsia="宋体" w:cs="宋体"/>
          <w:color w:val="auto"/>
          <w:highlight w:val="none"/>
        </w:rPr>
      </w:pPr>
      <w:r>
        <w:rPr>
          <w:rFonts w:hint="eastAsia" w:ascii="宋体" w:hAnsi="宋体" w:eastAsia="宋体" w:cs="宋体"/>
          <w:snapToGrid w:val="0"/>
          <w:color w:val="auto"/>
          <w:kern w:val="0"/>
          <w:highlight w:val="none"/>
        </w:rPr>
        <w:t>（3）</w:t>
      </w:r>
      <w:r>
        <w:rPr>
          <w:rFonts w:hint="eastAsia" w:ascii="宋体" w:hAnsi="宋体" w:eastAsia="宋体" w:cs="宋体"/>
          <w:color w:val="auto"/>
          <w:highlight w:val="none"/>
        </w:rPr>
        <w:t>关键字迹模糊、无法辨认，且该种过错将导致评标委员会无法判断投标文件是否响应招标文件实质性要求的；有涂改、行间插字或删除，但未加盖单位章或由投标人的法定代表人或其委托代理人签字确认的；</w:t>
      </w:r>
    </w:p>
    <w:p w14:paraId="695CFD89">
      <w:pPr>
        <w:spacing w:line="360" w:lineRule="auto"/>
        <w:ind w:firstLine="422" w:firstLineChars="176"/>
        <w:rPr>
          <w:rFonts w:hint="eastAsia" w:ascii="宋体" w:hAnsi="宋体" w:eastAsia="宋体" w:cs="宋体"/>
          <w:color w:val="auto"/>
          <w:highlight w:val="none"/>
        </w:rPr>
      </w:pPr>
      <w:r>
        <w:rPr>
          <w:rFonts w:hint="eastAsia" w:ascii="宋体" w:hAnsi="宋体" w:eastAsia="宋体" w:cs="宋体"/>
          <w:color w:val="auto"/>
          <w:highlight w:val="none"/>
        </w:rPr>
        <w:t>（4）投标文件未按规定签字、盖章的。</w:t>
      </w:r>
    </w:p>
    <w:p w14:paraId="7B41A98C">
      <w:pPr>
        <w:snapToGrid w:val="0"/>
        <w:spacing w:line="360" w:lineRule="auto"/>
        <w:ind w:firstLine="48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3．响应性评审环节</w:t>
      </w:r>
    </w:p>
    <w:p w14:paraId="4236E874">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投标人有下列情形之一的，评标委员会应否决其投标。被否决的投标人，不进入详细评审阶段。</w:t>
      </w:r>
    </w:p>
    <w:p w14:paraId="40A252C3">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（1）承诺的投标有效期短于规定的；质量标准低于规定的；工期超出规定的；擅自修改、遗漏《投标函》《各项承诺一览表》实质性内容的；</w:t>
      </w:r>
    </w:p>
    <w:p w14:paraId="72CA1E2C">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（2）编制《投标总价》的造价工程师，其注册证书不是</w:t>
      </w:r>
      <w:r>
        <w:rPr>
          <w:rFonts w:hint="eastAsia" w:ascii="宋体" w:hAnsi="宋体" w:eastAsia="宋体" w:cs="宋体"/>
          <w:b/>
          <w:bCs/>
          <w:snapToGrid w:val="0"/>
          <w:color w:val="auto"/>
          <w:kern w:val="0"/>
          <w:szCs w:val="18"/>
          <w:highlight w:val="none"/>
        </w:rPr>
        <w:t>住建部门</w:t>
      </w:r>
      <w:r>
        <w:rPr>
          <w:rStyle w:val="22"/>
          <w:rFonts w:hint="eastAsia" w:ascii="宋体" w:hAnsi="宋体" w:eastAsia="宋体" w:cs="宋体"/>
          <w:color w:val="auto"/>
          <w:kern w:val="0"/>
          <w:highlight w:val="none"/>
        </w:rPr>
        <w:t>颁发的；其注册单位与投标人（或造价咨询人）不一致的；其注册证书不在有效期内的。</w:t>
      </w:r>
    </w:p>
    <w:p w14:paraId="29E0FA97">
      <w:pPr>
        <w:snapToGrid w:val="0"/>
        <w:spacing w:line="440" w:lineRule="exact"/>
        <w:ind w:firstLine="480"/>
        <w:rPr>
          <w:rStyle w:val="22"/>
          <w:rFonts w:hint="eastAsia" w:ascii="宋体" w:hAnsi="宋体" w:eastAsia="宋体" w:cs="宋体"/>
          <w:strike/>
          <w:dstrike w:val="0"/>
          <w:color w:val="auto"/>
          <w:kern w:val="0"/>
          <w:highlight w:val="none"/>
        </w:rPr>
      </w:pPr>
      <w:r>
        <w:rPr>
          <w:rStyle w:val="22"/>
          <w:rFonts w:hint="eastAsia" w:ascii="宋体" w:hAnsi="宋体" w:eastAsia="宋体" w:cs="宋体"/>
          <w:b/>
          <w:bCs/>
          <w:color w:val="auto"/>
          <w:kern w:val="0"/>
          <w:highlight w:val="none"/>
        </w:rPr>
        <w:t>注：投标人（或造价咨询人）已经工商变更，但其员工的执业资格注册证书的注册单位名称未完成变更的，不得否决其投标。</w:t>
      </w:r>
    </w:p>
    <w:p w14:paraId="7E04C844">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（3）投标人委托造价咨询单位编制《投标总价》，但未在《投标总价扉页》“投标人 ”栏目加盖造价咨询人公章的；未提供造价咨询人的营业执照彩色扫描件；</w:t>
      </w:r>
    </w:p>
    <w:p w14:paraId="20534327">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（4）出现两个或两个以上投标总价的（同一个投标总价大、小写不一致的除外）；投标总价超出</w:t>
      </w:r>
      <w:r>
        <w:rPr>
          <w:rStyle w:val="22"/>
          <w:rFonts w:hint="eastAsia" w:hAnsi="宋体" w:cs="宋体"/>
          <w:color w:val="auto"/>
          <w:kern w:val="0"/>
          <w:highlight w:val="none"/>
          <w:lang w:eastAsia="zh-CN"/>
        </w:rPr>
        <w:t>最高投标限价</w:t>
      </w:r>
      <w:r>
        <w:rPr>
          <w:rStyle w:val="22"/>
          <w:rFonts w:hint="eastAsia" w:ascii="宋体" w:hAnsi="宋体" w:eastAsia="宋体" w:cs="宋体"/>
          <w:color w:val="auto"/>
          <w:kern w:val="0"/>
          <w:highlight w:val="none"/>
        </w:rPr>
        <w:t>的；</w:t>
      </w:r>
      <w:r>
        <w:rPr>
          <w:rStyle w:val="22"/>
          <w:rFonts w:hint="eastAsia" w:hAnsi="宋体" w:cs="宋体"/>
          <w:color w:val="auto"/>
          <w:kern w:val="0"/>
          <w:highlight w:val="none"/>
          <w:lang w:eastAsia="zh-CN"/>
        </w:rPr>
        <w:t>安全生产措施费</w:t>
      </w:r>
      <w:r>
        <w:rPr>
          <w:rStyle w:val="22"/>
          <w:rFonts w:hint="eastAsia" w:ascii="宋体" w:hAnsi="宋体" w:eastAsia="宋体" w:cs="宋体"/>
          <w:color w:val="auto"/>
          <w:kern w:val="0"/>
          <w:highlight w:val="none"/>
        </w:rPr>
        <w:t>少于规定的；暂列金额、暂估价未按照招标工程量清单统一报价的；投标总价下浮率超过15%，又未提供相应书面说明和佐证材料或提供的书面说明和佐证材料不能令人信服，被评标委员会认定以低于成本报价竞标的；擅自修改、增减招标工程量清单项目（包括措施项目）的；</w:t>
      </w:r>
    </w:p>
    <w:p w14:paraId="059D1614">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（5）在施工组织设计评审中，评标委员会认定质量、进度保障措施与国家和省市现行有关规范、规定、标准有重大偏差，</w:t>
      </w:r>
      <w:r>
        <w:rPr>
          <w:rStyle w:val="22"/>
          <w:rFonts w:hint="eastAsia" w:ascii="宋体" w:hAnsi="宋体" w:eastAsia="宋体" w:cs="宋体"/>
          <w:b/>
          <w:bCs/>
          <w:color w:val="auto"/>
          <w:kern w:val="0"/>
          <w:highlight w:val="none"/>
        </w:rPr>
        <w:t>且该种过错将导致工程质量、进度管理目标无法实现的</w:t>
      </w:r>
      <w:r>
        <w:rPr>
          <w:rStyle w:val="22"/>
          <w:rFonts w:hint="eastAsia" w:ascii="宋体" w:hAnsi="宋体" w:eastAsia="宋体" w:cs="宋体"/>
          <w:color w:val="auto"/>
          <w:kern w:val="0"/>
          <w:highlight w:val="none"/>
        </w:rPr>
        <w:t>。</w:t>
      </w:r>
    </w:p>
    <w:p w14:paraId="5A73F158">
      <w:pPr>
        <w:snapToGrid w:val="0"/>
        <w:spacing w:line="440" w:lineRule="exact"/>
        <w:ind w:firstLine="48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4．其他</w:t>
      </w:r>
    </w:p>
    <w:p w14:paraId="22F2275F">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在任何评标环节（或阶段），投标人有下列情形之一的，评标委员会应否决其投标。被否决的投标人，不进入下一环节（或阶段）。</w:t>
      </w:r>
    </w:p>
    <w:p w14:paraId="2D0E889C">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（19）不按评标委员会要求澄清、说明或补正的；</w:t>
      </w:r>
    </w:p>
    <w:p w14:paraId="3BF8A537">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（20）有下列情形之一，被评标委员会认定属于串通投标的：</w:t>
      </w:r>
    </w:p>
    <w:p w14:paraId="7BDE7A27">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①不同投标人的投标文件两处以上（含两处）错、漏一致；</w:t>
      </w:r>
    </w:p>
    <w:p w14:paraId="01B505EA">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②不同投标人的投标总价相近且各分项报价、综合单价分析表内容混乱不能相互对应、乱调乱压或乱抬的，而在询标时没有合理的解释或者不能提供计算依据和报价依据；</w:t>
      </w:r>
    </w:p>
    <w:p w14:paraId="13725EB4">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③不同投标人的投标各项报价存在异常一致或者呈规律性变化；</w:t>
      </w:r>
    </w:p>
    <w:p w14:paraId="635672C2">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④不同投标人的投标文件由同一单位或者同一个人编制；</w:t>
      </w:r>
    </w:p>
    <w:p w14:paraId="07668F5A">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⑤不同投标人的投标文件中投标资料（包括电子资料）相互混装或项目班子成员出现同一人；</w:t>
      </w:r>
    </w:p>
    <w:p w14:paraId="2556D8FA">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⑥不同投标人的投标文件由同一电脑编制</w:t>
      </w:r>
      <w:r>
        <w:rPr>
          <w:rFonts w:hint="eastAsia" w:ascii="宋体" w:hAnsi="宋体" w:eastAsia="宋体" w:cs="宋体"/>
          <w:snapToGrid w:val="0"/>
          <w:color w:val="auto"/>
          <w:kern w:val="0"/>
          <w:highlight w:val="none"/>
        </w:rPr>
        <w:t>或同一台附属设备打印</w:t>
      </w:r>
      <w:r>
        <w:rPr>
          <w:rStyle w:val="22"/>
          <w:rFonts w:hint="eastAsia" w:ascii="宋体" w:hAnsi="宋体" w:eastAsia="宋体" w:cs="宋体"/>
          <w:color w:val="auto"/>
          <w:kern w:val="0"/>
          <w:highlight w:val="none"/>
        </w:rPr>
        <w:t>，或投标报价用同一个预算编制软件密码锁制作或出自同一电子文档；</w:t>
      </w:r>
    </w:p>
    <w:p w14:paraId="38DF5B60">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⑦不同投标人的投标保证由同一企业或同一账户资金缴纳；</w:t>
      </w:r>
    </w:p>
    <w:p w14:paraId="07538367">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⑧不同投标人委托同一个人或注册在同一家企业的注册人员或同一家企业为其投标提供投标咨询、商务报价、技术咨询（招标工程本身要求采用专有技术的除外）等服务。</w:t>
      </w:r>
      <w:bookmarkStart w:id="68" w:name="_Toc31483"/>
    </w:p>
    <w:p w14:paraId="286AE347">
      <w:pPr>
        <w:pStyle w:val="2"/>
        <w:rPr>
          <w:rStyle w:val="22"/>
          <w:rFonts w:hint="eastAsia" w:ascii="宋体" w:hAnsi="宋体" w:eastAsia="宋体" w:cs="宋体"/>
          <w:color w:val="auto"/>
          <w:kern w:val="0"/>
          <w:highlight w:val="none"/>
        </w:rPr>
      </w:pPr>
    </w:p>
    <w:p w14:paraId="0BBF2ACC">
      <w:pPr>
        <w:rPr>
          <w:rFonts w:hint="eastAsia"/>
          <w:color w:val="auto"/>
          <w:highlight w:val="none"/>
        </w:rPr>
      </w:pPr>
    </w:p>
    <w:p w14:paraId="3B3513AE">
      <w:pPr>
        <w:rPr>
          <w:rStyle w:val="22"/>
          <w:rFonts w:hint="eastAsia" w:ascii="Times New Roman" w:hAnsi="宋体" w:eastAsia="宋体" w:cs="Times New Roman"/>
          <w:b/>
          <w:bCs/>
          <w:color w:val="auto"/>
          <w:highlight w:val="none"/>
        </w:rPr>
      </w:pPr>
      <w:r>
        <w:rPr>
          <w:rStyle w:val="22"/>
          <w:rFonts w:hint="eastAsia" w:ascii="Times New Roman" w:hAnsi="宋体" w:eastAsia="宋体" w:cs="Times New Roman"/>
          <w:b/>
          <w:bCs/>
          <w:color w:val="auto"/>
          <w:highlight w:val="none"/>
        </w:rPr>
        <w:br w:type="page"/>
      </w:r>
    </w:p>
    <w:p w14:paraId="468EDE86">
      <w:pPr>
        <w:tabs>
          <w:tab w:val="left" w:pos="885"/>
        </w:tabs>
        <w:snapToGrid w:val="0"/>
        <w:jc w:val="center"/>
        <w:outlineLvl w:val="1"/>
        <w:rPr>
          <w:rStyle w:val="22"/>
          <w:rFonts w:hint="default" w:ascii="Times New Roman" w:hAnsi="宋体" w:eastAsia="宋体" w:cs="Times New Roman"/>
          <w:b/>
          <w:bCs/>
          <w:color w:val="auto"/>
          <w:highlight w:val="none"/>
          <w:lang w:val="en-US"/>
        </w:rPr>
      </w:pPr>
      <w:bookmarkStart w:id="69" w:name="_Toc3979"/>
      <w:r>
        <w:rPr>
          <w:rStyle w:val="22"/>
          <w:rFonts w:hint="eastAsia" w:ascii="Times New Roman" w:hAnsi="宋体" w:eastAsia="宋体" w:cs="Times New Roman"/>
          <w:b/>
          <w:bCs/>
          <w:color w:val="auto"/>
          <w:highlight w:val="none"/>
        </w:rPr>
        <w:t>第</w:t>
      </w:r>
      <w:r>
        <w:rPr>
          <w:rStyle w:val="22"/>
          <w:rFonts w:hint="eastAsia" w:ascii="Times New Roman" w:hAnsi="宋体" w:eastAsia="宋体" w:cs="Times New Roman"/>
          <w:b/>
          <w:bCs/>
          <w:color w:val="auto"/>
          <w:highlight w:val="none"/>
          <w:lang w:val="en-US" w:eastAsia="zh-CN"/>
        </w:rPr>
        <w:t>五</w:t>
      </w:r>
      <w:r>
        <w:rPr>
          <w:rStyle w:val="22"/>
          <w:rFonts w:hint="eastAsia" w:ascii="Times New Roman" w:hAnsi="宋体" w:eastAsia="宋体" w:cs="Times New Roman"/>
          <w:b/>
          <w:bCs/>
          <w:color w:val="auto"/>
          <w:highlight w:val="none"/>
        </w:rPr>
        <w:t>节 定标</w:t>
      </w:r>
      <w:r>
        <w:rPr>
          <w:rStyle w:val="22"/>
          <w:rFonts w:hint="eastAsia" w:ascii="Times New Roman" w:hAnsi="宋体" w:eastAsia="宋体" w:cs="Times New Roman"/>
          <w:b/>
          <w:bCs/>
          <w:color w:val="auto"/>
          <w:highlight w:val="none"/>
          <w:lang w:eastAsia="zh-CN"/>
        </w:rPr>
        <w:t>规定</w:t>
      </w:r>
      <w:r>
        <w:rPr>
          <w:rStyle w:val="22"/>
          <w:rFonts w:hint="eastAsia" w:ascii="Times New Roman" w:hAnsi="宋体" w:eastAsia="宋体" w:cs="Times New Roman"/>
          <w:b/>
          <w:bCs/>
          <w:color w:val="auto"/>
          <w:highlight w:val="none"/>
          <w:lang w:val="en-US" w:eastAsia="zh-CN"/>
        </w:rPr>
        <w:t>及细则</w:t>
      </w:r>
      <w:bookmarkEnd w:id="68"/>
      <w:bookmarkEnd w:id="69"/>
    </w:p>
    <w:p w14:paraId="4ED39DD0">
      <w:pPr>
        <w:ind w:firstLine="482" w:firstLineChars="200"/>
        <w:rPr>
          <w:rStyle w:val="22"/>
          <w:rFonts w:hint="eastAsia" w:ascii="宋体" w:hAnsi="宋体" w:eastAsia="宋体" w:cs="宋体"/>
          <w:b/>
          <w:bCs/>
          <w:color w:val="auto"/>
          <w:kern w:val="0"/>
          <w:sz w:val="24"/>
          <w:szCs w:val="24"/>
          <w:highlight w:val="none"/>
        </w:rPr>
      </w:pPr>
      <w:r>
        <w:rPr>
          <w:rStyle w:val="22"/>
          <w:rFonts w:hint="eastAsia" w:hAnsi="宋体" w:eastAsia="宋体" w:cs="宋体"/>
          <w:b/>
          <w:bCs/>
          <w:color w:val="auto"/>
          <w:kern w:val="0"/>
          <w:sz w:val="24"/>
          <w:szCs w:val="24"/>
          <w:highlight w:val="none"/>
          <w:lang w:val="en-US" w:eastAsia="zh-CN"/>
        </w:rPr>
        <w:t>1.</w:t>
      </w:r>
      <w:r>
        <w:rPr>
          <w:rStyle w:val="22"/>
          <w:rFonts w:hint="eastAsia" w:ascii="宋体" w:hAnsi="宋体" w:eastAsia="宋体" w:cs="宋体"/>
          <w:b/>
          <w:bCs/>
          <w:color w:val="auto"/>
          <w:kern w:val="0"/>
          <w:sz w:val="24"/>
          <w:szCs w:val="24"/>
          <w:highlight w:val="none"/>
          <w:lang w:eastAsia="zh-CN"/>
        </w:rPr>
        <w:t>确定</w:t>
      </w:r>
      <w:r>
        <w:rPr>
          <w:rStyle w:val="22"/>
          <w:rFonts w:hint="eastAsia" w:ascii="宋体" w:hAnsi="宋体" w:eastAsia="宋体" w:cs="宋体"/>
          <w:b/>
          <w:bCs/>
          <w:color w:val="auto"/>
          <w:kern w:val="0"/>
          <w:sz w:val="24"/>
          <w:szCs w:val="24"/>
          <w:highlight w:val="none"/>
        </w:rPr>
        <w:t>定标时间</w:t>
      </w:r>
    </w:p>
    <w:p w14:paraId="239D14F3">
      <w:pPr>
        <w:ind w:firstLine="480" w:firstLineChars="200"/>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招标人</w:t>
      </w:r>
      <w:r>
        <w:rPr>
          <w:rStyle w:val="22"/>
          <w:rFonts w:hint="eastAsia" w:ascii="宋体" w:hAnsi="宋体" w:eastAsia="宋体" w:cs="宋体"/>
          <w:color w:val="auto"/>
          <w:kern w:val="0"/>
          <w:sz w:val="24"/>
          <w:szCs w:val="24"/>
          <w:highlight w:val="none"/>
          <w:lang w:eastAsia="zh-CN"/>
        </w:rPr>
        <w:t>应</w:t>
      </w:r>
      <w:r>
        <w:rPr>
          <w:rStyle w:val="22"/>
          <w:rFonts w:hint="eastAsia" w:ascii="宋体" w:hAnsi="宋体" w:eastAsia="宋体" w:cs="宋体"/>
          <w:color w:val="auto"/>
          <w:kern w:val="0"/>
          <w:sz w:val="24"/>
          <w:szCs w:val="24"/>
          <w:highlight w:val="none"/>
        </w:rPr>
        <w:t>自</w:t>
      </w:r>
      <w:r>
        <w:rPr>
          <w:rStyle w:val="22"/>
          <w:rFonts w:hint="eastAsia" w:ascii="宋体" w:hAnsi="宋体" w:eastAsia="宋体" w:cs="宋体"/>
          <w:color w:val="auto"/>
          <w:kern w:val="0"/>
          <w:sz w:val="24"/>
          <w:szCs w:val="24"/>
          <w:highlight w:val="none"/>
          <w:lang w:val="en-US" w:eastAsia="zh-CN"/>
        </w:rPr>
        <w:t>定标候选人</w:t>
      </w:r>
      <w:r>
        <w:rPr>
          <w:rStyle w:val="22"/>
          <w:rFonts w:hint="eastAsia" w:ascii="宋体" w:hAnsi="宋体" w:eastAsia="宋体" w:cs="宋体"/>
          <w:color w:val="auto"/>
          <w:kern w:val="0"/>
          <w:sz w:val="24"/>
          <w:szCs w:val="24"/>
          <w:highlight w:val="none"/>
        </w:rPr>
        <w:t>公示期满后</w:t>
      </w:r>
      <w:r>
        <w:rPr>
          <w:rStyle w:val="22"/>
          <w:rFonts w:hint="eastAsia" w:ascii="宋体" w:hAnsi="宋体" w:eastAsia="宋体" w:cs="宋体"/>
          <w:color w:val="auto"/>
          <w:kern w:val="0"/>
          <w:sz w:val="24"/>
          <w:szCs w:val="24"/>
          <w:highlight w:val="none"/>
          <w:lang w:val="en-US" w:eastAsia="zh-CN"/>
        </w:rPr>
        <w:t>5</w:t>
      </w:r>
      <w:r>
        <w:rPr>
          <w:rStyle w:val="22"/>
          <w:rFonts w:hint="eastAsia" w:ascii="宋体" w:hAnsi="宋体" w:eastAsia="宋体" w:cs="宋体"/>
          <w:color w:val="auto"/>
          <w:kern w:val="0"/>
          <w:sz w:val="24"/>
          <w:szCs w:val="24"/>
          <w:highlight w:val="none"/>
        </w:rPr>
        <w:t>个工作日内进入公共资源交易平台（与评标阶段公共资源交易平台相同）进行定标。定标会议全过程录音录像。招标人需要延期定标的，</w:t>
      </w:r>
      <w:r>
        <w:rPr>
          <w:rStyle w:val="22"/>
          <w:rFonts w:hint="eastAsia" w:ascii="宋体" w:hAnsi="宋体" w:eastAsia="宋体" w:cs="宋体"/>
          <w:color w:val="auto"/>
          <w:kern w:val="0"/>
          <w:sz w:val="24"/>
          <w:szCs w:val="24"/>
          <w:highlight w:val="none"/>
          <w:lang w:eastAsia="zh-CN"/>
        </w:rPr>
        <w:t>应</w:t>
      </w:r>
      <w:r>
        <w:rPr>
          <w:rStyle w:val="22"/>
          <w:rFonts w:hint="eastAsia" w:ascii="宋体" w:hAnsi="宋体" w:eastAsia="宋体" w:cs="宋体"/>
          <w:color w:val="auto"/>
          <w:kern w:val="0"/>
          <w:sz w:val="24"/>
          <w:szCs w:val="24"/>
          <w:highlight w:val="none"/>
        </w:rPr>
        <w:t>通过公共资源交易平台公布延期原因和定标时间。</w:t>
      </w:r>
    </w:p>
    <w:p w14:paraId="6F3DD4F1">
      <w:pPr>
        <w:ind w:firstLine="482" w:firstLineChars="200"/>
        <w:rPr>
          <w:rStyle w:val="22"/>
          <w:rFonts w:hint="eastAsia" w:ascii="宋体" w:hAnsi="宋体" w:eastAsia="宋体" w:cs="宋体"/>
          <w:b/>
          <w:bCs/>
          <w:color w:val="auto"/>
          <w:kern w:val="0"/>
          <w:sz w:val="24"/>
          <w:szCs w:val="24"/>
          <w:highlight w:val="none"/>
          <w:lang w:eastAsia="zh-CN"/>
        </w:rPr>
      </w:pPr>
      <w:r>
        <w:rPr>
          <w:rStyle w:val="22"/>
          <w:rFonts w:hint="eastAsia" w:hAnsi="宋体" w:eastAsia="宋体" w:cs="宋体"/>
          <w:b/>
          <w:bCs/>
          <w:color w:val="auto"/>
          <w:kern w:val="0"/>
          <w:sz w:val="24"/>
          <w:szCs w:val="24"/>
          <w:highlight w:val="none"/>
          <w:lang w:val="en-US" w:eastAsia="zh-CN"/>
        </w:rPr>
        <w:t>2</w:t>
      </w:r>
      <w:r>
        <w:rPr>
          <w:rStyle w:val="22"/>
          <w:rFonts w:hint="eastAsia" w:ascii="宋体" w:hAnsi="宋体" w:eastAsia="宋体" w:cs="宋体"/>
          <w:b/>
          <w:bCs/>
          <w:color w:val="auto"/>
          <w:kern w:val="0"/>
          <w:sz w:val="24"/>
          <w:szCs w:val="24"/>
          <w:highlight w:val="none"/>
        </w:rPr>
        <w:t>.</w:t>
      </w:r>
      <w:r>
        <w:rPr>
          <w:rStyle w:val="22"/>
          <w:rFonts w:hint="eastAsia" w:ascii="宋体" w:hAnsi="宋体" w:eastAsia="宋体" w:cs="宋体"/>
          <w:b/>
          <w:bCs/>
          <w:color w:val="auto"/>
          <w:kern w:val="0"/>
          <w:sz w:val="24"/>
          <w:szCs w:val="24"/>
          <w:highlight w:val="none"/>
          <w:lang w:eastAsia="zh-CN"/>
        </w:rPr>
        <w:t>定标委员会</w:t>
      </w:r>
    </w:p>
    <w:p w14:paraId="76C52692">
      <w:pPr>
        <w:ind w:firstLine="480" w:firstLineChars="200"/>
        <w:rPr>
          <w:rStyle w:val="22"/>
          <w:rFonts w:hint="eastAsia" w:ascii="宋体" w:hAnsi="宋体" w:eastAsia="宋体" w:cs="宋体"/>
          <w:color w:val="auto"/>
          <w:kern w:val="0"/>
          <w:sz w:val="24"/>
          <w:szCs w:val="24"/>
          <w:highlight w:val="none"/>
          <w:lang w:val="en-US" w:eastAsia="zh-CN"/>
        </w:rPr>
      </w:pPr>
      <w:r>
        <w:rPr>
          <w:rStyle w:val="22"/>
          <w:rFonts w:hint="eastAsia" w:hAnsi="宋体" w:eastAsia="宋体" w:cs="宋体"/>
          <w:color w:val="auto"/>
          <w:kern w:val="0"/>
          <w:sz w:val="24"/>
          <w:szCs w:val="24"/>
          <w:highlight w:val="none"/>
          <w:lang w:val="en-US" w:eastAsia="zh-CN"/>
        </w:rPr>
        <w:t>2.1</w:t>
      </w:r>
      <w:r>
        <w:rPr>
          <w:rStyle w:val="22"/>
          <w:rFonts w:hint="eastAsia" w:ascii="宋体" w:hAnsi="宋体" w:eastAsia="宋体" w:cs="宋体"/>
          <w:color w:val="auto"/>
          <w:kern w:val="0"/>
          <w:sz w:val="24"/>
          <w:szCs w:val="24"/>
          <w:highlight w:val="none"/>
          <w:lang w:val="en-US" w:eastAsia="zh-CN"/>
        </w:rPr>
        <w:t>招标人负责组建定标委员会，由项目业主的法定代表人或者主要负责人担任定标委员会组长。定标委员会的组成方式和人员由招标人按相关规定自行确定。招标项目对技术、商务等有特别要求的可从广东省综合评标评审专家库抽取专家(外部人员）补足，成员数量为7人及以上单数，成员数量应在招标文件中明确。专家人数原则上不超过2人。定标委员会成员数量在本投标人须知前附表中约定。</w:t>
      </w:r>
    </w:p>
    <w:p w14:paraId="54FFE184">
      <w:pPr>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2865C1B9">
      <w:pPr>
        <w:ind w:firstLine="480" w:firstLineChars="200"/>
        <w:rPr>
          <w:rFonts w:hint="eastAsia"/>
          <w:color w:val="auto"/>
          <w:sz w:val="24"/>
          <w:szCs w:val="24"/>
          <w:highlight w:val="none"/>
          <w:lang w:val="en-US" w:eastAsia="zh-CN"/>
        </w:rPr>
      </w:pPr>
      <w:r>
        <w:rPr>
          <w:rStyle w:val="22"/>
          <w:rFonts w:hint="eastAsia" w:hAnsi="宋体" w:eastAsia="宋体" w:cs="宋体"/>
          <w:color w:val="auto"/>
          <w:kern w:val="0"/>
          <w:sz w:val="24"/>
          <w:szCs w:val="24"/>
          <w:highlight w:val="none"/>
          <w:lang w:val="en-US" w:eastAsia="zh-CN"/>
        </w:rPr>
        <w:t>2</w:t>
      </w:r>
      <w:r>
        <w:rPr>
          <w:rStyle w:val="22"/>
          <w:rFonts w:hint="eastAsia" w:ascii="宋体" w:hAnsi="宋体" w:eastAsia="宋体" w:cs="宋体"/>
          <w:color w:val="auto"/>
          <w:kern w:val="0"/>
          <w:sz w:val="24"/>
          <w:szCs w:val="24"/>
          <w:highlight w:val="none"/>
        </w:rPr>
        <w:t>.</w:t>
      </w:r>
      <w:r>
        <w:rPr>
          <w:rStyle w:val="22"/>
          <w:rFonts w:hint="eastAsia" w:hAnsi="宋体" w:eastAsia="宋体" w:cs="宋体"/>
          <w:color w:val="auto"/>
          <w:kern w:val="0"/>
          <w:sz w:val="24"/>
          <w:szCs w:val="24"/>
          <w:highlight w:val="none"/>
          <w:lang w:val="en-US" w:eastAsia="zh-CN"/>
        </w:rPr>
        <w:t>3</w:t>
      </w:r>
      <w:r>
        <w:rPr>
          <w:rStyle w:val="22"/>
          <w:rFonts w:hint="eastAsia" w:ascii="宋体" w:hAnsi="宋体" w:eastAsia="宋体" w:cs="宋体"/>
          <w:color w:val="auto"/>
          <w:kern w:val="0"/>
          <w:sz w:val="24"/>
          <w:szCs w:val="24"/>
          <w:highlight w:val="none"/>
          <w:lang w:val="en-US" w:eastAsia="zh-CN"/>
        </w:rPr>
        <w:t>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55EFBC6C">
      <w:pPr>
        <w:ind w:firstLine="482" w:firstLineChars="200"/>
        <w:rPr>
          <w:rStyle w:val="22"/>
          <w:rFonts w:hint="eastAsia" w:ascii="宋体" w:hAnsi="宋体" w:eastAsia="宋体" w:cs="宋体"/>
          <w:b/>
          <w:bCs/>
          <w:color w:val="auto"/>
          <w:kern w:val="0"/>
          <w:sz w:val="24"/>
          <w:szCs w:val="24"/>
          <w:highlight w:val="none"/>
          <w:lang w:val="en-US" w:eastAsia="zh-CN"/>
        </w:rPr>
      </w:pPr>
      <w:r>
        <w:rPr>
          <w:rStyle w:val="22"/>
          <w:rFonts w:hint="eastAsia" w:hAnsi="宋体" w:eastAsia="宋体" w:cs="宋体"/>
          <w:b/>
          <w:bCs/>
          <w:color w:val="auto"/>
          <w:kern w:val="0"/>
          <w:sz w:val="24"/>
          <w:szCs w:val="24"/>
          <w:highlight w:val="none"/>
          <w:lang w:val="en-US" w:eastAsia="zh-CN"/>
        </w:rPr>
        <w:t>3</w:t>
      </w:r>
      <w:r>
        <w:rPr>
          <w:rStyle w:val="22"/>
          <w:rFonts w:hint="eastAsia" w:ascii="宋体" w:hAnsi="宋体" w:eastAsia="宋体" w:cs="宋体"/>
          <w:b/>
          <w:bCs/>
          <w:color w:val="auto"/>
          <w:kern w:val="0"/>
          <w:sz w:val="24"/>
          <w:szCs w:val="24"/>
          <w:highlight w:val="none"/>
        </w:rPr>
        <w:t>.</w:t>
      </w:r>
      <w:r>
        <w:rPr>
          <w:rStyle w:val="22"/>
          <w:rFonts w:hint="eastAsia" w:ascii="宋体" w:hAnsi="宋体" w:eastAsia="宋体" w:cs="宋体"/>
          <w:b/>
          <w:bCs/>
          <w:color w:val="auto"/>
          <w:kern w:val="0"/>
          <w:sz w:val="24"/>
          <w:szCs w:val="24"/>
          <w:highlight w:val="none"/>
          <w:lang w:val="en-US" w:eastAsia="zh-CN"/>
        </w:rPr>
        <w:t>组建招标监督小组</w:t>
      </w:r>
    </w:p>
    <w:p w14:paraId="7072ED5F">
      <w:pPr>
        <w:ind w:firstLine="480" w:firstLineChars="200"/>
        <w:rPr>
          <w:rStyle w:val="22"/>
          <w:rFonts w:hint="eastAsia" w:ascii="宋体" w:hAnsi="宋体" w:eastAsia="宋体" w:cs="宋体"/>
          <w:color w:val="auto"/>
          <w:kern w:val="0"/>
          <w:sz w:val="24"/>
          <w:szCs w:val="24"/>
          <w:highlight w:val="none"/>
          <w:lang w:val="en-US" w:eastAsia="zh-CN"/>
        </w:rPr>
      </w:pPr>
      <w:r>
        <w:rPr>
          <w:rStyle w:val="22"/>
          <w:rFonts w:hint="eastAsia" w:ascii="宋体" w:hAnsi="宋体" w:eastAsia="宋体" w:cs="宋体"/>
          <w:color w:val="auto"/>
          <w:kern w:val="0"/>
          <w:sz w:val="24"/>
          <w:szCs w:val="24"/>
          <w:highlight w:val="none"/>
          <w:lang w:val="en-US" w:eastAsia="zh-CN"/>
        </w:rPr>
        <w:t>招标人应组建招标监督小组，招标监督小组原则上由不少于3人组成，人员可由招标人直接委派，也可以从招标人的上级主管单位、项目业主单位、使用单位等补充委派，并确定一名组长负责统筹监督工作。同一人不得同时担任定标委员会成员和招标监督小组成员中的两个角色。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2020016D">
      <w:pPr>
        <w:ind w:firstLine="482" w:firstLineChars="200"/>
        <w:jc w:val="left"/>
        <w:rPr>
          <w:rStyle w:val="22"/>
          <w:rFonts w:hint="eastAsia" w:ascii="宋体" w:hAnsi="宋体" w:eastAsia="宋体" w:cs="宋体"/>
          <w:b/>
          <w:bCs/>
          <w:color w:val="auto"/>
          <w:kern w:val="0"/>
          <w:sz w:val="24"/>
          <w:szCs w:val="24"/>
          <w:highlight w:val="none"/>
          <w:lang w:eastAsia="zh-CN"/>
        </w:rPr>
      </w:pPr>
      <w:r>
        <w:rPr>
          <w:rStyle w:val="22"/>
          <w:rFonts w:hint="eastAsia" w:hAnsi="宋体" w:eastAsia="宋体" w:cs="宋体"/>
          <w:b/>
          <w:bCs/>
          <w:color w:val="auto"/>
          <w:kern w:val="0"/>
          <w:sz w:val="24"/>
          <w:szCs w:val="24"/>
          <w:highlight w:val="none"/>
          <w:lang w:val="en-US" w:eastAsia="zh-CN"/>
        </w:rPr>
        <w:t>4</w:t>
      </w:r>
      <w:r>
        <w:rPr>
          <w:rStyle w:val="22"/>
          <w:rFonts w:hint="eastAsia" w:ascii="宋体" w:hAnsi="宋体" w:eastAsia="宋体" w:cs="宋体"/>
          <w:b/>
          <w:bCs/>
          <w:color w:val="auto"/>
          <w:kern w:val="0"/>
          <w:sz w:val="24"/>
          <w:szCs w:val="24"/>
          <w:highlight w:val="none"/>
        </w:rPr>
        <w:t>.</w:t>
      </w:r>
      <w:r>
        <w:rPr>
          <w:rStyle w:val="22"/>
          <w:rFonts w:hint="eastAsia" w:ascii="宋体" w:hAnsi="宋体" w:eastAsia="宋体" w:cs="宋体"/>
          <w:b/>
          <w:bCs/>
          <w:color w:val="auto"/>
          <w:kern w:val="0"/>
          <w:sz w:val="24"/>
          <w:szCs w:val="24"/>
          <w:highlight w:val="none"/>
          <w:lang w:eastAsia="zh-CN"/>
        </w:rPr>
        <w:t>定标办法</w:t>
      </w:r>
    </w:p>
    <w:p w14:paraId="254B83A2">
      <w:pPr>
        <w:ind w:firstLine="480" w:firstLineChars="200"/>
        <w:rPr>
          <w:rStyle w:val="22"/>
          <w:rFonts w:hint="eastAsia" w:ascii="宋体" w:hAnsi="宋体" w:eastAsia="宋体" w:cs="宋体"/>
          <w:color w:val="auto"/>
          <w:kern w:val="0"/>
          <w:sz w:val="24"/>
          <w:szCs w:val="24"/>
          <w:highlight w:val="none"/>
          <w:lang w:val="en-US" w:eastAsia="zh-CN"/>
        </w:rPr>
      </w:pPr>
      <w:r>
        <w:rPr>
          <w:rStyle w:val="22"/>
          <w:rFonts w:hint="eastAsia" w:ascii="宋体" w:hAnsi="宋体" w:eastAsia="宋体" w:cs="宋体"/>
          <w:color w:val="auto"/>
          <w:kern w:val="0"/>
          <w:sz w:val="24"/>
          <w:szCs w:val="24"/>
          <w:highlight w:val="none"/>
          <w:lang w:val="en-US" w:eastAsia="zh-CN"/>
        </w:rPr>
        <w:t>定标办法由招标人按本</w:t>
      </w:r>
      <w:r>
        <w:rPr>
          <w:rStyle w:val="22"/>
          <w:rFonts w:hint="eastAsia" w:hAnsi="宋体" w:cs="宋体"/>
          <w:color w:val="auto"/>
          <w:kern w:val="0"/>
          <w:sz w:val="24"/>
          <w:szCs w:val="24"/>
          <w:highlight w:val="none"/>
          <w:lang w:val="en-US" w:eastAsia="zh-CN"/>
        </w:rPr>
        <w:t>章第一节</w:t>
      </w:r>
      <w:r>
        <w:rPr>
          <w:rStyle w:val="22"/>
          <w:rFonts w:hint="eastAsia" w:ascii="宋体" w:hAnsi="宋体" w:eastAsia="宋体" w:cs="宋体"/>
          <w:color w:val="auto"/>
          <w:kern w:val="0"/>
          <w:sz w:val="24"/>
          <w:szCs w:val="24"/>
          <w:highlight w:val="none"/>
          <w:lang w:val="en-US" w:eastAsia="zh-CN"/>
        </w:rPr>
        <w:t>投标人须知前附表的规定确定（只能选定其中一种定标办法）。</w:t>
      </w:r>
    </w:p>
    <w:p w14:paraId="5EAA2E17">
      <w:pPr>
        <w:ind w:firstLine="482" w:firstLineChars="200"/>
        <w:rPr>
          <w:rFonts w:hint="eastAsia"/>
          <w:color w:val="auto"/>
          <w:sz w:val="24"/>
          <w:szCs w:val="24"/>
          <w:highlight w:val="none"/>
        </w:rPr>
      </w:pPr>
      <w:bookmarkStart w:id="70" w:name="OLE_LINK3"/>
      <w:r>
        <w:rPr>
          <w:rFonts w:hint="eastAsia"/>
          <w:b/>
          <w:bCs/>
          <w:color w:val="auto"/>
          <w:sz w:val="24"/>
          <w:szCs w:val="24"/>
          <w:highlight w:val="none"/>
          <w:lang w:val="en-US" w:eastAsia="zh-CN"/>
        </w:rPr>
        <w:t>本项目</w:t>
      </w:r>
      <w:bookmarkEnd w:id="70"/>
      <w:r>
        <w:rPr>
          <w:rStyle w:val="22"/>
          <w:rFonts w:hint="eastAsia" w:ascii="宋体" w:hAnsi="宋体" w:eastAsia="宋体" w:cs="宋体"/>
          <w:b/>
          <w:bCs/>
          <w:color w:val="auto"/>
          <w:kern w:val="0"/>
          <w:sz w:val="24"/>
          <w:szCs w:val="24"/>
          <w:highlight w:val="none"/>
          <w:lang w:val="en-US" w:eastAsia="zh-CN"/>
        </w:rPr>
        <w:t>定标办法</w:t>
      </w:r>
      <w:r>
        <w:rPr>
          <w:rFonts w:hint="eastAsia"/>
          <w:b/>
          <w:bCs/>
          <w:color w:val="auto"/>
          <w:sz w:val="24"/>
          <w:szCs w:val="24"/>
          <w:highlight w:val="none"/>
          <w:lang w:val="en-US" w:eastAsia="zh-CN"/>
        </w:rPr>
        <w:t>采用票决数量法定标。</w:t>
      </w:r>
    </w:p>
    <w:p w14:paraId="6C00ADCE">
      <w:pPr>
        <w:ind w:firstLine="482" w:firstLineChars="200"/>
        <w:rPr>
          <w:rStyle w:val="22"/>
          <w:rFonts w:hint="eastAsia" w:hAnsi="宋体" w:eastAsia="宋体" w:cs="宋体"/>
          <w:b/>
          <w:bCs/>
          <w:color w:val="auto"/>
          <w:kern w:val="0"/>
          <w:sz w:val="24"/>
          <w:szCs w:val="24"/>
          <w:highlight w:val="none"/>
          <w:lang w:val="en-US" w:eastAsia="zh-CN"/>
        </w:rPr>
      </w:pPr>
      <w:r>
        <w:rPr>
          <w:rStyle w:val="22"/>
          <w:rFonts w:hint="eastAsia" w:hAnsi="宋体" w:eastAsia="宋体" w:cs="宋体"/>
          <w:b/>
          <w:bCs/>
          <w:color w:val="auto"/>
          <w:kern w:val="0"/>
          <w:sz w:val="24"/>
          <w:szCs w:val="24"/>
          <w:highlight w:val="none"/>
          <w:lang w:val="en-US" w:eastAsia="zh-CN"/>
        </w:rPr>
        <w:t>5.定标细则</w:t>
      </w:r>
    </w:p>
    <w:p w14:paraId="76FAEBC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5.1票决数量法程序</w:t>
      </w:r>
    </w:p>
    <w:p w14:paraId="1047395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14:paraId="006460D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5.1.1.</w:t>
      </w:r>
      <w:r>
        <w:rPr>
          <w:rFonts w:hint="eastAsia" w:ascii="宋体" w:hAnsi="宋体" w:eastAsia="宋体" w:cs="宋体"/>
          <w:b/>
          <w:bCs/>
          <w:color w:val="auto"/>
          <w:sz w:val="24"/>
          <w:szCs w:val="24"/>
          <w:highlight w:val="none"/>
          <w:u w:val="none"/>
          <w:shd w:val="clear" w:color="auto" w:fill="FFFFFF"/>
        </w:rPr>
        <w:t>项目情况介绍</w:t>
      </w:r>
    </w:p>
    <w:p w14:paraId="1EFCE57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5DF8AE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5.1.2.</w:t>
      </w:r>
      <w:r>
        <w:rPr>
          <w:rFonts w:hint="eastAsia" w:ascii="宋体" w:hAnsi="宋体" w:eastAsia="宋体" w:cs="宋体"/>
          <w:b/>
          <w:bCs/>
          <w:color w:val="auto"/>
          <w:sz w:val="24"/>
          <w:szCs w:val="24"/>
          <w:highlight w:val="none"/>
          <w:u w:val="none"/>
          <w:shd w:val="clear" w:color="auto" w:fill="FFFFFF"/>
        </w:rPr>
        <w:t>审阅定标资料</w:t>
      </w:r>
    </w:p>
    <w:p w14:paraId="49B4A95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150DEF1B">
      <w:pPr>
        <w:pStyle w:val="15"/>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5.1.3.</w:t>
      </w:r>
      <w:r>
        <w:rPr>
          <w:rFonts w:hint="eastAsia" w:ascii="宋体" w:hAnsi="宋体" w:eastAsia="宋体" w:cs="宋体"/>
          <w:b/>
          <w:bCs/>
          <w:color w:val="auto"/>
          <w:sz w:val="24"/>
          <w:szCs w:val="24"/>
          <w:highlight w:val="none"/>
          <w:u w:val="none"/>
          <w:shd w:val="clear" w:color="auto" w:fill="FFFFFF"/>
        </w:rPr>
        <w:t>疑问澄清</w:t>
      </w:r>
    </w:p>
    <w:p w14:paraId="14B1BCC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1C88479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5.1.4.投票，收票，点票和汇总</w:t>
      </w:r>
    </w:p>
    <w:p w14:paraId="6CE52CB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6ACB8C8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5.1.5.公布结果和出具定标报告</w:t>
      </w:r>
    </w:p>
    <w:p w14:paraId="109CE66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359E2A1B">
      <w:pPr>
        <w:pStyle w:val="15"/>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5.1.6.</w:t>
      </w:r>
      <w:r>
        <w:rPr>
          <w:rFonts w:hint="eastAsia" w:ascii="宋体" w:hAnsi="宋体" w:eastAsia="宋体" w:cs="宋体"/>
          <w:b/>
          <w:bCs/>
          <w:color w:val="auto"/>
          <w:sz w:val="24"/>
          <w:szCs w:val="24"/>
          <w:highlight w:val="none"/>
          <w:u w:val="none"/>
          <w:shd w:val="clear" w:color="auto" w:fill="FFFFFF"/>
        </w:rPr>
        <w:t>全程监督</w:t>
      </w:r>
    </w:p>
    <w:p w14:paraId="443D3C0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233D3A1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5.2定标因素</w:t>
      </w:r>
    </w:p>
    <w:p w14:paraId="70A821D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14:paraId="7E998D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w:t>
      </w:r>
      <w:r>
        <w:rPr>
          <w:rFonts w:hint="eastAsia" w:hAnsi="宋体" w:cs="宋体"/>
          <w:b w:val="0"/>
          <w:bCs w:val="0"/>
          <w:color w:val="auto"/>
          <w:spacing w:val="0"/>
          <w:position w:val="0"/>
          <w:sz w:val="24"/>
          <w:szCs w:val="24"/>
          <w:highlight w:val="none"/>
          <w:u w:val="none" w:color="auto"/>
          <w:lang w:val="en-US" w:eastAsia="zh-CN"/>
        </w:rPr>
        <w:t>1</w:t>
      </w:r>
      <w:r>
        <w:rPr>
          <w:rFonts w:hint="eastAsia" w:ascii="宋体" w:hAnsi="宋体" w:eastAsia="宋体" w:cs="宋体"/>
          <w:b w:val="0"/>
          <w:bCs w:val="0"/>
          <w:color w:val="auto"/>
          <w:spacing w:val="0"/>
          <w:position w:val="0"/>
          <w:sz w:val="24"/>
          <w:szCs w:val="24"/>
          <w:highlight w:val="none"/>
          <w:u w:val="none" w:color="auto"/>
          <w:lang w:val="en-US" w:eastAsia="zh-CN"/>
        </w:rPr>
        <w:t>）企业信誉</w:t>
      </w:r>
    </w:p>
    <w:p w14:paraId="2F43A30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相对标准：企业信誉评价好的定标候选人优于企业信誉评价一般的定标候选人。</w:t>
      </w:r>
    </w:p>
    <w:p w14:paraId="50155D1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w:t>
      </w:r>
      <w:r>
        <w:rPr>
          <w:rFonts w:hint="eastAsia" w:hAnsi="宋体" w:cs="宋体"/>
          <w:b w:val="0"/>
          <w:bCs w:val="0"/>
          <w:color w:val="auto"/>
          <w:spacing w:val="0"/>
          <w:position w:val="0"/>
          <w:sz w:val="24"/>
          <w:szCs w:val="24"/>
          <w:highlight w:val="none"/>
          <w:u w:val="none" w:color="auto"/>
          <w:lang w:val="en-US" w:eastAsia="zh-CN"/>
        </w:rPr>
        <w:t>2</w:t>
      </w:r>
      <w:r>
        <w:rPr>
          <w:rFonts w:hint="eastAsia" w:ascii="宋体" w:hAnsi="宋体" w:eastAsia="宋体" w:cs="宋体"/>
          <w:b w:val="0"/>
          <w:bCs w:val="0"/>
          <w:color w:val="auto"/>
          <w:spacing w:val="0"/>
          <w:position w:val="0"/>
          <w:sz w:val="24"/>
          <w:szCs w:val="24"/>
          <w:highlight w:val="none"/>
          <w:u w:val="none" w:color="auto"/>
          <w:lang w:val="en-US" w:eastAsia="zh-CN"/>
        </w:rPr>
        <w:t>）农民工工资保障情况</w:t>
      </w:r>
    </w:p>
    <w:p w14:paraId="2A5E3E3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w:t>
      </w:r>
      <w:r>
        <w:rPr>
          <w:rFonts w:hint="eastAsia" w:ascii="宋体" w:hAnsi="宋体" w:eastAsia="宋体" w:cs="宋体"/>
          <w:b w:val="0"/>
          <w:bCs w:val="0"/>
          <w:color w:val="auto"/>
          <w:kern w:val="0"/>
          <w:sz w:val="24"/>
          <w:szCs w:val="24"/>
          <w:highlight w:val="none"/>
          <w:u w:val="none"/>
          <w:shd w:val="clear" w:color="auto" w:fill="FFFFFF"/>
          <w:lang w:val="en-US" w:eastAsia="zh-CN" w:bidi="ar-SA"/>
        </w:rPr>
        <w:t>定标候选人提交的证明材料和招标人查询的材料进行评审）。</w:t>
      </w:r>
    </w:p>
    <w:p w14:paraId="0E90E77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w:t>
      </w:r>
      <w:r>
        <w:rPr>
          <w:rFonts w:hint="eastAsia" w:hAnsi="宋体" w:cs="宋体"/>
          <w:b w:val="0"/>
          <w:bCs w:val="0"/>
          <w:color w:val="auto"/>
          <w:spacing w:val="0"/>
          <w:position w:val="0"/>
          <w:sz w:val="24"/>
          <w:szCs w:val="24"/>
          <w:highlight w:val="none"/>
          <w:u w:val="none" w:color="auto"/>
          <w:lang w:val="en-US" w:eastAsia="zh-CN"/>
        </w:rPr>
        <w:t>3</w:t>
      </w:r>
      <w:r>
        <w:rPr>
          <w:rFonts w:hint="eastAsia" w:ascii="宋体" w:hAnsi="宋体" w:eastAsia="宋体" w:cs="宋体"/>
          <w:b w:val="0"/>
          <w:bCs w:val="0"/>
          <w:color w:val="auto"/>
          <w:spacing w:val="0"/>
          <w:position w:val="0"/>
          <w:sz w:val="24"/>
          <w:szCs w:val="24"/>
          <w:highlight w:val="none"/>
          <w:u w:val="none" w:color="auto"/>
          <w:lang w:val="en-US" w:eastAsia="zh-CN"/>
        </w:rPr>
        <w:t>）拟派团队管理能力与水平（履约能力）</w:t>
      </w:r>
    </w:p>
    <w:p w14:paraId="2DB7011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14:paraId="30A515E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w:t>
      </w:r>
      <w:r>
        <w:rPr>
          <w:rFonts w:hint="eastAsia" w:hAnsi="宋体" w:cs="宋体"/>
          <w:b w:val="0"/>
          <w:bCs w:val="0"/>
          <w:color w:val="auto"/>
          <w:spacing w:val="0"/>
          <w:position w:val="0"/>
          <w:sz w:val="24"/>
          <w:szCs w:val="24"/>
          <w:highlight w:val="none"/>
          <w:u w:val="none" w:color="auto"/>
          <w:lang w:val="en-US" w:eastAsia="zh-CN"/>
        </w:rPr>
        <w:t>4</w:t>
      </w:r>
      <w:r>
        <w:rPr>
          <w:rFonts w:hint="eastAsia" w:ascii="宋体" w:hAnsi="宋体" w:eastAsia="宋体" w:cs="宋体"/>
          <w:b w:val="0"/>
          <w:bCs w:val="0"/>
          <w:color w:val="auto"/>
          <w:spacing w:val="0"/>
          <w:position w:val="0"/>
          <w:sz w:val="24"/>
          <w:szCs w:val="24"/>
          <w:highlight w:val="none"/>
          <w:u w:val="none" w:color="auto"/>
          <w:lang w:val="en-US" w:eastAsia="zh-CN"/>
        </w:rPr>
        <w:t>）评标报告</w:t>
      </w:r>
    </w:p>
    <w:p w14:paraId="50391F4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14:paraId="579DA52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6.定标结果公示</w:t>
      </w:r>
    </w:p>
    <w:p w14:paraId="385E089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Style w:val="22"/>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定标委员会完成定标</w:t>
      </w:r>
      <w:r>
        <w:rPr>
          <w:rStyle w:val="22"/>
          <w:rFonts w:hint="eastAsia" w:ascii="宋体" w:hAnsi="宋体" w:eastAsia="宋体" w:cs="宋体"/>
          <w:b w:val="0"/>
          <w:bCs w:val="0"/>
          <w:color w:val="auto"/>
          <w:kern w:val="0"/>
          <w:sz w:val="24"/>
          <w:szCs w:val="24"/>
          <w:highlight w:val="none"/>
          <w:lang w:val="en-US" w:eastAsia="zh-CN"/>
        </w:rPr>
        <w:t>后</w:t>
      </w:r>
      <w:r>
        <w:rPr>
          <w:rStyle w:val="22"/>
          <w:rFonts w:hint="eastAsia" w:ascii="宋体" w:hAnsi="宋体" w:eastAsia="宋体" w:cs="宋体"/>
          <w:color w:val="auto"/>
          <w:kern w:val="0"/>
          <w:sz w:val="24"/>
          <w:szCs w:val="24"/>
          <w:highlight w:val="none"/>
          <w:lang w:val="en-US" w:eastAsia="zh-CN"/>
        </w:rPr>
        <w:t>，招标人应于定标会结束后3日内将中标候选人和定标情况在广东省招标投标监管网和</w:t>
      </w:r>
      <w:r>
        <w:rPr>
          <w:rStyle w:val="22"/>
          <w:rFonts w:hint="eastAsia" w:hAnsi="宋体" w:cs="宋体"/>
          <w:color w:val="auto"/>
          <w:kern w:val="0"/>
          <w:sz w:val="24"/>
          <w:szCs w:val="24"/>
          <w:highlight w:val="none"/>
          <w:lang w:val="en-US" w:eastAsia="zh-CN"/>
        </w:rPr>
        <w:t>全国公共资源交易平台（广东省·韶关市）</w:t>
      </w:r>
      <w:r>
        <w:rPr>
          <w:rStyle w:val="22"/>
          <w:rFonts w:hint="eastAsia" w:ascii="宋体" w:hAnsi="宋体" w:eastAsia="宋体" w:cs="宋体"/>
          <w:color w:val="auto"/>
          <w:kern w:val="0"/>
          <w:sz w:val="24"/>
          <w:szCs w:val="24"/>
          <w:highlight w:val="none"/>
          <w:lang w:val="en-US" w:eastAsia="zh-CN"/>
        </w:rPr>
        <w:t>上公示，公示时间不少于3日。公示主要内容包括：公示主要内容包括：定标报告（定标成员信息除外）、中标人名单、中标价和拟投入本项目的项目负责人、技术负责人及各专业负责人（如有）等内容。</w:t>
      </w:r>
    </w:p>
    <w:p w14:paraId="77F64669">
      <w:pPr>
        <w:rPr>
          <w:rFonts w:hint="eastAsia"/>
          <w:color w:val="auto"/>
          <w:sz w:val="24"/>
          <w:szCs w:val="24"/>
          <w:highlight w:val="none"/>
          <w:lang w:val="en-US" w:eastAsia="zh-CN"/>
        </w:rPr>
      </w:pPr>
    </w:p>
    <w:p w14:paraId="77BFE4C7">
      <w:pPr>
        <w:rPr>
          <w:rStyle w:val="22"/>
          <w:rFonts w:hint="eastAsia" w:ascii="Times New Roman" w:hAnsi="宋体" w:eastAsia="宋体" w:cs="Times New Roman"/>
          <w:b/>
          <w:bCs/>
          <w:color w:val="auto"/>
          <w:sz w:val="24"/>
          <w:szCs w:val="24"/>
          <w:highlight w:val="none"/>
        </w:rPr>
      </w:pPr>
      <w:bookmarkStart w:id="71" w:name="_Toc209"/>
      <w:r>
        <w:rPr>
          <w:rStyle w:val="22"/>
          <w:rFonts w:hint="eastAsia" w:ascii="Times New Roman" w:hAnsi="宋体" w:eastAsia="宋体" w:cs="Times New Roman"/>
          <w:b/>
          <w:bCs/>
          <w:color w:val="auto"/>
          <w:sz w:val="24"/>
          <w:szCs w:val="24"/>
          <w:highlight w:val="none"/>
        </w:rPr>
        <w:br w:type="page"/>
      </w:r>
    </w:p>
    <w:p w14:paraId="5BB86E88">
      <w:pPr>
        <w:tabs>
          <w:tab w:val="left" w:pos="885"/>
        </w:tabs>
        <w:snapToGrid w:val="0"/>
        <w:jc w:val="center"/>
        <w:outlineLvl w:val="1"/>
        <w:rPr>
          <w:rStyle w:val="22"/>
          <w:rFonts w:hint="eastAsia" w:ascii="Times New Roman" w:hAnsi="宋体" w:eastAsia="宋体" w:cs="Times New Roman"/>
          <w:b/>
          <w:bCs/>
          <w:color w:val="auto"/>
          <w:sz w:val="24"/>
          <w:szCs w:val="24"/>
          <w:highlight w:val="none"/>
          <w:lang w:val="en-US" w:eastAsia="zh-CN"/>
        </w:rPr>
      </w:pPr>
      <w:bookmarkStart w:id="72" w:name="_Toc10952"/>
      <w:r>
        <w:rPr>
          <w:rStyle w:val="22"/>
          <w:rFonts w:hint="eastAsia" w:ascii="Times New Roman" w:hAnsi="宋体" w:eastAsia="宋体" w:cs="Times New Roman"/>
          <w:b/>
          <w:bCs/>
          <w:color w:val="auto"/>
          <w:sz w:val="24"/>
          <w:szCs w:val="24"/>
          <w:highlight w:val="none"/>
        </w:rPr>
        <w:t>第</w:t>
      </w:r>
      <w:r>
        <w:rPr>
          <w:rStyle w:val="22"/>
          <w:rFonts w:hint="eastAsia" w:ascii="Times New Roman" w:hAnsi="宋体" w:eastAsia="宋体" w:cs="Times New Roman"/>
          <w:b/>
          <w:bCs/>
          <w:color w:val="auto"/>
          <w:sz w:val="24"/>
          <w:szCs w:val="24"/>
          <w:highlight w:val="none"/>
          <w:lang w:val="en-US" w:eastAsia="zh-CN"/>
        </w:rPr>
        <w:t>六</w:t>
      </w:r>
      <w:r>
        <w:rPr>
          <w:rStyle w:val="22"/>
          <w:rFonts w:hint="eastAsia" w:ascii="Times New Roman" w:hAnsi="宋体" w:eastAsia="宋体" w:cs="Times New Roman"/>
          <w:b/>
          <w:bCs/>
          <w:color w:val="auto"/>
          <w:sz w:val="24"/>
          <w:szCs w:val="24"/>
          <w:highlight w:val="none"/>
        </w:rPr>
        <w:t>节 中标人确认</w:t>
      </w:r>
      <w:bookmarkEnd w:id="71"/>
      <w:bookmarkEnd w:id="72"/>
    </w:p>
    <w:p w14:paraId="7BB76E8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1.中标人确定</w:t>
      </w:r>
    </w:p>
    <w:p w14:paraId="7979C90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1.1 中标人确定。中标结果公示期满无异议的，招标人确认排名第一的中标候选人为中标人，中标人的投标报价即为中标价。</w:t>
      </w:r>
    </w:p>
    <w:p w14:paraId="680C6A9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1.2 中标人确定后，招标人应当于7日内在线完成加盖招标人单位电子签章的中标通知书并发放到中标人及各相关单位。招标人最迟应当在投标有效期届满30日前发出中标通知书，否则，应当按照本投标人须知投标有效期的规定延长投标有效期。</w:t>
      </w:r>
      <w:r>
        <w:rPr>
          <w:rFonts w:hint="eastAsia" w:ascii="宋体" w:hAnsi="宋体" w:eastAsia="宋体" w:cs="宋体"/>
          <w:snapToGrid w:val="0"/>
          <w:color w:val="auto"/>
          <w:kern w:val="0"/>
          <w:sz w:val="24"/>
          <w:szCs w:val="24"/>
          <w:highlight w:val="none"/>
        </w:rPr>
        <w:t>在中标通知书发出后5个工作日内，韶关市公共资源交易中心将投标保证金（或银行保函）退还给中标候选人以外的投标人。</w:t>
      </w:r>
    </w:p>
    <w:p w14:paraId="1E5E73B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1.3 招标人应当自中标通知书发出之日起15日内，通过广东省招标投标监管网和公共资源交易平台发布中标结果公示。 招标人应当自确定中标人之日起15日内，在线向有关招标管理部门提交招标投标情况的书面报告。</w:t>
      </w:r>
    </w:p>
    <w:p w14:paraId="0F8A23D1">
      <w:pPr>
        <w:keepNext w:val="0"/>
        <w:keepLines w:val="0"/>
        <w:pageBreakBefore w:val="0"/>
        <w:widowControl w:val="0"/>
        <w:shd w:val="clear" w:color="auto" w:fill="auto"/>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异议和投诉</w:t>
      </w:r>
    </w:p>
    <w:p w14:paraId="13A3A81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2.1 投标人或者其他利害关系人对招标项目的评标和中标结果有异议的，应当在定标候选人和中标候选人公示期间按规定线上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10CB275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2.2在定标候选人和中标候选人公示期间有关评标结果的异议成立的，招标人原则上应当组织原评标委员会和原定标委员会对有关的问题予以纠正，问题纠正后再公示定标候选人和中标候选人。</w:t>
      </w:r>
    </w:p>
    <w:p w14:paraId="7A486F6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2.3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26D95D1D">
      <w:pPr>
        <w:pStyle w:val="15"/>
        <w:keepNext w:val="0"/>
        <w:keepLines w:val="0"/>
        <w:pageBreakBefore w:val="0"/>
        <w:widowControl w:val="0"/>
        <w:shd w:val="clear" w:color="auto" w:fill="auto"/>
        <w:kinsoku/>
        <w:wordWrap/>
        <w:overflowPunct/>
        <w:topLinePunct w:val="0"/>
        <w:bidi w:val="0"/>
        <w:adjustRightInd/>
        <w:snapToGrid/>
        <w:spacing w:before="0" w:beforeLines="0" w:after="0" w:afterLines="0" w:line="340" w:lineRule="exact"/>
        <w:ind w:left="0" w:leftChars="0" w:firstLine="482" w:firstLineChars="200"/>
        <w:jc w:val="both"/>
        <w:textAlignment w:val="auto"/>
        <w:outlineLvl w:val="9"/>
        <w:rPr>
          <w:rFonts w:hint="eastAsia" w:ascii="宋体" w:hAnsi="宋体" w:eastAsia="宋体" w:cs="宋体"/>
          <w:b/>
          <w:bCs/>
          <w:i/>
          <w:color w:val="auto"/>
          <w:sz w:val="24"/>
          <w:szCs w:val="24"/>
          <w:highlight w:val="none"/>
        </w:rPr>
      </w:pPr>
      <w:bookmarkStart w:id="73" w:name="_Toc236550039"/>
      <w:r>
        <w:rPr>
          <w:rStyle w:val="20"/>
          <w:rFonts w:hint="eastAsia" w:ascii="宋体" w:hAnsi="宋体" w:eastAsia="宋体" w:cs="宋体"/>
          <w:b/>
          <w:bCs/>
          <w:i w:val="0"/>
          <w:color w:val="auto"/>
          <w:sz w:val="24"/>
          <w:szCs w:val="24"/>
          <w:highlight w:val="none"/>
          <w:lang w:val="en-US" w:eastAsia="zh-CN"/>
        </w:rPr>
        <w:t>3</w:t>
      </w:r>
      <w:r>
        <w:rPr>
          <w:rStyle w:val="20"/>
          <w:rFonts w:hint="eastAsia" w:ascii="宋体" w:hAnsi="宋体" w:eastAsia="宋体" w:cs="宋体"/>
          <w:b/>
          <w:bCs/>
          <w:i w:val="0"/>
          <w:color w:val="auto"/>
          <w:sz w:val="24"/>
          <w:szCs w:val="24"/>
          <w:highlight w:val="none"/>
        </w:rPr>
        <w:t>．废除授标</w:t>
      </w:r>
      <w:bookmarkEnd w:id="73"/>
      <w:r>
        <w:rPr>
          <w:rStyle w:val="20"/>
          <w:rFonts w:hint="eastAsia" w:ascii="宋体" w:hAnsi="宋体" w:eastAsia="宋体" w:cs="宋体"/>
          <w:b/>
          <w:bCs/>
          <w:i w:val="0"/>
          <w:color w:val="auto"/>
          <w:sz w:val="24"/>
          <w:szCs w:val="24"/>
          <w:highlight w:val="none"/>
        </w:rPr>
        <w:t>及授标</w:t>
      </w:r>
    </w:p>
    <w:p w14:paraId="1A51FEE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3.1评定标完成后，中标候选人有下列情形之一的，招标人应按规定取消中标候选人资格或废除授标：</w:t>
      </w:r>
    </w:p>
    <w:p w14:paraId="4DDB72E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（1）以他人名义投标或者以其他方式弄虚作假骗取中标的；</w:t>
      </w:r>
    </w:p>
    <w:p w14:paraId="567B835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（2）与其他投标人串通投标或以行贿的手段谋取中标的；</w:t>
      </w:r>
    </w:p>
    <w:p w14:paraId="6DCFD80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（3）不是从本投标企业基本账户提交投标担保或以虚假方式提交投标保证金保函（保单）的；</w:t>
      </w:r>
    </w:p>
    <w:p w14:paraId="50F5CF9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（4）中标人于投标有效期终止之前撤回投标文件，或者排名第一的中标候选人放弃中标资格的；</w:t>
      </w:r>
    </w:p>
    <w:p w14:paraId="687A1AF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（5）因中标人过错而未能按照规定与招标人签订工程总承包合同或中标人因不可抗力提出不能履行合同的；</w:t>
      </w:r>
    </w:p>
    <w:p w14:paraId="072E0C8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（6）因中标人过错而未能按照招标文件要求向招标人提交履约担保的；</w:t>
      </w:r>
    </w:p>
    <w:p w14:paraId="18628EB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（7）中标单位拟派的项目负责人从投标截止时间起在其他建设工程担任项目负责人；</w:t>
      </w:r>
    </w:p>
    <w:p w14:paraId="07CA27B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（8）中标人被有关部门查实存在影响中标结果的违法行为，不符合中标条件的；</w:t>
      </w:r>
    </w:p>
    <w:p w14:paraId="4D8CD3B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（9）中标人在参加本项目投标时有本企业投标承诺书所列被依法限制或暂停承揽业务或停业的处罚的；</w:t>
      </w:r>
    </w:p>
    <w:p w14:paraId="1F468AD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（10）招标文件明确规定可以废除授标的其他情形。</w:t>
      </w:r>
    </w:p>
    <w:p w14:paraId="5AEBB6C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3.2 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514F36F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3.3 招标人有下列情形之一的，应依法承担相应的责任：</w:t>
      </w:r>
    </w:p>
    <w:p w14:paraId="11302FF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（1）无正当理由不发出中标通知书的；</w:t>
      </w:r>
    </w:p>
    <w:p w14:paraId="1AE1BE1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（2）招标人不按照规定确定中标人的；</w:t>
      </w:r>
    </w:p>
    <w:p w14:paraId="414842B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（3）中标通知书发出后无正当理由改变中标结果的；</w:t>
      </w:r>
    </w:p>
    <w:p w14:paraId="526A63A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（4）无正当理由不与中标人签订工程总承包合同的；</w:t>
      </w:r>
    </w:p>
    <w:p w14:paraId="3571F5D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Style w:val="22"/>
          <w:rFonts w:hint="eastAsia" w:ascii="宋体" w:hAnsi="宋体" w:eastAsia="宋体" w:cs="宋体"/>
          <w:color w:val="auto"/>
          <w:kern w:val="0"/>
          <w:sz w:val="24"/>
          <w:szCs w:val="24"/>
          <w:highlight w:val="none"/>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（5）在签订工程总承包合同时向中标人提出附加条件或者更改合同实质性内容的。</w:t>
      </w:r>
    </w:p>
    <w:p w14:paraId="0554137F">
      <w:pPr>
        <w:rPr>
          <w:rFonts w:hint="eastAsia"/>
          <w:color w:val="auto"/>
          <w:highlight w:val="none"/>
        </w:rPr>
        <w:sectPr>
          <w:endnotePr>
            <w:numFmt w:val="decimal"/>
          </w:endnotePr>
          <w:pgSz w:w="11906" w:h="16838"/>
          <w:pgMar w:top="1247" w:right="1304" w:bottom="1247" w:left="1304" w:header="850" w:footer="544" w:gutter="0"/>
          <w:cols w:space="720" w:num="1"/>
          <w:rtlGutter w:val="0"/>
          <w:docGrid w:linePitch="327" w:charSpace="0"/>
        </w:sectPr>
      </w:pPr>
    </w:p>
    <w:p w14:paraId="243DD0B9">
      <w:pPr>
        <w:snapToGrid w:val="0"/>
        <w:spacing w:line="440" w:lineRule="exact"/>
        <w:ind w:firstLine="480"/>
        <w:jc w:val="center"/>
        <w:outlineLvl w:val="0"/>
        <w:rPr>
          <w:rStyle w:val="22"/>
          <w:rFonts w:hint="eastAsia" w:ascii="宋体" w:hAnsi="宋体" w:eastAsia="宋体" w:cs="宋体"/>
          <w:b/>
          <w:bCs/>
          <w:color w:val="auto"/>
          <w:kern w:val="0"/>
          <w:highlight w:val="none"/>
        </w:rPr>
      </w:pPr>
      <w:bookmarkStart w:id="74" w:name="_Toc4077"/>
      <w:bookmarkStart w:id="75" w:name="_Toc3347"/>
      <w:bookmarkStart w:id="76" w:name="_Toc21527"/>
      <w:bookmarkStart w:id="77" w:name="_Toc28709"/>
      <w:bookmarkStart w:id="78" w:name="_Toc2386"/>
      <w:bookmarkStart w:id="79" w:name="_Toc6867"/>
      <w:bookmarkStart w:id="80" w:name="_Toc28787"/>
      <w:bookmarkStart w:id="81" w:name="_Toc30480"/>
      <w:bookmarkStart w:id="82" w:name="_Toc27143"/>
      <w:bookmarkStart w:id="83" w:name="_Toc28953"/>
      <w:r>
        <w:rPr>
          <w:rStyle w:val="22"/>
          <w:rFonts w:hint="eastAsia" w:ascii="宋体" w:hAnsi="宋体" w:eastAsia="宋体" w:cs="宋体"/>
          <w:b/>
          <w:bCs/>
          <w:color w:val="auto"/>
          <w:kern w:val="0"/>
          <w:highlight w:val="none"/>
        </w:rPr>
        <w:t>第二章 中标人须知</w:t>
      </w:r>
      <w:bookmarkEnd w:id="74"/>
      <w:bookmarkEnd w:id="75"/>
      <w:bookmarkEnd w:id="76"/>
      <w:bookmarkEnd w:id="77"/>
      <w:bookmarkEnd w:id="78"/>
      <w:bookmarkEnd w:id="79"/>
      <w:bookmarkEnd w:id="80"/>
      <w:bookmarkEnd w:id="81"/>
      <w:bookmarkEnd w:id="82"/>
      <w:bookmarkEnd w:id="83"/>
    </w:p>
    <w:p w14:paraId="75F94E49">
      <w:pPr>
        <w:snapToGrid w:val="0"/>
        <w:spacing w:line="440" w:lineRule="exact"/>
        <w:ind w:firstLine="562"/>
        <w:outlineLvl w:val="1"/>
        <w:rPr>
          <w:rStyle w:val="22"/>
          <w:rFonts w:hint="eastAsia" w:ascii="宋体" w:hAnsi="宋体" w:eastAsia="宋体" w:cs="宋体"/>
          <w:color w:val="auto"/>
          <w:kern w:val="0"/>
          <w:highlight w:val="none"/>
        </w:rPr>
      </w:pPr>
      <w:bookmarkStart w:id="84" w:name="_Toc16222"/>
      <w:bookmarkStart w:id="85" w:name="_Toc29237"/>
      <w:bookmarkStart w:id="86" w:name="_Toc22972"/>
      <w:bookmarkStart w:id="87" w:name="_Toc17046"/>
      <w:bookmarkStart w:id="88" w:name="_Toc61"/>
      <w:bookmarkStart w:id="89" w:name="_Toc4987"/>
      <w:bookmarkStart w:id="90" w:name="_Toc6149"/>
      <w:bookmarkStart w:id="91" w:name="_Toc14325"/>
      <w:bookmarkStart w:id="92" w:name="_Toc19623"/>
      <w:bookmarkStart w:id="93" w:name="_Toc19147"/>
      <w:r>
        <w:rPr>
          <w:rStyle w:val="22"/>
          <w:rFonts w:hint="eastAsia" w:ascii="宋体" w:hAnsi="宋体" w:eastAsia="宋体" w:cs="宋体"/>
          <w:b/>
          <w:bCs/>
          <w:color w:val="auto"/>
          <w:kern w:val="0"/>
          <w:highlight w:val="none"/>
        </w:rPr>
        <w:t>1．中标通知书</w:t>
      </w:r>
      <w:bookmarkEnd w:id="84"/>
      <w:bookmarkEnd w:id="85"/>
      <w:bookmarkEnd w:id="86"/>
      <w:bookmarkEnd w:id="87"/>
      <w:bookmarkEnd w:id="88"/>
      <w:bookmarkEnd w:id="89"/>
      <w:bookmarkEnd w:id="90"/>
      <w:bookmarkEnd w:id="91"/>
      <w:bookmarkEnd w:id="92"/>
      <w:bookmarkEnd w:id="93"/>
    </w:p>
    <w:p w14:paraId="47450EB4">
      <w:pPr>
        <w:snapToGrid w:val="0"/>
        <w:spacing w:line="440" w:lineRule="exact"/>
        <w:ind w:firstLine="562"/>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20EE6257">
      <w:pPr>
        <w:snapToGrid w:val="0"/>
        <w:spacing w:line="440" w:lineRule="exact"/>
        <w:ind w:firstLine="562"/>
        <w:rPr>
          <w:rStyle w:val="22"/>
          <w:rFonts w:hint="eastAsia" w:ascii="宋体" w:hAnsi="宋体" w:eastAsia="宋体" w:cs="宋体"/>
          <w:color w:val="auto"/>
          <w:kern w:val="0"/>
          <w:highlight w:val="none"/>
        </w:rPr>
      </w:pPr>
    </w:p>
    <w:p w14:paraId="011F3DE6">
      <w:pPr>
        <w:snapToGrid w:val="0"/>
        <w:spacing w:line="440" w:lineRule="exact"/>
        <w:ind w:firstLine="562"/>
        <w:outlineLvl w:val="1"/>
        <w:rPr>
          <w:rStyle w:val="22"/>
          <w:rFonts w:hint="eastAsia" w:ascii="宋体" w:hAnsi="宋体" w:eastAsia="宋体" w:cs="宋体"/>
          <w:color w:val="auto"/>
          <w:kern w:val="0"/>
          <w:highlight w:val="none"/>
        </w:rPr>
      </w:pPr>
      <w:bookmarkStart w:id="94" w:name="_Toc10346"/>
      <w:bookmarkStart w:id="95" w:name="_Toc32016"/>
      <w:bookmarkStart w:id="96" w:name="_Toc7495"/>
      <w:bookmarkStart w:id="97" w:name="_Toc9352"/>
      <w:bookmarkStart w:id="98" w:name="_Toc18834"/>
      <w:bookmarkStart w:id="99" w:name="_Toc13183"/>
      <w:bookmarkStart w:id="100" w:name="_Toc11550"/>
      <w:bookmarkStart w:id="101" w:name="_Toc9149"/>
      <w:bookmarkStart w:id="102" w:name="_Toc26333"/>
      <w:bookmarkStart w:id="103" w:name="_Toc250"/>
      <w:r>
        <w:rPr>
          <w:rStyle w:val="22"/>
          <w:rFonts w:hint="eastAsia" w:ascii="宋体" w:hAnsi="宋体" w:eastAsia="宋体" w:cs="宋体"/>
          <w:b/>
          <w:bCs/>
          <w:color w:val="auto"/>
          <w:kern w:val="0"/>
          <w:highlight w:val="none"/>
        </w:rPr>
        <w:t>2．中标结果公示</w:t>
      </w:r>
      <w:bookmarkEnd w:id="94"/>
      <w:bookmarkEnd w:id="95"/>
      <w:bookmarkEnd w:id="96"/>
      <w:bookmarkEnd w:id="97"/>
      <w:bookmarkEnd w:id="98"/>
      <w:bookmarkEnd w:id="99"/>
      <w:bookmarkEnd w:id="100"/>
      <w:bookmarkEnd w:id="101"/>
      <w:bookmarkEnd w:id="102"/>
      <w:bookmarkEnd w:id="103"/>
    </w:p>
    <w:p w14:paraId="18971AF5">
      <w:pPr>
        <w:snapToGrid w:val="0"/>
        <w:spacing w:line="440" w:lineRule="exact"/>
        <w:ind w:firstLine="562"/>
        <w:rPr>
          <w:rStyle w:val="22"/>
          <w:rFonts w:hint="eastAsia" w:hAnsi="宋体"/>
          <w:color w:val="auto"/>
          <w:kern w:val="0"/>
          <w:highlight w:val="none"/>
        </w:rPr>
      </w:pPr>
      <w:r>
        <w:rPr>
          <w:rStyle w:val="22"/>
          <w:rFonts w:hint="eastAsia" w:ascii="宋体" w:hAnsi="宋体" w:eastAsia="宋体" w:cs="宋体"/>
          <w:color w:val="auto"/>
          <w:kern w:val="0"/>
          <w:highlight w:val="none"/>
        </w:rPr>
        <w:t>中标通知书发出后15日内，招标人应将中标结果</w:t>
      </w:r>
      <w:r>
        <w:rPr>
          <w:rFonts w:hint="eastAsia" w:ascii="宋体" w:hAnsi="宋体" w:eastAsia="宋体" w:cs="宋体"/>
          <w:snapToGrid w:val="0"/>
          <w:color w:val="auto"/>
          <w:kern w:val="0"/>
          <w:highlight w:val="none"/>
        </w:rPr>
        <w:t>在广东省招标投标监管网（http://zbtb.gd.gov.cn）、全国公共资源交易平台（广东省·韶关市）（https://ygp.gdzwfw.gov.cn/ggzy-portal/#/440200/index）进行公示。</w:t>
      </w:r>
    </w:p>
    <w:p w14:paraId="445DFDEB">
      <w:pPr>
        <w:snapToGrid w:val="0"/>
        <w:spacing w:line="440" w:lineRule="exact"/>
        <w:ind w:firstLine="562"/>
        <w:rPr>
          <w:rStyle w:val="22"/>
          <w:rFonts w:hint="eastAsia" w:ascii="宋体" w:hAnsi="宋体" w:eastAsia="宋体" w:cs="宋体"/>
          <w:color w:val="auto"/>
          <w:kern w:val="0"/>
          <w:highlight w:val="none"/>
        </w:rPr>
      </w:pPr>
    </w:p>
    <w:p w14:paraId="305D182B">
      <w:pPr>
        <w:snapToGrid w:val="0"/>
        <w:spacing w:line="440" w:lineRule="exact"/>
        <w:ind w:firstLine="562"/>
        <w:outlineLvl w:val="1"/>
        <w:rPr>
          <w:rStyle w:val="22"/>
          <w:rFonts w:hint="eastAsia" w:ascii="宋体" w:hAnsi="宋体" w:eastAsia="宋体" w:cs="宋体"/>
          <w:color w:val="auto"/>
          <w:kern w:val="0"/>
          <w:highlight w:val="none"/>
        </w:rPr>
      </w:pPr>
      <w:bookmarkStart w:id="104" w:name="_Toc11324"/>
      <w:bookmarkStart w:id="105" w:name="_Toc25322"/>
      <w:bookmarkStart w:id="106" w:name="_Toc2148"/>
      <w:bookmarkStart w:id="107" w:name="_Toc5175"/>
      <w:bookmarkStart w:id="108" w:name="_Toc4720"/>
      <w:bookmarkStart w:id="109" w:name="_Toc3103"/>
      <w:bookmarkStart w:id="110" w:name="_Toc7791"/>
      <w:bookmarkStart w:id="111" w:name="_Toc8887"/>
      <w:bookmarkStart w:id="112" w:name="_Toc23213"/>
      <w:bookmarkStart w:id="113" w:name="_Toc18175"/>
      <w:r>
        <w:rPr>
          <w:rStyle w:val="22"/>
          <w:rFonts w:hint="eastAsia" w:ascii="宋体" w:hAnsi="宋体" w:eastAsia="宋体" w:cs="宋体"/>
          <w:b/>
          <w:bCs/>
          <w:color w:val="auto"/>
          <w:kern w:val="0"/>
          <w:highlight w:val="none"/>
        </w:rPr>
        <w:t>3．履约保证</w:t>
      </w:r>
      <w:bookmarkEnd w:id="104"/>
      <w:bookmarkEnd w:id="105"/>
      <w:bookmarkEnd w:id="106"/>
      <w:bookmarkEnd w:id="107"/>
      <w:bookmarkEnd w:id="108"/>
      <w:bookmarkEnd w:id="109"/>
      <w:bookmarkEnd w:id="110"/>
      <w:bookmarkEnd w:id="111"/>
      <w:bookmarkEnd w:id="112"/>
      <w:bookmarkEnd w:id="113"/>
    </w:p>
    <w:p w14:paraId="52AFA2C9">
      <w:pPr>
        <w:snapToGrid w:val="0"/>
        <w:spacing w:line="440" w:lineRule="exact"/>
        <w:ind w:firstLine="56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3.1</w:t>
      </w:r>
      <w:r>
        <w:rPr>
          <w:rStyle w:val="22"/>
          <w:rFonts w:hint="eastAsia" w:ascii="宋体" w:hAnsi="宋体" w:eastAsia="宋体" w:cs="宋体"/>
          <w:color w:val="auto"/>
          <w:kern w:val="0"/>
          <w:highlight w:val="none"/>
        </w:rPr>
        <w:t xml:space="preserve"> 中标人须在领取中标通知书之日起</w:t>
      </w:r>
      <w:r>
        <w:rPr>
          <w:rStyle w:val="22"/>
          <w:rFonts w:hint="eastAsia" w:ascii="宋体" w:hAnsi="宋体" w:eastAsia="宋体" w:cs="宋体"/>
          <w:color w:val="auto"/>
          <w:kern w:val="0"/>
          <w:highlight w:val="none"/>
          <w:u w:val="single"/>
        </w:rPr>
        <w:t>10</w:t>
      </w:r>
      <w:r>
        <w:rPr>
          <w:rStyle w:val="22"/>
          <w:rFonts w:hint="eastAsia" w:ascii="宋体" w:hAnsi="宋体" w:eastAsia="宋体" w:cs="宋体"/>
          <w:color w:val="auto"/>
          <w:kern w:val="0"/>
          <w:highlight w:val="none"/>
        </w:rPr>
        <w:t>个工作日内、</w:t>
      </w:r>
      <w:r>
        <w:rPr>
          <w:rFonts w:hint="eastAsia" w:ascii="宋体" w:hAnsi="宋体" w:eastAsia="宋体" w:cs="宋体"/>
          <w:snapToGrid w:val="0"/>
          <w:color w:val="auto"/>
          <w:kern w:val="0"/>
          <w:highlight w:val="none"/>
        </w:rPr>
        <w:t>签订合同前</w:t>
      </w:r>
      <w:r>
        <w:rPr>
          <w:rStyle w:val="22"/>
          <w:rFonts w:hint="eastAsia" w:ascii="宋体" w:hAnsi="宋体" w:eastAsia="宋体" w:cs="宋体"/>
          <w:color w:val="auto"/>
          <w:kern w:val="0"/>
          <w:highlight w:val="none"/>
        </w:rPr>
        <w:t>向招标人提交金额为中标价</w:t>
      </w:r>
      <w:r>
        <w:rPr>
          <w:rStyle w:val="22"/>
          <w:rFonts w:hint="eastAsia" w:ascii="宋体" w:hAnsi="宋体" w:eastAsia="宋体" w:cs="宋体"/>
          <w:color w:val="auto"/>
          <w:kern w:val="0"/>
          <w:highlight w:val="none"/>
          <w:u w:val="single"/>
        </w:rPr>
        <w:t>5%</w:t>
      </w:r>
      <w:r>
        <w:rPr>
          <w:rStyle w:val="22"/>
          <w:rFonts w:hint="eastAsia" w:ascii="宋体" w:hAnsi="宋体" w:eastAsia="宋体" w:cs="宋体"/>
          <w:color w:val="auto"/>
          <w:kern w:val="0"/>
          <w:highlight w:val="none"/>
        </w:rPr>
        <w:t>的履约保证。</w:t>
      </w:r>
    </w:p>
    <w:p w14:paraId="26CD6906">
      <w:pPr>
        <w:snapToGrid w:val="0"/>
        <w:spacing w:line="440" w:lineRule="exact"/>
        <w:ind w:firstLine="56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3.2</w:t>
      </w:r>
      <w:r>
        <w:rPr>
          <w:rStyle w:val="22"/>
          <w:rFonts w:hint="eastAsia" w:ascii="宋体" w:hAnsi="宋体" w:eastAsia="宋体" w:cs="宋体"/>
          <w:color w:val="auto"/>
          <w:kern w:val="0"/>
          <w:highlight w:val="none"/>
        </w:rPr>
        <w:t xml:space="preserve"> 履约保证的形式包括履约保证金、履约保证担保、履约保证保险三种，由中标人自主选择。</w:t>
      </w:r>
    </w:p>
    <w:p w14:paraId="1EC40E3A">
      <w:pPr>
        <w:wordWrap w:val="0"/>
        <w:adjustRightInd w:val="0"/>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（1）采用履约保证金的，中标人须从其法人开户银行的账号将履约保证金划至招标人账户，并详细注明工程名称及用途。</w:t>
      </w:r>
    </w:p>
    <w:p w14:paraId="3C92AC6E">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（2）采用履约保证担保</w:t>
      </w:r>
      <w:r>
        <w:rPr>
          <w:rFonts w:hint="eastAsia" w:ascii="宋体" w:hAnsi="宋体" w:eastAsia="宋体" w:cs="宋体"/>
          <w:color w:val="auto"/>
          <w:highlight w:val="none"/>
        </w:rPr>
        <w:t>（</w:t>
      </w:r>
      <w:r>
        <w:rPr>
          <w:rFonts w:hint="eastAsia" w:ascii="宋体" w:hAnsi="宋体" w:eastAsia="宋体" w:cs="宋体"/>
          <w:b/>
          <w:color w:val="auto"/>
          <w:highlight w:val="none"/>
        </w:rPr>
        <w:t>保证保函类型为见索即付独立保函</w:t>
      </w:r>
      <w:r>
        <w:rPr>
          <w:rFonts w:hint="eastAsia" w:ascii="宋体" w:hAnsi="宋体" w:eastAsia="宋体" w:cs="宋体"/>
          <w:color w:val="auto"/>
          <w:highlight w:val="none"/>
        </w:rPr>
        <w:t>，</w:t>
      </w:r>
      <w:r>
        <w:rPr>
          <w:rFonts w:hint="eastAsia" w:ascii="宋体" w:hAnsi="宋体" w:eastAsia="宋体" w:cs="宋体"/>
          <w:b/>
          <w:color w:val="auto"/>
          <w:highlight w:val="none"/>
        </w:rPr>
        <w:t>保函格式详见本招标文件附件二格式，必须按招标人提供的格式开具保函</w:t>
      </w:r>
      <w:r>
        <w:rPr>
          <w:rFonts w:hint="eastAsia" w:ascii="宋体" w:hAnsi="宋体" w:eastAsia="宋体" w:cs="宋体"/>
          <w:color w:val="auto"/>
          <w:highlight w:val="none"/>
        </w:rPr>
        <w:t>）</w:t>
      </w:r>
      <w:r>
        <w:rPr>
          <w:rStyle w:val="22"/>
          <w:rFonts w:hint="eastAsia" w:ascii="宋体" w:hAnsi="宋体" w:eastAsia="宋体" w:cs="宋体"/>
          <w:color w:val="auto"/>
          <w:kern w:val="0"/>
          <w:highlight w:val="none"/>
        </w:rPr>
        <w:t>或履约保证保险的，中标人应提交有效的</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银行保函或保险合同（或保险单）原件，</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银行保函或保险合同（或保险单）的有效期应当自合同生效之日起至项目通过竣工验收之日后28天止。如果中标人无法获得具体截止日期，</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银行保函或保险合同（或保险单）中应当有“变更项目竣工日期的，保证期间按照变更后的竣工日期做相应调整”或类似约定的条款。</w:t>
      </w:r>
    </w:p>
    <w:p w14:paraId="5D3DD49D">
      <w:pPr>
        <w:wordWrap w:val="0"/>
        <w:adjustRightInd w:val="0"/>
        <w:snapToGrid w:val="0"/>
        <w:spacing w:line="40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备注：</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银行保函或保险合同过期之后，中标人须重新开具</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银行保函或保险合同或办理续期手续，过期当月未重新开具</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银行保函或保险合同的或办理续期手续的，招标人有权按履约保证金金额</w:t>
      </w:r>
      <w:r>
        <w:rPr>
          <w:rStyle w:val="22"/>
          <w:rFonts w:hint="eastAsia" w:ascii="宋体" w:hAnsi="宋体" w:eastAsia="宋体" w:cs="宋体"/>
          <w:color w:val="auto"/>
          <w:kern w:val="0"/>
          <w:highlight w:val="none"/>
          <w:lang w:val="en-US" w:eastAsia="zh-CN"/>
        </w:rPr>
        <w:t>在</w:t>
      </w:r>
      <w:r>
        <w:rPr>
          <w:rStyle w:val="22"/>
          <w:rFonts w:hint="eastAsia" w:ascii="宋体" w:hAnsi="宋体" w:eastAsia="宋体" w:cs="宋体"/>
          <w:color w:val="auto"/>
          <w:kern w:val="0"/>
          <w:highlight w:val="none"/>
        </w:rPr>
        <w:t>进度款（工人</w:t>
      </w:r>
      <w:r>
        <w:rPr>
          <w:rFonts w:hint="eastAsia" w:ascii="宋体" w:hAnsi="宋体" w:eastAsia="宋体" w:cs="宋体"/>
          <w:snapToGrid w:val="0"/>
          <w:color w:val="auto"/>
          <w:kern w:val="0"/>
          <w:highlight w:val="none"/>
        </w:rPr>
        <w:t>工资除外）</w:t>
      </w:r>
      <w:r>
        <w:rPr>
          <w:rFonts w:hint="eastAsia" w:ascii="宋体" w:hAnsi="宋体" w:eastAsia="宋体" w:cs="宋体"/>
          <w:snapToGrid w:val="0"/>
          <w:color w:val="auto"/>
          <w:kern w:val="0"/>
          <w:highlight w:val="none"/>
          <w:lang w:val="en-US" w:eastAsia="zh-CN"/>
        </w:rPr>
        <w:t>中扣留相应金额</w:t>
      </w:r>
      <w:r>
        <w:rPr>
          <w:rFonts w:hint="eastAsia" w:ascii="宋体" w:hAnsi="宋体" w:eastAsia="宋体" w:cs="宋体"/>
          <w:snapToGrid w:val="0"/>
          <w:color w:val="auto"/>
          <w:kern w:val="0"/>
          <w:highlight w:val="none"/>
        </w:rPr>
        <w:t>作为履约保证金，直</w:t>
      </w:r>
      <w:r>
        <w:rPr>
          <w:rFonts w:hint="eastAsia" w:ascii="宋体" w:hAnsi="宋体" w:eastAsia="宋体" w:cs="宋体"/>
          <w:color w:val="auto"/>
          <w:highlight w:val="none"/>
          <w:shd w:val="clear" w:color="auto" w:fill="FFFFFF"/>
        </w:rPr>
        <w:t>至中标人提交新的</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银行保函、保险合同</w:t>
      </w:r>
      <w:r>
        <w:rPr>
          <w:rFonts w:hint="eastAsia" w:ascii="宋体" w:hAnsi="宋体" w:eastAsia="宋体" w:cs="宋体"/>
          <w:color w:val="auto"/>
          <w:highlight w:val="none"/>
          <w:shd w:val="clear" w:color="auto" w:fill="FFFFFF"/>
        </w:rPr>
        <w:t>或达到履约保证金退还条件。</w:t>
      </w:r>
    </w:p>
    <w:p w14:paraId="2D063AA7">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3.3</w:t>
      </w:r>
      <w:r>
        <w:rPr>
          <w:rStyle w:val="22"/>
          <w:rFonts w:hint="eastAsia" w:ascii="宋体" w:hAnsi="宋体" w:eastAsia="宋体" w:cs="宋体"/>
          <w:color w:val="auto"/>
          <w:kern w:val="0"/>
          <w:highlight w:val="none"/>
        </w:rPr>
        <w:t xml:space="preserve"> </w:t>
      </w:r>
      <w:r>
        <w:rPr>
          <w:rFonts w:hint="eastAsia" w:ascii="宋体" w:hAnsi="宋体" w:eastAsia="宋体" w:cs="宋体"/>
          <w:snapToGrid w:val="0"/>
          <w:color w:val="auto"/>
          <w:kern w:val="0"/>
          <w:highlight w:val="none"/>
        </w:rPr>
        <w:t>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并由招标人</w:t>
      </w:r>
      <w:r>
        <w:rPr>
          <w:rFonts w:hint="eastAsia" w:ascii="宋体" w:hAnsi="宋体" w:eastAsia="宋体" w:cs="宋体"/>
          <w:snapToGrid w:val="0"/>
          <w:color w:val="auto"/>
          <w:kern w:val="0"/>
          <w:highlight w:val="none"/>
          <w:lang w:val="en-US" w:eastAsia="zh-CN"/>
        </w:rPr>
        <w:t>上报</w:t>
      </w:r>
      <w:r>
        <w:rPr>
          <w:rFonts w:hint="eastAsia" w:ascii="宋体" w:hAnsi="宋体" w:eastAsia="宋体" w:cs="宋体"/>
          <w:snapToGrid w:val="0"/>
          <w:color w:val="auto"/>
          <w:kern w:val="0"/>
          <w:highlight w:val="none"/>
        </w:rPr>
        <w:t>建设行政管理部门。如采用商业保函、银行保函或保险合同方式缴纳履约保证金，在保函或保险合同到期前一个月，中标人须主动办理续期手续或提交新的商业保函、银行保函或保险合同。</w:t>
      </w:r>
    </w:p>
    <w:p w14:paraId="5C2A01AF">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3.4</w:t>
      </w:r>
      <w:r>
        <w:rPr>
          <w:rStyle w:val="22"/>
          <w:rFonts w:hint="eastAsia" w:ascii="宋体" w:hAnsi="宋体" w:eastAsia="宋体" w:cs="宋体"/>
          <w:color w:val="auto"/>
          <w:kern w:val="0"/>
          <w:highlight w:val="none"/>
        </w:rPr>
        <w:t xml:space="preserve"> 在工程实施过程中，如果承包人（即招标阶段的中标人，下同）由于自身的资金、技术、质量、非不可抗力等原因给发包人（即招标阶段的招标人，下同）造成经济损失，扣除相应履约保证。</w:t>
      </w:r>
    </w:p>
    <w:p w14:paraId="51C085AA">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3.5</w:t>
      </w:r>
      <w:r>
        <w:rPr>
          <w:rStyle w:val="22"/>
          <w:rFonts w:hint="eastAsia" w:ascii="宋体" w:hAnsi="宋体" w:eastAsia="宋体" w:cs="宋体"/>
          <w:color w:val="auto"/>
          <w:kern w:val="0"/>
          <w:highlight w:val="none"/>
        </w:rPr>
        <w:t xml:space="preserve"> 项目通过竣工验收之日后28天内，发包人将履约保证退还给承包人</w:t>
      </w:r>
      <w:r>
        <w:rPr>
          <w:rFonts w:hint="eastAsia" w:hAnsi="宋体"/>
          <w:bCs/>
          <w:color w:val="auto"/>
          <w:kern w:val="0"/>
          <w:highlight w:val="none"/>
        </w:rPr>
        <w:t>（不计息）</w:t>
      </w:r>
      <w:r>
        <w:rPr>
          <w:rStyle w:val="22"/>
          <w:rFonts w:hint="eastAsia" w:ascii="宋体" w:hAnsi="宋体" w:eastAsia="宋体" w:cs="宋体"/>
          <w:color w:val="auto"/>
          <w:kern w:val="0"/>
          <w:highlight w:val="none"/>
        </w:rPr>
        <w:t>。</w:t>
      </w:r>
    </w:p>
    <w:p w14:paraId="47FB6A72">
      <w:pPr>
        <w:snapToGrid w:val="0"/>
        <w:spacing w:line="440" w:lineRule="exact"/>
        <w:ind w:firstLine="482" w:firstLineChars="200"/>
        <w:rPr>
          <w:rStyle w:val="22"/>
          <w:rFonts w:hint="eastAsia" w:ascii="宋体" w:hAnsi="宋体" w:eastAsia="宋体" w:cs="宋体"/>
          <w:b/>
          <w:bCs/>
          <w:color w:val="auto"/>
          <w:kern w:val="0"/>
          <w:highlight w:val="none"/>
        </w:rPr>
      </w:pPr>
    </w:p>
    <w:p w14:paraId="1C9B9BFC">
      <w:pPr>
        <w:snapToGrid w:val="0"/>
        <w:spacing w:line="440" w:lineRule="exact"/>
        <w:ind w:firstLine="482" w:firstLineChars="200"/>
        <w:outlineLvl w:val="1"/>
        <w:rPr>
          <w:rStyle w:val="22"/>
          <w:rFonts w:hint="eastAsia" w:ascii="宋体" w:hAnsi="宋体" w:eastAsia="宋体" w:cs="宋体"/>
          <w:b/>
          <w:bCs/>
          <w:color w:val="auto"/>
          <w:kern w:val="0"/>
          <w:highlight w:val="none"/>
        </w:rPr>
      </w:pPr>
      <w:bookmarkStart w:id="114" w:name="_Toc15062"/>
      <w:bookmarkStart w:id="115" w:name="_Toc24211"/>
      <w:bookmarkStart w:id="116" w:name="_Toc31886"/>
      <w:bookmarkStart w:id="117" w:name="_Toc23036"/>
      <w:bookmarkStart w:id="118" w:name="_Toc8187"/>
      <w:bookmarkStart w:id="119" w:name="_Toc31219"/>
      <w:bookmarkStart w:id="120" w:name="_Toc27814"/>
      <w:bookmarkStart w:id="121" w:name="_Toc967"/>
      <w:bookmarkStart w:id="122" w:name="_Toc17066"/>
      <w:bookmarkStart w:id="123" w:name="_Toc26477"/>
      <w:r>
        <w:rPr>
          <w:rStyle w:val="22"/>
          <w:rFonts w:hint="eastAsia" w:ascii="宋体" w:hAnsi="宋体" w:eastAsia="宋体" w:cs="宋体"/>
          <w:b/>
          <w:bCs/>
          <w:color w:val="auto"/>
          <w:kern w:val="0"/>
          <w:highlight w:val="none"/>
        </w:rPr>
        <w:t>4．合同订立</w:t>
      </w:r>
      <w:bookmarkEnd w:id="114"/>
      <w:bookmarkEnd w:id="115"/>
      <w:bookmarkEnd w:id="116"/>
      <w:bookmarkEnd w:id="117"/>
      <w:bookmarkEnd w:id="118"/>
      <w:bookmarkEnd w:id="119"/>
      <w:bookmarkEnd w:id="120"/>
      <w:bookmarkEnd w:id="121"/>
      <w:bookmarkEnd w:id="122"/>
      <w:bookmarkEnd w:id="123"/>
    </w:p>
    <w:p w14:paraId="7BA4EE0F">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4.1</w:t>
      </w:r>
      <w:r>
        <w:rPr>
          <w:rStyle w:val="22"/>
          <w:rFonts w:hint="eastAsia" w:ascii="宋体" w:hAnsi="宋体" w:eastAsia="宋体" w:cs="宋体"/>
          <w:color w:val="auto"/>
          <w:kern w:val="0"/>
          <w:highlight w:val="none"/>
        </w:rPr>
        <w:t xml:space="preserve"> 招标人应当自中标通知书发出之日起</w:t>
      </w:r>
      <w:r>
        <w:rPr>
          <w:rStyle w:val="22"/>
          <w:rFonts w:hint="eastAsia" w:ascii="宋体" w:hAnsi="宋体" w:eastAsia="宋体" w:cs="宋体"/>
          <w:color w:val="auto"/>
          <w:kern w:val="0"/>
          <w:highlight w:val="none"/>
          <w:u w:val="single"/>
        </w:rPr>
        <w:t>30</w:t>
      </w:r>
      <w:r>
        <w:rPr>
          <w:rStyle w:val="22"/>
          <w:rFonts w:hint="eastAsia" w:ascii="宋体" w:hAnsi="宋体" w:eastAsia="宋体" w:cs="宋体"/>
          <w:color w:val="auto"/>
          <w:kern w:val="0"/>
          <w:highlight w:val="none"/>
        </w:rPr>
        <w:t>日内，按照招标文件、中标人的投标文件与中标人订立书面合同。</w:t>
      </w:r>
    </w:p>
    <w:p w14:paraId="357C9B78">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4.2</w:t>
      </w:r>
      <w:r>
        <w:rPr>
          <w:rStyle w:val="22"/>
          <w:rFonts w:hint="eastAsia" w:ascii="宋体" w:hAnsi="宋体" w:eastAsia="宋体" w:cs="宋体"/>
          <w:color w:val="auto"/>
          <w:kern w:val="0"/>
          <w:highlight w:val="none"/>
        </w:rPr>
        <w:t xml:space="preserve"> 不正常报价的梳理和确认</w:t>
      </w:r>
    </w:p>
    <w:p w14:paraId="58626225">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4.2.1</w:t>
      </w:r>
      <w:r>
        <w:rPr>
          <w:rStyle w:val="22"/>
          <w:rFonts w:hint="eastAsia" w:ascii="宋体" w:hAnsi="宋体" w:eastAsia="宋体" w:cs="宋体"/>
          <w:color w:val="auto"/>
          <w:kern w:val="0"/>
          <w:highlight w:val="none"/>
        </w:rPr>
        <w:t xml:space="preserve"> </w:t>
      </w:r>
      <w:r>
        <w:rPr>
          <w:rStyle w:val="22"/>
          <w:rFonts w:hint="eastAsia" w:ascii="宋体" w:hAnsi="宋体" w:eastAsia="宋体" w:cs="宋体"/>
          <w:b/>
          <w:bCs/>
          <w:color w:val="auto"/>
          <w:kern w:val="0"/>
          <w:highlight w:val="none"/>
        </w:rPr>
        <w:t>合同订立期间</w:t>
      </w:r>
      <w:r>
        <w:rPr>
          <w:rFonts w:hint="eastAsia" w:ascii="宋体" w:hAnsi="宋体" w:eastAsia="宋体" w:cs="宋体"/>
          <w:b/>
          <w:bCs/>
          <w:snapToGrid w:val="0"/>
          <w:color w:val="auto"/>
          <w:kern w:val="0"/>
          <w:highlight w:val="none"/>
        </w:rPr>
        <w:t>或在合同履行过程中</w:t>
      </w:r>
      <w:r>
        <w:rPr>
          <w:rStyle w:val="22"/>
          <w:rFonts w:hint="eastAsia" w:ascii="宋体" w:hAnsi="宋体" w:eastAsia="宋体" w:cs="宋体"/>
          <w:b/>
          <w:bCs/>
          <w:color w:val="auto"/>
          <w:kern w:val="0"/>
          <w:highlight w:val="none"/>
        </w:rPr>
        <w:t>，</w:t>
      </w:r>
      <w:r>
        <w:rPr>
          <w:rFonts w:hint="eastAsia" w:ascii="宋体" w:hAnsi="宋体" w:eastAsia="宋体" w:cs="宋体"/>
          <w:b/>
          <w:bCs/>
          <w:snapToGrid w:val="0"/>
          <w:color w:val="auto"/>
          <w:kern w:val="0"/>
          <w:highlight w:val="none"/>
        </w:rPr>
        <w:t>在不改变中标人的投标总价的前提下，</w:t>
      </w:r>
      <w:r>
        <w:rPr>
          <w:rStyle w:val="22"/>
          <w:rFonts w:hint="eastAsia" w:ascii="宋体" w:hAnsi="宋体" w:eastAsia="宋体" w:cs="宋体"/>
          <w:b/>
          <w:bCs/>
          <w:color w:val="auto"/>
          <w:kern w:val="0"/>
          <w:highlight w:val="none"/>
        </w:rPr>
        <w:t>招标人应对中标人的投标报价进行全面分析和整理，从而发现并提取其中可能存在的算术性错误、错漏项、不平衡报价等不正常报价，并修正其中的算术性错误。</w:t>
      </w:r>
      <w:r>
        <w:rPr>
          <w:rStyle w:val="22"/>
          <w:rFonts w:hint="eastAsia" w:ascii="宋体" w:hAnsi="宋体" w:eastAsia="宋体" w:cs="宋体"/>
          <w:color w:val="auto"/>
          <w:kern w:val="0"/>
          <w:highlight w:val="none"/>
        </w:rPr>
        <w:t>招标人不具备以上能力的，可授权编制本工程</w:t>
      </w:r>
      <w:r>
        <w:rPr>
          <w:rStyle w:val="22"/>
          <w:rFonts w:hint="eastAsia" w:hAnsi="宋体" w:cs="宋体"/>
          <w:color w:val="auto"/>
          <w:kern w:val="0"/>
          <w:highlight w:val="none"/>
          <w:lang w:eastAsia="zh-CN"/>
        </w:rPr>
        <w:t>最高投标限价</w:t>
      </w:r>
      <w:r>
        <w:rPr>
          <w:rStyle w:val="22"/>
          <w:rFonts w:hint="eastAsia" w:ascii="宋体" w:hAnsi="宋体" w:eastAsia="宋体" w:cs="宋体"/>
          <w:color w:val="auto"/>
          <w:kern w:val="0"/>
          <w:highlight w:val="none"/>
        </w:rPr>
        <w:t>的造价咨询单位实施</w:t>
      </w:r>
      <w:r>
        <w:rPr>
          <w:rFonts w:hint="eastAsia" w:ascii="宋体" w:hAnsi="宋体" w:eastAsia="宋体" w:cs="宋体"/>
          <w:snapToGrid w:val="0"/>
          <w:color w:val="auto"/>
          <w:kern w:val="0"/>
          <w:highlight w:val="none"/>
        </w:rPr>
        <w:t>或招标人委托的本工程造价咨询服务单位实施</w:t>
      </w:r>
      <w:r>
        <w:rPr>
          <w:rStyle w:val="22"/>
          <w:rFonts w:hint="eastAsia" w:ascii="宋体" w:hAnsi="宋体" w:eastAsia="宋体" w:cs="宋体"/>
          <w:color w:val="auto"/>
          <w:kern w:val="0"/>
          <w:highlight w:val="none"/>
        </w:rPr>
        <w:t>。</w:t>
      </w:r>
    </w:p>
    <w:p w14:paraId="2B49736C">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4.2.2</w:t>
      </w:r>
      <w:r>
        <w:rPr>
          <w:rStyle w:val="22"/>
          <w:rFonts w:hint="eastAsia" w:ascii="宋体" w:hAnsi="宋体" w:eastAsia="宋体" w:cs="宋体"/>
          <w:color w:val="auto"/>
          <w:kern w:val="0"/>
          <w:highlight w:val="none"/>
        </w:rPr>
        <w:t xml:space="preserve"> 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47B2F2DD">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4.2.3</w:t>
      </w:r>
      <w:r>
        <w:rPr>
          <w:rStyle w:val="22"/>
          <w:rFonts w:hint="eastAsia" w:ascii="宋体" w:hAnsi="宋体" w:eastAsia="宋体" w:cs="宋体"/>
          <w:color w:val="auto"/>
          <w:kern w:val="0"/>
          <w:highlight w:val="none"/>
        </w:rPr>
        <w:t xml:space="preserve"> 错漏项的认定。中标人已标价工程量清单中，任一清单项目未填报价格或价格为零的，视为错漏项。</w:t>
      </w:r>
    </w:p>
    <w:p w14:paraId="14FB8B9C">
      <w:pPr>
        <w:snapToGrid w:val="0"/>
        <w:spacing w:line="440" w:lineRule="exact"/>
        <w:ind w:firstLine="482" w:firstLineChars="200"/>
        <w:rPr>
          <w:rStyle w:val="22"/>
          <w:rFonts w:hint="eastAsia" w:ascii="宋体" w:hAnsi="宋体" w:eastAsia="宋体" w:cs="宋体"/>
          <w:color w:val="auto"/>
          <w:kern w:val="0"/>
          <w:highlight w:val="none"/>
          <w:u w:val="single"/>
        </w:rPr>
      </w:pPr>
      <w:r>
        <w:rPr>
          <w:rStyle w:val="22"/>
          <w:rFonts w:hint="eastAsia" w:ascii="宋体" w:hAnsi="宋体" w:eastAsia="宋体" w:cs="宋体"/>
          <w:b/>
          <w:bCs/>
          <w:color w:val="auto"/>
          <w:kern w:val="0"/>
          <w:highlight w:val="none"/>
        </w:rPr>
        <w:t>4.2.4</w:t>
      </w:r>
      <w:r>
        <w:rPr>
          <w:rStyle w:val="22"/>
          <w:rFonts w:hint="eastAsia" w:ascii="宋体" w:hAnsi="宋体" w:eastAsia="宋体" w:cs="宋体"/>
          <w:color w:val="auto"/>
          <w:kern w:val="0"/>
          <w:highlight w:val="none"/>
        </w:rPr>
        <w:t xml:space="preserve"> 不平衡报价的认定。经修正算术性错误后的中标人已标价工程量清单中，</w:t>
      </w:r>
      <w:r>
        <w:rPr>
          <w:rStyle w:val="22"/>
          <w:rFonts w:hint="eastAsia" w:ascii="宋体" w:hAnsi="宋体" w:eastAsia="宋体" w:cs="宋体"/>
          <w:color w:val="auto"/>
          <w:kern w:val="0"/>
          <w:highlight w:val="none"/>
          <w:u w:val="single"/>
        </w:rPr>
        <w:t>分部分项工程量清单项目的投标综合单价与</w:t>
      </w:r>
      <w:r>
        <w:rPr>
          <w:rStyle w:val="22"/>
          <w:rFonts w:hint="eastAsia" w:hAnsi="宋体" w:cs="宋体"/>
          <w:color w:val="auto"/>
          <w:kern w:val="0"/>
          <w:highlight w:val="none"/>
          <w:u w:val="single"/>
          <w:lang w:eastAsia="zh-CN"/>
        </w:rPr>
        <w:t>最高投标限价</w:t>
      </w:r>
      <w:r>
        <w:rPr>
          <w:rStyle w:val="22"/>
          <w:rFonts w:hint="eastAsia" w:ascii="宋体" w:hAnsi="宋体" w:eastAsia="宋体" w:cs="宋体"/>
          <w:color w:val="auto"/>
          <w:kern w:val="0"/>
          <w:highlight w:val="none"/>
          <w:u w:val="single"/>
        </w:rPr>
        <w:t>分部分项工程量清单项目的综合单价相差</w:t>
      </w:r>
      <w:r>
        <w:rPr>
          <w:rStyle w:val="22"/>
          <w:rFonts w:hint="eastAsia" w:hAnsi="宋体" w:cs="宋体"/>
          <w:color w:val="auto"/>
          <w:kern w:val="0"/>
          <w:highlight w:val="none"/>
          <w:u w:val="single"/>
          <w:lang w:val="en-US" w:eastAsia="zh-CN"/>
        </w:rPr>
        <w:t>15</w:t>
      </w:r>
      <w:r>
        <w:rPr>
          <w:rStyle w:val="22"/>
          <w:rFonts w:hint="eastAsia" w:ascii="宋体" w:hAnsi="宋体" w:eastAsia="宋体" w:cs="宋体"/>
          <w:color w:val="auto"/>
          <w:kern w:val="0"/>
          <w:highlight w:val="none"/>
          <w:u w:val="single"/>
        </w:rPr>
        <w:t>％（不含</w:t>
      </w:r>
      <w:r>
        <w:rPr>
          <w:rStyle w:val="22"/>
          <w:rFonts w:hint="eastAsia" w:hAnsi="宋体" w:cs="宋体"/>
          <w:color w:val="auto"/>
          <w:kern w:val="0"/>
          <w:highlight w:val="none"/>
          <w:u w:val="single"/>
          <w:lang w:val="en-US" w:eastAsia="zh-CN"/>
        </w:rPr>
        <w:t>15</w:t>
      </w:r>
      <w:r>
        <w:rPr>
          <w:rStyle w:val="22"/>
          <w:rFonts w:hint="eastAsia" w:ascii="宋体" w:hAnsi="宋体" w:eastAsia="宋体" w:cs="宋体"/>
          <w:color w:val="auto"/>
          <w:kern w:val="0"/>
          <w:highlight w:val="none"/>
          <w:u w:val="single"/>
        </w:rPr>
        <w:t>％）以上的</w:t>
      </w:r>
      <w:r>
        <w:rPr>
          <w:rStyle w:val="22"/>
          <w:rFonts w:hint="eastAsia" w:ascii="宋体" w:hAnsi="宋体" w:eastAsia="宋体" w:cs="宋体"/>
          <w:color w:val="auto"/>
          <w:kern w:val="0"/>
          <w:highlight w:val="none"/>
        </w:rPr>
        <w:t>清单项目，视为不平衡报价项目。</w:t>
      </w:r>
    </w:p>
    <w:p w14:paraId="772D39AC">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4.2.5</w:t>
      </w:r>
      <w:r>
        <w:rPr>
          <w:rStyle w:val="22"/>
          <w:rFonts w:hint="eastAsia" w:ascii="宋体" w:hAnsi="宋体" w:eastAsia="宋体" w:cs="宋体"/>
          <w:color w:val="auto"/>
          <w:kern w:val="0"/>
          <w:highlight w:val="none"/>
        </w:rPr>
        <w:t xml:space="preserve"> 招标人或其授权的造价咨询单位应就发现的以上所有不正常报价分类整理、汇总，形成《不正常报价清单》，并交中标人复核和确认。经招标人和中标人共同签字、盖章确认的《不正常报价清单》，构成施工合同的组成部分。</w:t>
      </w:r>
    </w:p>
    <w:p w14:paraId="71B68291">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4.2.6</w:t>
      </w:r>
      <w:r>
        <w:rPr>
          <w:rStyle w:val="22"/>
          <w:rFonts w:hint="eastAsia" w:ascii="宋体" w:hAnsi="宋体" w:eastAsia="宋体" w:cs="宋体"/>
          <w:color w:val="auto"/>
          <w:kern w:val="0"/>
          <w:highlight w:val="none"/>
        </w:rPr>
        <w:t xml:space="preserve"> </w:t>
      </w:r>
      <w:r>
        <w:rPr>
          <w:rStyle w:val="22"/>
          <w:rFonts w:hint="eastAsia" w:ascii="宋体" w:hAnsi="宋体" w:eastAsia="宋体" w:cs="宋体"/>
          <w:b/>
          <w:bCs/>
          <w:color w:val="auto"/>
          <w:kern w:val="0"/>
          <w:highlight w:val="none"/>
        </w:rPr>
        <w:t>合同履行过程中，被认定为错漏项的清单项目，结算时按照第三章“拟签订合同的主要条款”第2.6条规定处理。</w:t>
      </w:r>
    </w:p>
    <w:p w14:paraId="4033A60B">
      <w:pPr>
        <w:snapToGrid w:val="0"/>
        <w:spacing w:line="440" w:lineRule="exact"/>
        <w:ind w:firstLine="482" w:firstLineChars="20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第2.3条的有关规定调整合同价款。</w:t>
      </w:r>
    </w:p>
    <w:p w14:paraId="584F9B4B">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4.3 </w:t>
      </w:r>
      <w:r>
        <w:rPr>
          <w:rStyle w:val="22"/>
          <w:rFonts w:hint="eastAsia" w:ascii="宋体" w:hAnsi="宋体" w:eastAsia="宋体" w:cs="宋体"/>
          <w:color w:val="auto"/>
          <w:kern w:val="0"/>
          <w:highlight w:val="none"/>
        </w:rPr>
        <w:t>本工程合同计价方式为：</w:t>
      </w:r>
      <w:r>
        <w:rPr>
          <w:rStyle w:val="22"/>
          <w:rFonts w:hint="eastAsia" w:ascii="宋体" w:hAnsi="宋体" w:eastAsia="宋体" w:cs="宋体"/>
          <w:color w:val="auto"/>
          <w:kern w:val="0"/>
          <w:highlight w:val="none"/>
          <w:u w:val="single"/>
        </w:rPr>
        <w:t xml:space="preserve"> 单价 </w:t>
      </w:r>
      <w:r>
        <w:rPr>
          <w:rStyle w:val="22"/>
          <w:rFonts w:hint="eastAsia" w:ascii="宋体" w:hAnsi="宋体" w:eastAsia="宋体" w:cs="宋体"/>
          <w:color w:val="auto"/>
          <w:kern w:val="0"/>
          <w:highlight w:val="none"/>
        </w:rPr>
        <w:t>合同。</w:t>
      </w:r>
    </w:p>
    <w:p w14:paraId="0C01068A">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4.4</w:t>
      </w:r>
      <w:r>
        <w:rPr>
          <w:rStyle w:val="22"/>
          <w:rFonts w:hint="eastAsia" w:ascii="宋体" w:hAnsi="宋体" w:eastAsia="宋体" w:cs="宋体"/>
          <w:color w:val="auto"/>
          <w:kern w:val="0"/>
          <w:highlight w:val="none"/>
        </w:rPr>
        <w:t xml:space="preserve"> 合同的标的、质量、履行期限条款和合同的价款、单价、比例条款等主要条款，应当与招标文件、中标人的投标文件的内容一致。中标人在签订合同时不得向招标人提出附加条件。</w:t>
      </w:r>
    </w:p>
    <w:p w14:paraId="145719A4">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4.5</w:t>
      </w:r>
      <w:r>
        <w:rPr>
          <w:rStyle w:val="22"/>
          <w:rFonts w:hint="eastAsia" w:ascii="宋体" w:hAnsi="宋体" w:eastAsia="宋体" w:cs="宋体"/>
          <w:color w:val="auto"/>
          <w:kern w:val="0"/>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559F39B7">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4.6</w:t>
      </w:r>
      <w:r>
        <w:rPr>
          <w:rStyle w:val="22"/>
          <w:rFonts w:hint="eastAsia" w:ascii="宋体" w:hAnsi="宋体" w:eastAsia="宋体" w:cs="宋体"/>
          <w:color w:val="auto"/>
          <w:kern w:val="0"/>
          <w:highlight w:val="none"/>
        </w:rPr>
        <w:t xml:space="preserve"> 在书面合同订立之日起2个工作日内，由中标人将合同上传至交易平台，并发起退还投标保证的申请。韶关市公共资源交易中心在收到申请之日起3工作日内，将投标保证金退还给中标人和其他中标候选人。</w:t>
      </w:r>
    </w:p>
    <w:p w14:paraId="7D6F77A8">
      <w:pPr>
        <w:snapToGrid w:val="0"/>
        <w:spacing w:line="440" w:lineRule="exact"/>
        <w:ind w:firstLine="482" w:firstLineChars="200"/>
        <w:rPr>
          <w:rStyle w:val="22"/>
          <w:rFonts w:hint="eastAsia" w:ascii="宋体" w:hAnsi="宋体" w:eastAsia="宋体" w:cs="宋体"/>
          <w:b/>
          <w:bCs/>
          <w:color w:val="auto"/>
          <w:kern w:val="0"/>
          <w:highlight w:val="none"/>
        </w:rPr>
      </w:pPr>
    </w:p>
    <w:p w14:paraId="2676C985">
      <w:pPr>
        <w:snapToGrid w:val="0"/>
        <w:spacing w:line="440" w:lineRule="exact"/>
        <w:ind w:firstLine="482" w:firstLineChars="200"/>
        <w:outlineLvl w:val="1"/>
        <w:rPr>
          <w:rStyle w:val="22"/>
          <w:rFonts w:hint="eastAsia" w:ascii="宋体" w:hAnsi="宋体" w:eastAsia="宋体" w:cs="宋体"/>
          <w:color w:val="auto"/>
          <w:kern w:val="0"/>
          <w:highlight w:val="none"/>
        </w:rPr>
      </w:pPr>
      <w:bookmarkStart w:id="124" w:name="_Toc4278"/>
      <w:bookmarkStart w:id="125" w:name="_Toc12295"/>
      <w:bookmarkStart w:id="126" w:name="_Toc25158"/>
      <w:bookmarkStart w:id="127" w:name="_Toc2054"/>
      <w:bookmarkStart w:id="128" w:name="_Toc24531"/>
      <w:bookmarkStart w:id="129" w:name="_Toc19819"/>
      <w:bookmarkStart w:id="130" w:name="_Toc20690"/>
      <w:bookmarkStart w:id="131" w:name="_Toc31754"/>
      <w:bookmarkStart w:id="132" w:name="_Toc26892"/>
      <w:bookmarkStart w:id="133" w:name="_Toc22104"/>
      <w:r>
        <w:rPr>
          <w:rStyle w:val="22"/>
          <w:rFonts w:hint="eastAsia" w:ascii="宋体" w:hAnsi="宋体" w:eastAsia="宋体" w:cs="宋体"/>
          <w:b/>
          <w:bCs/>
          <w:color w:val="auto"/>
          <w:kern w:val="0"/>
          <w:highlight w:val="none"/>
        </w:rPr>
        <w:t>5．放弃中标的处理</w:t>
      </w:r>
      <w:bookmarkEnd w:id="124"/>
      <w:bookmarkEnd w:id="125"/>
      <w:bookmarkEnd w:id="126"/>
      <w:bookmarkEnd w:id="127"/>
      <w:bookmarkEnd w:id="128"/>
      <w:bookmarkEnd w:id="129"/>
      <w:bookmarkEnd w:id="130"/>
      <w:bookmarkEnd w:id="131"/>
      <w:bookmarkEnd w:id="132"/>
      <w:bookmarkEnd w:id="133"/>
    </w:p>
    <w:p w14:paraId="06614090">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5.1</w:t>
      </w:r>
      <w:r>
        <w:rPr>
          <w:rStyle w:val="22"/>
          <w:rFonts w:hint="eastAsia" w:ascii="宋体" w:hAnsi="宋体" w:eastAsia="宋体" w:cs="宋体"/>
          <w:color w:val="auto"/>
          <w:kern w:val="0"/>
          <w:highlight w:val="none"/>
        </w:rPr>
        <w:t xml:space="preserve"> 中标人</w:t>
      </w:r>
      <w:r>
        <w:rPr>
          <w:rStyle w:val="22"/>
          <w:rFonts w:hint="eastAsia" w:ascii="宋体" w:hAnsi="宋体" w:eastAsia="宋体" w:cs="宋体"/>
          <w:color w:val="auto"/>
          <w:highlight w:val="none"/>
        </w:rPr>
        <w:t>无正当理由放弃中标的，</w:t>
      </w:r>
      <w:r>
        <w:rPr>
          <w:rStyle w:val="22"/>
          <w:rFonts w:hint="eastAsia" w:ascii="宋体" w:hAnsi="宋体" w:eastAsia="宋体" w:cs="宋体"/>
          <w:color w:val="auto"/>
          <w:kern w:val="0"/>
          <w:highlight w:val="none"/>
        </w:rPr>
        <w:t>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14:paraId="5A1E335E">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5.2</w:t>
      </w:r>
      <w:r>
        <w:rPr>
          <w:rStyle w:val="22"/>
          <w:rFonts w:hint="eastAsia" w:ascii="宋体" w:hAnsi="宋体" w:eastAsia="宋体" w:cs="宋体"/>
          <w:color w:val="auto"/>
          <w:kern w:val="0"/>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6D4A4322">
      <w:pPr>
        <w:snapToGrid w:val="0"/>
        <w:spacing w:line="440" w:lineRule="exact"/>
        <w:ind w:firstLine="480" w:firstLineChars="200"/>
        <w:rPr>
          <w:rStyle w:val="22"/>
          <w:rFonts w:hint="eastAsia" w:ascii="宋体" w:hAnsi="宋体" w:eastAsia="宋体" w:cs="宋体"/>
          <w:color w:val="auto"/>
          <w:kern w:val="0"/>
          <w:highlight w:val="none"/>
        </w:rPr>
      </w:pPr>
    </w:p>
    <w:p w14:paraId="7C68CF5B">
      <w:pPr>
        <w:snapToGrid w:val="0"/>
        <w:spacing w:line="440" w:lineRule="exact"/>
        <w:ind w:firstLine="482" w:firstLineChars="200"/>
        <w:outlineLvl w:val="1"/>
        <w:rPr>
          <w:rStyle w:val="22"/>
          <w:rFonts w:hint="eastAsia" w:ascii="宋体" w:hAnsi="宋体" w:eastAsia="宋体" w:cs="宋体"/>
          <w:color w:val="auto"/>
          <w:kern w:val="0"/>
          <w:highlight w:val="none"/>
        </w:rPr>
      </w:pPr>
      <w:bookmarkStart w:id="134" w:name="_Toc28692"/>
      <w:bookmarkStart w:id="135" w:name="_Toc11030"/>
      <w:bookmarkStart w:id="136" w:name="_Toc18619"/>
      <w:bookmarkStart w:id="137" w:name="_Toc15709"/>
      <w:bookmarkStart w:id="138" w:name="_Toc12999"/>
      <w:bookmarkStart w:id="139" w:name="_Toc15171"/>
      <w:bookmarkStart w:id="140" w:name="_Toc21715"/>
      <w:bookmarkStart w:id="141" w:name="_Toc14969"/>
      <w:bookmarkStart w:id="142" w:name="_Toc12428"/>
      <w:bookmarkStart w:id="143" w:name="_Toc3602"/>
      <w:r>
        <w:rPr>
          <w:rStyle w:val="22"/>
          <w:rFonts w:hint="eastAsia" w:ascii="宋体" w:hAnsi="宋体" w:eastAsia="宋体" w:cs="宋体"/>
          <w:b/>
          <w:bCs/>
          <w:color w:val="auto"/>
          <w:kern w:val="0"/>
          <w:highlight w:val="none"/>
        </w:rPr>
        <w:t>6．专业工程分包</w:t>
      </w:r>
      <w:bookmarkEnd w:id="134"/>
      <w:bookmarkEnd w:id="135"/>
      <w:bookmarkEnd w:id="136"/>
      <w:bookmarkEnd w:id="137"/>
      <w:bookmarkEnd w:id="138"/>
      <w:bookmarkEnd w:id="139"/>
      <w:bookmarkEnd w:id="140"/>
      <w:bookmarkEnd w:id="141"/>
      <w:bookmarkEnd w:id="142"/>
      <w:bookmarkEnd w:id="143"/>
    </w:p>
    <w:p w14:paraId="471BBAA1">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14:paraId="5E00166F">
      <w:pPr>
        <w:pStyle w:val="24"/>
        <w:rPr>
          <w:rStyle w:val="22"/>
          <w:rFonts w:hint="eastAsia" w:ascii="宋体" w:hAnsi="宋体" w:eastAsia="宋体" w:cs="宋体"/>
          <w:color w:val="auto"/>
          <w:highlight w:val="none"/>
        </w:rPr>
      </w:pPr>
    </w:p>
    <w:p w14:paraId="0C521407">
      <w:pPr>
        <w:snapToGrid w:val="0"/>
        <w:spacing w:line="440" w:lineRule="exact"/>
        <w:ind w:firstLine="482" w:firstLineChars="200"/>
        <w:outlineLvl w:val="1"/>
        <w:rPr>
          <w:rStyle w:val="22"/>
          <w:rFonts w:hint="eastAsia" w:ascii="宋体" w:hAnsi="宋体" w:eastAsia="宋体" w:cs="宋体"/>
          <w:b/>
          <w:bCs/>
          <w:color w:val="auto"/>
          <w:kern w:val="0"/>
          <w:highlight w:val="none"/>
        </w:rPr>
      </w:pPr>
      <w:bookmarkStart w:id="144" w:name="_Toc8150"/>
      <w:bookmarkStart w:id="145" w:name="_Toc29817"/>
      <w:bookmarkStart w:id="146" w:name="_Toc1606"/>
      <w:bookmarkStart w:id="147" w:name="_Toc1245"/>
      <w:bookmarkStart w:id="148" w:name="_Toc22763"/>
      <w:bookmarkStart w:id="149" w:name="_Toc23953"/>
      <w:bookmarkStart w:id="150" w:name="_Toc2852"/>
      <w:bookmarkStart w:id="151" w:name="_Toc14827"/>
      <w:bookmarkStart w:id="152" w:name="_Toc10173"/>
      <w:bookmarkStart w:id="153" w:name="_Toc1156"/>
      <w:r>
        <w:rPr>
          <w:rStyle w:val="22"/>
          <w:rFonts w:hint="eastAsia" w:ascii="宋体" w:hAnsi="宋体" w:eastAsia="宋体" w:cs="宋体"/>
          <w:b/>
          <w:bCs/>
          <w:color w:val="auto"/>
          <w:kern w:val="0"/>
          <w:highlight w:val="none"/>
        </w:rPr>
        <w:t>7．工人工资支付专用账户</w:t>
      </w:r>
      <w:bookmarkEnd w:id="144"/>
      <w:bookmarkEnd w:id="145"/>
      <w:bookmarkEnd w:id="146"/>
      <w:bookmarkEnd w:id="147"/>
      <w:bookmarkEnd w:id="148"/>
      <w:bookmarkEnd w:id="149"/>
      <w:bookmarkEnd w:id="150"/>
      <w:bookmarkEnd w:id="151"/>
      <w:bookmarkEnd w:id="152"/>
      <w:bookmarkEnd w:id="153"/>
    </w:p>
    <w:p w14:paraId="3425E320">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7.1</w:t>
      </w:r>
      <w:r>
        <w:rPr>
          <w:rStyle w:val="22"/>
          <w:rFonts w:hint="eastAsia" w:ascii="宋体" w:hAnsi="宋体" w:eastAsia="宋体" w:cs="宋体"/>
          <w:color w:val="auto"/>
          <w:kern w:val="0"/>
          <w:highlight w:val="none"/>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p>
    <w:p w14:paraId="0326C5E5">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7.2</w:t>
      </w:r>
      <w:r>
        <w:rPr>
          <w:rStyle w:val="22"/>
          <w:rFonts w:hint="eastAsia" w:ascii="宋体" w:hAnsi="宋体" w:eastAsia="宋体" w:cs="宋体"/>
          <w:color w:val="auto"/>
          <w:kern w:val="0"/>
          <w:highlight w:val="none"/>
        </w:rPr>
        <w:t xml:space="preserve"> 承包人必须在项目开工前，在项目所在地银行设立工资专户，并在作业工人进场前按照相关规定完成实名管理登记及作业工人工资卡开办。承包人应在工资专户开立后2个工作日内，将开户银行及其账号、开户协议等资料提交给发包人。</w:t>
      </w:r>
    </w:p>
    <w:p w14:paraId="47FB69C5">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7.3</w:t>
      </w:r>
      <w:r>
        <w:rPr>
          <w:rStyle w:val="22"/>
          <w:rFonts w:hint="eastAsia" w:ascii="宋体" w:hAnsi="宋体" w:eastAsia="宋体" w:cs="宋体"/>
          <w:color w:val="auto"/>
          <w:kern w:val="0"/>
          <w:highlight w:val="none"/>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26A92DF6">
      <w:pPr>
        <w:snapToGrid w:val="0"/>
        <w:spacing w:line="440" w:lineRule="exact"/>
        <w:ind w:firstLine="482" w:firstLineChars="200"/>
        <w:rPr>
          <w:rStyle w:val="22"/>
          <w:rFonts w:hint="eastAsia" w:ascii="宋体" w:hAnsi="宋体" w:eastAsia="宋体" w:cs="宋体"/>
          <w:b/>
          <w:bCs/>
          <w:color w:val="auto"/>
          <w:kern w:val="0"/>
          <w:highlight w:val="none"/>
        </w:rPr>
      </w:pPr>
    </w:p>
    <w:p w14:paraId="308C112D">
      <w:pPr>
        <w:snapToGrid w:val="0"/>
        <w:spacing w:line="440" w:lineRule="exact"/>
        <w:ind w:firstLine="482" w:firstLineChars="200"/>
        <w:outlineLvl w:val="1"/>
        <w:rPr>
          <w:rStyle w:val="22"/>
          <w:rFonts w:hint="eastAsia" w:ascii="宋体" w:hAnsi="宋体" w:eastAsia="宋体" w:cs="宋体"/>
          <w:b/>
          <w:bCs/>
          <w:color w:val="auto"/>
          <w:kern w:val="0"/>
          <w:highlight w:val="none"/>
        </w:rPr>
      </w:pPr>
      <w:bookmarkStart w:id="154" w:name="_Toc22751"/>
      <w:bookmarkStart w:id="155" w:name="_Toc28934"/>
      <w:bookmarkStart w:id="156" w:name="_Toc23850"/>
      <w:bookmarkStart w:id="157" w:name="_Toc27857"/>
      <w:bookmarkStart w:id="158" w:name="_Toc26359"/>
      <w:bookmarkStart w:id="159" w:name="_Toc6230"/>
      <w:bookmarkStart w:id="160" w:name="_Toc3512"/>
      <w:bookmarkStart w:id="161" w:name="_Toc23983"/>
      <w:bookmarkStart w:id="162" w:name="_Toc15708"/>
      <w:bookmarkStart w:id="163" w:name="_Toc22061"/>
      <w:r>
        <w:rPr>
          <w:rStyle w:val="22"/>
          <w:rFonts w:hint="eastAsia" w:hAnsi="宋体" w:cs="宋体"/>
          <w:b/>
          <w:bCs/>
          <w:color w:val="auto"/>
          <w:kern w:val="0"/>
          <w:highlight w:val="none"/>
          <w:lang w:val="en-US" w:eastAsia="zh-CN"/>
        </w:rPr>
        <w:t>8</w:t>
      </w:r>
      <w:r>
        <w:rPr>
          <w:rStyle w:val="22"/>
          <w:rFonts w:hint="eastAsia" w:ascii="宋体" w:hAnsi="宋体" w:eastAsia="宋体" w:cs="宋体"/>
          <w:b/>
          <w:bCs/>
          <w:color w:val="auto"/>
          <w:kern w:val="0"/>
          <w:highlight w:val="none"/>
        </w:rPr>
        <w:t>．工期进度</w:t>
      </w:r>
      <w:bookmarkEnd w:id="154"/>
      <w:bookmarkEnd w:id="155"/>
      <w:bookmarkEnd w:id="156"/>
      <w:bookmarkEnd w:id="157"/>
      <w:bookmarkEnd w:id="158"/>
      <w:bookmarkEnd w:id="159"/>
      <w:bookmarkEnd w:id="160"/>
      <w:bookmarkEnd w:id="161"/>
      <w:bookmarkEnd w:id="162"/>
      <w:bookmarkEnd w:id="163"/>
    </w:p>
    <w:p w14:paraId="51F7F66C">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hAnsi="宋体" w:cs="宋体"/>
          <w:b/>
          <w:bCs/>
          <w:color w:val="auto"/>
          <w:kern w:val="0"/>
          <w:highlight w:val="none"/>
          <w:lang w:val="en-US" w:eastAsia="zh-CN"/>
        </w:rPr>
        <w:t>8</w:t>
      </w:r>
      <w:r>
        <w:rPr>
          <w:rStyle w:val="22"/>
          <w:rFonts w:hint="eastAsia" w:ascii="宋体" w:hAnsi="宋体" w:eastAsia="宋体" w:cs="宋体"/>
          <w:b/>
          <w:bCs/>
          <w:color w:val="auto"/>
          <w:kern w:val="0"/>
          <w:highlight w:val="none"/>
        </w:rPr>
        <w:t>.1</w:t>
      </w:r>
      <w:r>
        <w:rPr>
          <w:rStyle w:val="22"/>
          <w:rFonts w:hint="eastAsia" w:hAnsi="宋体" w:eastAsia="宋体" w:cs="宋体"/>
          <w:b/>
          <w:bCs/>
          <w:color w:val="auto"/>
          <w:kern w:val="0"/>
          <w:highlight w:val="none"/>
          <w:lang w:val="en-US" w:eastAsia="zh-CN"/>
        </w:rPr>
        <w:t xml:space="preserve"> </w:t>
      </w:r>
      <w:r>
        <w:rPr>
          <w:rStyle w:val="22"/>
          <w:rFonts w:hint="eastAsia" w:hAnsi="宋体"/>
          <w:color w:val="auto"/>
          <w:kern w:val="0"/>
          <w:highlight w:val="none"/>
          <w:lang w:eastAsia="zh-CN"/>
        </w:rPr>
        <w:t>本招标项目施工招标工期为120个日历天</w:t>
      </w:r>
      <w:r>
        <w:rPr>
          <w:rStyle w:val="22"/>
          <w:rFonts w:hint="eastAsia" w:ascii="宋体" w:hAnsi="宋体" w:eastAsia="宋体" w:cs="宋体"/>
          <w:color w:val="auto"/>
          <w:kern w:val="0"/>
          <w:highlight w:val="none"/>
        </w:rPr>
        <w:t>，承包人必须在招标工期内完成本工程招标范围内的全部内容。</w:t>
      </w:r>
    </w:p>
    <w:p w14:paraId="45282B09">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hAnsi="宋体" w:cs="宋体"/>
          <w:b/>
          <w:bCs/>
          <w:color w:val="auto"/>
          <w:kern w:val="0"/>
          <w:highlight w:val="none"/>
          <w:lang w:val="en-US" w:eastAsia="zh-CN"/>
        </w:rPr>
        <w:t>8</w:t>
      </w:r>
      <w:r>
        <w:rPr>
          <w:rStyle w:val="22"/>
          <w:rFonts w:hint="eastAsia" w:ascii="宋体" w:hAnsi="宋体" w:eastAsia="宋体" w:cs="宋体"/>
          <w:b/>
          <w:bCs/>
          <w:color w:val="auto"/>
          <w:kern w:val="0"/>
          <w:highlight w:val="none"/>
        </w:rPr>
        <w:t>.2</w:t>
      </w:r>
      <w:r>
        <w:rPr>
          <w:rStyle w:val="22"/>
          <w:rFonts w:hint="eastAsia" w:ascii="宋体" w:hAnsi="宋体" w:eastAsia="宋体" w:cs="宋体"/>
          <w:color w:val="auto"/>
          <w:kern w:val="0"/>
          <w:highlight w:val="none"/>
        </w:rPr>
        <w:t xml:space="preserve"> 施工工期从承包人收到监理单位签发的开工令之日起计，至竣工验收合格之日止。</w:t>
      </w:r>
    </w:p>
    <w:p w14:paraId="7AD5D641">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hAnsi="宋体" w:cs="宋体"/>
          <w:b/>
          <w:bCs/>
          <w:color w:val="auto"/>
          <w:kern w:val="0"/>
          <w:highlight w:val="none"/>
          <w:lang w:val="en-US" w:eastAsia="zh-CN"/>
        </w:rPr>
        <w:t>8</w:t>
      </w:r>
      <w:r>
        <w:rPr>
          <w:rStyle w:val="22"/>
          <w:rFonts w:hint="eastAsia" w:ascii="宋体" w:hAnsi="宋体" w:eastAsia="宋体" w:cs="宋体"/>
          <w:b/>
          <w:bCs/>
          <w:color w:val="auto"/>
          <w:kern w:val="0"/>
          <w:highlight w:val="none"/>
        </w:rPr>
        <w:t>.3</w:t>
      </w:r>
      <w:r>
        <w:rPr>
          <w:rStyle w:val="22"/>
          <w:rFonts w:hint="eastAsia" w:ascii="宋体" w:hAnsi="宋体" w:eastAsia="宋体" w:cs="宋体"/>
          <w:color w:val="auto"/>
          <w:kern w:val="0"/>
          <w:highlight w:val="none"/>
        </w:rPr>
        <w:t xml:space="preserve"> 由于承包人原因造成工期延误的，承包人须在逾期第壹天起每天按合同价的</w:t>
      </w:r>
      <w:r>
        <w:rPr>
          <w:rStyle w:val="22"/>
          <w:rFonts w:hint="eastAsia" w:ascii="宋体" w:hAnsi="宋体" w:eastAsia="宋体" w:cs="宋体"/>
          <w:color w:val="auto"/>
          <w:kern w:val="0"/>
          <w:highlight w:val="none"/>
          <w:u w:val="single"/>
        </w:rPr>
        <w:t>3‰</w:t>
      </w:r>
      <w:r>
        <w:rPr>
          <w:rStyle w:val="22"/>
          <w:rFonts w:hint="eastAsia" w:ascii="宋体" w:hAnsi="宋体" w:eastAsia="宋体" w:cs="宋体"/>
          <w:color w:val="auto"/>
          <w:kern w:val="0"/>
          <w:highlight w:val="none"/>
        </w:rPr>
        <w:t>向招标人返纳逾期竣工违约金。逾期竣工违约金的最高限额为合同价款的</w:t>
      </w:r>
      <w:r>
        <w:rPr>
          <w:rStyle w:val="22"/>
          <w:rFonts w:hint="eastAsia" w:ascii="宋体" w:hAnsi="宋体" w:eastAsia="宋体" w:cs="宋体"/>
          <w:color w:val="auto"/>
          <w:kern w:val="0"/>
          <w:highlight w:val="none"/>
          <w:u w:val="single"/>
        </w:rPr>
        <w:t>10%</w:t>
      </w:r>
      <w:r>
        <w:rPr>
          <w:rStyle w:val="22"/>
          <w:rFonts w:hint="eastAsia" w:ascii="宋体" w:hAnsi="宋体" w:eastAsia="宋体" w:cs="宋体"/>
          <w:color w:val="auto"/>
          <w:kern w:val="0"/>
          <w:highlight w:val="none"/>
        </w:rPr>
        <w:t>。</w:t>
      </w:r>
    </w:p>
    <w:p w14:paraId="301FC59D">
      <w:pPr>
        <w:snapToGrid w:val="0"/>
        <w:spacing w:line="440" w:lineRule="exact"/>
        <w:ind w:firstLine="482" w:firstLineChars="200"/>
        <w:outlineLvl w:val="1"/>
        <w:rPr>
          <w:rStyle w:val="22"/>
          <w:rFonts w:hint="eastAsia" w:ascii="宋体" w:hAnsi="宋体" w:eastAsia="宋体" w:cs="宋体"/>
          <w:b/>
          <w:bCs/>
          <w:color w:val="auto"/>
          <w:kern w:val="0"/>
          <w:highlight w:val="none"/>
        </w:rPr>
      </w:pPr>
      <w:bookmarkStart w:id="164" w:name="_Toc27918"/>
      <w:bookmarkStart w:id="165" w:name="_Toc15947"/>
      <w:bookmarkStart w:id="166" w:name="_Toc22031"/>
      <w:bookmarkStart w:id="167" w:name="_Toc7123"/>
    </w:p>
    <w:p w14:paraId="1751529D">
      <w:pPr>
        <w:snapToGrid w:val="0"/>
        <w:spacing w:line="440" w:lineRule="exact"/>
        <w:ind w:firstLine="482" w:firstLineChars="200"/>
        <w:outlineLvl w:val="1"/>
        <w:rPr>
          <w:rStyle w:val="22"/>
          <w:rFonts w:hint="eastAsia" w:ascii="宋体" w:hAnsi="宋体" w:eastAsia="宋体" w:cs="宋体"/>
          <w:color w:val="auto"/>
          <w:kern w:val="0"/>
          <w:highlight w:val="none"/>
        </w:rPr>
      </w:pPr>
      <w:bookmarkStart w:id="168" w:name="_Toc12031"/>
      <w:bookmarkStart w:id="169" w:name="_Toc19723"/>
      <w:bookmarkStart w:id="170" w:name="_Toc12045"/>
      <w:bookmarkStart w:id="171" w:name="_Toc14751"/>
      <w:bookmarkStart w:id="172" w:name="_Toc29054"/>
      <w:bookmarkStart w:id="173" w:name="_Toc20265"/>
      <w:r>
        <w:rPr>
          <w:rStyle w:val="22"/>
          <w:rFonts w:hint="eastAsia" w:hAnsi="宋体" w:cs="宋体"/>
          <w:b/>
          <w:bCs/>
          <w:color w:val="auto"/>
          <w:kern w:val="0"/>
          <w:highlight w:val="none"/>
          <w:lang w:val="en-US" w:eastAsia="zh-CN"/>
        </w:rPr>
        <w:t>9</w:t>
      </w:r>
      <w:r>
        <w:rPr>
          <w:rStyle w:val="22"/>
          <w:rFonts w:hint="eastAsia" w:ascii="宋体" w:hAnsi="宋体" w:eastAsia="宋体" w:cs="宋体"/>
          <w:b/>
          <w:bCs/>
          <w:color w:val="auto"/>
          <w:kern w:val="0"/>
          <w:highlight w:val="none"/>
        </w:rPr>
        <w:t>．项目管理机构</w:t>
      </w:r>
      <w:bookmarkEnd w:id="164"/>
      <w:bookmarkEnd w:id="165"/>
      <w:bookmarkEnd w:id="166"/>
      <w:bookmarkEnd w:id="167"/>
      <w:bookmarkEnd w:id="168"/>
      <w:bookmarkEnd w:id="169"/>
      <w:bookmarkEnd w:id="170"/>
      <w:bookmarkEnd w:id="171"/>
      <w:bookmarkEnd w:id="172"/>
      <w:bookmarkEnd w:id="173"/>
    </w:p>
    <w:p w14:paraId="615A89EC">
      <w:pPr>
        <w:snapToGrid w:val="0"/>
        <w:spacing w:line="420" w:lineRule="exact"/>
        <w:ind w:firstLine="482" w:firstLineChars="200"/>
        <w:rPr>
          <w:rStyle w:val="22"/>
          <w:rFonts w:hint="eastAsia" w:ascii="宋体" w:hAnsi="宋体" w:eastAsia="宋体" w:cs="宋体"/>
          <w:color w:val="auto"/>
          <w:kern w:val="0"/>
          <w:highlight w:val="none"/>
        </w:rPr>
      </w:pPr>
      <w:r>
        <w:rPr>
          <w:rStyle w:val="22"/>
          <w:rFonts w:hint="eastAsia" w:hAnsi="宋体" w:cs="宋体"/>
          <w:b/>
          <w:bCs/>
          <w:color w:val="auto"/>
          <w:kern w:val="0"/>
          <w:highlight w:val="none"/>
          <w:lang w:val="en-US" w:eastAsia="zh-CN"/>
        </w:rPr>
        <w:t>9</w:t>
      </w:r>
      <w:r>
        <w:rPr>
          <w:rStyle w:val="22"/>
          <w:rFonts w:hint="eastAsia" w:ascii="宋体" w:hAnsi="宋体" w:eastAsia="宋体" w:cs="宋体"/>
          <w:b/>
          <w:bCs/>
          <w:color w:val="auto"/>
          <w:kern w:val="0"/>
          <w:highlight w:val="none"/>
        </w:rPr>
        <w:t>.1</w:t>
      </w:r>
      <w:r>
        <w:rPr>
          <w:rStyle w:val="22"/>
          <w:rFonts w:hint="eastAsia" w:ascii="宋体" w:hAnsi="宋体" w:eastAsia="宋体" w:cs="宋体"/>
          <w:color w:val="auto"/>
          <w:kern w:val="0"/>
          <w:highlight w:val="none"/>
        </w:rPr>
        <w:t xml:space="preserve"> 承包人派驻的项目管理班子成员必须为其投标文件确定的人员，否则发包人有权终止合同。</w:t>
      </w:r>
    </w:p>
    <w:p w14:paraId="44576B9D">
      <w:pPr>
        <w:snapToGrid w:val="0"/>
        <w:spacing w:line="440" w:lineRule="exact"/>
        <w:ind w:firstLine="560"/>
        <w:rPr>
          <w:rStyle w:val="22"/>
          <w:rFonts w:hint="eastAsia" w:ascii="宋体" w:hAnsi="宋体" w:eastAsia="宋体" w:cs="宋体"/>
          <w:color w:val="auto"/>
          <w:kern w:val="0"/>
          <w:highlight w:val="none"/>
        </w:rPr>
      </w:pPr>
      <w:r>
        <w:rPr>
          <w:rStyle w:val="22"/>
          <w:rFonts w:hint="eastAsia" w:hAnsi="宋体" w:cs="宋体"/>
          <w:b/>
          <w:bCs/>
          <w:color w:val="auto"/>
          <w:kern w:val="0"/>
          <w:highlight w:val="none"/>
          <w:lang w:val="en-US" w:eastAsia="zh-CN"/>
        </w:rPr>
        <w:t>9</w:t>
      </w:r>
      <w:r>
        <w:rPr>
          <w:rStyle w:val="22"/>
          <w:rFonts w:hint="eastAsia" w:ascii="宋体" w:hAnsi="宋体" w:eastAsia="宋体" w:cs="宋体"/>
          <w:b/>
          <w:bCs/>
          <w:color w:val="auto"/>
          <w:kern w:val="0"/>
          <w:highlight w:val="none"/>
        </w:rPr>
        <w:t>.2</w:t>
      </w:r>
      <w:r>
        <w:rPr>
          <w:rStyle w:val="22"/>
          <w:rFonts w:hint="eastAsia" w:ascii="宋体" w:hAnsi="宋体" w:eastAsia="宋体" w:cs="宋体"/>
          <w:color w:val="auto"/>
          <w:kern w:val="0"/>
          <w:highlight w:val="none"/>
        </w:rPr>
        <w:t xml:space="preserve">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014B3C1C">
      <w:pPr>
        <w:wordWrap w:val="0"/>
        <w:adjustRightInd w:val="0"/>
        <w:snapToGrid w:val="0"/>
        <w:spacing w:line="440" w:lineRule="exact"/>
        <w:ind w:firstLine="480"/>
        <w:rPr>
          <w:rFonts w:hint="eastAsia" w:ascii="宋体" w:hAnsi="宋体" w:eastAsia="宋体" w:cs="宋体"/>
          <w:b/>
          <w:bCs/>
          <w:snapToGrid w:val="0"/>
          <w:color w:val="auto"/>
          <w:kern w:val="0"/>
          <w:highlight w:val="none"/>
        </w:rPr>
      </w:pPr>
      <w:bookmarkStart w:id="174" w:name="_Toc24202"/>
      <w:bookmarkStart w:id="175" w:name="_Toc31494"/>
      <w:bookmarkStart w:id="176" w:name="_Toc1774"/>
      <w:bookmarkStart w:id="177" w:name="_Toc31322"/>
      <w:r>
        <w:rPr>
          <w:rFonts w:hint="eastAsia" w:hAnsi="宋体" w:cs="宋体"/>
          <w:b/>
          <w:color w:val="auto"/>
          <w:highlight w:val="none"/>
          <w:lang w:val="en-US" w:eastAsia="zh-CN"/>
        </w:rPr>
        <w:t>9</w:t>
      </w:r>
      <w:r>
        <w:rPr>
          <w:rFonts w:hint="eastAsia" w:ascii="宋体" w:hAnsi="宋体" w:eastAsia="宋体" w:cs="宋体"/>
          <w:b/>
          <w:color w:val="auto"/>
          <w:highlight w:val="none"/>
        </w:rPr>
        <w:t>.3</w:t>
      </w:r>
      <w:r>
        <w:rPr>
          <w:rFonts w:hint="eastAsia" w:ascii="宋体" w:hAnsi="宋体" w:eastAsia="宋体" w:cs="宋体"/>
          <w:b/>
          <w:bCs/>
          <w:snapToGrid w:val="0"/>
          <w:color w:val="auto"/>
          <w:kern w:val="0"/>
          <w:highlight w:val="none"/>
        </w:rPr>
        <w:t>根据项目实施进度情况，招标人有权要求承包人增派项目管理人员，以满足项目的现场管理工作要求。</w:t>
      </w:r>
    </w:p>
    <w:p w14:paraId="4A61FB4C">
      <w:pPr>
        <w:snapToGrid w:val="0"/>
        <w:spacing w:line="440" w:lineRule="exact"/>
        <w:ind w:firstLine="482" w:firstLineChars="200"/>
        <w:outlineLvl w:val="1"/>
        <w:rPr>
          <w:rStyle w:val="22"/>
          <w:rFonts w:hint="eastAsia" w:ascii="宋体" w:hAnsi="宋体" w:eastAsia="宋体" w:cs="宋体"/>
          <w:b/>
          <w:bCs/>
          <w:color w:val="auto"/>
          <w:kern w:val="0"/>
          <w:highlight w:val="none"/>
        </w:rPr>
      </w:pPr>
    </w:p>
    <w:p w14:paraId="6A2560C4">
      <w:pPr>
        <w:snapToGrid w:val="0"/>
        <w:spacing w:line="440" w:lineRule="exact"/>
        <w:ind w:firstLine="482" w:firstLineChars="200"/>
        <w:outlineLvl w:val="1"/>
        <w:rPr>
          <w:rStyle w:val="22"/>
          <w:rFonts w:hint="eastAsia" w:ascii="宋体" w:hAnsi="宋体" w:eastAsia="宋体" w:cs="宋体"/>
          <w:strike/>
          <w:color w:val="auto"/>
          <w:kern w:val="0"/>
          <w:highlight w:val="none"/>
        </w:rPr>
      </w:pPr>
      <w:bookmarkStart w:id="178" w:name="_Toc30131"/>
      <w:bookmarkStart w:id="179" w:name="_Toc18255"/>
      <w:bookmarkStart w:id="180" w:name="_Toc27544"/>
      <w:bookmarkStart w:id="181" w:name="_Toc31233"/>
      <w:bookmarkStart w:id="182" w:name="_Toc21185"/>
      <w:bookmarkStart w:id="183" w:name="_Toc26575"/>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0</w:t>
      </w:r>
      <w:r>
        <w:rPr>
          <w:rStyle w:val="22"/>
          <w:rFonts w:hint="eastAsia" w:ascii="宋体" w:hAnsi="宋体" w:eastAsia="宋体" w:cs="宋体"/>
          <w:b/>
          <w:bCs/>
          <w:color w:val="auto"/>
          <w:kern w:val="0"/>
          <w:highlight w:val="none"/>
        </w:rPr>
        <w:t>．现场管理</w:t>
      </w:r>
      <w:bookmarkEnd w:id="174"/>
      <w:bookmarkEnd w:id="175"/>
      <w:bookmarkEnd w:id="176"/>
      <w:bookmarkEnd w:id="177"/>
      <w:bookmarkEnd w:id="178"/>
      <w:bookmarkEnd w:id="179"/>
      <w:bookmarkEnd w:id="180"/>
      <w:bookmarkEnd w:id="181"/>
      <w:bookmarkEnd w:id="182"/>
      <w:bookmarkEnd w:id="183"/>
    </w:p>
    <w:p w14:paraId="4856ED5D">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0</w:t>
      </w:r>
      <w:r>
        <w:rPr>
          <w:rStyle w:val="22"/>
          <w:rFonts w:hint="eastAsia" w:ascii="宋体" w:hAnsi="宋体" w:eastAsia="宋体" w:cs="宋体"/>
          <w:b/>
          <w:bCs/>
          <w:color w:val="auto"/>
          <w:kern w:val="0"/>
          <w:highlight w:val="none"/>
        </w:rPr>
        <w:t>.1</w:t>
      </w:r>
      <w:r>
        <w:rPr>
          <w:rStyle w:val="22"/>
          <w:rFonts w:hint="eastAsia" w:ascii="宋体" w:hAnsi="宋体" w:eastAsia="宋体" w:cs="宋体"/>
          <w:color w:val="auto"/>
          <w:kern w:val="0"/>
          <w:highlight w:val="none"/>
        </w:rPr>
        <w:t xml:space="preserve"> 承包人在施工期间应严格遵守国家、广东省、韶关市</w:t>
      </w:r>
      <w:r>
        <w:rPr>
          <w:rFonts w:hint="eastAsia" w:ascii="宋体" w:hAnsi="宋体" w:eastAsia="宋体" w:cs="宋体"/>
          <w:snapToGrid w:val="0"/>
          <w:color w:val="auto"/>
          <w:kern w:val="0"/>
          <w:highlight w:val="none"/>
        </w:rPr>
        <w:t>、南雄市</w:t>
      </w:r>
      <w:r>
        <w:rPr>
          <w:rStyle w:val="22"/>
          <w:rFonts w:hint="eastAsia" w:ascii="宋体" w:hAnsi="宋体" w:eastAsia="宋体" w:cs="宋体"/>
          <w:color w:val="auto"/>
          <w:kern w:val="0"/>
          <w:highlight w:val="none"/>
        </w:rPr>
        <w:t>有关绿色施工、文明施工、噪音扬尘、消防爆破、环境卫生、渣土清运、防火和治安保卫等方面的规定，并建立相应规章制度和保障措施。否则由此造成的经济损失和法律责任，均由承包人承担。</w:t>
      </w:r>
    </w:p>
    <w:p w14:paraId="5F251770">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0</w:t>
      </w:r>
      <w:r>
        <w:rPr>
          <w:rStyle w:val="22"/>
          <w:rFonts w:hint="eastAsia" w:ascii="宋体" w:hAnsi="宋体" w:eastAsia="宋体" w:cs="宋体"/>
          <w:b/>
          <w:bCs/>
          <w:color w:val="auto"/>
          <w:kern w:val="0"/>
          <w:highlight w:val="none"/>
        </w:rPr>
        <w:t>.2</w:t>
      </w:r>
      <w:r>
        <w:rPr>
          <w:rStyle w:val="22"/>
          <w:rFonts w:hint="eastAsia" w:ascii="宋体" w:hAnsi="宋体" w:eastAsia="宋体" w:cs="宋体"/>
          <w:color w:val="auto"/>
          <w:kern w:val="0"/>
          <w:highlight w:val="none"/>
        </w:rPr>
        <w:t xml:space="preserve"> 承包人应按安全施工有关规定，采取严格、科学的安全防护措施，确保施工和人员（包括第三者）的安全，承担由于自身安全防护措施不力所造成的安全事故责任和发生的费用。</w:t>
      </w:r>
    </w:p>
    <w:p w14:paraId="666E4D23">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0</w:t>
      </w:r>
      <w:r>
        <w:rPr>
          <w:rStyle w:val="22"/>
          <w:rFonts w:hint="eastAsia" w:ascii="宋体" w:hAnsi="宋体" w:eastAsia="宋体" w:cs="宋体"/>
          <w:b/>
          <w:bCs/>
          <w:color w:val="auto"/>
          <w:kern w:val="0"/>
          <w:highlight w:val="none"/>
        </w:rPr>
        <w:t>.3</w:t>
      </w:r>
      <w:r>
        <w:rPr>
          <w:rStyle w:val="22"/>
          <w:rFonts w:hint="eastAsia" w:ascii="宋体" w:hAnsi="宋体" w:eastAsia="宋体" w:cs="宋体"/>
          <w:color w:val="auto"/>
          <w:kern w:val="0"/>
          <w:highlight w:val="none"/>
        </w:rPr>
        <w:t xml:space="preserve"> 为保证施工现场的环境卫生，承包人在本工程施工过程中，所有的车辆必须按发包人规定的行车路线行驶。</w:t>
      </w:r>
    </w:p>
    <w:p w14:paraId="5DD2B942">
      <w:pPr>
        <w:snapToGrid w:val="0"/>
        <w:spacing w:line="440" w:lineRule="exact"/>
        <w:ind w:firstLine="482" w:firstLineChars="200"/>
        <w:rPr>
          <w:rStyle w:val="22"/>
          <w:rFonts w:hint="eastAsia" w:ascii="宋体" w:hAnsi="宋体" w:eastAsia="宋体" w:cs="宋体"/>
          <w:color w:val="auto"/>
          <w:kern w:val="0"/>
          <w:highlight w:val="none"/>
        </w:rPr>
      </w:pPr>
      <w:r>
        <w:rPr>
          <w:rFonts w:hint="eastAsia" w:ascii="宋体" w:hAnsi="宋体" w:eastAsia="宋体" w:cs="宋体"/>
          <w:b/>
          <w:bCs/>
          <w:snapToGrid w:val="0"/>
          <w:color w:val="auto"/>
          <w:highlight w:val="none"/>
        </w:rPr>
        <w:t>1</w:t>
      </w:r>
      <w:r>
        <w:rPr>
          <w:rFonts w:hint="eastAsia" w:hAnsi="宋体" w:cs="宋体"/>
          <w:b/>
          <w:bCs/>
          <w:snapToGrid w:val="0"/>
          <w:color w:val="auto"/>
          <w:highlight w:val="none"/>
          <w:lang w:val="en-US" w:eastAsia="zh-CN"/>
        </w:rPr>
        <w:t>0</w:t>
      </w:r>
      <w:r>
        <w:rPr>
          <w:rFonts w:hint="eastAsia" w:ascii="宋体" w:hAnsi="宋体" w:eastAsia="宋体" w:cs="宋体"/>
          <w:b/>
          <w:bCs/>
          <w:snapToGrid w:val="0"/>
          <w:color w:val="auto"/>
          <w:highlight w:val="none"/>
        </w:rPr>
        <w:t xml:space="preserve">.4 </w:t>
      </w:r>
      <w:r>
        <w:rPr>
          <w:rStyle w:val="22"/>
          <w:rFonts w:hint="eastAsia" w:ascii="宋体" w:hAnsi="宋体" w:eastAsia="宋体" w:cs="宋体"/>
          <w:color w:val="auto"/>
          <w:kern w:val="0"/>
          <w:highlight w:val="none"/>
        </w:rPr>
        <w:t>承包人必须做好施工场地地下地上管线和邻近建筑物、构筑物（包括文物保护建筑）、名树名木（如有）的保护工作。</w:t>
      </w:r>
    </w:p>
    <w:p w14:paraId="31F64499">
      <w:pPr>
        <w:snapToGrid w:val="0"/>
        <w:spacing w:line="440" w:lineRule="exact"/>
        <w:ind w:firstLine="482" w:firstLineChars="200"/>
        <w:rPr>
          <w:rStyle w:val="22"/>
          <w:rFonts w:hint="eastAsia" w:ascii="宋体" w:hAnsi="宋体" w:eastAsia="宋体" w:cs="宋体"/>
          <w:b/>
          <w:bCs/>
          <w:color w:val="auto"/>
          <w:kern w:val="0"/>
          <w:highlight w:val="none"/>
        </w:rPr>
      </w:pPr>
      <w:r>
        <w:rPr>
          <w:rFonts w:hint="eastAsia" w:ascii="宋体" w:hAnsi="宋体" w:eastAsia="宋体" w:cs="宋体"/>
          <w:b/>
          <w:bCs/>
          <w:snapToGrid w:val="0"/>
          <w:color w:val="auto"/>
          <w:highlight w:val="none"/>
        </w:rPr>
        <w:t>1</w:t>
      </w:r>
      <w:r>
        <w:rPr>
          <w:rFonts w:hint="eastAsia" w:hAnsi="宋体" w:cs="宋体"/>
          <w:b/>
          <w:bCs/>
          <w:snapToGrid w:val="0"/>
          <w:color w:val="auto"/>
          <w:highlight w:val="none"/>
          <w:lang w:val="en-US" w:eastAsia="zh-CN"/>
        </w:rPr>
        <w:t>0</w:t>
      </w:r>
      <w:r>
        <w:rPr>
          <w:rFonts w:hint="eastAsia" w:ascii="宋体" w:hAnsi="宋体" w:eastAsia="宋体" w:cs="宋体"/>
          <w:b/>
          <w:bCs/>
          <w:snapToGrid w:val="0"/>
          <w:color w:val="auto"/>
          <w:highlight w:val="none"/>
        </w:rPr>
        <w:t>.5</w:t>
      </w:r>
      <w:r>
        <w:rPr>
          <w:rFonts w:hint="eastAsia" w:ascii="宋体" w:hAnsi="宋体" w:eastAsia="宋体" w:cs="宋体"/>
          <w:snapToGrid w:val="0"/>
          <w:color w:val="auto"/>
          <w:highlight w:val="none"/>
        </w:rPr>
        <w:t>承包人应根据施工任务做好工期分析工作，按工期节点要求进行人料机的安排，及时根据计划的实施情况调整人料机的投入。承包人作为总承包单位，应合理安排施工工作，统筹各专业单位（如有）的工作界面，不得影响施工进度。承包人应根据工作面的变化情况及工程进度要求，合理增配人员及施工机械设备。</w:t>
      </w:r>
    </w:p>
    <w:p w14:paraId="736C1B1D">
      <w:pPr>
        <w:snapToGrid w:val="0"/>
        <w:spacing w:line="440" w:lineRule="exact"/>
        <w:ind w:firstLine="482" w:firstLineChars="200"/>
        <w:outlineLvl w:val="1"/>
        <w:rPr>
          <w:rStyle w:val="22"/>
          <w:rFonts w:hint="eastAsia" w:ascii="宋体" w:hAnsi="宋体" w:eastAsia="宋体" w:cs="宋体"/>
          <w:b/>
          <w:bCs/>
          <w:color w:val="auto"/>
          <w:kern w:val="0"/>
          <w:highlight w:val="none"/>
        </w:rPr>
      </w:pPr>
      <w:bookmarkStart w:id="184" w:name="_Toc10137"/>
      <w:bookmarkStart w:id="185" w:name="_Toc5587"/>
      <w:bookmarkStart w:id="186" w:name="_Toc28373"/>
      <w:bookmarkStart w:id="187" w:name="_Toc13977"/>
    </w:p>
    <w:p w14:paraId="50E4D86D">
      <w:pPr>
        <w:snapToGrid w:val="0"/>
        <w:spacing w:line="440" w:lineRule="exact"/>
        <w:ind w:firstLine="482" w:firstLineChars="200"/>
        <w:outlineLvl w:val="1"/>
        <w:rPr>
          <w:rStyle w:val="22"/>
          <w:rFonts w:hint="eastAsia" w:ascii="宋体" w:hAnsi="宋体" w:eastAsia="宋体" w:cs="宋体"/>
          <w:strike/>
          <w:color w:val="auto"/>
          <w:kern w:val="0"/>
          <w:highlight w:val="none"/>
        </w:rPr>
      </w:pPr>
      <w:bookmarkStart w:id="188" w:name="_Toc13615"/>
      <w:bookmarkStart w:id="189" w:name="_Toc1127"/>
      <w:bookmarkStart w:id="190" w:name="_Toc21045"/>
      <w:bookmarkStart w:id="191" w:name="_Toc30626"/>
      <w:bookmarkStart w:id="192" w:name="_Toc9669"/>
      <w:bookmarkStart w:id="193" w:name="_Toc19388"/>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1</w:t>
      </w:r>
      <w:r>
        <w:rPr>
          <w:rStyle w:val="22"/>
          <w:rFonts w:hint="eastAsia" w:ascii="宋体" w:hAnsi="宋体" w:eastAsia="宋体" w:cs="宋体"/>
          <w:b/>
          <w:bCs/>
          <w:color w:val="auto"/>
          <w:kern w:val="0"/>
          <w:highlight w:val="none"/>
        </w:rPr>
        <w:t>．监督实施</w:t>
      </w:r>
      <w:bookmarkEnd w:id="184"/>
      <w:bookmarkEnd w:id="185"/>
      <w:bookmarkEnd w:id="186"/>
      <w:bookmarkEnd w:id="187"/>
      <w:bookmarkEnd w:id="188"/>
      <w:bookmarkEnd w:id="189"/>
      <w:bookmarkEnd w:id="190"/>
      <w:bookmarkEnd w:id="191"/>
      <w:bookmarkEnd w:id="192"/>
      <w:bookmarkEnd w:id="193"/>
    </w:p>
    <w:p w14:paraId="57E324EA">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5C08AFD0">
      <w:pPr>
        <w:snapToGrid w:val="0"/>
        <w:spacing w:line="440" w:lineRule="exact"/>
        <w:ind w:firstLine="560"/>
        <w:rPr>
          <w:rStyle w:val="22"/>
          <w:rFonts w:hint="eastAsia" w:ascii="宋体" w:hAnsi="宋体" w:eastAsia="宋体" w:cs="宋体"/>
          <w:b/>
          <w:bCs/>
          <w:color w:val="auto"/>
          <w:kern w:val="0"/>
          <w:highlight w:val="none"/>
        </w:rPr>
      </w:pPr>
    </w:p>
    <w:p w14:paraId="22DD792B">
      <w:pPr>
        <w:snapToGrid w:val="0"/>
        <w:spacing w:line="440" w:lineRule="exact"/>
        <w:ind w:firstLine="560"/>
        <w:outlineLvl w:val="1"/>
        <w:rPr>
          <w:rStyle w:val="22"/>
          <w:rFonts w:hint="eastAsia" w:ascii="宋体" w:hAnsi="宋体" w:eastAsia="宋体" w:cs="宋体"/>
          <w:b/>
          <w:bCs/>
          <w:color w:val="auto"/>
          <w:kern w:val="0"/>
          <w:highlight w:val="none"/>
        </w:rPr>
      </w:pPr>
      <w:bookmarkStart w:id="194" w:name="_Toc22328"/>
      <w:bookmarkStart w:id="195" w:name="_Toc16603"/>
      <w:bookmarkStart w:id="196" w:name="_Toc22360"/>
      <w:bookmarkStart w:id="197" w:name="_Toc8125"/>
      <w:bookmarkStart w:id="198" w:name="_Toc18946"/>
      <w:bookmarkStart w:id="199" w:name="_Toc4112"/>
      <w:bookmarkStart w:id="200" w:name="_Toc27169"/>
      <w:bookmarkStart w:id="201" w:name="_Toc2517"/>
      <w:bookmarkStart w:id="202" w:name="_Toc17856"/>
      <w:bookmarkStart w:id="203" w:name="_Toc6033"/>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2</w:t>
      </w:r>
      <w:r>
        <w:rPr>
          <w:rStyle w:val="22"/>
          <w:rFonts w:hint="eastAsia" w:ascii="宋体" w:hAnsi="宋体" w:eastAsia="宋体" w:cs="宋体"/>
          <w:b/>
          <w:bCs/>
          <w:color w:val="auto"/>
          <w:kern w:val="0"/>
          <w:highlight w:val="none"/>
        </w:rPr>
        <w:t>．主材的采购和使用</w:t>
      </w:r>
      <w:bookmarkEnd w:id="194"/>
      <w:bookmarkEnd w:id="195"/>
      <w:bookmarkEnd w:id="196"/>
      <w:bookmarkEnd w:id="197"/>
      <w:bookmarkEnd w:id="198"/>
      <w:bookmarkEnd w:id="199"/>
      <w:bookmarkEnd w:id="200"/>
      <w:bookmarkEnd w:id="201"/>
      <w:bookmarkEnd w:id="202"/>
      <w:bookmarkEnd w:id="203"/>
    </w:p>
    <w:p w14:paraId="52313703">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6ACD9C01">
      <w:pPr>
        <w:snapToGrid w:val="0"/>
        <w:spacing w:line="440" w:lineRule="exact"/>
        <w:ind w:firstLine="560"/>
        <w:outlineLvl w:val="1"/>
        <w:rPr>
          <w:rStyle w:val="22"/>
          <w:rFonts w:hint="eastAsia" w:ascii="宋体" w:hAnsi="宋体" w:eastAsia="宋体" w:cs="宋体"/>
          <w:b/>
          <w:bCs/>
          <w:color w:val="auto"/>
          <w:kern w:val="0"/>
          <w:highlight w:val="none"/>
        </w:rPr>
      </w:pPr>
    </w:p>
    <w:p w14:paraId="5196ECF7">
      <w:pPr>
        <w:snapToGrid w:val="0"/>
        <w:spacing w:line="440" w:lineRule="exact"/>
        <w:ind w:firstLine="560"/>
        <w:outlineLvl w:val="1"/>
        <w:rPr>
          <w:rStyle w:val="22"/>
          <w:rFonts w:hint="eastAsia" w:ascii="宋体" w:hAnsi="宋体" w:eastAsia="宋体" w:cs="宋体"/>
          <w:color w:val="auto"/>
          <w:kern w:val="0"/>
          <w:highlight w:val="none"/>
        </w:rPr>
      </w:pPr>
      <w:bookmarkStart w:id="204" w:name="_Toc5668"/>
      <w:bookmarkStart w:id="205" w:name="_Toc18024"/>
      <w:bookmarkStart w:id="206" w:name="_Toc3671"/>
      <w:bookmarkStart w:id="207" w:name="_Toc21291"/>
      <w:bookmarkStart w:id="208" w:name="_Toc23190"/>
      <w:bookmarkStart w:id="209" w:name="_Toc31975"/>
      <w:bookmarkStart w:id="210" w:name="_Toc20767"/>
      <w:bookmarkStart w:id="211" w:name="_Toc25303"/>
      <w:bookmarkStart w:id="212" w:name="_Toc4734"/>
      <w:bookmarkStart w:id="213" w:name="_Toc10735"/>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3</w:t>
      </w:r>
      <w:r>
        <w:rPr>
          <w:rStyle w:val="22"/>
          <w:rFonts w:hint="eastAsia" w:ascii="宋体" w:hAnsi="宋体" w:eastAsia="宋体" w:cs="宋体"/>
          <w:b/>
          <w:bCs/>
          <w:color w:val="auto"/>
          <w:kern w:val="0"/>
          <w:highlight w:val="none"/>
        </w:rPr>
        <w:t>．竣工资料移交</w:t>
      </w:r>
      <w:bookmarkEnd w:id="204"/>
      <w:bookmarkEnd w:id="205"/>
      <w:bookmarkEnd w:id="206"/>
      <w:bookmarkEnd w:id="207"/>
      <w:bookmarkEnd w:id="208"/>
      <w:bookmarkEnd w:id="209"/>
      <w:bookmarkEnd w:id="210"/>
      <w:bookmarkEnd w:id="211"/>
      <w:bookmarkEnd w:id="212"/>
      <w:bookmarkEnd w:id="213"/>
    </w:p>
    <w:p w14:paraId="141FC575">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工程竣工验收时，承包人应向监理单位和发包人提供符合国家档案部门备案要求的，编制成册的竣工图及有关的技术档案资料（含纸质、声像及电子等形式的档案）一式</w:t>
      </w:r>
      <w:r>
        <w:rPr>
          <w:rStyle w:val="22"/>
          <w:rFonts w:hint="eastAsia" w:ascii="宋体" w:hAnsi="宋体" w:eastAsia="宋体" w:cs="宋体"/>
          <w:color w:val="auto"/>
          <w:kern w:val="0"/>
          <w:highlight w:val="none"/>
          <w:u w:val="single"/>
        </w:rPr>
        <w:t>捌</w:t>
      </w:r>
      <w:r>
        <w:rPr>
          <w:rStyle w:val="22"/>
          <w:rFonts w:hint="eastAsia" w:ascii="宋体" w:hAnsi="宋体" w:eastAsia="宋体" w:cs="宋体"/>
          <w:color w:val="auto"/>
          <w:kern w:val="0"/>
          <w:highlight w:val="none"/>
        </w:rPr>
        <w:t>份，制作费用由承包人承担。</w:t>
      </w:r>
    </w:p>
    <w:p w14:paraId="6555EADE">
      <w:pPr>
        <w:snapToGrid w:val="0"/>
        <w:spacing w:line="440" w:lineRule="exact"/>
        <w:ind w:firstLine="560"/>
        <w:rPr>
          <w:rStyle w:val="22"/>
          <w:rFonts w:hint="eastAsia" w:ascii="宋体" w:hAnsi="宋体" w:eastAsia="宋体" w:cs="宋体"/>
          <w:b/>
          <w:bCs/>
          <w:color w:val="auto"/>
          <w:kern w:val="0"/>
          <w:highlight w:val="none"/>
        </w:rPr>
      </w:pPr>
    </w:p>
    <w:p w14:paraId="49EBDE61">
      <w:pPr>
        <w:snapToGrid w:val="0"/>
        <w:spacing w:line="440" w:lineRule="exact"/>
        <w:ind w:firstLine="560"/>
        <w:outlineLvl w:val="1"/>
        <w:rPr>
          <w:rStyle w:val="22"/>
          <w:rFonts w:hint="eastAsia" w:ascii="宋体" w:hAnsi="宋体" w:eastAsia="宋体" w:cs="宋体"/>
          <w:color w:val="auto"/>
          <w:kern w:val="0"/>
          <w:highlight w:val="none"/>
        </w:rPr>
      </w:pPr>
      <w:bookmarkStart w:id="214" w:name="_Toc5007"/>
      <w:bookmarkStart w:id="215" w:name="_Toc6814"/>
      <w:bookmarkStart w:id="216" w:name="_Toc17031"/>
      <w:bookmarkStart w:id="217" w:name="_Toc880"/>
      <w:bookmarkStart w:id="218" w:name="_Toc28419"/>
      <w:bookmarkStart w:id="219" w:name="_Toc2569"/>
      <w:bookmarkStart w:id="220" w:name="_Toc11059"/>
      <w:bookmarkStart w:id="221" w:name="_Toc14315"/>
      <w:bookmarkStart w:id="222" w:name="_Toc30391"/>
      <w:bookmarkStart w:id="223" w:name="_Toc8610"/>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4</w:t>
      </w:r>
      <w:r>
        <w:rPr>
          <w:rStyle w:val="22"/>
          <w:rFonts w:hint="eastAsia" w:ascii="宋体" w:hAnsi="宋体" w:eastAsia="宋体" w:cs="宋体"/>
          <w:b/>
          <w:bCs/>
          <w:color w:val="auto"/>
          <w:kern w:val="0"/>
          <w:highlight w:val="none"/>
        </w:rPr>
        <w:t>．质量保证</w:t>
      </w:r>
      <w:bookmarkEnd w:id="214"/>
      <w:bookmarkEnd w:id="215"/>
      <w:bookmarkEnd w:id="216"/>
      <w:bookmarkEnd w:id="217"/>
      <w:bookmarkEnd w:id="218"/>
      <w:bookmarkEnd w:id="219"/>
      <w:bookmarkEnd w:id="220"/>
      <w:bookmarkEnd w:id="221"/>
      <w:bookmarkEnd w:id="222"/>
      <w:bookmarkEnd w:id="223"/>
    </w:p>
    <w:p w14:paraId="6FCD32F8">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4</w:t>
      </w:r>
      <w:r>
        <w:rPr>
          <w:rStyle w:val="22"/>
          <w:rFonts w:hint="eastAsia" w:ascii="宋体" w:hAnsi="宋体" w:eastAsia="宋体" w:cs="宋体"/>
          <w:b/>
          <w:bCs/>
          <w:color w:val="auto"/>
          <w:kern w:val="0"/>
          <w:highlight w:val="none"/>
        </w:rPr>
        <w:t>.1</w:t>
      </w:r>
      <w:r>
        <w:rPr>
          <w:rStyle w:val="22"/>
          <w:rFonts w:hint="eastAsia" w:ascii="宋体" w:hAnsi="宋体" w:eastAsia="宋体" w:cs="宋体"/>
          <w:color w:val="auto"/>
          <w:kern w:val="0"/>
          <w:highlight w:val="none"/>
        </w:rPr>
        <w:t xml:space="preserve"> 本工程缺陷责任期为</w:t>
      </w:r>
      <w:r>
        <w:rPr>
          <w:rStyle w:val="22"/>
          <w:rFonts w:hint="eastAsia" w:ascii="宋体" w:hAnsi="宋体" w:eastAsia="宋体" w:cs="宋体"/>
          <w:color w:val="auto"/>
          <w:kern w:val="0"/>
          <w:highlight w:val="none"/>
          <w:u w:val="single"/>
        </w:rPr>
        <w:t>2</w:t>
      </w:r>
      <w:r>
        <w:rPr>
          <w:rStyle w:val="22"/>
          <w:rFonts w:hint="eastAsia" w:ascii="宋体" w:hAnsi="宋体" w:eastAsia="宋体" w:cs="宋体"/>
          <w:color w:val="auto"/>
          <w:kern w:val="0"/>
          <w:highlight w:val="none"/>
        </w:rPr>
        <w:t>年（自通过竣工验收之日起计），在此期间预留金额为结算价</w:t>
      </w:r>
      <w:r>
        <w:rPr>
          <w:rStyle w:val="22"/>
          <w:rFonts w:hint="eastAsia" w:ascii="宋体" w:hAnsi="宋体" w:eastAsia="宋体" w:cs="宋体"/>
          <w:color w:val="auto"/>
          <w:kern w:val="0"/>
          <w:highlight w:val="none"/>
          <w:u w:val="single"/>
        </w:rPr>
        <w:t xml:space="preserve">3% </w:t>
      </w:r>
      <w:r>
        <w:rPr>
          <w:rStyle w:val="22"/>
          <w:rFonts w:hint="eastAsia" w:ascii="宋体" w:hAnsi="宋体" w:eastAsia="宋体" w:cs="宋体"/>
          <w:color w:val="auto"/>
          <w:kern w:val="0"/>
          <w:highlight w:val="none"/>
        </w:rPr>
        <w:t>的质量保证。</w:t>
      </w:r>
    </w:p>
    <w:p w14:paraId="5C5872BE">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4</w:t>
      </w:r>
      <w:r>
        <w:rPr>
          <w:rStyle w:val="22"/>
          <w:rFonts w:hint="eastAsia" w:ascii="宋体" w:hAnsi="宋体" w:eastAsia="宋体" w:cs="宋体"/>
          <w:b/>
          <w:bCs/>
          <w:color w:val="auto"/>
          <w:kern w:val="0"/>
          <w:highlight w:val="none"/>
        </w:rPr>
        <w:t>.2</w:t>
      </w:r>
      <w:r>
        <w:rPr>
          <w:rStyle w:val="22"/>
          <w:rFonts w:hint="eastAsia" w:ascii="宋体" w:hAnsi="宋体" w:eastAsia="宋体" w:cs="宋体"/>
          <w:color w:val="auto"/>
          <w:kern w:val="0"/>
          <w:highlight w:val="none"/>
        </w:rPr>
        <w:t xml:space="preserve"> 质量保证的形式包括质量保证金、质量保证担保、质量保证保险三种，由承包人自主选择。</w:t>
      </w:r>
    </w:p>
    <w:p w14:paraId="0C60DAB8">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（1）采用质量保证金形式的，在结清审定总造价时一次性扣留相应金额作为质量保证金。</w:t>
      </w:r>
    </w:p>
    <w:p w14:paraId="5068153E">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w:t>
      </w:r>
      <w:r>
        <w:rPr>
          <w:rFonts w:hint="eastAsia" w:ascii="Times New Roman" w:hAnsi="Times New Roman" w:cs="Times New Roman"/>
          <w:b w:val="0"/>
          <w:bCs/>
          <w:caps w:val="0"/>
          <w:smallCaps w:val="0"/>
          <w:snapToGrid w:val="0"/>
          <w:color w:val="auto"/>
          <w:spacing w:val="0"/>
          <w:kern w:val="0"/>
          <w:highlight w:val="none"/>
          <w:lang w:val="en-US" w:eastAsia="zh-CN"/>
        </w:rPr>
        <w:t>采用质量保证担保或质量保证保险的，承包人应在竣工验收时向发包人提交有效的银行保函或保险合同（或保险单）原件，银行保函或保险合同（或保险单）的有效期不得短于缺陷责任期</w:t>
      </w:r>
      <w:r>
        <w:rPr>
          <w:rFonts w:hint="eastAsia" w:ascii="Times New Roman"/>
          <w:bCs/>
          <w:snapToGrid w:val="0"/>
          <w:color w:val="auto"/>
          <w:kern w:val="0"/>
          <w:highlight w:val="none"/>
        </w:rPr>
        <w:t>。</w:t>
      </w:r>
    </w:p>
    <w:p w14:paraId="60E78DE7">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4</w:t>
      </w:r>
      <w:r>
        <w:rPr>
          <w:rStyle w:val="22"/>
          <w:rFonts w:hint="eastAsia" w:ascii="宋体" w:hAnsi="宋体" w:eastAsia="宋体" w:cs="宋体"/>
          <w:b/>
          <w:bCs/>
          <w:color w:val="auto"/>
          <w:kern w:val="0"/>
          <w:highlight w:val="none"/>
        </w:rPr>
        <w:t>.3</w:t>
      </w:r>
      <w:r>
        <w:rPr>
          <w:rStyle w:val="22"/>
          <w:rFonts w:hint="eastAsia" w:ascii="宋体" w:hAnsi="宋体" w:eastAsia="宋体" w:cs="宋体"/>
          <w:color w:val="auto"/>
          <w:kern w:val="0"/>
          <w:highlight w:val="none"/>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54269A27">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由他人原因造成的缺陷，发包人负责组织维修，承包人不承担费用，且发包人不得从质量保证中扣除费用。</w:t>
      </w:r>
    </w:p>
    <w:p w14:paraId="4352F034">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4</w:t>
      </w:r>
      <w:r>
        <w:rPr>
          <w:rStyle w:val="22"/>
          <w:rFonts w:hint="eastAsia" w:ascii="宋体" w:hAnsi="宋体" w:eastAsia="宋体" w:cs="宋体"/>
          <w:b/>
          <w:bCs/>
          <w:color w:val="auto"/>
          <w:kern w:val="0"/>
          <w:highlight w:val="none"/>
        </w:rPr>
        <w:t>.4</w:t>
      </w:r>
      <w:r>
        <w:rPr>
          <w:rStyle w:val="22"/>
          <w:rFonts w:hint="eastAsia" w:ascii="宋体" w:hAnsi="宋体" w:eastAsia="宋体" w:cs="宋体"/>
          <w:color w:val="auto"/>
          <w:kern w:val="0"/>
          <w:highlight w:val="none"/>
        </w:rPr>
        <w:t xml:space="preserve"> 缺陷责任期内，承包人应认真履行合同约定的责任。缺陷责任期到期后，承包人向发包人申请退还质量保证，发包人应按照《建设工程质量保证金管理办法》有关规定将质量保证退还给承包人。</w:t>
      </w:r>
    </w:p>
    <w:p w14:paraId="5501FEE5">
      <w:pPr>
        <w:snapToGrid w:val="0"/>
        <w:spacing w:line="440" w:lineRule="exact"/>
        <w:ind w:firstLine="560"/>
        <w:rPr>
          <w:rStyle w:val="22"/>
          <w:rFonts w:hint="eastAsia" w:ascii="宋体" w:hAnsi="宋体" w:eastAsia="宋体" w:cs="宋体"/>
          <w:b/>
          <w:bCs/>
          <w:color w:val="auto"/>
          <w:kern w:val="0"/>
          <w:highlight w:val="none"/>
        </w:rPr>
      </w:pPr>
    </w:p>
    <w:p w14:paraId="040CD7CF">
      <w:pPr>
        <w:snapToGrid w:val="0"/>
        <w:spacing w:line="440" w:lineRule="exact"/>
        <w:ind w:firstLine="560"/>
        <w:outlineLvl w:val="1"/>
        <w:rPr>
          <w:rStyle w:val="22"/>
          <w:rFonts w:hint="eastAsia" w:ascii="宋体" w:hAnsi="宋体" w:eastAsia="宋体" w:cs="宋体"/>
          <w:strike/>
          <w:color w:val="auto"/>
          <w:kern w:val="0"/>
          <w:highlight w:val="none"/>
        </w:rPr>
      </w:pPr>
      <w:bookmarkStart w:id="224" w:name="_Toc16614"/>
      <w:bookmarkStart w:id="225" w:name="_Toc24271"/>
      <w:bookmarkStart w:id="226" w:name="_Toc29337"/>
      <w:bookmarkStart w:id="227" w:name="_Toc5467"/>
      <w:bookmarkStart w:id="228" w:name="_Toc16210"/>
      <w:bookmarkStart w:id="229" w:name="_Toc32287"/>
      <w:bookmarkStart w:id="230" w:name="_Toc29331"/>
      <w:bookmarkStart w:id="231" w:name="_Toc20836"/>
      <w:bookmarkStart w:id="232" w:name="_Toc21606"/>
      <w:bookmarkStart w:id="233" w:name="_Toc4991"/>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5</w:t>
      </w:r>
      <w:r>
        <w:rPr>
          <w:rStyle w:val="22"/>
          <w:rFonts w:hint="eastAsia" w:ascii="宋体" w:hAnsi="宋体" w:eastAsia="宋体" w:cs="宋体"/>
          <w:b/>
          <w:bCs/>
          <w:color w:val="auto"/>
          <w:kern w:val="0"/>
          <w:highlight w:val="none"/>
        </w:rPr>
        <w:t>．不良行为处理</w:t>
      </w:r>
      <w:bookmarkEnd w:id="224"/>
      <w:bookmarkEnd w:id="225"/>
      <w:bookmarkEnd w:id="226"/>
      <w:bookmarkEnd w:id="227"/>
      <w:bookmarkEnd w:id="228"/>
      <w:bookmarkEnd w:id="229"/>
      <w:bookmarkEnd w:id="230"/>
      <w:bookmarkEnd w:id="231"/>
      <w:bookmarkEnd w:id="232"/>
      <w:bookmarkEnd w:id="233"/>
    </w:p>
    <w:p w14:paraId="2F3DE725">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承包人及其有关人员有下列行为之一的，发包人应及时向建设行政主管部门报告。除按照有关法律、法规进行处罚。</w:t>
      </w:r>
    </w:p>
    <w:p w14:paraId="2E1FD5A1">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（1）转包、违法分包或违反投标承诺分包工程的；</w:t>
      </w:r>
    </w:p>
    <w:p w14:paraId="2ECF6953">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（2）非原参加投标中标的项目经理负责组织施工或在实施过程中擅自更换项目经理的、项目的其他主要管理人员与中标文件确定的人员不相符的；</w:t>
      </w:r>
    </w:p>
    <w:p w14:paraId="08EA0CB9">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（3）投标文件确定的大型机械设备没有进入施工现场的；</w:t>
      </w:r>
    </w:p>
    <w:p w14:paraId="411D4FF1">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（4）与建设单位、监理单位串通，签认虚假工程量或工程造价的；</w:t>
      </w:r>
    </w:p>
    <w:p w14:paraId="0453BDE1">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（5）项目经理施工现场管理不到位的；</w:t>
      </w:r>
    </w:p>
    <w:p w14:paraId="37A9D731">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（6）项目经理在非本人资格证书注册单位从事工程项目施工管理的；</w:t>
      </w:r>
    </w:p>
    <w:p w14:paraId="5E205E0B">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（7）项目经理同时承担超过一项工程项目的；</w:t>
      </w:r>
    </w:p>
    <w:p w14:paraId="7D936B39">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（8）违反有关法律、法规、规章规定的其它行为。</w:t>
      </w:r>
    </w:p>
    <w:p w14:paraId="6F7ACA94">
      <w:pPr>
        <w:pStyle w:val="39"/>
        <w:snapToGrid w:val="0"/>
        <w:spacing w:line="440" w:lineRule="exact"/>
        <w:ind w:firstLine="482" w:firstLineChars="200"/>
        <w:jc w:val="left"/>
        <w:rPr>
          <w:rStyle w:val="22"/>
          <w:rFonts w:hint="eastAsia" w:ascii="宋体" w:hAnsi="宋体" w:eastAsia="宋体" w:cs="宋体"/>
          <w:b/>
          <w:bCs/>
          <w:color w:val="auto"/>
          <w:kern w:val="0"/>
          <w:highlight w:val="none"/>
        </w:rPr>
      </w:pPr>
    </w:p>
    <w:p w14:paraId="54C50D4B">
      <w:pPr>
        <w:pStyle w:val="39"/>
        <w:snapToGrid w:val="0"/>
        <w:spacing w:line="440" w:lineRule="exact"/>
        <w:ind w:firstLine="482" w:firstLineChars="200"/>
        <w:jc w:val="left"/>
        <w:outlineLvl w:val="1"/>
        <w:rPr>
          <w:rStyle w:val="22"/>
          <w:rFonts w:hint="eastAsia" w:ascii="宋体" w:hAnsi="宋体" w:eastAsia="宋体" w:cs="宋体"/>
          <w:b/>
          <w:bCs/>
          <w:color w:val="auto"/>
          <w:kern w:val="0"/>
          <w:highlight w:val="none"/>
        </w:rPr>
      </w:pPr>
      <w:bookmarkStart w:id="234" w:name="_Toc8801"/>
      <w:bookmarkStart w:id="235" w:name="_Toc978"/>
      <w:bookmarkStart w:id="236" w:name="_Toc21570"/>
      <w:bookmarkStart w:id="237" w:name="_Toc10238"/>
      <w:bookmarkStart w:id="238" w:name="_Toc25396"/>
      <w:bookmarkStart w:id="239" w:name="_Toc2048"/>
      <w:bookmarkStart w:id="240" w:name="_Toc25724"/>
      <w:bookmarkStart w:id="241" w:name="_Toc15747"/>
      <w:bookmarkStart w:id="242" w:name="_Toc8814"/>
      <w:bookmarkStart w:id="243" w:name="_Toc10467"/>
      <w:r>
        <w:rPr>
          <w:rStyle w:val="22"/>
          <w:rFonts w:hint="eastAsia" w:ascii="宋体" w:hAnsi="宋体" w:eastAsia="宋体" w:cs="宋体"/>
          <w:b/>
          <w:bCs/>
          <w:color w:val="auto"/>
          <w:kern w:val="0"/>
          <w:highlight w:val="none"/>
        </w:rPr>
        <w:t>1</w:t>
      </w:r>
      <w:r>
        <w:rPr>
          <w:rStyle w:val="22"/>
          <w:rFonts w:hint="eastAsia" w:ascii="宋体" w:hAnsi="宋体" w:cs="宋体"/>
          <w:b/>
          <w:bCs/>
          <w:color w:val="auto"/>
          <w:kern w:val="0"/>
          <w:highlight w:val="none"/>
          <w:lang w:val="en-US" w:eastAsia="zh-CN"/>
        </w:rPr>
        <w:t>6</w:t>
      </w:r>
      <w:r>
        <w:rPr>
          <w:rStyle w:val="22"/>
          <w:rFonts w:hint="eastAsia" w:ascii="宋体" w:hAnsi="宋体" w:eastAsia="宋体" w:cs="宋体"/>
          <w:b/>
          <w:bCs/>
          <w:color w:val="auto"/>
          <w:kern w:val="0"/>
          <w:highlight w:val="none"/>
        </w:rPr>
        <w:t>．信用评价条款内容</w:t>
      </w:r>
      <w:bookmarkEnd w:id="234"/>
      <w:bookmarkEnd w:id="235"/>
      <w:bookmarkEnd w:id="236"/>
      <w:bookmarkEnd w:id="237"/>
      <w:bookmarkEnd w:id="238"/>
      <w:bookmarkEnd w:id="239"/>
      <w:bookmarkEnd w:id="240"/>
      <w:bookmarkEnd w:id="241"/>
      <w:bookmarkEnd w:id="242"/>
      <w:bookmarkEnd w:id="243"/>
    </w:p>
    <w:p w14:paraId="1396121D">
      <w:pPr>
        <w:pStyle w:val="41"/>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由招标人决定是否对施工单位的履约情况进行信用评价。若进行信用评价，评价条款由招标人自拟，条款内容可参考人员到位情况、服务配合程度、服务成果质量、项目后期服务及信用评价结果的运用等。</w:t>
      </w:r>
    </w:p>
    <w:p w14:paraId="713CED3C">
      <w:pPr>
        <w:pStyle w:val="41"/>
        <w:ind w:firstLine="560"/>
        <w:rPr>
          <w:rStyle w:val="22"/>
          <w:rFonts w:hint="eastAsia" w:ascii="宋体" w:hAnsi="宋体" w:eastAsia="宋体" w:cs="宋体"/>
          <w:b/>
          <w:bCs/>
          <w:color w:val="auto"/>
          <w:highlight w:val="none"/>
        </w:rPr>
      </w:pPr>
    </w:p>
    <w:p w14:paraId="06E1F0A3">
      <w:pPr>
        <w:pStyle w:val="26"/>
        <w:snapToGrid w:val="0"/>
        <w:ind w:firstLine="482" w:firstLineChars="200"/>
        <w:jc w:val="both"/>
        <w:outlineLvl w:val="1"/>
        <w:rPr>
          <w:rStyle w:val="22"/>
          <w:rFonts w:hint="eastAsia" w:ascii="宋体" w:hAnsi="宋体" w:eastAsia="宋体" w:cs="宋体"/>
          <w:color w:val="auto"/>
          <w:highlight w:val="none"/>
        </w:rPr>
      </w:pPr>
      <w:bookmarkStart w:id="244" w:name="_Toc17033"/>
      <w:bookmarkStart w:id="245" w:name="_Toc2774"/>
      <w:bookmarkStart w:id="246" w:name="_Toc13500"/>
      <w:bookmarkStart w:id="247" w:name="_Toc20918"/>
      <w:bookmarkStart w:id="248" w:name="_Toc9486"/>
      <w:bookmarkStart w:id="249" w:name="_Toc4965"/>
      <w:bookmarkStart w:id="250" w:name="_Toc16813"/>
      <w:bookmarkStart w:id="251" w:name="_Toc3840"/>
      <w:bookmarkStart w:id="252" w:name="_Toc26751"/>
      <w:bookmarkStart w:id="253" w:name="_Toc5020"/>
      <w:r>
        <w:rPr>
          <w:rStyle w:val="22"/>
          <w:rFonts w:hint="eastAsia" w:ascii="宋体" w:hAnsi="宋体" w:eastAsia="宋体" w:cs="宋体"/>
          <w:b/>
          <w:bCs/>
          <w:color w:val="auto"/>
          <w:highlight w:val="none"/>
        </w:rPr>
        <w:t>1</w:t>
      </w:r>
      <w:r>
        <w:rPr>
          <w:rStyle w:val="22"/>
          <w:rFonts w:hint="eastAsia" w:hAnsi="宋体" w:cs="宋体"/>
          <w:b/>
          <w:bCs/>
          <w:color w:val="auto"/>
          <w:highlight w:val="none"/>
          <w:lang w:val="en-US" w:eastAsia="zh-CN"/>
        </w:rPr>
        <w:t>7</w:t>
      </w:r>
      <w:r>
        <w:rPr>
          <w:rStyle w:val="22"/>
          <w:rFonts w:hint="eastAsia" w:ascii="宋体" w:hAnsi="宋体" w:eastAsia="宋体" w:cs="宋体"/>
          <w:b/>
          <w:bCs/>
          <w:color w:val="auto"/>
          <w:highlight w:val="none"/>
        </w:rPr>
        <w:t>．其他事项</w:t>
      </w:r>
      <w:bookmarkEnd w:id="244"/>
      <w:bookmarkEnd w:id="245"/>
      <w:bookmarkEnd w:id="246"/>
      <w:bookmarkEnd w:id="247"/>
      <w:bookmarkEnd w:id="248"/>
      <w:bookmarkEnd w:id="249"/>
      <w:bookmarkEnd w:id="250"/>
      <w:bookmarkEnd w:id="251"/>
      <w:bookmarkEnd w:id="252"/>
      <w:bookmarkEnd w:id="253"/>
    </w:p>
    <w:p w14:paraId="71DCECD6">
      <w:pPr>
        <w:ind w:firstLine="422" w:firstLineChars="175"/>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 xml:space="preserve">.1 </w:t>
      </w:r>
      <w:r>
        <w:rPr>
          <w:rFonts w:hint="eastAsia" w:ascii="宋体" w:hAnsi="宋体" w:eastAsia="宋体" w:cs="宋体"/>
          <w:color w:val="auto"/>
          <w:highlight w:val="none"/>
        </w:rPr>
        <w:t>承包人按照市住建局有关规定安装视频监控系统，并支付相关的费用，相关费用已包含在合同价中。</w:t>
      </w:r>
    </w:p>
    <w:p w14:paraId="76440C70">
      <w:pPr>
        <w:ind w:firstLine="422" w:firstLineChars="175"/>
        <w:rPr>
          <w:rFonts w:hint="eastAsia"/>
          <w:color w:val="auto"/>
          <w:highlight w:val="none"/>
        </w:rPr>
      </w:pPr>
      <w:r>
        <w:rPr>
          <w:rFonts w:hint="eastAsia" w:hAnsi="宋体"/>
          <w:b/>
          <w:bCs/>
          <w:snapToGrid w:val="0"/>
          <w:color w:val="auto"/>
          <w:kern w:val="0"/>
          <w:highlight w:val="none"/>
        </w:rPr>
        <w:t>开工一个月内必须按相关规定和要求安装视频监控系统，并接入相关部门监控系统，如未按时安装视频监控系统，发包人有权在措施费中扣除相关费用。</w:t>
      </w:r>
    </w:p>
    <w:p w14:paraId="76095146">
      <w:pPr>
        <w:ind w:firstLine="422" w:firstLineChars="175"/>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 xml:space="preserve">.2 </w:t>
      </w:r>
      <w:r>
        <w:rPr>
          <w:rFonts w:hint="eastAsia" w:ascii="宋体" w:hAnsi="宋体" w:eastAsia="宋体" w:cs="宋体"/>
          <w:snapToGrid w:val="0"/>
          <w:color w:val="auto"/>
          <w:kern w:val="0"/>
          <w:highlight w:val="none"/>
        </w:rPr>
        <w:t>由于发包人原因导致工期延迟的，承包人仅可以获得顺延工期的补偿，不予任何费用补偿。</w:t>
      </w:r>
    </w:p>
    <w:p w14:paraId="540A21A3">
      <w:pPr>
        <w:ind w:firstLine="422" w:firstLineChars="175"/>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 xml:space="preserve">.3 </w:t>
      </w:r>
      <w:r>
        <w:rPr>
          <w:rFonts w:hint="eastAsia" w:ascii="宋体" w:hAnsi="宋体" w:eastAsia="宋体" w:cs="宋体"/>
          <w:color w:val="auto"/>
          <w:highlight w:val="none"/>
        </w:rPr>
        <w:t>白蚁防治方案应报发包人、监理工程师审核，按有关规定和标准做好白蚁防治工作。</w:t>
      </w:r>
    </w:p>
    <w:p w14:paraId="00C09E74">
      <w:pPr>
        <w:ind w:firstLine="422" w:firstLineChars="175"/>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 xml:space="preserve">.4 </w:t>
      </w:r>
      <w:r>
        <w:rPr>
          <w:rFonts w:hint="eastAsia" w:ascii="宋体" w:hAnsi="宋体" w:eastAsia="宋体" w:cs="宋体"/>
          <w:snapToGrid w:val="0"/>
          <w:color w:val="auto"/>
          <w:kern w:val="0"/>
          <w:highlight w:val="none"/>
        </w:rPr>
        <w:t>招标文件中涉及的合同实质性内容以及拟签合同的主要条款内容、中标须知、相关附件、格式内容等为中标后拟签合同实质性内容，在订立合同时不得擅自进行更改。</w:t>
      </w:r>
    </w:p>
    <w:p w14:paraId="4411805D">
      <w:pPr>
        <w:pStyle w:val="42"/>
        <w:wordWrap w:val="0"/>
        <w:adjustRightInd w:val="0"/>
        <w:snapToGrid w:val="0"/>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 xml:space="preserve">.5 </w:t>
      </w:r>
      <w:r>
        <w:rPr>
          <w:rFonts w:hint="eastAsia" w:ascii="宋体" w:hAnsi="宋体" w:eastAsia="宋体" w:cs="宋体"/>
          <w:color w:val="auto"/>
          <w:highlight w:val="none"/>
        </w:rPr>
        <w:t>工程完工后，为了本项目整体竣工验收的需要，承包人必须在发包人的统筹安排下，与为本项目其他工程服务的单位进行协同配合，做好竣工验收的各项工作，交付的工程必须符合各专业工程管养单位的相关要求。</w:t>
      </w:r>
    </w:p>
    <w:p w14:paraId="3008E007">
      <w:pPr>
        <w:pStyle w:val="42"/>
        <w:wordWrap w:val="0"/>
        <w:adjustRightInd w:val="0"/>
        <w:snapToGrid w:val="0"/>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.6</w:t>
      </w:r>
      <w:r>
        <w:rPr>
          <w:rFonts w:hint="eastAsia" w:ascii="宋体" w:hAnsi="宋体" w:eastAsia="宋体" w:cs="宋体"/>
          <w:color w:val="auto"/>
          <w:highlight w:val="none"/>
        </w:rPr>
        <w:t>中标人应做好周边设施（含燃气、供电、供水、排水、排污、人行道、路灯等）的成品保护，如因中标人原因导致上述设施发生损坏，中标人无条件按招标人规定的期限内修复，否则按招标文件和合同相关约定扣除违约金。</w:t>
      </w:r>
    </w:p>
    <w:p w14:paraId="25ADAB37">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.7</w:t>
      </w:r>
      <w:r>
        <w:rPr>
          <w:rFonts w:hint="eastAsia" w:ascii="宋体" w:hAnsi="宋体" w:eastAsia="宋体" w:cs="宋体"/>
          <w:color w:val="auto"/>
          <w:highlight w:val="none"/>
        </w:rPr>
        <w:t xml:space="preserve"> 在质量缺陷保修期内，承包人必须在接到保修通知之日起7天内无条件派人先行保修，发生涉及结构安全、严重影响使用功能的质量缺陷或给排水、供电、燃气、通信及路灯等特殊工程的紧急抢修事故的，承包人接到保修通知后，必须立即到达现场实施保修。质量保修完成后，由发包人组织承包人和监理人，配合项目使用（管养）单位验收。涉及结构安全的，发包人将报当地相关行政主管部门备案，同时承包人应将其产生的原因、补救措施、完成保修情况以书面形式提交发包人。</w:t>
      </w:r>
    </w:p>
    <w:p w14:paraId="32B83464">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w:t>
      </w:r>
      <w:r>
        <w:rPr>
          <w:rFonts w:hint="eastAsia" w:ascii="宋体" w:hAnsi="宋体" w:eastAsia="宋体" w:cs="宋体"/>
          <w:color w:val="auto"/>
          <w:highlight w:val="none"/>
        </w:rPr>
        <w:t>在工程质量缺陷保修期内，承包人的违约责任</w:t>
      </w:r>
    </w:p>
    <w:p w14:paraId="27C1C511">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.8.1</w:t>
      </w:r>
      <w:r>
        <w:rPr>
          <w:rFonts w:hint="eastAsia" w:ascii="宋体" w:hAnsi="宋体" w:eastAsia="宋体" w:cs="宋体"/>
          <w:color w:val="auto"/>
          <w:highlight w:val="none"/>
        </w:rPr>
        <w:t>在保修期内发生质量缺陷或紧急抢修事故的时，如发包人无法联系到承包人，或联系到承包人但承包人不能及时履行保修义务时，无论缺陷责任是否属于承包人，承包人必须承担由此产生的一切保修费用、相关损失及违约责任。</w:t>
      </w:r>
    </w:p>
    <w:p w14:paraId="34099F9C">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.8.2</w:t>
      </w:r>
      <w:r>
        <w:rPr>
          <w:rFonts w:hint="eastAsia" w:ascii="宋体" w:hAnsi="宋体" w:eastAsia="宋体" w:cs="宋体"/>
          <w:color w:val="auto"/>
          <w:highlight w:val="none"/>
        </w:rPr>
        <w:t>若承包人未及时到达现场实施保修，发包人有权直接委托其他单位或管养单位代承包人组织实施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7480A6F9">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.8.3</w:t>
      </w:r>
      <w:r>
        <w:rPr>
          <w:rFonts w:hint="eastAsia" w:ascii="宋体" w:hAnsi="宋体" w:eastAsia="宋体" w:cs="宋体"/>
          <w:color w:val="auto"/>
          <w:highlight w:val="none"/>
        </w:rPr>
        <w:t>若承包人及时到达现场，但认为自行无法按时完成保修义务，可与发包人协商，直接委托管养单位或发包人确认的其他单位实施保修。若承包人未及时与发包人完成协商事宜，又未能在规定时限内完成保修的，发包人有权通知管养单位或其他单位进行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0E494DA2">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.8.4</w:t>
      </w:r>
      <w:r>
        <w:rPr>
          <w:rFonts w:hint="eastAsia" w:ascii="宋体" w:hAnsi="宋体" w:eastAsia="宋体" w:cs="宋体"/>
          <w:color w:val="auto"/>
          <w:highlight w:val="none"/>
        </w:rPr>
        <w:t>若承包人及时到达现场，并与发包人完成协商，同意直接委托管养单位或发包人确认的其他单位实施保修。承包人在收到支付工程保修费用的通知7天内，应将保修费用支付给代其实施保修的单位。如在规定时间内未支付有关费用的，发包人可直接从工程质量缺陷保修金中扣除该保修费用，并支付给保修单位，并处承包人保修费用30%的违约金，如缺陷质量保修金余额不足，发包人将向承包人索赔。发包人还将承包人不履行保修义务的不良行为报送相关行政主管部门。</w:t>
      </w:r>
    </w:p>
    <w:p w14:paraId="30E53F32">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.8.5</w:t>
      </w:r>
      <w:r>
        <w:rPr>
          <w:rFonts w:hint="eastAsia" w:ascii="宋体" w:hAnsi="宋体" w:eastAsia="宋体" w:cs="宋体"/>
          <w:color w:val="auto"/>
          <w:highlight w:val="none"/>
        </w:rPr>
        <w:t>若承包人按照发包人的要求及时履行了保修义务，并能提供证据说明质量缺陷非乙方的责任，保修费用及相关损失由缺陷责任方承担。</w:t>
      </w:r>
    </w:p>
    <w:p w14:paraId="1E7A5DE7">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.8.6</w:t>
      </w:r>
      <w:r>
        <w:rPr>
          <w:rFonts w:hint="eastAsia" w:ascii="宋体" w:hAnsi="宋体" w:eastAsia="宋体" w:cs="宋体"/>
          <w:color w:val="auto"/>
          <w:highlight w:val="none"/>
        </w:rPr>
        <w:t>对于涉及结构安全的工程质量问题，无论何时，在所有人、使用人或者第三方向当地建设行政主管部门报告并通知承包人后，承包人应立即采取安全防范措施，同时发包人将委托原设计单位或者具有相应资质等级的设计单位提出保修方案后，承包人应立即实施保修。承包人立即实施了有效的防范措施和保修的，保修费用、人身和财产损害赔偿，由经过法定程序确认的缺陷责任方承担。承包人拖延安全防范措施或者拖延保修，所造成的一切人身、财产损害责任和赔偿均由承包人承担，同时发包人将提请相关行政主管部门按相关法律、法规对承包人予以处罚。</w:t>
      </w:r>
    </w:p>
    <w:p w14:paraId="312E00D4">
      <w:pPr>
        <w:pStyle w:val="42"/>
        <w:snapToGrid w:val="0"/>
        <w:ind w:firstLine="482" w:firstLineChars="200"/>
        <w:rPr>
          <w:rFonts w:hint="eastAsia" w:ascii="宋体" w:hAnsi="宋体" w:eastAsia="宋体" w:cs="宋体"/>
          <w:b/>
          <w:color w:val="auto"/>
          <w:highlight w:val="none"/>
          <w:shd w:val="clear" w:color="auto" w:fill="FFFFFF"/>
        </w:rPr>
      </w:pPr>
      <w:r>
        <w:rPr>
          <w:rFonts w:hint="eastAsia" w:ascii="宋体" w:hAnsi="宋体" w:eastAsia="宋体" w:cs="宋体"/>
          <w:b/>
          <w:color w:val="auto"/>
          <w:highlight w:val="none"/>
          <w:shd w:val="clear" w:color="auto" w:fill="FFFFFF"/>
        </w:rPr>
        <w:t>1</w:t>
      </w:r>
      <w:r>
        <w:rPr>
          <w:rFonts w:hint="eastAsia" w:hAnsi="宋体" w:cs="宋体"/>
          <w:b/>
          <w:color w:val="auto"/>
          <w:highlight w:val="none"/>
          <w:shd w:val="clear" w:color="auto" w:fill="FFFFFF"/>
          <w:lang w:val="en-US" w:eastAsia="zh-CN"/>
        </w:rPr>
        <w:t>7</w:t>
      </w:r>
      <w:r>
        <w:rPr>
          <w:rFonts w:hint="eastAsia" w:ascii="宋体" w:hAnsi="宋体" w:eastAsia="宋体" w:cs="宋体"/>
          <w:b/>
          <w:color w:val="auto"/>
          <w:highlight w:val="none"/>
          <w:shd w:val="clear" w:color="auto" w:fill="FFFFFF"/>
        </w:rPr>
        <w:t>.9危险性较大的分部分项工程安全管理约定</w:t>
      </w:r>
    </w:p>
    <w:p w14:paraId="072B99A9">
      <w:pPr>
        <w:pStyle w:val="42"/>
        <w:wordWrap w:val="0"/>
        <w:adjustRightInd w:val="0"/>
        <w:snapToGrid w:val="0"/>
        <w:ind w:firstLine="482" w:firstLineChars="200"/>
        <w:rPr>
          <w:rFonts w:hint="eastAsia" w:ascii="宋体" w:hAnsi="宋体" w:eastAsia="宋体" w:cs="宋体"/>
          <w:b/>
          <w:color w:val="auto"/>
          <w:highlight w:val="none"/>
          <w:shd w:val="clear" w:color="auto" w:fill="FFFFFF"/>
        </w:rPr>
      </w:pPr>
      <w:r>
        <w:rPr>
          <w:rFonts w:hint="eastAsia" w:ascii="宋体" w:hAnsi="宋体" w:eastAsia="宋体" w:cs="宋体"/>
          <w:b/>
          <w:color w:val="auto"/>
          <w:highlight w:val="none"/>
          <w:shd w:val="clear" w:color="auto" w:fill="FFFFFF"/>
        </w:rPr>
        <w:t>中标人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14:paraId="27F8FF7F">
      <w:pPr>
        <w:pStyle w:val="42"/>
        <w:wordWrap w:val="0"/>
        <w:adjustRightInd w:val="0"/>
        <w:snapToGrid w:val="0"/>
        <w:ind w:firstLine="482" w:firstLineChars="200"/>
        <w:rPr>
          <w:rFonts w:hint="eastAsia" w:ascii="宋体" w:hAnsi="宋体" w:eastAsia="宋体" w:cs="宋体"/>
          <w:b/>
          <w:color w:val="auto"/>
          <w:highlight w:val="none"/>
          <w:shd w:val="clear" w:color="auto" w:fill="FFFFFF"/>
        </w:rPr>
      </w:pPr>
      <w:r>
        <w:rPr>
          <w:rFonts w:hint="eastAsia" w:ascii="宋体" w:hAnsi="宋体" w:eastAsia="宋体" w:cs="宋体"/>
          <w:b/>
          <w:color w:val="auto"/>
          <w:highlight w:val="none"/>
          <w:shd w:val="clear" w:color="auto" w:fill="FFFFFF"/>
        </w:rPr>
        <w:t>中标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70120738">
      <w:pPr>
        <w:pStyle w:val="42"/>
        <w:adjustRightInd w:val="0"/>
        <w:snapToGrid w:val="0"/>
        <w:ind w:firstLine="482" w:firstLineChars="200"/>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highlight w:val="none"/>
        </w:rPr>
        <w:t>1</w:t>
      </w:r>
      <w:r>
        <w:rPr>
          <w:rFonts w:hint="eastAsia" w:hAnsi="宋体" w:cs="宋体"/>
          <w:b/>
          <w:snapToGrid w:val="0"/>
          <w:color w:val="auto"/>
          <w:kern w:val="0"/>
          <w:highlight w:val="none"/>
          <w:lang w:val="en-US" w:eastAsia="zh-CN"/>
        </w:rPr>
        <w:t>7</w:t>
      </w:r>
      <w:r>
        <w:rPr>
          <w:rFonts w:hint="eastAsia" w:ascii="宋体" w:hAnsi="宋体" w:eastAsia="宋体" w:cs="宋体"/>
          <w:b/>
          <w:snapToGrid w:val="0"/>
          <w:color w:val="auto"/>
          <w:kern w:val="0"/>
          <w:highlight w:val="none"/>
        </w:rPr>
        <w:t>.10中标人应按《关于印发&lt;南雄市安全生产责任保险实施方案（2020-2021）年&gt;的通知》文件办理安全生产责任保险。</w:t>
      </w:r>
    </w:p>
    <w:p w14:paraId="78F0F926">
      <w:pPr>
        <w:pStyle w:val="42"/>
        <w:wordWrap w:val="0"/>
        <w:adjustRightInd w:val="0"/>
        <w:snapToGrid w:val="0"/>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.11</w:t>
      </w:r>
      <w:r>
        <w:rPr>
          <w:rFonts w:hint="eastAsia" w:ascii="宋体" w:hAnsi="宋体" w:eastAsia="宋体" w:cs="宋体"/>
          <w:color w:val="auto"/>
          <w:highlight w:val="none"/>
          <w:shd w:val="clear" w:color="auto" w:fill="FFFFFF"/>
        </w:rPr>
        <w:t>中标人须按韶关市、南雄市关于建筑渣土管理和扬尘治理等有关规定执行，中标人应在施工现场建立洗车和临时排水系统等确保外运车辆（土方运输车辆应符合韶关市和南雄市的相关规定）不带泥上路，投标人在投标报价时综合考虑在报价内，招标人不另行支付该部分费用。</w:t>
      </w:r>
    </w:p>
    <w:p w14:paraId="11D80FD1">
      <w:pPr>
        <w:pStyle w:val="42"/>
        <w:snapToGrid w:val="0"/>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.12</w:t>
      </w:r>
      <w:r>
        <w:rPr>
          <w:rFonts w:hint="eastAsia" w:ascii="宋体" w:hAnsi="宋体" w:eastAsia="宋体" w:cs="宋体"/>
          <w:color w:val="auto"/>
          <w:highlight w:val="none"/>
          <w:shd w:val="clear" w:color="auto" w:fill="FFFFFF"/>
        </w:rPr>
        <w:t>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w:t>
      </w:r>
    </w:p>
    <w:p w14:paraId="3A887D2C">
      <w:pPr>
        <w:pStyle w:val="42"/>
        <w:snapToGrid w:val="0"/>
        <w:ind w:firstLine="480" w:firstLineChars="200"/>
        <w:rPr>
          <w:rFonts w:hint="eastAsia" w:ascii="宋体" w:hAnsi="宋体" w:eastAsia="宋体" w:cs="宋体"/>
          <w:strike/>
          <w:color w:val="auto"/>
          <w:highlight w:val="none"/>
          <w:shd w:val="clear" w:color="auto" w:fill="FFFFFF"/>
        </w:rPr>
      </w:pPr>
      <w:r>
        <w:rPr>
          <w:rFonts w:hint="eastAsia" w:ascii="宋体" w:hAnsi="宋体" w:eastAsia="宋体" w:cs="宋体"/>
          <w:color w:val="auto"/>
          <w:highlight w:val="none"/>
          <w:shd w:val="clear" w:color="auto" w:fill="FFFFFF"/>
        </w:rPr>
        <w:t>如因招标人原因（自然灾害等不可抗力因素除外），工程不能按期开工，或开工后全部停滞，工期按相关规定予以顺延。停工发生后，若可复工时，中标人应在收到招标人发出的复工通知书后3日内开始复工。</w:t>
      </w:r>
    </w:p>
    <w:p w14:paraId="53737849">
      <w:pPr>
        <w:pStyle w:val="42"/>
        <w:wordWrap w:val="0"/>
        <w:adjustRightInd w:val="0"/>
        <w:snapToGrid w:val="0"/>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.13</w:t>
      </w:r>
      <w:r>
        <w:rPr>
          <w:rFonts w:hint="eastAsia" w:ascii="宋体" w:hAnsi="宋体" w:eastAsia="宋体" w:cs="宋体"/>
          <w:color w:val="auto"/>
          <w:highlight w:val="none"/>
          <w:shd w:val="clear" w:color="auto" w:fill="FFFFFF"/>
        </w:rPr>
        <w:t>承包人应充分考虑施工对接情况，为本项目的其他参建单位提供工作便利、配合及服务，并有针对性地组织施工；承包人与为本项目的其他参建单位就协调、配合、服务等不能达成一致的，由监理工程师协调，并遵照监理工程师指令执行；承包人应负责统筹安排本项目范围内的各项工程的协调与配合，确保工程建设有序进行。承包人由此增加的费用应认为已包括在承包人的投标报价之中，发包人不另行支付。</w:t>
      </w:r>
    </w:p>
    <w:p w14:paraId="5E2D3114">
      <w:pPr>
        <w:pStyle w:val="42"/>
        <w:snapToGrid w:val="0"/>
        <w:spacing w:line="440" w:lineRule="exact"/>
        <w:ind w:firstLine="482" w:firstLineChars="200"/>
        <w:rPr>
          <w:rFonts w:hint="eastAsia" w:ascii="宋体" w:hAnsi="宋体" w:eastAsia="宋体" w:cs="宋体"/>
          <w:b/>
          <w:bCs/>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 工人工资</w:t>
      </w:r>
    </w:p>
    <w:p w14:paraId="7BDFD77E">
      <w:pPr>
        <w:keepNext w:val="0"/>
        <w:keepLines w:val="0"/>
        <w:pageBreakBefore w:val="0"/>
        <w:widowControl w:val="0"/>
        <w:kinsoku/>
        <w:wordWrap w:val="0"/>
        <w:overflowPunct/>
        <w:topLinePunct w:val="0"/>
        <w:autoSpaceDE/>
        <w:autoSpaceDN/>
        <w:bidi w:val="0"/>
        <w:adjustRightInd/>
        <w:snapToGrid/>
        <w:spacing w:line="420" w:lineRule="exact"/>
        <w:ind w:firstLine="482" w:firstLineChars="200"/>
        <w:jc w:val="left"/>
        <w:rPr>
          <w:rStyle w:val="22"/>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w:t>
      </w:r>
      <w:r>
        <w:rPr>
          <w:rStyle w:val="22"/>
          <w:rFonts w:hint="eastAsia" w:ascii="宋体" w:hAnsi="宋体" w:eastAsia="宋体" w:cs="宋体"/>
          <w:b/>
          <w:bCs/>
          <w:color w:val="auto"/>
          <w:highlight w:val="none"/>
        </w:rPr>
        <w:t>.1</w:t>
      </w:r>
      <w:r>
        <w:rPr>
          <w:rStyle w:val="22"/>
          <w:rFonts w:hint="eastAsia" w:ascii="宋体" w:hAnsi="宋体" w:eastAsia="宋体" w:cs="宋体"/>
          <w:b w:val="0"/>
          <w:bCs w:val="0"/>
          <w:color w:val="auto"/>
          <w:kern w:val="0"/>
          <w:sz w:val="24"/>
          <w:szCs w:val="24"/>
          <w:highlight w:val="none"/>
          <w:lang w:val="en-US" w:eastAsia="zh-CN" w:bidi="ar-SA"/>
        </w:rPr>
        <w:t>依据人力资源社会保障部等十部门印发的《工程建设领域农民工工资专用账户管理暂行办法》（韶人社规【2023】2号）文件规定，中标人中标后，须到银行设立工人工资支付专用账户，用于支付工人工资。发包人支付工程款时，将按工程款（不含工人工资）和工人工资两部分分开支付，工人工资支付至专用账户。中标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w:t>
      </w:r>
    </w:p>
    <w:p w14:paraId="105DFD24">
      <w:pPr>
        <w:pStyle w:val="43"/>
        <w:spacing w:line="440" w:lineRule="exact"/>
        <w:ind w:firstLine="470" w:firstLineChars="0"/>
        <w:rPr>
          <w:rFonts w:hint="eastAsia" w:ascii="宋体" w:hAnsi="宋体" w:eastAsia="宋体" w:cs="宋体"/>
          <w:bCs/>
          <w:color w:val="auto"/>
          <w:sz w:val="24"/>
          <w:szCs w:val="24"/>
          <w:highlight w:val="none"/>
          <w:lang w:bidi="ar"/>
        </w:rPr>
      </w:pPr>
      <w:r>
        <w:rPr>
          <w:rStyle w:val="22"/>
          <w:rFonts w:hint="eastAsia" w:ascii="宋体" w:hAnsi="宋体" w:eastAsia="宋体" w:cs="宋体"/>
          <w:b w:val="0"/>
          <w:bCs w:val="0"/>
          <w:color w:val="auto"/>
          <w:kern w:val="0"/>
          <w:sz w:val="24"/>
          <w:szCs w:val="24"/>
          <w:highlight w:val="none"/>
          <w:lang w:val="en-US" w:eastAsia="zh-CN" w:bidi="ar-SA"/>
        </w:rPr>
        <w:t>根据转发《广东省人力资源和社会保障厅 广东省住房和城乡建设厅 广东省交通运输厅 广东省水利厅 关于建设工程领域农民工工资支付保证金管理办法》的通知(韶人社[2020]3号)文件规定，中标人中标后，应在30个日历天内按承包合同工程造价5%的比例（不超过300万元）一次性将工人工资保证金存入银行专用存款账户。逾期未交纳的，招标人将扣留与本项目工人工资保证金等额的工程款（工人工资除外），直至中标人按《韶关市建设领域施工企业工人工资支付保证金管理办法》相关文件要求缴纳工人工资保证金。在中标人未按要求缴纳工人工资保证金期间，招标人扣留的工程款将作为工人工资保证金的预备资金，招标人有权将该部分资金用于处理该项目工人工资拖欠等情况的问题</w:t>
      </w:r>
      <w:r>
        <w:rPr>
          <w:rFonts w:hint="eastAsia" w:ascii="宋体" w:hAnsi="宋体" w:eastAsia="宋体" w:cs="宋体"/>
          <w:bCs/>
          <w:color w:val="auto"/>
          <w:sz w:val="24"/>
          <w:szCs w:val="24"/>
          <w:highlight w:val="none"/>
          <w:lang w:bidi="ar"/>
        </w:rPr>
        <w:t>。</w:t>
      </w:r>
    </w:p>
    <w:p w14:paraId="03F48475">
      <w:pPr>
        <w:pStyle w:val="42"/>
        <w:snapToGrid w:val="0"/>
        <w:spacing w:line="440" w:lineRule="exact"/>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w:t>
      </w:r>
      <w:r>
        <w:rPr>
          <w:rStyle w:val="22"/>
          <w:rFonts w:hint="eastAsia" w:ascii="宋体" w:hAnsi="宋体" w:eastAsia="宋体" w:cs="宋体"/>
          <w:b/>
          <w:bCs/>
          <w:color w:val="auto"/>
          <w:highlight w:val="none"/>
        </w:rPr>
        <w:t>.2</w:t>
      </w:r>
      <w:r>
        <w:rPr>
          <w:rFonts w:hint="eastAsia" w:ascii="宋体" w:hAnsi="宋体" w:eastAsia="宋体" w:cs="宋体"/>
          <w:color w:val="auto"/>
          <w:highlight w:val="none"/>
          <w:shd w:val="clear" w:color="auto" w:fill="FFFFFF"/>
        </w:rPr>
        <w:t>用人单位应当在用工之日起15日内为每一位工人办理个人银行账户。</w:t>
      </w:r>
    </w:p>
    <w:p w14:paraId="69E7BA3A">
      <w:pPr>
        <w:pStyle w:val="42"/>
        <w:snapToGrid w:val="0"/>
        <w:spacing w:line="440" w:lineRule="exact"/>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w:t>
      </w:r>
      <w:r>
        <w:rPr>
          <w:rStyle w:val="22"/>
          <w:rFonts w:hint="eastAsia" w:ascii="宋体" w:hAnsi="宋体" w:eastAsia="宋体" w:cs="宋体"/>
          <w:b/>
          <w:bCs/>
          <w:color w:val="auto"/>
          <w:highlight w:val="none"/>
        </w:rPr>
        <w:t>.3</w:t>
      </w:r>
      <w:r>
        <w:rPr>
          <w:rFonts w:hint="eastAsia" w:ascii="宋体" w:hAnsi="宋体" w:eastAsia="宋体" w:cs="宋体"/>
          <w:color w:val="auto"/>
          <w:highlight w:val="none"/>
          <w:shd w:val="clear" w:color="auto" w:fill="FFFFFF"/>
        </w:rPr>
        <w:t>用人单位应当指定专人负责建设项目施工现场台账管理，真实、准确记录工人名册、劳务合同、劳动合同、工程进度、工时台账、劳务承包款和工人工资支付等信息，并保存两年以上备查。</w:t>
      </w:r>
    </w:p>
    <w:p w14:paraId="501A7EB0">
      <w:pPr>
        <w:pStyle w:val="42"/>
        <w:snapToGrid w:val="0"/>
        <w:spacing w:line="440" w:lineRule="exact"/>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w:t>
      </w:r>
      <w:r>
        <w:rPr>
          <w:rStyle w:val="22"/>
          <w:rFonts w:hint="eastAsia" w:ascii="宋体" w:hAnsi="宋体" w:eastAsia="宋体" w:cs="宋体"/>
          <w:b/>
          <w:bCs/>
          <w:color w:val="auto"/>
          <w:highlight w:val="none"/>
        </w:rPr>
        <w:t>.4</w:t>
      </w:r>
      <w:r>
        <w:rPr>
          <w:rFonts w:hint="eastAsia" w:ascii="宋体" w:hAnsi="宋体" w:eastAsia="宋体" w:cs="宋体"/>
          <w:color w:val="auto"/>
          <w:highlight w:val="none"/>
          <w:shd w:val="clear" w:color="auto" w:fill="FFFFFF"/>
        </w:rPr>
        <w:t>用人单位应当按照“及时支付，按实结算”的原则，在规定日期前通过银行工人工资支付专用账户将工人工资直接支付到工人的个人银行账户，并按月将工人工资支付明细表报施工总承包单位和建设单位备案。</w:t>
      </w:r>
    </w:p>
    <w:p w14:paraId="79F76F24">
      <w:pPr>
        <w:pStyle w:val="42"/>
        <w:snapToGrid w:val="0"/>
        <w:spacing w:line="440" w:lineRule="exact"/>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w:t>
      </w:r>
      <w:r>
        <w:rPr>
          <w:rStyle w:val="22"/>
          <w:rFonts w:hint="eastAsia" w:ascii="宋体" w:hAnsi="宋体" w:eastAsia="宋体" w:cs="宋体"/>
          <w:b/>
          <w:bCs/>
          <w:color w:val="auto"/>
          <w:highlight w:val="none"/>
        </w:rPr>
        <w:t>.5</w:t>
      </w:r>
      <w:r>
        <w:rPr>
          <w:rFonts w:hint="eastAsia" w:ascii="宋体" w:hAnsi="宋体" w:eastAsia="宋体" w:cs="宋体"/>
          <w:color w:val="auto"/>
          <w:highlight w:val="none"/>
          <w:shd w:val="clear" w:color="auto" w:fill="FFFFFF"/>
        </w:rPr>
        <w:t>用人单位未建立、保存用工管理台账，或者伪造相关台账的，按照《广东省劳动保障监察条例》第五十条的规定，由人力资源社会保障部门责令改正，并可处以二千元以上二万元以下的人民币罚款。</w:t>
      </w:r>
    </w:p>
    <w:p w14:paraId="74E18B3A">
      <w:pPr>
        <w:pStyle w:val="42"/>
        <w:snapToGrid w:val="0"/>
        <w:spacing w:line="440" w:lineRule="exact"/>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w:t>
      </w:r>
      <w:r>
        <w:rPr>
          <w:rStyle w:val="22"/>
          <w:rFonts w:hint="eastAsia" w:ascii="宋体" w:hAnsi="宋体" w:eastAsia="宋体" w:cs="宋体"/>
          <w:b/>
          <w:bCs/>
          <w:color w:val="auto"/>
          <w:highlight w:val="none"/>
        </w:rPr>
        <w:t>.6</w:t>
      </w:r>
      <w:r>
        <w:rPr>
          <w:rFonts w:hint="eastAsia" w:ascii="宋体" w:hAnsi="宋体" w:eastAsia="宋体" w:cs="宋体"/>
          <w:color w:val="auto"/>
          <w:highlight w:val="none"/>
          <w:shd w:val="clear" w:color="auto" w:fill="FFFFFF"/>
        </w:rPr>
        <w:t>承包人必须按相关规定做好用工实名制管理，建立考勤机制，并实施实名信息化管理。</w:t>
      </w:r>
    </w:p>
    <w:p w14:paraId="19948F60">
      <w:pPr>
        <w:wordWrap w:val="0"/>
        <w:adjustRightInd w:val="0"/>
        <w:snapToGrid w:val="0"/>
        <w:ind w:firstLine="482" w:firstLineChars="200"/>
        <w:jc w:val="left"/>
        <w:rPr>
          <w:rFonts w:hint="eastAsia" w:ascii="宋体" w:hAnsi="宋体" w:eastAsia="宋体" w:cs="宋体"/>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.15</w:t>
      </w:r>
      <w:r>
        <w:rPr>
          <w:rFonts w:hint="eastAsia" w:ascii="宋体" w:hAnsi="宋体" w:eastAsia="宋体" w:cs="宋体"/>
          <w:color w:val="auto"/>
          <w:highlight w:val="none"/>
          <w:shd w:val="clear" w:color="auto" w:fill="FFFFFF"/>
        </w:rPr>
        <w:t>中标单位必须在中标通知书发出之日起一个月内内完成现场临时设施（施工用水用电、围蔽、板房、洗车和临时排水系统、相关公示牌等）施工，因中标人原因导致逾期的，逾期第壹天起每天按2000元作违约处理。</w:t>
      </w:r>
    </w:p>
    <w:p w14:paraId="5D0A65BA">
      <w:pPr>
        <w:pStyle w:val="42"/>
        <w:adjustRightInd w:val="0"/>
        <w:snapToGrid w:val="0"/>
        <w:ind w:firstLine="482" w:firstLineChars="200"/>
        <w:rPr>
          <w:rFonts w:hint="eastAsia" w:ascii="宋体" w:hAnsi="宋体" w:eastAsia="宋体" w:cs="宋体"/>
          <w:b/>
          <w:color w:val="auto"/>
          <w:highlight w:val="none"/>
          <w:u w:val="double"/>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6</w:t>
      </w:r>
      <w:r>
        <w:rPr>
          <w:rFonts w:hint="eastAsia" w:ascii="宋体" w:hAnsi="宋体" w:eastAsia="宋体" w:cs="宋体"/>
          <w:b/>
          <w:color w:val="auto"/>
          <w:highlight w:val="none"/>
          <w:u w:val="double"/>
        </w:rPr>
        <w:t>招标人可根据政府有关项目工作计划或本项目资金安排情况或相关政策变化或项目实际实施情况，对本项目建设内容和规模进行调整，投标人中标后不得因此调整向招标人提出额外的费用补偿或索赔，必须按调整后的规模及内容完成工程的施工及结算。</w:t>
      </w:r>
    </w:p>
    <w:p w14:paraId="0BF262F9">
      <w:pPr>
        <w:keepNext w:val="0"/>
        <w:keepLines w:val="0"/>
        <w:pageBreakBefore w:val="0"/>
        <w:widowControl w:val="0"/>
        <w:kinsoku/>
        <w:wordWrap w:val="0"/>
        <w:overflowPunct/>
        <w:topLinePunct w:val="0"/>
        <w:autoSpaceDE/>
        <w:autoSpaceDN/>
        <w:bidi w:val="0"/>
        <w:adjustRightInd/>
        <w:snapToGrid/>
        <w:spacing w:line="420" w:lineRule="exact"/>
        <w:ind w:firstLine="482" w:firstLineChars="200"/>
        <w:jc w:val="left"/>
        <w:rPr>
          <w:rFonts w:hint="eastAsia" w:ascii="宋体" w:hAnsi="宋体" w:eastAsia="宋体" w:cs="宋体"/>
          <w:b/>
          <w:bCs/>
          <w:strike/>
          <w:dstrike w:val="0"/>
          <w:color w:val="auto"/>
          <w:sz w:val="24"/>
          <w:szCs w:val="24"/>
          <w:highlight w:val="none"/>
        </w:rPr>
      </w:pPr>
    </w:p>
    <w:p w14:paraId="44462BAF">
      <w:pPr>
        <w:pStyle w:val="42"/>
        <w:adjustRightInd w:val="0"/>
        <w:snapToGrid w:val="0"/>
        <w:ind w:firstLine="482" w:firstLineChars="200"/>
        <w:rPr>
          <w:rFonts w:hint="eastAsia" w:ascii="宋体" w:hAnsi="宋体" w:eastAsia="宋体" w:cs="宋体"/>
          <w:b/>
          <w:color w:val="auto"/>
          <w:highlight w:val="none"/>
          <w:u w:val="double"/>
        </w:rPr>
      </w:pPr>
    </w:p>
    <w:p w14:paraId="184D3EDF">
      <w:pPr>
        <w:pStyle w:val="25"/>
        <w:tabs>
          <w:tab w:val="left" w:pos="885"/>
        </w:tabs>
        <w:snapToGrid w:val="0"/>
        <w:jc w:val="both"/>
        <w:rPr>
          <w:rStyle w:val="22"/>
          <w:rFonts w:hint="eastAsia" w:ascii="宋体" w:hAnsi="宋体" w:eastAsia="宋体" w:cs="宋体"/>
          <w:b/>
          <w:bCs/>
          <w:color w:val="auto"/>
          <w:sz w:val="24"/>
          <w:szCs w:val="24"/>
          <w:highlight w:val="none"/>
        </w:rPr>
      </w:pPr>
    </w:p>
    <w:p w14:paraId="318DFAC1">
      <w:pPr>
        <w:pStyle w:val="25"/>
        <w:tabs>
          <w:tab w:val="left" w:pos="885"/>
        </w:tabs>
        <w:snapToGrid w:val="0"/>
        <w:ind w:left="885" w:hanging="885"/>
        <w:jc w:val="center"/>
        <w:outlineLvl w:val="0"/>
        <w:rPr>
          <w:rStyle w:val="22"/>
          <w:rFonts w:hint="eastAsia" w:ascii="宋体" w:hAnsi="宋体" w:eastAsia="宋体" w:cs="宋体"/>
          <w:b/>
          <w:bCs/>
          <w:color w:val="auto"/>
          <w:sz w:val="24"/>
          <w:szCs w:val="24"/>
          <w:highlight w:val="none"/>
        </w:rPr>
      </w:pPr>
      <w:r>
        <w:rPr>
          <w:rStyle w:val="22"/>
          <w:rFonts w:hint="eastAsia" w:ascii="宋体" w:hAnsi="宋体" w:eastAsia="宋体" w:cs="宋体"/>
          <w:b/>
          <w:bCs/>
          <w:color w:val="auto"/>
          <w:sz w:val="24"/>
          <w:szCs w:val="24"/>
          <w:highlight w:val="none"/>
        </w:rPr>
        <w:br w:type="page"/>
      </w:r>
      <w:r>
        <w:rPr>
          <w:rStyle w:val="22"/>
          <w:rFonts w:hint="eastAsia" w:ascii="宋体" w:hAnsi="宋体" w:eastAsia="宋体" w:cs="宋体"/>
          <w:b/>
          <w:bCs/>
          <w:color w:val="auto"/>
          <w:sz w:val="24"/>
          <w:szCs w:val="24"/>
          <w:highlight w:val="none"/>
        </w:rPr>
        <w:t>　</w:t>
      </w:r>
      <w:bookmarkStart w:id="254" w:name="_Toc31277"/>
      <w:bookmarkStart w:id="255" w:name="_Toc190"/>
      <w:bookmarkStart w:id="256" w:name="_Toc4926"/>
      <w:bookmarkStart w:id="257" w:name="_Toc21448"/>
      <w:bookmarkStart w:id="258" w:name="_Toc3494"/>
      <w:bookmarkStart w:id="259" w:name="_Toc32600"/>
      <w:bookmarkStart w:id="260" w:name="_Toc25452"/>
      <w:bookmarkStart w:id="261" w:name="_Toc18225"/>
      <w:bookmarkStart w:id="262" w:name="_Toc15516"/>
      <w:bookmarkStart w:id="263" w:name="_Toc17840"/>
      <w:r>
        <w:rPr>
          <w:rStyle w:val="22"/>
          <w:rFonts w:hint="eastAsia" w:ascii="宋体" w:hAnsi="宋体" w:eastAsia="宋体" w:cs="宋体"/>
          <w:b/>
          <w:bCs/>
          <w:color w:val="auto"/>
          <w:sz w:val="24"/>
          <w:szCs w:val="24"/>
          <w:highlight w:val="none"/>
        </w:rPr>
        <w:t>第三章 拟签订合同的主要条款</w:t>
      </w:r>
      <w:bookmarkEnd w:id="254"/>
      <w:bookmarkEnd w:id="255"/>
      <w:bookmarkEnd w:id="256"/>
      <w:bookmarkEnd w:id="257"/>
      <w:bookmarkEnd w:id="258"/>
      <w:bookmarkEnd w:id="259"/>
      <w:bookmarkEnd w:id="260"/>
      <w:bookmarkEnd w:id="261"/>
      <w:bookmarkEnd w:id="262"/>
      <w:bookmarkEnd w:id="263"/>
    </w:p>
    <w:p w14:paraId="2ADB3D6C">
      <w:pPr>
        <w:pStyle w:val="26"/>
        <w:snapToGrid w:val="0"/>
        <w:ind w:firstLine="480"/>
        <w:jc w:val="both"/>
        <w:rPr>
          <w:rStyle w:val="22"/>
          <w:rFonts w:hint="eastAsia" w:ascii="宋体" w:hAnsi="宋体" w:eastAsia="宋体" w:cs="宋体"/>
          <w:b/>
          <w:bCs/>
          <w:color w:val="auto"/>
          <w:highlight w:val="none"/>
        </w:rPr>
      </w:pPr>
    </w:p>
    <w:p w14:paraId="38964F73">
      <w:pPr>
        <w:pStyle w:val="26"/>
        <w:snapToGrid w:val="0"/>
        <w:ind w:firstLine="482" w:firstLineChars="200"/>
        <w:jc w:val="both"/>
        <w:outlineLvl w:val="1"/>
        <w:rPr>
          <w:rStyle w:val="22"/>
          <w:rFonts w:hint="eastAsia" w:ascii="宋体" w:hAnsi="宋体" w:eastAsia="宋体" w:cs="宋体"/>
          <w:b/>
          <w:bCs/>
          <w:color w:val="auto"/>
          <w:highlight w:val="none"/>
        </w:rPr>
      </w:pPr>
      <w:bookmarkStart w:id="264" w:name="_Toc16157"/>
      <w:bookmarkStart w:id="265" w:name="_Toc9553"/>
      <w:bookmarkStart w:id="266" w:name="_Toc19592"/>
      <w:bookmarkStart w:id="267" w:name="_Toc8693"/>
      <w:bookmarkStart w:id="268" w:name="_Toc25780"/>
      <w:bookmarkStart w:id="269" w:name="_Toc1621"/>
      <w:bookmarkStart w:id="270" w:name="_Toc9972"/>
      <w:bookmarkStart w:id="271" w:name="_Toc13267"/>
      <w:bookmarkStart w:id="272" w:name="_Toc17692"/>
      <w:bookmarkStart w:id="273" w:name="_Toc21517"/>
      <w:r>
        <w:rPr>
          <w:rStyle w:val="22"/>
          <w:rFonts w:hint="eastAsia" w:ascii="宋体" w:hAnsi="宋体" w:eastAsia="宋体" w:cs="宋体"/>
          <w:b/>
          <w:bCs/>
          <w:color w:val="auto"/>
          <w:highlight w:val="none"/>
        </w:rPr>
        <w:t>1．工程承包方式</w:t>
      </w:r>
      <w:bookmarkEnd w:id="264"/>
      <w:bookmarkEnd w:id="265"/>
      <w:bookmarkEnd w:id="266"/>
      <w:bookmarkEnd w:id="267"/>
      <w:bookmarkEnd w:id="268"/>
      <w:bookmarkEnd w:id="269"/>
      <w:bookmarkEnd w:id="270"/>
      <w:bookmarkEnd w:id="271"/>
      <w:bookmarkEnd w:id="272"/>
      <w:bookmarkEnd w:id="273"/>
    </w:p>
    <w:p w14:paraId="4C8ACAE4">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1.1</w:t>
      </w:r>
      <w:r>
        <w:rPr>
          <w:rStyle w:val="22"/>
          <w:rFonts w:hint="eastAsia" w:ascii="宋体" w:hAnsi="宋体" w:eastAsia="宋体" w:cs="宋体"/>
          <w:color w:val="auto"/>
          <w:kern w:val="0"/>
          <w:highlight w:val="none"/>
        </w:rPr>
        <w:t xml:space="preserve"> 承包人以中标价按包工包料、包质量、包安全包文明施工、包工期方式总承包施工，不允许转包和违法分包，如果确需分包须与发包人协商，在得到发包人和监理单位同意后报建设行政主管部门备案。</w:t>
      </w:r>
    </w:p>
    <w:p w14:paraId="0B50E841">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1.1.1</w:t>
      </w:r>
      <w:r>
        <w:rPr>
          <w:rStyle w:val="22"/>
          <w:rFonts w:hint="eastAsia" w:ascii="宋体" w:hAnsi="宋体" w:eastAsia="宋体" w:cs="宋体"/>
          <w:color w:val="auto"/>
          <w:kern w:val="0"/>
          <w:highlight w:val="none"/>
        </w:rPr>
        <w:t xml:space="preserve"> 包工包料：材料符合招标文件要求</w:t>
      </w:r>
      <w:r>
        <w:rPr>
          <w:rFonts w:hint="eastAsia" w:ascii="宋体" w:hAnsi="宋体" w:eastAsia="宋体" w:cs="宋体"/>
          <w:snapToGrid w:val="0"/>
          <w:color w:val="auto"/>
          <w:kern w:val="0"/>
          <w:highlight w:val="none"/>
        </w:rPr>
        <w:t>及合同的相关约定</w:t>
      </w:r>
      <w:r>
        <w:rPr>
          <w:rStyle w:val="22"/>
          <w:rFonts w:hint="eastAsia" w:ascii="宋体" w:hAnsi="宋体" w:eastAsia="宋体" w:cs="宋体"/>
          <w:color w:val="auto"/>
          <w:kern w:val="0"/>
          <w:highlight w:val="none"/>
        </w:rPr>
        <w:t>并报验使用；办理用工保险。</w:t>
      </w:r>
    </w:p>
    <w:p w14:paraId="6434E306">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1.1.2</w:t>
      </w:r>
      <w:r>
        <w:rPr>
          <w:rStyle w:val="22"/>
          <w:rFonts w:hint="eastAsia" w:ascii="宋体" w:hAnsi="宋体" w:eastAsia="宋体" w:cs="宋体"/>
          <w:color w:val="auto"/>
          <w:kern w:val="0"/>
          <w:highlight w:val="none"/>
        </w:rPr>
        <w:t xml:space="preserve"> 包质量：符合招标文件要求</w:t>
      </w:r>
      <w:r>
        <w:rPr>
          <w:rFonts w:hint="eastAsia" w:ascii="宋体" w:hAnsi="宋体" w:eastAsia="宋体" w:cs="宋体"/>
          <w:color w:val="auto"/>
          <w:highlight w:val="none"/>
        </w:rPr>
        <w:t>及合同有关质量的相关约定</w:t>
      </w:r>
      <w:r>
        <w:rPr>
          <w:rStyle w:val="22"/>
          <w:rFonts w:hint="eastAsia" w:ascii="宋体" w:hAnsi="宋体" w:eastAsia="宋体" w:cs="宋体"/>
          <w:color w:val="auto"/>
          <w:kern w:val="0"/>
          <w:highlight w:val="none"/>
        </w:rPr>
        <w:t>。</w:t>
      </w:r>
    </w:p>
    <w:p w14:paraId="248FACE8">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1.1.3</w:t>
      </w:r>
      <w:r>
        <w:rPr>
          <w:rStyle w:val="22"/>
          <w:rFonts w:hint="eastAsia" w:ascii="宋体" w:hAnsi="宋体" w:eastAsia="宋体" w:cs="宋体"/>
          <w:color w:val="auto"/>
          <w:kern w:val="0"/>
          <w:highlight w:val="none"/>
        </w:rPr>
        <w:t xml:space="preserve"> 包安全包文明施工：</w:t>
      </w:r>
      <w:r>
        <w:rPr>
          <w:rFonts w:hint="eastAsia" w:ascii="宋体" w:hAnsi="宋体" w:eastAsia="宋体" w:cs="宋体"/>
          <w:snapToGrid w:val="0"/>
          <w:color w:val="auto"/>
          <w:kern w:val="0"/>
          <w:highlight w:val="none"/>
        </w:rPr>
        <w:t>符合</w:t>
      </w:r>
      <w:r>
        <w:rPr>
          <w:rFonts w:hint="eastAsia" w:ascii="宋体" w:hAnsi="宋体" w:eastAsia="宋体" w:cs="宋体"/>
          <w:color w:val="auto"/>
          <w:szCs w:val="22"/>
          <w:highlight w:val="none"/>
        </w:rPr>
        <w:t>国家及省、市的相关规定及</w:t>
      </w:r>
      <w:r>
        <w:rPr>
          <w:rFonts w:hint="eastAsia" w:ascii="宋体" w:hAnsi="宋体" w:eastAsia="宋体" w:cs="宋体"/>
          <w:snapToGrid w:val="0"/>
          <w:color w:val="auto"/>
          <w:kern w:val="0"/>
          <w:highlight w:val="none"/>
        </w:rPr>
        <w:t>招标文件</w:t>
      </w:r>
      <w:r>
        <w:rPr>
          <w:rFonts w:hint="eastAsia" w:ascii="宋体" w:hAnsi="宋体" w:eastAsia="宋体" w:cs="宋体"/>
          <w:color w:val="auto"/>
          <w:szCs w:val="22"/>
          <w:highlight w:val="none"/>
        </w:rPr>
        <w:t>、合同的相关约定</w:t>
      </w:r>
      <w:r>
        <w:rPr>
          <w:rFonts w:hint="eastAsia" w:ascii="宋体" w:hAnsi="宋体" w:eastAsia="宋体" w:cs="宋体"/>
          <w:snapToGrid w:val="0"/>
          <w:color w:val="auto"/>
          <w:kern w:val="0"/>
          <w:highlight w:val="none"/>
        </w:rPr>
        <w:t>要求</w:t>
      </w:r>
      <w:r>
        <w:rPr>
          <w:rStyle w:val="22"/>
          <w:rFonts w:hint="eastAsia" w:ascii="宋体" w:hAnsi="宋体" w:eastAsia="宋体" w:cs="宋体"/>
          <w:color w:val="auto"/>
          <w:kern w:val="0"/>
          <w:highlight w:val="none"/>
        </w:rPr>
        <w:t>。</w:t>
      </w:r>
    </w:p>
    <w:p w14:paraId="5E9F796C">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1.1.4 </w:t>
      </w:r>
      <w:r>
        <w:rPr>
          <w:rStyle w:val="22"/>
          <w:rFonts w:hint="eastAsia" w:ascii="宋体" w:hAnsi="宋体" w:eastAsia="宋体" w:cs="宋体"/>
          <w:color w:val="auto"/>
          <w:kern w:val="0"/>
          <w:highlight w:val="none"/>
        </w:rPr>
        <w:t>包工期：本工程施工必须在招标工期内完成。</w:t>
      </w:r>
    </w:p>
    <w:p w14:paraId="472B06F2">
      <w:pPr>
        <w:snapToGrid w:val="0"/>
        <w:ind w:firstLine="560"/>
        <w:rPr>
          <w:rStyle w:val="22"/>
          <w:rFonts w:hint="eastAsia" w:ascii="宋体" w:hAnsi="宋体" w:eastAsia="宋体" w:cs="宋体"/>
          <w:color w:val="auto"/>
          <w:kern w:val="0"/>
          <w:highlight w:val="none"/>
        </w:rPr>
      </w:pPr>
    </w:p>
    <w:p w14:paraId="6524A551">
      <w:pPr>
        <w:pStyle w:val="26"/>
        <w:snapToGrid w:val="0"/>
        <w:ind w:firstLine="480"/>
        <w:jc w:val="both"/>
        <w:outlineLvl w:val="1"/>
        <w:rPr>
          <w:rStyle w:val="22"/>
          <w:rFonts w:hint="eastAsia" w:ascii="宋体" w:hAnsi="宋体" w:eastAsia="宋体" w:cs="宋体"/>
          <w:b/>
          <w:bCs/>
          <w:color w:val="auto"/>
          <w:highlight w:val="none"/>
        </w:rPr>
      </w:pPr>
      <w:bookmarkStart w:id="274" w:name="_Toc16753"/>
      <w:bookmarkStart w:id="275" w:name="_Toc211"/>
      <w:bookmarkStart w:id="276" w:name="_Toc894"/>
      <w:bookmarkStart w:id="277" w:name="_Toc32741"/>
      <w:bookmarkStart w:id="278" w:name="_Toc29526"/>
      <w:bookmarkStart w:id="279" w:name="_Toc23275"/>
      <w:bookmarkStart w:id="280" w:name="_Toc18897"/>
      <w:bookmarkStart w:id="281" w:name="_Toc16445"/>
      <w:bookmarkStart w:id="282" w:name="_Toc5609"/>
      <w:bookmarkStart w:id="283" w:name="_Toc27701"/>
      <w:r>
        <w:rPr>
          <w:rStyle w:val="22"/>
          <w:rFonts w:hint="eastAsia" w:ascii="宋体" w:hAnsi="宋体" w:eastAsia="宋体" w:cs="宋体"/>
          <w:b/>
          <w:bCs/>
          <w:color w:val="auto"/>
          <w:highlight w:val="none"/>
        </w:rPr>
        <w:t>2．工程结算原则</w:t>
      </w:r>
      <w:bookmarkEnd w:id="274"/>
      <w:bookmarkEnd w:id="275"/>
      <w:bookmarkEnd w:id="276"/>
      <w:bookmarkEnd w:id="277"/>
      <w:bookmarkEnd w:id="278"/>
      <w:bookmarkEnd w:id="279"/>
      <w:bookmarkEnd w:id="280"/>
      <w:bookmarkEnd w:id="281"/>
      <w:bookmarkEnd w:id="282"/>
      <w:bookmarkEnd w:id="283"/>
    </w:p>
    <w:p w14:paraId="6D275C72">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2.1</w:t>
      </w:r>
      <w:r>
        <w:rPr>
          <w:rStyle w:val="22"/>
          <w:rFonts w:hint="eastAsia" w:ascii="宋体" w:hAnsi="宋体" w:eastAsia="宋体" w:cs="宋体"/>
          <w:color w:val="auto"/>
          <w:kern w:val="0"/>
          <w:highlight w:val="none"/>
        </w:rPr>
        <w:t xml:space="preserve"> 承包人的投标总价为中标价，即为签约合同价。</w:t>
      </w:r>
    </w:p>
    <w:p w14:paraId="5CFA85C0">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2.2</w:t>
      </w:r>
      <w:r>
        <w:rPr>
          <w:rStyle w:val="22"/>
          <w:rFonts w:hint="eastAsia" w:ascii="宋体" w:hAnsi="宋体" w:eastAsia="宋体" w:cs="宋体"/>
          <w:color w:val="auto"/>
          <w:kern w:val="0"/>
          <w:highlight w:val="none"/>
        </w:rPr>
        <w:t xml:space="preserve"> 招标工程量清单标明的工程量是投标人投标报价的共同基础，竣工结算的工程量按</w:t>
      </w:r>
      <w:r>
        <w:rPr>
          <w:rFonts w:hint="eastAsia" w:ascii="宋体" w:hAnsi="宋体" w:eastAsia="宋体" w:cs="宋体"/>
          <w:color w:val="auto"/>
          <w:kern w:val="0"/>
          <w:highlight w:val="none"/>
        </w:rPr>
        <w:t>《建设工程工程量清单计价标准》（GB/T 50500-2024）</w:t>
      </w:r>
      <w:r>
        <w:rPr>
          <w:rStyle w:val="22"/>
          <w:rFonts w:hint="eastAsia" w:ascii="宋体" w:hAnsi="宋体" w:eastAsia="宋体" w:cs="宋体"/>
          <w:color w:val="auto"/>
          <w:kern w:val="0"/>
          <w:highlight w:val="none"/>
        </w:rPr>
        <w:t>对工程计量的规定进行计量，必须以承包人完成合同工程应予计量的工程量确定。施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094A334B">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w:t>
      </w:r>
      <w:r>
        <w:rPr>
          <w:rStyle w:val="22"/>
          <w:rFonts w:hint="eastAsia" w:ascii="宋体" w:hAnsi="宋体" w:eastAsia="宋体" w:cs="宋体"/>
          <w:color w:val="auto"/>
          <w:kern w:val="0"/>
          <w:highlight w:val="none"/>
        </w:rPr>
        <w:t xml:space="preserve"> 施工合同履行期间，若出现下列情形的，发、承包双方应当按照以下规定调整合同价款：</w:t>
      </w:r>
    </w:p>
    <w:p w14:paraId="4A2AB5A2">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2.3.1</w:t>
      </w:r>
      <w:r>
        <w:rPr>
          <w:rStyle w:val="22"/>
          <w:rFonts w:hint="eastAsia" w:ascii="宋体" w:hAnsi="宋体" w:eastAsia="宋体" w:cs="宋体"/>
          <w:color w:val="auto"/>
          <w:kern w:val="0"/>
          <w:highlight w:val="none"/>
        </w:rPr>
        <w:t xml:space="preserve"> 法律法规变化</w:t>
      </w:r>
    </w:p>
    <w:p w14:paraId="2AE0C70D">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2.3.1.1</w:t>
      </w:r>
      <w:r>
        <w:rPr>
          <w:rStyle w:val="22"/>
          <w:rFonts w:hint="eastAsia" w:ascii="宋体" w:hAnsi="宋体" w:eastAsia="宋体" w:cs="宋体"/>
          <w:color w:val="auto"/>
          <w:kern w:val="0"/>
          <w:highlight w:val="none"/>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76B53388">
      <w:pPr>
        <w:wordWrap w:val="0"/>
        <w:adjustRightInd w:val="0"/>
        <w:snapToGrid w:val="0"/>
        <w:ind w:firstLine="480"/>
        <w:rPr>
          <w:rStyle w:val="22"/>
          <w:rFonts w:hint="eastAsia" w:ascii="宋体" w:hAnsi="宋体" w:eastAsia="宋体" w:cs="宋体"/>
          <w:color w:val="auto"/>
          <w:kern w:val="0"/>
          <w:highlight w:val="none"/>
          <w:u w:val="single"/>
        </w:rPr>
      </w:pPr>
      <w:r>
        <w:rPr>
          <w:rFonts w:hint="eastAsia" w:ascii="宋体" w:hAnsi="宋体" w:eastAsia="宋体" w:cs="宋体"/>
          <w:b/>
          <w:bCs/>
          <w:snapToGrid w:val="0"/>
          <w:color w:val="auto"/>
          <w:kern w:val="0"/>
          <w:highlight w:val="none"/>
        </w:rPr>
        <w:t>注：本招标文件所称“基准日”，均指投标文件递交截止时间（见第一章第二节“重要事项时间地点一览表”）前28天。</w:t>
      </w:r>
    </w:p>
    <w:p w14:paraId="7437B42F">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2.3.1.2</w:t>
      </w:r>
      <w:r>
        <w:rPr>
          <w:rStyle w:val="22"/>
          <w:rFonts w:hint="eastAsia" w:ascii="宋体" w:hAnsi="宋体" w:eastAsia="宋体" w:cs="宋体"/>
          <w:color w:val="auto"/>
          <w:kern w:val="0"/>
          <w:highlight w:val="none"/>
        </w:rPr>
        <w:t xml:space="preserve"> 因承包人原因导致工程延误，本章第</w:t>
      </w:r>
      <w:r>
        <w:rPr>
          <w:rStyle w:val="22"/>
          <w:rFonts w:hint="eastAsia" w:ascii="宋体" w:hAnsi="宋体" w:eastAsia="宋体" w:cs="宋体"/>
          <w:b/>
          <w:bCs/>
          <w:color w:val="auto"/>
          <w:kern w:val="0"/>
          <w:highlight w:val="none"/>
        </w:rPr>
        <w:t>2.3.1.1</w:t>
      </w:r>
      <w:r>
        <w:rPr>
          <w:rStyle w:val="22"/>
          <w:rFonts w:hint="eastAsia" w:ascii="宋体" w:hAnsi="宋体" w:eastAsia="宋体" w:cs="宋体"/>
          <w:color w:val="auto"/>
          <w:kern w:val="0"/>
          <w:highlight w:val="none"/>
        </w:rPr>
        <w:t>子目中的法定机构根据国家法律法规变化发布新规的时间在合同工程原定竣工时间之后的，合同价款调增的不予调整，合同价款调减的予以调整。</w:t>
      </w:r>
    </w:p>
    <w:p w14:paraId="7B643436">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2.3.2</w:t>
      </w:r>
      <w:r>
        <w:rPr>
          <w:rStyle w:val="22"/>
          <w:rFonts w:hint="eastAsia" w:ascii="宋体" w:hAnsi="宋体" w:eastAsia="宋体" w:cs="宋体"/>
          <w:color w:val="auto"/>
          <w:kern w:val="0"/>
          <w:highlight w:val="none"/>
        </w:rPr>
        <w:t xml:space="preserve"> 工程量偏差或变化</w:t>
      </w:r>
    </w:p>
    <w:p w14:paraId="03A11DCD">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2.3.2.1</w:t>
      </w:r>
      <w:r>
        <w:rPr>
          <w:rStyle w:val="22"/>
          <w:rFonts w:hint="eastAsia" w:ascii="宋体" w:hAnsi="宋体" w:eastAsia="宋体" w:cs="宋体"/>
          <w:color w:val="auto"/>
          <w:kern w:val="0"/>
          <w:highlight w:val="none"/>
        </w:rPr>
        <w:t xml:space="preserve"> 合同履行期间，当应予计算的实际工程量与招标工程量清单出现偏差或因工程变更引起已标价工程量清单项目的工程数量发生变化时，工程量偏差或变化在15%以内（含15%）的，其综合单价不予调整；工程量偏差或变化超过15%的，按照以下规定调整：</w:t>
      </w:r>
    </w:p>
    <w:p w14:paraId="5A6679F6">
      <w:pPr>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对于合理报价的清单项目，当工程量增加超过15%时，增加部分的工程量的综合单价以</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b/>
          <w:color w:val="auto"/>
          <w:highlight w:val="none"/>
          <w:u w:val="single"/>
        </w:rPr>
        <w:t>该分部分项工程量清单项目原综合单价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为基价调低</w:t>
      </w:r>
      <w:r>
        <w:rPr>
          <w:rFonts w:hint="eastAsia" w:ascii="宋体" w:hAnsi="宋体" w:eastAsia="宋体" w:cs="宋体"/>
          <w:snapToGrid w:val="0"/>
          <w:color w:val="auto"/>
          <w:kern w:val="0"/>
          <w:highlight w:val="none"/>
          <w:u w:val="single"/>
        </w:rPr>
        <w:t xml:space="preserve"> 3 </w:t>
      </w:r>
      <w:r>
        <w:rPr>
          <w:rFonts w:hint="eastAsia" w:ascii="宋体" w:hAnsi="宋体" w:eastAsia="宋体" w:cs="宋体"/>
          <w:snapToGrid w:val="0"/>
          <w:color w:val="auto"/>
          <w:kern w:val="0"/>
          <w:highlight w:val="none"/>
        </w:rPr>
        <w:t>%</w:t>
      </w:r>
      <w:r>
        <w:rPr>
          <w:rFonts w:hint="eastAsia" w:ascii="宋体" w:hAnsi="宋体" w:eastAsia="宋体" w:cs="宋体"/>
          <w:color w:val="auto"/>
          <w:highlight w:val="none"/>
        </w:rPr>
        <w:t>；</w:t>
      </w:r>
      <w:r>
        <w:rPr>
          <w:rFonts w:hint="eastAsia" w:ascii="宋体" w:hAnsi="宋体" w:eastAsia="宋体" w:cs="宋体"/>
          <w:snapToGrid w:val="0"/>
          <w:color w:val="auto"/>
          <w:kern w:val="0"/>
          <w:highlight w:val="none"/>
        </w:rPr>
        <w:t>当工程量减少超过15%时，减少后剩余部分的工程量的综合单价以</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b/>
          <w:color w:val="auto"/>
          <w:highlight w:val="none"/>
          <w:u w:val="single"/>
        </w:rPr>
        <w:t>该分部分项工程量清单项目原综合单价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为基价调高</w:t>
      </w:r>
      <w:r>
        <w:rPr>
          <w:rFonts w:hint="eastAsia" w:ascii="宋体" w:hAnsi="宋体" w:eastAsia="宋体" w:cs="宋体"/>
          <w:snapToGrid w:val="0"/>
          <w:color w:val="auto"/>
          <w:kern w:val="0"/>
          <w:highlight w:val="none"/>
          <w:u w:val="single"/>
        </w:rPr>
        <w:t xml:space="preserve"> 3 </w:t>
      </w:r>
      <w:r>
        <w:rPr>
          <w:rFonts w:hint="eastAsia" w:ascii="宋体" w:hAnsi="宋体" w:eastAsia="宋体" w:cs="宋体"/>
          <w:snapToGrid w:val="0"/>
          <w:color w:val="auto"/>
          <w:kern w:val="0"/>
          <w:highlight w:val="none"/>
        </w:rPr>
        <w:t>%。</w:t>
      </w:r>
    </w:p>
    <w:p w14:paraId="270EF4AF">
      <w:pPr>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对于按照第二章“中标人须知”第4.2条被认定为不平衡报价的清单项目，其综合单价按照以下方法调整：</w:t>
      </w:r>
      <w:r>
        <w:rPr>
          <w:rFonts w:hint="eastAsia" w:ascii="宋体" w:hAnsi="宋体" w:eastAsia="宋体" w:cs="宋体"/>
          <w:snapToGrid w:val="0"/>
          <w:color w:val="auto"/>
          <w:kern w:val="0"/>
          <w:highlight w:val="none"/>
          <w:u w:val="single"/>
        </w:rPr>
        <w:t>以</w:t>
      </w:r>
      <w:r>
        <w:rPr>
          <w:rFonts w:hint="eastAsia" w:hAnsi="宋体" w:cs="宋体"/>
          <w:snapToGrid w:val="0"/>
          <w:color w:val="auto"/>
          <w:kern w:val="0"/>
          <w:highlight w:val="none"/>
          <w:u w:val="single"/>
          <w:lang w:eastAsia="zh-CN"/>
        </w:rPr>
        <w:t>最高投标限价</w:t>
      </w:r>
      <w:r>
        <w:rPr>
          <w:rFonts w:hint="eastAsia" w:ascii="宋体" w:hAnsi="宋体" w:eastAsia="宋体" w:cs="宋体"/>
          <w:snapToGrid w:val="0"/>
          <w:color w:val="auto"/>
          <w:kern w:val="0"/>
          <w:highlight w:val="none"/>
          <w:u w:val="single"/>
        </w:rPr>
        <w:t>中的《分部分项工程和单价措施项目清单与计价表》子目相对应综合单价×（1-中标下浮率）</w:t>
      </w:r>
      <w:r>
        <w:rPr>
          <w:rFonts w:hint="eastAsia" w:ascii="宋体" w:hAnsi="宋体" w:eastAsia="宋体" w:cs="宋体"/>
          <w:snapToGrid w:val="0"/>
          <w:color w:val="auto"/>
          <w:kern w:val="0"/>
          <w:highlight w:val="none"/>
        </w:rPr>
        <w:t>。</w:t>
      </w:r>
    </w:p>
    <w:p w14:paraId="5C572C25">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2.3.2.2</w:t>
      </w:r>
      <w:r>
        <w:rPr>
          <w:rStyle w:val="22"/>
          <w:rFonts w:hint="eastAsia" w:ascii="宋体" w:hAnsi="宋体" w:eastAsia="宋体" w:cs="宋体"/>
          <w:color w:val="auto"/>
          <w:kern w:val="0"/>
          <w:highlight w:val="none"/>
        </w:rPr>
        <w:t xml:space="preserve"> 如果工程量出现本章第</w:t>
      </w:r>
      <w:r>
        <w:rPr>
          <w:rStyle w:val="22"/>
          <w:rFonts w:hint="eastAsia" w:ascii="宋体" w:hAnsi="宋体" w:eastAsia="宋体" w:cs="宋体"/>
          <w:b/>
          <w:bCs/>
          <w:color w:val="auto"/>
          <w:kern w:val="0"/>
          <w:highlight w:val="none"/>
        </w:rPr>
        <w:t>2.3.2.1</w:t>
      </w:r>
      <w:r>
        <w:rPr>
          <w:rStyle w:val="22"/>
          <w:rFonts w:hint="eastAsia" w:ascii="宋体" w:hAnsi="宋体" w:eastAsia="宋体" w:cs="宋体"/>
          <w:color w:val="auto"/>
          <w:kern w:val="0"/>
          <w:highlight w:val="none"/>
        </w:rPr>
        <w:t>子目的变化，且该变化引起相关措施项目相应发生变化时，按系数或单一总价方式计价的，工程量增加的措施项目费调增，工程量减少的措施项目费调减。</w:t>
      </w:r>
    </w:p>
    <w:p w14:paraId="7B8E6850">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2.3.3</w:t>
      </w:r>
      <w:r>
        <w:rPr>
          <w:rStyle w:val="22"/>
          <w:rFonts w:hint="eastAsia" w:ascii="宋体" w:hAnsi="宋体" w:eastAsia="宋体" w:cs="宋体"/>
          <w:color w:val="auto"/>
          <w:kern w:val="0"/>
          <w:highlight w:val="none"/>
        </w:rPr>
        <w:t xml:space="preserve"> 工程变更</w:t>
      </w:r>
    </w:p>
    <w:p w14:paraId="61517685">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2.3.3.1</w:t>
      </w:r>
      <w:r>
        <w:rPr>
          <w:rStyle w:val="22"/>
          <w:rFonts w:hint="eastAsia" w:ascii="宋体" w:hAnsi="宋体" w:eastAsia="宋体" w:cs="宋体"/>
          <w:color w:val="auto"/>
          <w:kern w:val="0"/>
          <w:highlight w:val="none"/>
        </w:rPr>
        <w:t xml:space="preserve"> 合同履行期间，因工程变更引起已标价工程量清单项目发生变化时，按照以下规定调整：</w:t>
      </w:r>
    </w:p>
    <w:p w14:paraId="1ACF5957">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（1）已标价工程量清单中有适用于变更工程项目的，采用该项目的单价。</w:t>
      </w:r>
      <w:r>
        <w:rPr>
          <w:rStyle w:val="22"/>
          <w:rFonts w:hint="eastAsia" w:ascii="宋体" w:hAnsi="宋体" w:eastAsia="宋体" w:cs="宋体"/>
          <w:b/>
          <w:bCs/>
          <w:color w:val="auto"/>
          <w:kern w:val="0"/>
          <w:highlight w:val="none"/>
        </w:rPr>
        <w:t>但如果被采用的项目属于按照第二章“中标人须知”第4.2条被认定为不平衡报价的清单项目，变更工程项目的单价按照以下方法调整：</w:t>
      </w:r>
      <w:r>
        <w:rPr>
          <w:rStyle w:val="22"/>
          <w:rFonts w:hint="eastAsia" w:ascii="宋体" w:hAnsi="宋体" w:eastAsia="宋体" w:cs="宋体"/>
          <w:color w:val="auto"/>
          <w:kern w:val="0"/>
          <w:highlight w:val="none"/>
          <w:u w:val="single"/>
        </w:rPr>
        <w:t>以</w:t>
      </w:r>
      <w:r>
        <w:rPr>
          <w:rStyle w:val="22"/>
          <w:rFonts w:hint="eastAsia" w:hAnsi="宋体" w:cs="宋体"/>
          <w:color w:val="auto"/>
          <w:kern w:val="0"/>
          <w:highlight w:val="none"/>
          <w:u w:val="single"/>
          <w:lang w:eastAsia="zh-CN"/>
        </w:rPr>
        <w:t>最高投标限价</w:t>
      </w:r>
      <w:r>
        <w:rPr>
          <w:rStyle w:val="22"/>
          <w:rFonts w:hint="eastAsia" w:ascii="宋体" w:hAnsi="宋体" w:eastAsia="宋体" w:cs="宋体"/>
          <w:color w:val="auto"/>
          <w:kern w:val="0"/>
          <w:highlight w:val="none"/>
          <w:u w:val="single"/>
        </w:rPr>
        <w:t>中的《分部分项工程和单价措施项目清单与计价表》子目相对应综合单价×（1-中标下浮率）。</w:t>
      </w:r>
    </w:p>
    <w:p w14:paraId="273BE9EE">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（2）已标价工程量清单中没有适用但有类似于变更工程项目的，可在合理范围内参照类似项目的单价。</w:t>
      </w:r>
      <w:r>
        <w:rPr>
          <w:rStyle w:val="22"/>
          <w:rFonts w:hint="eastAsia" w:ascii="宋体" w:hAnsi="宋体" w:eastAsia="宋体" w:cs="宋体"/>
          <w:b/>
          <w:bCs/>
          <w:color w:val="auto"/>
          <w:kern w:val="0"/>
          <w:highlight w:val="none"/>
        </w:rPr>
        <w:t>但如果被参考的类似项目属于按照第二章“中标人须知”第4.2条被认定为不平衡报价的清单项目，变更工程项目的单价按照以下方法调整：</w:t>
      </w:r>
      <w:r>
        <w:rPr>
          <w:rStyle w:val="22"/>
          <w:rFonts w:hint="eastAsia" w:ascii="宋体" w:hAnsi="宋体" w:eastAsia="宋体" w:cs="宋体"/>
          <w:color w:val="auto"/>
          <w:kern w:val="0"/>
          <w:highlight w:val="none"/>
          <w:u w:val="single"/>
        </w:rPr>
        <w:t>以</w:t>
      </w:r>
      <w:r>
        <w:rPr>
          <w:rStyle w:val="22"/>
          <w:rFonts w:hint="eastAsia" w:hAnsi="宋体" w:cs="宋体"/>
          <w:color w:val="auto"/>
          <w:kern w:val="0"/>
          <w:highlight w:val="none"/>
          <w:u w:val="single"/>
          <w:lang w:eastAsia="zh-CN"/>
        </w:rPr>
        <w:t>最高投标限价</w:t>
      </w:r>
      <w:r>
        <w:rPr>
          <w:rStyle w:val="22"/>
          <w:rFonts w:hint="eastAsia" w:ascii="宋体" w:hAnsi="宋体" w:eastAsia="宋体" w:cs="宋体"/>
          <w:color w:val="auto"/>
          <w:kern w:val="0"/>
          <w:highlight w:val="none"/>
          <w:u w:val="single"/>
        </w:rPr>
        <w:t>中的《分部分项工程和单价措施项目清单与计价表》子目相对应综合单价×（1-中标下浮率）。</w:t>
      </w:r>
    </w:p>
    <w:p w14:paraId="2234C24F">
      <w:pPr>
        <w:wordWrap w:val="0"/>
        <w:adjustRightInd w:val="0"/>
        <w:snapToGrid w:val="0"/>
        <w:ind w:firstLine="480" w:firstLineChars="200"/>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3）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w:t>
      </w:r>
      <w:r>
        <w:rPr>
          <w:rFonts w:hint="eastAsia" w:ascii="宋体" w:hAnsi="宋体" w:eastAsia="宋体" w:cs="宋体"/>
          <w:snapToGrid w:val="0"/>
          <w:color w:val="auto"/>
          <w:kern w:val="0"/>
          <w:highlight w:val="none"/>
        </w:rPr>
        <w:t>中标下浮率的计算公式如下：</w:t>
      </w:r>
    </w:p>
    <w:p w14:paraId="60AB0858">
      <w:pPr>
        <w:wordWrap w:val="0"/>
        <w:adjustRightInd w:val="0"/>
        <w:snapToGrid w:val="0"/>
        <w:jc w:val="center"/>
        <w:rPr>
          <w:rFonts w:hint="eastAsia" w:ascii="宋体" w:hAnsi="宋体" w:eastAsia="宋体" w:cs="宋体"/>
          <w:snapToGrid w:val="0"/>
          <w:color w:val="auto"/>
          <w:kern w:val="0"/>
          <w:highlight w:val="none"/>
          <w:u w:val="wave"/>
        </w:rPr>
      </w:pPr>
      <w:r>
        <w:rPr>
          <w:rFonts w:hint="eastAsia" w:ascii="宋体" w:hAnsi="宋体" w:eastAsia="宋体" w:cs="宋体"/>
          <w:snapToGrid w:val="0"/>
          <w:color w:val="auto"/>
          <w:kern w:val="0"/>
          <w:highlight w:val="none"/>
        </w:rPr>
        <w:t>中标下浮率＝（1－中标价÷</w:t>
      </w:r>
      <w:r>
        <w:rPr>
          <w:rFonts w:hint="eastAsia" w:hAnsi="宋体" w:cs="宋体"/>
          <w:snapToGrid w:val="0"/>
          <w:color w:val="auto"/>
          <w:kern w:val="0"/>
          <w:highlight w:val="none"/>
          <w:lang w:eastAsia="zh-CN"/>
        </w:rPr>
        <w:t>最高投标限价</w:t>
      </w:r>
      <w:r>
        <w:rPr>
          <w:rFonts w:hint="eastAsia" w:ascii="宋体" w:hAnsi="宋体" w:eastAsia="宋体" w:cs="宋体"/>
          <w:snapToGrid w:val="0"/>
          <w:color w:val="auto"/>
          <w:kern w:val="0"/>
          <w:highlight w:val="none"/>
        </w:rPr>
        <w:t>）×100%</w:t>
      </w:r>
    </w:p>
    <w:p w14:paraId="49D6E3A2">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（4）已标价工程量清单中没有适用也没有类似于变更工程项目，且施工当月项目所在地工程造价管理机构发布的价格信息缺项的，</w:t>
      </w:r>
      <w:r>
        <w:rPr>
          <w:rFonts w:hint="eastAsia" w:ascii="宋体" w:hAnsi="宋体" w:eastAsia="宋体" w:cs="宋体"/>
          <w:snapToGrid w:val="0"/>
          <w:color w:val="auto"/>
          <w:kern w:val="0"/>
          <w:highlight w:val="none"/>
        </w:rPr>
        <w:t>由承包人根据变更工程资料、计量规则、计价办法和通过市场调查等取得有合法依据的市场价格提出变更工程项目的单价，报发包人确认后调整。</w:t>
      </w:r>
    </w:p>
    <w:p w14:paraId="3C9C6FAA">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2.3.3.2</w:t>
      </w:r>
      <w:r>
        <w:rPr>
          <w:rStyle w:val="22"/>
          <w:rFonts w:hint="eastAsia" w:ascii="宋体" w:hAnsi="宋体" w:eastAsia="宋体" w:cs="宋体"/>
          <w:color w:val="auto"/>
          <w:kern w:val="0"/>
          <w:highlight w:val="none"/>
        </w:rPr>
        <w:t xml:space="preserve"> 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14:paraId="30DF939D">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w:t>
      </w:r>
      <w:r>
        <w:rPr>
          <w:rStyle w:val="22"/>
          <w:rFonts w:hint="eastAsia" w:hAnsi="宋体" w:cs="宋体"/>
          <w:color w:val="auto"/>
          <w:kern w:val="0"/>
          <w:highlight w:val="none"/>
          <w:lang w:eastAsia="zh-CN"/>
        </w:rPr>
        <w:t>安全生产措施费</w:t>
      </w:r>
      <w:r>
        <w:rPr>
          <w:rStyle w:val="22"/>
          <w:rFonts w:hint="eastAsia" w:ascii="宋体" w:hAnsi="宋体" w:eastAsia="宋体" w:cs="宋体"/>
          <w:color w:val="auto"/>
          <w:kern w:val="0"/>
          <w:highlight w:val="none"/>
        </w:rPr>
        <w:t>应按照实际发生变化的措施项目计算。</w:t>
      </w:r>
    </w:p>
    <w:p w14:paraId="04BEC038">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（2）采用单价计算的措施项目费，应按照实际发生变化的措施项目，按本章第</w:t>
      </w:r>
      <w:r>
        <w:rPr>
          <w:rStyle w:val="22"/>
          <w:rFonts w:hint="eastAsia" w:ascii="宋体" w:hAnsi="宋体" w:eastAsia="宋体" w:cs="宋体"/>
          <w:b/>
          <w:bCs/>
          <w:color w:val="auto"/>
          <w:kern w:val="0"/>
          <w:highlight w:val="none"/>
        </w:rPr>
        <w:t>2.3.3.1</w:t>
      </w:r>
      <w:r>
        <w:rPr>
          <w:rStyle w:val="22"/>
          <w:rFonts w:hint="eastAsia" w:ascii="宋体" w:hAnsi="宋体" w:eastAsia="宋体" w:cs="宋体"/>
          <w:color w:val="auto"/>
          <w:kern w:val="0"/>
          <w:highlight w:val="none"/>
        </w:rPr>
        <w:t>子目的规定确定单价。</w:t>
      </w:r>
    </w:p>
    <w:p w14:paraId="24930EFA">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（3）按总价或系数计算的措施项目费，应按照实际发生变化的措施项目费调整并考虑中标下浮率因素，即调整金额＝按照实际变化调整后的金额×</w:t>
      </w:r>
      <w:r>
        <w:rPr>
          <w:rFonts w:hint="eastAsia" w:ascii="宋体" w:hAnsi="宋体" w:eastAsia="宋体" w:cs="宋体"/>
          <w:bCs/>
          <w:snapToGrid w:val="0"/>
          <w:color w:val="auto"/>
          <w:kern w:val="0"/>
          <w:szCs w:val="28"/>
          <w:highlight w:val="none"/>
        </w:rPr>
        <w:t>（1-</w:t>
      </w:r>
      <w:r>
        <w:rPr>
          <w:rFonts w:hint="eastAsia" w:ascii="宋体" w:hAnsi="宋体" w:eastAsia="宋体" w:cs="宋体"/>
          <w:snapToGrid w:val="0"/>
          <w:color w:val="auto"/>
          <w:kern w:val="0"/>
          <w:highlight w:val="none"/>
        </w:rPr>
        <w:t>中标下浮率）</w:t>
      </w:r>
      <w:r>
        <w:rPr>
          <w:rStyle w:val="22"/>
          <w:rFonts w:hint="eastAsia" w:ascii="宋体" w:hAnsi="宋体" w:eastAsia="宋体" w:cs="宋体"/>
          <w:color w:val="auto"/>
          <w:kern w:val="0"/>
          <w:highlight w:val="none"/>
        </w:rPr>
        <w:t>。</w:t>
      </w:r>
    </w:p>
    <w:p w14:paraId="28C320C9">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如果承包人未事先将拟实施的方案提交发包人确认，视为工程变更不引起措施项目费的调整或承包人放弃调整措施项目费的权利。</w:t>
      </w:r>
    </w:p>
    <w:p w14:paraId="586596BD">
      <w:pPr>
        <w:snapToGrid w:val="0"/>
        <w:ind w:firstLine="482" w:firstLineChars="200"/>
        <w:rPr>
          <w:rStyle w:val="22"/>
          <w:rFonts w:hint="eastAsia" w:ascii="宋体" w:hAnsi="宋体" w:eastAsia="宋体" w:cs="宋体"/>
          <w:color w:val="auto"/>
          <w:kern w:val="0"/>
          <w:sz w:val="44"/>
          <w:szCs w:val="44"/>
          <w:highlight w:val="none"/>
        </w:rPr>
      </w:pPr>
      <w:r>
        <w:rPr>
          <w:rStyle w:val="22"/>
          <w:rFonts w:hint="eastAsia" w:ascii="宋体" w:hAnsi="宋体" w:eastAsia="宋体" w:cs="宋体"/>
          <w:b/>
          <w:bCs/>
          <w:color w:val="auto"/>
          <w:kern w:val="0"/>
          <w:highlight w:val="none"/>
        </w:rPr>
        <w:t>2.3.3.3</w:t>
      </w:r>
      <w:r>
        <w:rPr>
          <w:rStyle w:val="22"/>
          <w:rFonts w:hint="eastAsia" w:ascii="宋体" w:hAnsi="宋体" w:eastAsia="宋体" w:cs="宋体"/>
          <w:color w:val="auto"/>
          <w:kern w:val="0"/>
          <w:highlight w:val="none"/>
        </w:rPr>
        <w:t xml:space="preserve"> 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14:paraId="1F5873FA">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2.3.4</w:t>
      </w:r>
      <w:r>
        <w:rPr>
          <w:rStyle w:val="22"/>
          <w:rFonts w:hint="eastAsia" w:ascii="宋体" w:hAnsi="宋体" w:eastAsia="宋体" w:cs="宋体"/>
          <w:color w:val="auto"/>
          <w:kern w:val="0"/>
          <w:highlight w:val="none"/>
        </w:rPr>
        <w:t xml:space="preserve"> 项目特征不符</w:t>
      </w:r>
    </w:p>
    <w:p w14:paraId="6E5C8E44">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w:t>
      </w:r>
      <w:r>
        <w:rPr>
          <w:rStyle w:val="22"/>
          <w:rFonts w:hint="eastAsia" w:ascii="宋体" w:hAnsi="宋体" w:eastAsia="宋体" w:cs="宋体"/>
          <w:b/>
          <w:bCs/>
          <w:color w:val="auto"/>
          <w:kern w:val="0"/>
          <w:highlight w:val="none"/>
        </w:rPr>
        <w:t>2.3.3</w:t>
      </w:r>
      <w:r>
        <w:rPr>
          <w:rStyle w:val="22"/>
          <w:rFonts w:hint="eastAsia" w:ascii="宋体" w:hAnsi="宋体" w:eastAsia="宋体" w:cs="宋体"/>
          <w:color w:val="auto"/>
          <w:kern w:val="0"/>
          <w:highlight w:val="none"/>
        </w:rPr>
        <w:t>目相关条款的规定重新确定相应工程量清单项目的综合单价，并调整合同价款。</w:t>
      </w:r>
    </w:p>
    <w:p w14:paraId="6C04FE89">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2.3.5</w:t>
      </w:r>
      <w:r>
        <w:rPr>
          <w:rStyle w:val="22"/>
          <w:rFonts w:hint="eastAsia" w:ascii="宋体" w:hAnsi="宋体" w:eastAsia="宋体" w:cs="宋体"/>
          <w:color w:val="auto"/>
          <w:kern w:val="0"/>
          <w:highlight w:val="none"/>
        </w:rPr>
        <w:t xml:space="preserve"> 招标工程量清单缺项</w:t>
      </w:r>
    </w:p>
    <w:p w14:paraId="28A4F183">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2.3.5.1</w:t>
      </w:r>
      <w:r>
        <w:rPr>
          <w:rStyle w:val="22"/>
          <w:rFonts w:hint="eastAsia" w:ascii="宋体" w:hAnsi="宋体" w:eastAsia="宋体" w:cs="宋体"/>
          <w:color w:val="auto"/>
          <w:kern w:val="0"/>
          <w:highlight w:val="none"/>
        </w:rPr>
        <w:t xml:space="preserve"> 合同履行期间，由于招标工程量清单中缺项，新增分部分项工程清单项目，应按照本章第</w:t>
      </w:r>
      <w:r>
        <w:rPr>
          <w:rStyle w:val="22"/>
          <w:rFonts w:hint="eastAsia" w:ascii="宋体" w:hAnsi="宋体" w:eastAsia="宋体" w:cs="宋体"/>
          <w:b/>
          <w:bCs/>
          <w:color w:val="auto"/>
          <w:kern w:val="0"/>
          <w:highlight w:val="none"/>
        </w:rPr>
        <w:t>2.3.3.1</w:t>
      </w:r>
      <w:r>
        <w:rPr>
          <w:rStyle w:val="22"/>
          <w:rFonts w:hint="eastAsia" w:ascii="宋体" w:hAnsi="宋体" w:eastAsia="宋体" w:cs="宋体"/>
          <w:color w:val="auto"/>
          <w:kern w:val="0"/>
          <w:highlight w:val="none"/>
        </w:rPr>
        <w:t>子目的规定确定单价，并调整合同价款。</w:t>
      </w:r>
    </w:p>
    <w:p w14:paraId="1B63BCE0">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2.3.5.2</w:t>
      </w:r>
      <w:r>
        <w:rPr>
          <w:rStyle w:val="22"/>
          <w:rFonts w:hint="eastAsia" w:ascii="宋体" w:hAnsi="宋体" w:eastAsia="宋体" w:cs="宋体"/>
          <w:color w:val="auto"/>
          <w:kern w:val="0"/>
          <w:highlight w:val="none"/>
        </w:rPr>
        <w:t xml:space="preserve"> 新增分部分项工程清单项目后，引起措施项目发生变化的，应按照本章第</w:t>
      </w:r>
      <w:r>
        <w:rPr>
          <w:rStyle w:val="22"/>
          <w:rFonts w:hint="eastAsia" w:ascii="宋体" w:hAnsi="宋体" w:eastAsia="宋体" w:cs="宋体"/>
          <w:b/>
          <w:bCs/>
          <w:color w:val="auto"/>
          <w:kern w:val="0"/>
          <w:highlight w:val="none"/>
        </w:rPr>
        <w:t>2.3.3.2</w:t>
      </w:r>
      <w:r>
        <w:rPr>
          <w:rStyle w:val="22"/>
          <w:rFonts w:hint="eastAsia" w:ascii="宋体" w:hAnsi="宋体" w:eastAsia="宋体" w:cs="宋体"/>
          <w:color w:val="auto"/>
          <w:kern w:val="0"/>
          <w:highlight w:val="none"/>
        </w:rPr>
        <w:t>子目的规定，在承包人提交的实施方案被发包人批准后调整合同价款。</w:t>
      </w:r>
    </w:p>
    <w:p w14:paraId="74A462FE">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2.3.5.3</w:t>
      </w:r>
      <w:r>
        <w:rPr>
          <w:rStyle w:val="22"/>
          <w:rFonts w:hint="eastAsia" w:ascii="宋体" w:hAnsi="宋体" w:eastAsia="宋体" w:cs="宋体"/>
          <w:color w:val="auto"/>
          <w:kern w:val="0"/>
          <w:highlight w:val="none"/>
        </w:rPr>
        <w:t xml:space="preserve"> 由于招标工程量清单中措施项目缺项，承包人应将新增措施项目实施方案提交发包人批准后，按照本章第</w:t>
      </w:r>
      <w:r>
        <w:rPr>
          <w:rStyle w:val="22"/>
          <w:rFonts w:hint="eastAsia" w:ascii="宋体" w:hAnsi="宋体" w:eastAsia="宋体" w:cs="宋体"/>
          <w:b/>
          <w:bCs/>
          <w:color w:val="auto"/>
          <w:kern w:val="0"/>
          <w:highlight w:val="none"/>
        </w:rPr>
        <w:t>2.3.3.1</w:t>
      </w:r>
      <w:r>
        <w:rPr>
          <w:rStyle w:val="22"/>
          <w:rFonts w:hint="eastAsia" w:ascii="宋体" w:hAnsi="宋体" w:eastAsia="宋体" w:cs="宋体"/>
          <w:color w:val="auto"/>
          <w:kern w:val="0"/>
          <w:highlight w:val="none"/>
        </w:rPr>
        <w:t>子目、第</w:t>
      </w:r>
      <w:r>
        <w:rPr>
          <w:rStyle w:val="22"/>
          <w:rFonts w:hint="eastAsia" w:ascii="宋体" w:hAnsi="宋体" w:eastAsia="宋体" w:cs="宋体"/>
          <w:b/>
          <w:bCs/>
          <w:color w:val="auto"/>
          <w:kern w:val="0"/>
          <w:highlight w:val="none"/>
        </w:rPr>
        <w:t>2.3.3.2</w:t>
      </w:r>
      <w:r>
        <w:rPr>
          <w:rStyle w:val="22"/>
          <w:rFonts w:hint="eastAsia" w:ascii="宋体" w:hAnsi="宋体" w:eastAsia="宋体" w:cs="宋体"/>
          <w:color w:val="auto"/>
          <w:kern w:val="0"/>
          <w:highlight w:val="none"/>
        </w:rPr>
        <w:t>子目的规定调整合同价款。</w:t>
      </w:r>
    </w:p>
    <w:p w14:paraId="191450FC">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2.3.6</w:t>
      </w:r>
      <w:r>
        <w:rPr>
          <w:rStyle w:val="22"/>
          <w:rFonts w:hint="eastAsia" w:ascii="宋体" w:hAnsi="宋体" w:eastAsia="宋体" w:cs="宋体"/>
          <w:color w:val="auto"/>
          <w:kern w:val="0"/>
          <w:highlight w:val="none"/>
        </w:rPr>
        <w:t xml:space="preserve"> 物价变化</w:t>
      </w:r>
    </w:p>
    <w:p w14:paraId="2C6AB050">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2.3.6.1</w:t>
      </w:r>
      <w:r>
        <w:rPr>
          <w:rStyle w:val="22"/>
          <w:rFonts w:hint="eastAsia" w:ascii="宋体" w:hAnsi="宋体" w:eastAsia="宋体" w:cs="宋体"/>
          <w:color w:val="auto"/>
          <w:kern w:val="0"/>
          <w:highlight w:val="none"/>
        </w:rPr>
        <w:t xml:space="preserve"> 合同履行期间，项目所在地工程造价管理机构发布的动态人工调整系数发生变化时，如果承包人投标报价中人工费（以下简称“中标人工费”）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749A3986">
      <w:pPr>
        <w:snapToGrid w:val="0"/>
        <w:ind w:firstLine="480" w:firstLineChars="20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结算人工费＝中标人工费×F</w:t>
      </w:r>
      <w:r>
        <w:rPr>
          <w:rStyle w:val="22"/>
          <w:rFonts w:hint="eastAsia" w:ascii="宋体" w:hAnsi="宋体" w:eastAsia="宋体" w:cs="宋体"/>
          <w:color w:val="auto"/>
          <w:kern w:val="0"/>
          <w:highlight w:val="none"/>
          <w:vertAlign w:val="subscript"/>
        </w:rPr>
        <w:t>1</w:t>
      </w:r>
    </w:p>
    <w:p w14:paraId="768BDC18">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式中，F</w:t>
      </w:r>
      <w:r>
        <w:rPr>
          <w:rStyle w:val="22"/>
          <w:rFonts w:hint="eastAsia" w:ascii="宋体" w:hAnsi="宋体" w:eastAsia="宋体" w:cs="宋体"/>
          <w:color w:val="auto"/>
          <w:kern w:val="0"/>
          <w:highlight w:val="none"/>
          <w:vertAlign w:val="subscript"/>
        </w:rPr>
        <w:t>1</w:t>
      </w:r>
      <w:r>
        <w:rPr>
          <w:rStyle w:val="22"/>
          <w:rFonts w:hint="eastAsia" w:ascii="宋体" w:hAnsi="宋体" w:eastAsia="宋体" w:cs="宋体"/>
          <w:color w:val="auto"/>
          <w:kern w:val="0"/>
          <w:highlight w:val="none"/>
        </w:rPr>
        <w:t>为施工当月项目所在地工程造价管理机构发布的动态人工调整系数。</w:t>
      </w:r>
    </w:p>
    <w:p w14:paraId="4D43C012">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2.3.6.2</w:t>
      </w:r>
      <w:r>
        <w:rPr>
          <w:rStyle w:val="22"/>
          <w:rFonts w:hint="eastAsia" w:ascii="宋体" w:hAnsi="宋体" w:eastAsia="宋体" w:cs="宋体"/>
          <w:color w:val="auto"/>
          <w:kern w:val="0"/>
          <w:highlight w:val="none"/>
        </w:rPr>
        <w:t xml:space="preserve"> 本工程约定，材料、工程设备单价涨跌风险幅度值A为</w:t>
      </w:r>
      <w:r>
        <w:rPr>
          <w:rStyle w:val="22"/>
          <w:rFonts w:hint="eastAsia" w:ascii="宋体" w:hAnsi="宋体" w:eastAsia="宋体" w:cs="宋体"/>
          <w:color w:val="auto"/>
          <w:kern w:val="0"/>
          <w:highlight w:val="none"/>
          <w:u w:val="single"/>
        </w:rPr>
        <w:t xml:space="preserve"> 5% </w:t>
      </w:r>
      <w:r>
        <w:rPr>
          <w:rStyle w:val="22"/>
          <w:rFonts w:hint="eastAsia" w:ascii="宋体" w:hAnsi="宋体" w:eastAsia="宋体" w:cs="宋体"/>
          <w:color w:val="auto"/>
          <w:kern w:val="0"/>
          <w:highlight w:val="none"/>
        </w:rPr>
        <w:t>。合同履行期间，当《承包人提供主要材料和工程设备一览表》（详见招标工程量清单）中的材料、工程设备（</w:t>
      </w:r>
      <w:r>
        <w:rPr>
          <w:rFonts w:hint="eastAsia" w:ascii="宋体" w:hAnsi="宋体" w:eastAsia="宋体" w:cs="宋体"/>
          <w:snapToGrid w:val="0"/>
          <w:color w:val="auto"/>
          <w:kern w:val="0"/>
          <w:highlight w:val="none"/>
        </w:rPr>
        <w:t>指钢材、商品砼、水泥、砂、石等主要材料及工程设备</w:t>
      </w:r>
      <w:r>
        <w:rPr>
          <w:rStyle w:val="22"/>
          <w:rFonts w:hint="eastAsia" w:ascii="宋体" w:hAnsi="宋体" w:eastAsia="宋体" w:cs="宋体"/>
          <w:color w:val="auto"/>
          <w:kern w:val="0"/>
          <w:highlight w:val="none"/>
        </w:rPr>
        <w:t>）单价涨跌幅度等于或低于A值时，该材料、工程设备单价不予调整；超过A值时，其超过部分可以调整。相关费用按有关规定进行相应调整。</w:t>
      </w:r>
    </w:p>
    <w:p w14:paraId="61CA3086">
      <w:pPr>
        <w:wordWrap w:val="0"/>
        <w:adjustRightInd w:val="0"/>
        <w:snapToGrid w:val="0"/>
        <w:ind w:firstLine="482" w:firstLineChars="200"/>
        <w:rPr>
          <w:rFonts w:hint="eastAsia" w:ascii="宋体" w:hAnsi="宋体" w:eastAsia="宋体" w:cs="宋体"/>
          <w:strike/>
          <w:color w:val="auto"/>
          <w:sz w:val="14"/>
          <w:szCs w:val="14"/>
          <w:highlight w:val="none"/>
        </w:rPr>
      </w:pPr>
      <w:r>
        <w:rPr>
          <w:rFonts w:hint="eastAsia" w:ascii="宋体" w:hAnsi="宋体" w:eastAsia="宋体" w:cs="宋体"/>
          <w:b/>
          <w:bCs/>
          <w:snapToGrid w:val="0"/>
          <w:color w:val="auto"/>
          <w:kern w:val="0"/>
          <w:highlight w:val="none"/>
        </w:rPr>
        <w:t>a</w:t>
      </w:r>
      <w:r>
        <w:rPr>
          <w:rFonts w:hint="eastAsia" w:ascii="宋体" w:hAnsi="宋体" w:eastAsia="宋体" w:cs="宋体"/>
          <w:snapToGrid w:val="0"/>
          <w:color w:val="auto"/>
          <w:kern w:val="0"/>
          <w:highlight w:val="none"/>
        </w:rPr>
        <w:t>．如果承包人投标报价中材料、工程设备单价（以下简称“中标单价”）低于基准日当月项目所在地工程造价管理机构发布的对应材料、工程设备单价（以下简称“基准单价”），该材料、工程设备的结算单价调整公式为：</w:t>
      </w:r>
    </w:p>
    <w:p w14:paraId="016F6754">
      <w:pPr>
        <w:wordWrap w:val="0"/>
        <w:adjustRightInd w:val="0"/>
        <w:snapToGri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涨价时，</w:t>
      </w:r>
      <w:r>
        <w:rPr>
          <w:rFonts w:hint="eastAsia" w:ascii="宋体" w:hAnsi="宋体" w:eastAsia="宋体" w:cs="宋体"/>
          <w:snapToGrid w:val="0"/>
          <w:color w:val="auto"/>
          <w:kern w:val="0"/>
          <w:position w:val="-30"/>
          <w:highlight w:val="none"/>
        </w:rPr>
        <w:object>
          <v:shape id="_x0000_i1025" o:spt="75" type="#_x0000_t75" style="height:33.95pt;width:200.95pt;" o:ole="t" filled="f" stroked="f" coordsize="21600,21600">
            <v:path/>
            <v:fill on="f" focussize="0,0"/>
            <v:stroke on="f"/>
            <v:imagedata r:id="rId10" o:title=""/>
            <o:lock v:ext="edit" grouping="f" rotation="f" text="f" aspectratio="t"/>
            <w10:wrap type="none"/>
            <w10:anchorlock/>
          </v:shape>
          <o:OLEObject Type="Embed" ProgID="Equation.KSEE3" ShapeID="_x0000_i1025" DrawAspect="Content" ObjectID="_1468075725" r:id="rId9">
            <o:LockedField>false</o:LockedField>
          </o:OLEObject>
        </w:object>
      </w:r>
    </w:p>
    <w:p w14:paraId="559B4E87">
      <w:pPr>
        <w:wordWrap w:val="0"/>
        <w:adjustRightIn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跌价时，</w:t>
      </w:r>
      <w:r>
        <w:rPr>
          <w:rFonts w:hint="eastAsia" w:ascii="宋体" w:hAnsi="宋体" w:eastAsia="宋体" w:cs="宋体"/>
          <w:snapToGrid w:val="0"/>
          <w:color w:val="auto"/>
          <w:kern w:val="0"/>
          <w:position w:val="-30"/>
          <w:highlight w:val="none"/>
        </w:rPr>
        <w:object>
          <v:shape id="_x0000_i1026" o:spt="75" type="#_x0000_t75" style="height:33.95pt;width:198.95pt;" o:ole="t" filled="f" stroked="f" coordsize="21600,21600">
            <v:path/>
            <v:fill on="f" focussize="0,0"/>
            <v:stroke on="f"/>
            <v:imagedata r:id="rId12" o:title=""/>
            <o:lock v:ext="edit" grouping="f" rotation="f" text="f" aspectratio="t"/>
            <w10:wrap type="none"/>
            <w10:anchorlock/>
          </v:shape>
          <o:OLEObject Type="Embed" ProgID="Equation.KSEE3" ShapeID="_x0000_i1026" DrawAspect="Content" ObjectID="_1468075726" r:id="rId11">
            <o:LockedField>false</o:LockedField>
          </o:OLEObject>
        </w:object>
      </w:r>
    </w:p>
    <w:p w14:paraId="3D5B6E3E">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b</w:t>
      </w:r>
      <w:r>
        <w:rPr>
          <w:rFonts w:hint="eastAsia" w:ascii="宋体" w:hAnsi="宋体" w:eastAsia="宋体" w:cs="宋体"/>
          <w:snapToGrid w:val="0"/>
          <w:color w:val="auto"/>
          <w:kern w:val="0"/>
          <w:highlight w:val="none"/>
        </w:rPr>
        <w:t>．如果中标单价高于基准单价，该材料、工程设备的结算单价调整公式为：</w:t>
      </w:r>
    </w:p>
    <w:p w14:paraId="62E2BDCC">
      <w:pPr>
        <w:wordWrap w:val="0"/>
        <w:adjustRightInd w:val="0"/>
        <w:snapToGri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涨价时，</w:t>
      </w:r>
      <w:r>
        <w:rPr>
          <w:rFonts w:hint="eastAsia" w:ascii="宋体" w:hAnsi="宋体" w:eastAsia="宋体" w:cs="宋体"/>
          <w:snapToGrid w:val="0"/>
          <w:color w:val="auto"/>
          <w:kern w:val="0"/>
          <w:position w:val="-30"/>
          <w:highlight w:val="none"/>
        </w:rPr>
        <w:object>
          <v:shape id="_x0000_i1027" o:spt="75" type="#_x0000_t75" style="height:33.95pt;width:198.95pt;" o:ole="t" filled="f" stroked="f" coordsize="21600,21600">
            <v:path/>
            <v:fill on="f" focussize="0,0"/>
            <v:stroke on="f"/>
            <v:imagedata r:id="rId14" o:title=""/>
            <o:lock v:ext="edit" grouping="f" rotation="f" text="f" aspectratio="t"/>
            <w10:wrap type="none"/>
            <w10:anchorlock/>
          </v:shape>
          <o:OLEObject Type="Embed" ProgID="Equation.KSEE3" ShapeID="_x0000_i1027" DrawAspect="Content" ObjectID="_1468075727" r:id="rId13">
            <o:LockedField>false</o:LockedField>
          </o:OLEObject>
        </w:object>
      </w:r>
    </w:p>
    <w:p w14:paraId="22136339">
      <w:pPr>
        <w:wordWrap w:val="0"/>
        <w:adjustRightIn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跌价时，</w:t>
      </w:r>
      <w:r>
        <w:rPr>
          <w:rFonts w:hint="eastAsia" w:ascii="宋体" w:hAnsi="宋体" w:eastAsia="宋体" w:cs="宋体"/>
          <w:snapToGrid w:val="0"/>
          <w:color w:val="auto"/>
          <w:kern w:val="0"/>
          <w:position w:val="-30"/>
          <w:highlight w:val="none"/>
        </w:rPr>
        <w:object>
          <v:shape id="_x0000_i1028" o:spt="75" type="#_x0000_t75" style="height:33.95pt;width:200.95pt;" o:ole="t" filled="f" stroked="f" coordsize="21600,21600">
            <v:path/>
            <v:fill on="f" focussize="0,0"/>
            <v:stroke on="f"/>
            <v:imagedata r:id="rId16" o:title=""/>
            <o:lock v:ext="edit" grouping="f" rotation="f" text="f" aspectratio="t"/>
            <w10:wrap type="none"/>
            <w10:anchorlock/>
          </v:shape>
          <o:OLEObject Type="Embed" ProgID="Equation.KSEE3" ShapeID="_x0000_i1028" DrawAspect="Content" ObjectID="_1468075728" r:id="rId15">
            <o:LockedField>false</o:LockedField>
          </o:OLEObject>
        </w:object>
      </w:r>
    </w:p>
    <w:p w14:paraId="5DF4C258">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c</w:t>
      </w:r>
      <w:r>
        <w:rPr>
          <w:rFonts w:hint="eastAsia" w:ascii="宋体" w:hAnsi="宋体" w:eastAsia="宋体" w:cs="宋体"/>
          <w:snapToGrid w:val="0"/>
          <w:color w:val="auto"/>
          <w:kern w:val="0"/>
          <w:highlight w:val="none"/>
        </w:rPr>
        <w:t>．如果中标单价等于基准单价，该材料、工程设备的结算单价调整公式为：</w:t>
      </w:r>
    </w:p>
    <w:p w14:paraId="0D6739BF">
      <w:pPr>
        <w:wordWrap w:val="0"/>
        <w:adjustRightInd w:val="0"/>
        <w:snapToGri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涨价时，</w:t>
      </w:r>
      <w:r>
        <w:rPr>
          <w:rFonts w:hint="eastAsia" w:ascii="宋体" w:hAnsi="宋体" w:eastAsia="宋体" w:cs="宋体"/>
          <w:snapToGrid w:val="0"/>
          <w:color w:val="auto"/>
          <w:kern w:val="0"/>
          <w:position w:val="-30"/>
          <w:highlight w:val="none"/>
        </w:rPr>
        <w:object>
          <v:shape id="_x0000_i1029" o:spt="75" type="#_x0000_t75" style="height:33.95pt;width:200.95pt;" o:ole="t" filled="f" stroked="f" coordsize="21600,21600">
            <v:path/>
            <v:fill on="f" focussize="0,0"/>
            <v:stroke on="f"/>
            <v:imagedata r:id="rId18" o:title=""/>
            <o:lock v:ext="edit" grouping="f" rotation="f" text="f" aspectratio="t"/>
            <w10:wrap type="none"/>
            <w10:anchorlock/>
          </v:shape>
          <o:OLEObject Type="Embed" ProgID="Equation.KSEE3" ShapeID="_x0000_i1029" DrawAspect="Content" ObjectID="_1468075729" r:id="rId17">
            <o:LockedField>false</o:LockedField>
          </o:OLEObject>
        </w:object>
      </w:r>
    </w:p>
    <w:p w14:paraId="1629C26D">
      <w:pPr>
        <w:wordWrap w:val="0"/>
        <w:adjustRightIn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跌价时，</w:t>
      </w:r>
      <w:r>
        <w:rPr>
          <w:rFonts w:hint="eastAsia" w:ascii="宋体" w:hAnsi="宋体" w:eastAsia="宋体" w:cs="宋体"/>
          <w:snapToGrid w:val="0"/>
          <w:color w:val="auto"/>
          <w:kern w:val="0"/>
          <w:position w:val="-30"/>
          <w:highlight w:val="none"/>
        </w:rPr>
        <w:object>
          <v:shape id="_x0000_i1030" o:spt="75" type="#_x0000_t75" style="height:33.95pt;width:200.95pt;" o:ole="t" filled="f" o:preferrelative="t" stroked="f" coordsize="21600,21600">
            <v:path/>
            <v:fill on="f" focussize="0,0"/>
            <v:stroke on="f"/>
            <v:imagedata r:id="rId20" o:title=""/>
            <o:lock v:ext="edit" grouping="f" rotation="f" text="f" aspectratio="t"/>
            <w10:wrap type="none"/>
            <w10:anchorlock/>
          </v:shape>
          <o:OLEObject Type="Embed" ProgID="Equation.KSEE3" ShapeID="_x0000_i1030" DrawAspect="Content" ObjectID="_1468075730" r:id="rId19">
            <o:LockedField>false</o:LockedField>
          </o:OLEObject>
        </w:object>
      </w:r>
    </w:p>
    <w:p w14:paraId="35B89A50">
      <w:pPr>
        <w:wordWrap w:val="0"/>
        <w:adjustRightInd w:val="0"/>
        <w:snapToGrid w:val="0"/>
        <w:ind w:firstLine="480" w:firstLineChars="200"/>
        <w:rPr>
          <w:rFonts w:hint="eastAsia" w:ascii="宋体" w:hAnsi="宋体" w:eastAsia="宋体" w:cs="宋体"/>
          <w:snapToGrid w:val="0"/>
          <w:color w:val="auto"/>
          <w:kern w:val="0"/>
          <w:highlight w:val="none"/>
        </w:rPr>
      </w:pPr>
    </w:p>
    <w:p w14:paraId="7DDCA2DA">
      <w:pPr>
        <w:wordWrap w:val="0"/>
        <w:adjustRightInd w:val="0"/>
        <w:snapToGrid w:val="0"/>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snapToGrid w:val="0"/>
          <w:color w:val="auto"/>
          <w:kern w:val="0"/>
          <w:highlight w:val="none"/>
        </w:rPr>
        <w:t>以上公式中，</w:t>
      </w:r>
      <w:r>
        <w:rPr>
          <w:rFonts w:hint="eastAsia" w:ascii="宋体" w:hAnsi="宋体" w:eastAsia="宋体" w:cs="宋体"/>
          <w:bCs/>
          <w:snapToGrid w:val="0"/>
          <w:color w:val="auto"/>
          <w:kern w:val="0"/>
          <w:szCs w:val="28"/>
          <w:highlight w:val="none"/>
        </w:rPr>
        <w:t>F</w:t>
      </w:r>
      <w:r>
        <w:rPr>
          <w:rFonts w:hint="eastAsia" w:ascii="宋体" w:hAnsi="宋体" w:eastAsia="宋体" w:cs="宋体"/>
          <w:bCs/>
          <w:snapToGrid w:val="0"/>
          <w:color w:val="auto"/>
          <w:kern w:val="0"/>
          <w:szCs w:val="28"/>
          <w:highlight w:val="none"/>
          <w:vertAlign w:val="subscript"/>
        </w:rPr>
        <w:t>1</w:t>
      </w:r>
      <w:r>
        <w:rPr>
          <w:rFonts w:hint="eastAsia" w:ascii="宋体" w:hAnsi="宋体" w:eastAsia="宋体" w:cs="宋体"/>
          <w:bCs/>
          <w:snapToGrid w:val="0"/>
          <w:color w:val="auto"/>
          <w:kern w:val="0"/>
          <w:szCs w:val="28"/>
          <w:highlight w:val="none"/>
        </w:rPr>
        <w:t>为中标单价；F</w:t>
      </w:r>
      <w:r>
        <w:rPr>
          <w:rFonts w:hint="eastAsia" w:ascii="宋体" w:hAnsi="宋体" w:eastAsia="宋体" w:cs="宋体"/>
          <w:bCs/>
          <w:snapToGrid w:val="0"/>
          <w:color w:val="auto"/>
          <w:kern w:val="0"/>
          <w:szCs w:val="28"/>
          <w:highlight w:val="none"/>
          <w:vertAlign w:val="subscript"/>
        </w:rPr>
        <w:t>0</w:t>
      </w:r>
      <w:r>
        <w:rPr>
          <w:rFonts w:hint="eastAsia" w:ascii="宋体" w:hAnsi="宋体" w:eastAsia="宋体" w:cs="宋体"/>
          <w:bCs/>
          <w:snapToGrid w:val="0"/>
          <w:color w:val="auto"/>
          <w:kern w:val="0"/>
          <w:szCs w:val="28"/>
          <w:highlight w:val="none"/>
        </w:rPr>
        <w:t>为基准单价；F</w:t>
      </w:r>
      <w:r>
        <w:rPr>
          <w:rFonts w:hint="eastAsia" w:ascii="宋体" w:hAnsi="宋体" w:eastAsia="宋体" w:cs="宋体"/>
          <w:bCs/>
          <w:snapToGrid w:val="0"/>
          <w:color w:val="auto"/>
          <w:kern w:val="0"/>
          <w:szCs w:val="28"/>
          <w:highlight w:val="none"/>
          <w:vertAlign w:val="subscript"/>
        </w:rPr>
        <w:t>2</w:t>
      </w:r>
      <w:r>
        <w:rPr>
          <w:rFonts w:hint="eastAsia" w:ascii="宋体" w:hAnsi="宋体" w:eastAsia="宋体" w:cs="宋体"/>
          <w:bCs/>
          <w:snapToGrid w:val="0"/>
          <w:color w:val="auto"/>
          <w:kern w:val="0"/>
          <w:szCs w:val="28"/>
          <w:highlight w:val="none"/>
        </w:rPr>
        <w:t>为施工当月项目所在地工程造价管理机构发布的材料、工程设备单价；A为合同约定的材料、工程设备单价涨跌风险幅度值。</w:t>
      </w:r>
    </w:p>
    <w:p w14:paraId="2575AFD1">
      <w:pPr>
        <w:wordWrap w:val="0"/>
        <w:adjustRightInd w:val="0"/>
        <w:snapToGrid w:val="0"/>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bCs/>
          <w:snapToGrid w:val="0"/>
          <w:color w:val="auto"/>
          <w:kern w:val="0"/>
          <w:highlight w:val="none"/>
        </w:rPr>
        <w:t>2.3.6.3</w:t>
      </w:r>
      <w:r>
        <w:rPr>
          <w:rFonts w:hint="eastAsia" w:ascii="宋体" w:hAnsi="宋体" w:eastAsia="宋体" w:cs="宋体"/>
          <w:snapToGrid w:val="0"/>
          <w:color w:val="auto"/>
          <w:kern w:val="0"/>
          <w:highlight w:val="none"/>
        </w:rPr>
        <w:t xml:space="preserve"> 合同履行期间，当《发包人提供材料和工程设备一览表》（详见招标工程量清单）中的材料、工程设备单价发生变化时，由发包人按照实际变化调整，并列入合同价款。</w:t>
      </w:r>
    </w:p>
    <w:p w14:paraId="3AB5AB58">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2.3.6.4</w:t>
      </w:r>
      <w:r>
        <w:rPr>
          <w:rFonts w:hint="eastAsia" w:ascii="宋体" w:hAnsi="宋体" w:eastAsia="宋体" w:cs="宋体"/>
          <w:snapToGrid w:val="0"/>
          <w:color w:val="auto"/>
          <w:kern w:val="0"/>
          <w:highlight w:val="none"/>
        </w:rPr>
        <w:t xml:space="preserve"> 本招标项目约定，施工机具台班单价涨跌风险幅度值B为</w:t>
      </w:r>
      <w:r>
        <w:rPr>
          <w:rFonts w:hint="eastAsia" w:ascii="宋体" w:hAnsi="宋体" w:eastAsia="宋体" w:cs="宋体"/>
          <w:snapToGrid w:val="0"/>
          <w:color w:val="auto"/>
          <w:kern w:val="0"/>
          <w:highlight w:val="none"/>
          <w:u w:val="single"/>
        </w:rPr>
        <w:t xml:space="preserve"> 10% </w:t>
      </w:r>
      <w:r>
        <w:rPr>
          <w:rFonts w:hint="eastAsia" w:ascii="宋体" w:hAnsi="宋体" w:eastAsia="宋体" w:cs="宋体"/>
          <w:snapToGrid w:val="0"/>
          <w:color w:val="auto"/>
          <w:kern w:val="0"/>
          <w:highlight w:val="none"/>
        </w:rPr>
        <w:t>。合同履行期间，当施工机具台班单价涨跌幅度等于或低于B值时，该施工机具台班单价不予调整；超过B值时，其超过部分可以调整。相关费用按有关规定进行相应调整。</w:t>
      </w:r>
    </w:p>
    <w:p w14:paraId="0323CFE0">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a</w:t>
      </w:r>
      <w:r>
        <w:rPr>
          <w:rFonts w:hint="eastAsia" w:ascii="宋体" w:hAnsi="宋体" w:eastAsia="宋体" w:cs="宋体"/>
          <w:snapToGrid w:val="0"/>
          <w:color w:val="auto"/>
          <w:kern w:val="0"/>
          <w:highlight w:val="none"/>
        </w:rPr>
        <w:t>．如果承包人投标报价中施工机具台班单价（以下简称“中标单价”）低于基准日当月项目所在地工程造价管理机构发布的对应施工机具台班单价（以下简称“基准单价”），该施工机具台班的结算单价调整公式为：</w:t>
      </w:r>
    </w:p>
    <w:p w14:paraId="3C81BFCF">
      <w:pPr>
        <w:wordWrap w:val="0"/>
        <w:adjustRightInd w:val="0"/>
        <w:snapToGri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涨价时，</w:t>
      </w:r>
      <w:r>
        <w:rPr>
          <w:rFonts w:hint="eastAsia" w:ascii="宋体" w:hAnsi="宋体" w:eastAsia="宋体" w:cs="宋体"/>
          <w:snapToGrid w:val="0"/>
          <w:color w:val="auto"/>
          <w:kern w:val="0"/>
          <w:position w:val="-30"/>
          <w:highlight w:val="none"/>
        </w:rPr>
        <w:object>
          <v:shape id="_x0000_i1031" o:spt="75" type="#_x0000_t75" style="height:33.95pt;width:200.95pt;" o:ole="t" filled="f" o:preferrelative="t" stroked="f" coordsize="21600,21600">
            <v:path/>
            <v:fill on="f" focussize="0,0"/>
            <v:stroke on="f"/>
            <v:imagedata r:id="rId22" o:title=""/>
            <o:lock v:ext="edit" grouping="f" rotation="f" text="f" aspectratio="t"/>
            <w10:wrap type="none"/>
            <w10:anchorlock/>
          </v:shape>
          <o:OLEObject Type="Embed" ProgID="Equation.KSEE3" ShapeID="_x0000_i1031" DrawAspect="Content" ObjectID="_1468075731" r:id="rId21">
            <o:LockedField>false</o:LockedField>
          </o:OLEObject>
        </w:object>
      </w:r>
    </w:p>
    <w:p w14:paraId="24F3C666">
      <w:pPr>
        <w:wordWrap w:val="0"/>
        <w:adjustRightIn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跌价时，</w:t>
      </w:r>
      <w:r>
        <w:rPr>
          <w:rFonts w:hint="eastAsia" w:ascii="宋体" w:hAnsi="宋体" w:eastAsia="宋体" w:cs="宋体"/>
          <w:snapToGrid w:val="0"/>
          <w:color w:val="auto"/>
          <w:kern w:val="0"/>
          <w:position w:val="-30"/>
          <w:highlight w:val="none"/>
        </w:rPr>
        <w:object>
          <v:shape id="_x0000_i1032" o:spt="75" type="#_x0000_t75" style="height:33.95pt;width:198pt;" o:ole="t" filled="f" o:preferrelative="t" stroked="f" coordsize="21600,21600">
            <v:path/>
            <v:fill on="f" focussize="0,0"/>
            <v:stroke on="f"/>
            <v:imagedata r:id="rId24" o:title=""/>
            <o:lock v:ext="edit" grouping="f" rotation="f" text="f" aspectratio="t"/>
            <w10:wrap type="none"/>
            <w10:anchorlock/>
          </v:shape>
          <o:OLEObject Type="Embed" ProgID="Equation.KSEE3" ShapeID="_x0000_i1032" DrawAspect="Content" ObjectID="_1468075732" r:id="rId23">
            <o:LockedField>false</o:LockedField>
          </o:OLEObject>
        </w:object>
      </w:r>
    </w:p>
    <w:p w14:paraId="1460457B">
      <w:pPr>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p>
    <w:p w14:paraId="3269C883">
      <w:pPr>
        <w:wordWrap w:val="0"/>
        <w:adjustRightInd w:val="0"/>
        <w:snapToGrid w:val="0"/>
        <w:spacing w:line="440" w:lineRule="exact"/>
        <w:ind w:firstLine="482" w:firstLineChars="200"/>
        <w:rPr>
          <w:rFonts w:hint="eastAsia" w:ascii="宋体" w:hAnsi="宋体" w:eastAsia="宋体" w:cs="宋体"/>
          <w:strike/>
          <w:color w:val="auto"/>
          <w:sz w:val="20"/>
          <w:highlight w:val="none"/>
        </w:rPr>
      </w:pPr>
      <w:r>
        <w:rPr>
          <w:rFonts w:hint="eastAsia" w:ascii="宋体" w:hAnsi="宋体" w:eastAsia="宋体" w:cs="宋体"/>
          <w:b/>
          <w:bCs/>
          <w:snapToGrid w:val="0"/>
          <w:color w:val="auto"/>
          <w:kern w:val="0"/>
          <w:highlight w:val="none"/>
        </w:rPr>
        <w:t>b</w:t>
      </w:r>
      <w:r>
        <w:rPr>
          <w:rFonts w:hint="eastAsia" w:ascii="宋体" w:hAnsi="宋体" w:eastAsia="宋体" w:cs="宋体"/>
          <w:snapToGrid w:val="0"/>
          <w:color w:val="auto"/>
          <w:kern w:val="0"/>
          <w:highlight w:val="none"/>
        </w:rPr>
        <w:t>．如果中标单价高于基准单价，该施工机具台班的结算单价调整公式为：</w:t>
      </w:r>
    </w:p>
    <w:p w14:paraId="57D68D95">
      <w:pPr>
        <w:wordWrap w:val="0"/>
        <w:adjustRightInd w:val="0"/>
        <w:snapToGri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涨价时，</w:t>
      </w:r>
      <w:r>
        <w:rPr>
          <w:rFonts w:hint="eastAsia" w:ascii="宋体" w:hAnsi="宋体" w:eastAsia="宋体" w:cs="宋体"/>
          <w:snapToGrid w:val="0"/>
          <w:color w:val="auto"/>
          <w:kern w:val="0"/>
          <w:position w:val="-30"/>
          <w:highlight w:val="none"/>
        </w:rPr>
        <w:object>
          <v:shape id="_x0000_i1033" o:spt="75" type="#_x0000_t75" style="height:33.95pt;width:198pt;" o:ole="t" filled="f" o:preferrelative="t" stroked="f" coordsize="21600,21600">
            <v:path/>
            <v:fill on="f" focussize="0,0"/>
            <v:stroke on="f"/>
            <v:imagedata r:id="rId26" o:title=""/>
            <o:lock v:ext="edit" grouping="f" rotation="f" text="f" aspectratio="t"/>
            <w10:wrap type="none"/>
            <w10:anchorlock/>
          </v:shape>
          <o:OLEObject Type="Embed" ProgID="Equation.KSEE3" ShapeID="_x0000_i1033" DrawAspect="Content" ObjectID="_1468075733" r:id="rId25">
            <o:LockedField>false</o:LockedField>
          </o:OLEObject>
        </w:object>
      </w:r>
    </w:p>
    <w:p w14:paraId="6299A897">
      <w:pPr>
        <w:wordWrap w:val="0"/>
        <w:adjustRightIn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跌价时，</w:t>
      </w:r>
      <w:r>
        <w:rPr>
          <w:rFonts w:hint="eastAsia" w:ascii="宋体" w:hAnsi="宋体" w:eastAsia="宋体" w:cs="宋体"/>
          <w:snapToGrid w:val="0"/>
          <w:color w:val="auto"/>
          <w:kern w:val="0"/>
          <w:position w:val="-30"/>
          <w:highlight w:val="none"/>
        </w:rPr>
        <w:object>
          <v:shape id="_x0000_i1034" o:spt="75" type="#_x0000_t75" style="height:33.95pt;width:200.95pt;" o:ole="t" filled="f" o:preferrelative="t" stroked="f" coordsize="21600,21600">
            <v:path/>
            <v:fill on="f" focussize="0,0"/>
            <v:stroke on="f"/>
            <v:imagedata r:id="rId28" o:title=""/>
            <o:lock v:ext="edit" grouping="f" rotation="f" text="f" aspectratio="t"/>
            <w10:wrap type="none"/>
            <w10:anchorlock/>
          </v:shape>
          <o:OLEObject Type="Embed" ProgID="Equation.KSEE3" ShapeID="_x0000_i1034" DrawAspect="Content" ObjectID="_1468075734" r:id="rId27">
            <o:LockedField>false</o:LockedField>
          </o:OLEObject>
        </w:object>
      </w:r>
    </w:p>
    <w:p w14:paraId="2473A848">
      <w:pPr>
        <w:spacing w:line="200" w:lineRule="exact"/>
        <w:rPr>
          <w:rFonts w:hint="eastAsia" w:ascii="宋体" w:hAnsi="宋体" w:eastAsia="宋体" w:cs="宋体"/>
          <w:color w:val="auto"/>
          <w:sz w:val="20"/>
          <w:highlight w:val="none"/>
        </w:rPr>
      </w:pPr>
    </w:p>
    <w:p w14:paraId="2090688D">
      <w:pPr>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c</w:t>
      </w:r>
      <w:r>
        <w:rPr>
          <w:rFonts w:hint="eastAsia" w:ascii="宋体" w:hAnsi="宋体" w:eastAsia="宋体" w:cs="宋体"/>
          <w:snapToGrid w:val="0"/>
          <w:color w:val="auto"/>
          <w:kern w:val="0"/>
          <w:highlight w:val="none"/>
        </w:rPr>
        <w:t>．如果中标单价等于基准单价，该施工机具台班的结算单价调整公式为：</w:t>
      </w:r>
    </w:p>
    <w:p w14:paraId="50407FCC">
      <w:pPr>
        <w:wordWrap w:val="0"/>
        <w:adjustRightInd w:val="0"/>
        <w:snapToGri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涨价时，</w:t>
      </w:r>
      <w:r>
        <w:rPr>
          <w:rFonts w:hint="eastAsia" w:ascii="宋体" w:hAnsi="宋体" w:eastAsia="宋体" w:cs="宋体"/>
          <w:snapToGrid w:val="0"/>
          <w:color w:val="auto"/>
          <w:kern w:val="0"/>
          <w:position w:val="-30"/>
          <w:highlight w:val="none"/>
        </w:rPr>
        <w:object>
          <v:shape id="_x0000_i1035" o:spt="75" type="#_x0000_t75" style="height:33.95pt;width:200.95pt;" o:ole="t" filled="f" o:preferrelative="t" stroked="f" coordsize="21600,21600">
            <v:path/>
            <v:fill on="f" focussize="0,0"/>
            <v:stroke on="f"/>
            <v:imagedata r:id="rId30" o:title=""/>
            <o:lock v:ext="edit" grouping="f" rotation="f" text="f" aspectratio="t"/>
            <w10:wrap type="none"/>
            <w10:anchorlock/>
          </v:shape>
          <o:OLEObject Type="Embed" ProgID="Equation.KSEE3" ShapeID="_x0000_i1035" DrawAspect="Content" ObjectID="_1468075735" r:id="rId29">
            <o:LockedField>false</o:LockedField>
          </o:OLEObject>
        </w:object>
      </w:r>
    </w:p>
    <w:p w14:paraId="6DBD1CDA">
      <w:pPr>
        <w:wordWrap w:val="0"/>
        <w:adjustRightIn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跌价时，</w:t>
      </w:r>
      <w:r>
        <w:rPr>
          <w:rFonts w:hint="eastAsia" w:ascii="宋体" w:hAnsi="宋体" w:eastAsia="宋体" w:cs="宋体"/>
          <w:snapToGrid w:val="0"/>
          <w:color w:val="auto"/>
          <w:kern w:val="0"/>
          <w:position w:val="-30"/>
          <w:highlight w:val="none"/>
        </w:rPr>
        <w:object>
          <v:shape id="_x0000_i1036" o:spt="75" type="#_x0000_t75" style="height:33.95pt;width:200.95pt;" o:ole="t" filled="f" o:preferrelative="t" stroked="f" coordsize="21600,21600">
            <v:path/>
            <v:fill on="f" focussize="0,0"/>
            <v:stroke on="f"/>
            <v:imagedata r:id="rId32" o:title=""/>
            <o:lock v:ext="edit" grouping="f" rotation="f" text="f" aspectratio="t"/>
            <w10:wrap type="none"/>
            <w10:anchorlock/>
          </v:shape>
          <o:OLEObject Type="Embed" ProgID="Equation.KSEE3" ShapeID="_x0000_i1036" DrawAspect="Content" ObjectID="_1468075736" r:id="rId31">
            <o:LockedField>false</o:LockedField>
          </o:OLEObject>
        </w:object>
      </w:r>
    </w:p>
    <w:p w14:paraId="0139BB02">
      <w:pPr>
        <w:wordWrap w:val="0"/>
        <w:adjustRightInd w:val="0"/>
        <w:snapToGrid w:val="0"/>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snapToGrid w:val="0"/>
          <w:color w:val="auto"/>
          <w:kern w:val="0"/>
          <w:highlight w:val="none"/>
        </w:rPr>
        <w:t>以上公式中，</w:t>
      </w:r>
      <w:r>
        <w:rPr>
          <w:rFonts w:hint="eastAsia" w:ascii="宋体" w:hAnsi="宋体" w:eastAsia="宋体" w:cs="宋体"/>
          <w:bCs/>
          <w:snapToGrid w:val="0"/>
          <w:color w:val="auto"/>
          <w:kern w:val="0"/>
          <w:szCs w:val="28"/>
          <w:highlight w:val="none"/>
        </w:rPr>
        <w:t>F</w:t>
      </w:r>
      <w:r>
        <w:rPr>
          <w:rFonts w:hint="eastAsia" w:ascii="宋体" w:hAnsi="宋体" w:eastAsia="宋体" w:cs="宋体"/>
          <w:bCs/>
          <w:snapToGrid w:val="0"/>
          <w:color w:val="auto"/>
          <w:kern w:val="0"/>
          <w:szCs w:val="28"/>
          <w:highlight w:val="none"/>
          <w:vertAlign w:val="subscript"/>
        </w:rPr>
        <w:t>1</w:t>
      </w:r>
      <w:r>
        <w:rPr>
          <w:rFonts w:hint="eastAsia" w:ascii="宋体" w:hAnsi="宋体" w:eastAsia="宋体" w:cs="宋体"/>
          <w:bCs/>
          <w:snapToGrid w:val="0"/>
          <w:color w:val="auto"/>
          <w:kern w:val="0"/>
          <w:szCs w:val="28"/>
          <w:highlight w:val="none"/>
        </w:rPr>
        <w:t>为中标单价；F</w:t>
      </w:r>
      <w:r>
        <w:rPr>
          <w:rFonts w:hint="eastAsia" w:ascii="宋体" w:hAnsi="宋体" w:eastAsia="宋体" w:cs="宋体"/>
          <w:bCs/>
          <w:snapToGrid w:val="0"/>
          <w:color w:val="auto"/>
          <w:kern w:val="0"/>
          <w:szCs w:val="28"/>
          <w:highlight w:val="none"/>
          <w:vertAlign w:val="subscript"/>
        </w:rPr>
        <w:t>0</w:t>
      </w:r>
      <w:r>
        <w:rPr>
          <w:rFonts w:hint="eastAsia" w:ascii="宋体" w:hAnsi="宋体" w:eastAsia="宋体" w:cs="宋体"/>
          <w:bCs/>
          <w:snapToGrid w:val="0"/>
          <w:color w:val="auto"/>
          <w:kern w:val="0"/>
          <w:szCs w:val="28"/>
          <w:highlight w:val="none"/>
        </w:rPr>
        <w:t>为基准单价；F</w:t>
      </w:r>
      <w:r>
        <w:rPr>
          <w:rFonts w:hint="eastAsia" w:ascii="宋体" w:hAnsi="宋体" w:eastAsia="宋体" w:cs="宋体"/>
          <w:bCs/>
          <w:snapToGrid w:val="0"/>
          <w:color w:val="auto"/>
          <w:kern w:val="0"/>
          <w:szCs w:val="28"/>
          <w:highlight w:val="none"/>
          <w:vertAlign w:val="subscript"/>
        </w:rPr>
        <w:t>2</w:t>
      </w:r>
      <w:r>
        <w:rPr>
          <w:rFonts w:hint="eastAsia" w:ascii="宋体" w:hAnsi="宋体" w:eastAsia="宋体" w:cs="宋体"/>
          <w:bCs/>
          <w:snapToGrid w:val="0"/>
          <w:color w:val="auto"/>
          <w:kern w:val="0"/>
          <w:szCs w:val="28"/>
          <w:highlight w:val="none"/>
        </w:rPr>
        <w:t>为施工当月项目所在地工程造价管理机构发布的施工机具台班单价；B为合同约定的施工机具台班单价涨跌风险幅度值。</w:t>
      </w:r>
    </w:p>
    <w:p w14:paraId="2B51DD33">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2.3.7</w:t>
      </w:r>
      <w:r>
        <w:rPr>
          <w:rStyle w:val="22"/>
          <w:rFonts w:hint="eastAsia" w:ascii="宋体" w:hAnsi="宋体" w:eastAsia="宋体" w:cs="宋体"/>
          <w:color w:val="auto"/>
          <w:kern w:val="0"/>
          <w:highlight w:val="none"/>
        </w:rPr>
        <w:t xml:space="preserve"> </w:t>
      </w:r>
      <w:r>
        <w:rPr>
          <w:rStyle w:val="22"/>
          <w:rFonts w:hint="eastAsia" w:hAnsi="宋体" w:eastAsia="宋体" w:cs="宋体"/>
          <w:color w:val="auto"/>
          <w:kern w:val="0"/>
          <w:highlight w:val="none"/>
          <w:lang w:val="en-US" w:eastAsia="zh-CN"/>
        </w:rPr>
        <w:t xml:space="preserve"> </w:t>
      </w:r>
      <w:r>
        <w:rPr>
          <w:rStyle w:val="22"/>
          <w:rFonts w:hint="eastAsia" w:ascii="宋体" w:hAnsi="宋体" w:eastAsia="宋体" w:cs="宋体"/>
          <w:color w:val="auto"/>
          <w:kern w:val="0"/>
          <w:highlight w:val="none"/>
        </w:rPr>
        <w:t>暂估价和暂列金额</w:t>
      </w:r>
    </w:p>
    <w:p w14:paraId="5316929E">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2.3.7.1</w:t>
      </w:r>
      <w:r>
        <w:rPr>
          <w:rStyle w:val="22"/>
          <w:rFonts w:hint="eastAsia" w:ascii="宋体" w:hAnsi="宋体" w:eastAsia="宋体" w:cs="宋体"/>
          <w:color w:val="auto"/>
          <w:kern w:val="0"/>
          <w:highlight w:val="none"/>
        </w:rPr>
        <w:t xml:space="preserve"> 暂估价项目按第一章第三节“投标人须知正文”第</w:t>
      </w:r>
      <w:r>
        <w:rPr>
          <w:rStyle w:val="22"/>
          <w:rFonts w:hint="eastAsia" w:ascii="宋体" w:hAnsi="宋体" w:eastAsia="宋体" w:cs="宋体"/>
          <w:b/>
          <w:bCs/>
          <w:color w:val="auto"/>
          <w:kern w:val="0"/>
          <w:highlight w:val="none"/>
        </w:rPr>
        <w:t>8.5</w:t>
      </w:r>
      <w:r>
        <w:rPr>
          <w:rStyle w:val="22"/>
          <w:rFonts w:hint="eastAsia" w:ascii="宋体" w:hAnsi="宋体" w:eastAsia="宋体" w:cs="宋体"/>
          <w:color w:val="auto"/>
          <w:kern w:val="0"/>
          <w:highlight w:val="none"/>
        </w:rPr>
        <w:t>条的规定确定专业工程承包人（或材料供应商、工程设备供应商）后，将专业工程合同价款（或材料单价、工程设备单价）取代相应暂估价，并调整合同价款。</w:t>
      </w:r>
    </w:p>
    <w:p w14:paraId="45C85747">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2.3.7.2</w:t>
      </w:r>
      <w:r>
        <w:rPr>
          <w:rStyle w:val="22"/>
          <w:rFonts w:hint="eastAsia" w:ascii="宋体" w:hAnsi="宋体" w:eastAsia="宋体" w:cs="宋体"/>
          <w:color w:val="auto"/>
          <w:kern w:val="0"/>
          <w:highlight w:val="none"/>
        </w:rPr>
        <w:t xml:space="preserve"> 暂列金额由发包人掌握和使用。暂列金额项目若有发生，按第一章第三节“投标人须知正文”第</w:t>
      </w:r>
      <w:r>
        <w:rPr>
          <w:rStyle w:val="22"/>
          <w:rFonts w:hint="eastAsia" w:ascii="宋体" w:hAnsi="宋体" w:eastAsia="宋体" w:cs="宋体"/>
          <w:b/>
          <w:bCs/>
          <w:color w:val="auto"/>
          <w:kern w:val="0"/>
          <w:highlight w:val="none"/>
        </w:rPr>
        <w:t>8.6</w:t>
      </w:r>
      <w:r>
        <w:rPr>
          <w:rStyle w:val="22"/>
          <w:rFonts w:hint="eastAsia" w:ascii="宋体" w:hAnsi="宋体" w:eastAsia="宋体" w:cs="宋体"/>
          <w:color w:val="auto"/>
          <w:kern w:val="0"/>
          <w:highlight w:val="none"/>
        </w:rPr>
        <w:t>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w:t>
      </w:r>
    </w:p>
    <w:p w14:paraId="74AD8A74">
      <w:pPr>
        <w:pStyle w:val="30"/>
        <w:ind w:firstLine="48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2.3.8 </w:t>
      </w:r>
      <w:r>
        <w:rPr>
          <w:rFonts w:hint="eastAsia" w:ascii="宋体" w:hAnsi="宋体" w:eastAsia="宋体" w:cs="宋体"/>
          <w:snapToGrid w:val="0"/>
          <w:color w:val="auto"/>
          <w:kern w:val="0"/>
          <w:szCs w:val="28"/>
          <w:highlight w:val="none"/>
        </w:rPr>
        <w:t>预算包干费：</w:t>
      </w:r>
      <w:r>
        <w:rPr>
          <w:rFonts w:hint="eastAsia" w:ascii="宋体" w:hAnsi="宋体" w:eastAsia="宋体" w:cs="宋体"/>
          <w:snapToGrid w:val="0"/>
          <w:color w:val="auto"/>
          <w:kern w:val="0"/>
          <w:szCs w:val="28"/>
          <w:highlight w:val="none"/>
          <w:lang w:val="en-US" w:eastAsia="en-US"/>
        </w:rPr>
        <w:t>根据《市政工程工程量计算标准》（GB/T 50857-2024）、《房屋建筑与装饰工程工程量计算标准》（GB/T 50854-2024）、《通用安装工程工程量计算标准》（GB/T 50856-2024）、《园林绿化工程工程量计算标准》（GB/T 50858-2024），以各专业分部分项的人工费与施工机具费之和为基础计算预算包干费。本工程的预算包干内容包括：按《广东省建设工程计价依据（2024）》相关规定。若发生工程签证变更，应按合同约定计取预算包干费</w:t>
      </w:r>
    </w:p>
    <w:p w14:paraId="4D141C26">
      <w:pPr>
        <w:snapToGrid w:val="0"/>
        <w:ind w:firstLine="602" w:firstLineChars="25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2.3.9</w:t>
      </w:r>
      <w:r>
        <w:rPr>
          <w:rStyle w:val="22"/>
          <w:rFonts w:hint="eastAsia" w:ascii="宋体" w:hAnsi="宋体" w:eastAsia="宋体" w:cs="宋体"/>
          <w:color w:val="auto"/>
          <w:kern w:val="0"/>
          <w:highlight w:val="none"/>
        </w:rPr>
        <w:t xml:space="preserve"> 其余事项（如不可抗力、索赔、现场签证等）的调整原则按照</w:t>
      </w:r>
      <w:r>
        <w:rPr>
          <w:rFonts w:hint="eastAsia" w:ascii="宋体" w:hAnsi="宋体" w:eastAsia="宋体" w:cs="宋体"/>
          <w:color w:val="auto"/>
          <w:kern w:val="0"/>
          <w:highlight w:val="none"/>
        </w:rPr>
        <w:t>《建设工程工程量清单计价标准》（GB/T 50500-2024）</w:t>
      </w:r>
      <w:r>
        <w:rPr>
          <w:rStyle w:val="22"/>
          <w:rFonts w:hint="eastAsia" w:ascii="宋体" w:hAnsi="宋体" w:eastAsia="宋体" w:cs="宋体"/>
          <w:color w:val="auto"/>
          <w:kern w:val="0"/>
          <w:highlight w:val="none"/>
        </w:rPr>
        <w:t>有关规定执行。</w:t>
      </w:r>
    </w:p>
    <w:p w14:paraId="246A0C47">
      <w:pPr>
        <w:snapToGrid w:val="0"/>
        <w:ind w:firstLine="602" w:firstLineChars="25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2.4</w:t>
      </w:r>
      <w:r>
        <w:rPr>
          <w:rStyle w:val="22"/>
          <w:rFonts w:hint="eastAsia" w:ascii="宋体" w:hAnsi="宋体" w:eastAsia="宋体" w:cs="宋体"/>
          <w:color w:val="auto"/>
          <w:kern w:val="0"/>
          <w:highlight w:val="none"/>
        </w:rPr>
        <w:t xml:space="preserve"> 凡将引起合同价款调增的事项，承包人必须于拟实施14天前，将详细的报价书（含拟实施</w:t>
      </w:r>
      <w:r>
        <w:rPr>
          <w:rStyle w:val="22"/>
          <w:rFonts w:hint="eastAsia" w:hAnsi="宋体" w:cs="宋体"/>
          <w:color w:val="auto"/>
          <w:kern w:val="0"/>
          <w:highlight w:val="none"/>
          <w:lang w:eastAsia="zh-CN"/>
        </w:rPr>
        <w:t>工程名称</w:t>
      </w:r>
      <w:r>
        <w:rPr>
          <w:rStyle w:val="22"/>
          <w:rFonts w:hint="eastAsia" w:ascii="宋体" w:hAnsi="宋体" w:eastAsia="宋体" w:cs="宋体"/>
          <w:color w:val="auto"/>
          <w:kern w:val="0"/>
          <w:highlight w:val="none"/>
        </w:rPr>
        <w:t>、变更部位、理由、预计造价等）报监理单位审核和发包人批准后方可实施。</w:t>
      </w:r>
    </w:p>
    <w:p w14:paraId="045A80C8">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2.5</w:t>
      </w:r>
      <w:r>
        <w:rPr>
          <w:rStyle w:val="22"/>
          <w:rFonts w:hint="eastAsia" w:ascii="宋体" w:hAnsi="宋体" w:eastAsia="宋体" w:cs="宋体"/>
          <w:color w:val="auto"/>
          <w:kern w:val="0"/>
          <w:highlight w:val="none"/>
        </w:rPr>
        <w:t xml:space="preserve"> 承包人不得以不完全了解现场情况为理由，提出额外付款或延长工期等要求。对此类要求，发包人不作任何考虑及答复。</w:t>
      </w:r>
    </w:p>
    <w:p w14:paraId="1FE1EE54">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2.6</w:t>
      </w:r>
      <w:r>
        <w:rPr>
          <w:rStyle w:val="22"/>
          <w:rFonts w:hint="eastAsia" w:ascii="宋体" w:hAnsi="宋体" w:eastAsia="宋体" w:cs="宋体"/>
          <w:color w:val="auto"/>
          <w:kern w:val="0"/>
          <w:highlight w:val="none"/>
        </w:rPr>
        <w:t xml:space="preserve"> 承包人已标价工程量清单中漏报、错报或少报的清单项目，其价格均视为已经包含在其它清单项目中，竣工结算时不得重新组价和调整。</w:t>
      </w:r>
    </w:p>
    <w:p w14:paraId="12AD275E">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2.7</w:t>
      </w:r>
      <w:r>
        <w:rPr>
          <w:rStyle w:val="22"/>
          <w:rFonts w:hint="eastAsia" w:ascii="宋体" w:hAnsi="宋体" w:eastAsia="宋体" w:cs="宋体"/>
          <w:color w:val="auto"/>
          <w:kern w:val="0"/>
          <w:highlight w:val="none"/>
        </w:rPr>
        <w:t xml:space="preserve"> 工程完工后，发、承包双方和受其委托具备相应资质的工程造价咨询单位必须按照</w:t>
      </w:r>
      <w:r>
        <w:rPr>
          <w:rFonts w:hint="eastAsia" w:ascii="宋体" w:hAnsi="宋体" w:eastAsia="宋体" w:cs="宋体"/>
          <w:color w:val="auto"/>
          <w:kern w:val="0"/>
          <w:highlight w:val="none"/>
        </w:rPr>
        <w:t>《建设工程工程量清单计价标准》（GB/T 50500-2024）</w:t>
      </w:r>
      <w:r>
        <w:rPr>
          <w:rStyle w:val="22"/>
          <w:rFonts w:hint="eastAsia" w:ascii="宋体" w:hAnsi="宋体" w:eastAsia="宋体" w:cs="宋体"/>
          <w:color w:val="auto"/>
          <w:kern w:val="0"/>
          <w:highlight w:val="none"/>
        </w:rPr>
        <w:t>和国家、省、市的有关规定办理竣工结算。</w:t>
      </w:r>
    </w:p>
    <w:p w14:paraId="7EAF6E53">
      <w:pPr>
        <w:wordWrap w:val="0"/>
        <w:adjustRightInd w:val="0"/>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2.8</w:t>
      </w:r>
      <w:r>
        <w:rPr>
          <w:rStyle w:val="22"/>
          <w:rFonts w:hint="eastAsia" w:ascii="宋体" w:hAnsi="宋体" w:eastAsia="宋体" w:cs="宋体"/>
          <w:color w:val="auto"/>
          <w:kern w:val="0"/>
          <w:highlight w:val="none"/>
        </w:rPr>
        <w:t xml:space="preserve">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28C9EFCB">
      <w:pPr>
        <w:wordWrap w:val="0"/>
        <w:adjustRightInd w:val="0"/>
        <w:snapToGrid w:val="0"/>
        <w:ind w:firstLine="482" w:firstLineChars="200"/>
        <w:rPr>
          <w:rFonts w:hint="eastAsia" w:ascii="宋体" w:hAnsi="宋体" w:eastAsia="宋体" w:cs="宋体"/>
          <w:b/>
          <w:snapToGrid w:val="0"/>
          <w:color w:val="auto"/>
          <w:kern w:val="0"/>
          <w:szCs w:val="28"/>
          <w:highlight w:val="none"/>
        </w:rPr>
      </w:pPr>
      <w:r>
        <w:rPr>
          <w:rFonts w:hint="eastAsia" w:ascii="宋体" w:hAnsi="宋体" w:eastAsia="宋体" w:cs="宋体"/>
          <w:b/>
          <w:bCs/>
          <w:snapToGrid w:val="0"/>
          <w:color w:val="auto"/>
          <w:kern w:val="0"/>
          <w:highlight w:val="none"/>
        </w:rPr>
        <w:t>2.9</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暂列金</w:t>
      </w:r>
      <w:r>
        <w:rPr>
          <w:rFonts w:hint="eastAsia" w:hAnsi="宋体" w:eastAsia="宋体" w:cs="宋体"/>
          <w:snapToGrid w:val="0"/>
          <w:color w:val="auto"/>
          <w:kern w:val="0"/>
          <w:highlight w:val="none"/>
          <w:lang w:val="en-US" w:eastAsia="zh-CN"/>
        </w:rPr>
        <w:t>额</w:t>
      </w:r>
      <w:r>
        <w:rPr>
          <w:rFonts w:hint="eastAsia" w:ascii="宋体" w:hAnsi="宋体" w:eastAsia="宋体" w:cs="宋体"/>
          <w:snapToGrid w:val="0"/>
          <w:color w:val="auto"/>
          <w:kern w:val="0"/>
          <w:highlight w:val="none"/>
        </w:rPr>
        <w:t>的结算原则：暂列金</w:t>
      </w:r>
      <w:r>
        <w:rPr>
          <w:rFonts w:hint="eastAsia" w:hAnsi="宋体" w:eastAsia="宋体" w:cs="宋体"/>
          <w:snapToGrid w:val="0"/>
          <w:color w:val="auto"/>
          <w:kern w:val="0"/>
          <w:highlight w:val="none"/>
          <w:lang w:val="en-US" w:eastAsia="zh-CN"/>
        </w:rPr>
        <w:t>额</w:t>
      </w:r>
      <w:r>
        <w:rPr>
          <w:rFonts w:hint="eastAsia" w:ascii="宋体" w:hAnsi="宋体" w:eastAsia="宋体" w:cs="宋体"/>
          <w:b/>
          <w:snapToGrid w:val="0"/>
          <w:color w:val="auto"/>
          <w:kern w:val="0"/>
          <w:highlight w:val="none"/>
        </w:rPr>
        <w:t>由发包人掌握使用。</w:t>
      </w:r>
      <w:r>
        <w:rPr>
          <w:rFonts w:hint="eastAsia" w:ascii="宋体" w:hAnsi="宋体" w:eastAsia="宋体" w:cs="宋体"/>
          <w:snapToGrid w:val="0"/>
          <w:color w:val="auto"/>
          <w:kern w:val="0"/>
          <w:highlight w:val="none"/>
        </w:rPr>
        <w:t>工程合同履行期间，由于发包人的要求（注：必须要有发包人的书面通知）导致发生设计变更或合同约定调整因素出现时的工程价款调整以及发生的索赔、现场签证等，其工程量按实调整，其造价调整按本章“2.工程结算原则”有关条款进行调整。暂列金</w:t>
      </w:r>
      <w:r>
        <w:rPr>
          <w:rFonts w:hint="eastAsia" w:hAnsi="宋体" w:eastAsia="宋体" w:cs="宋体"/>
          <w:snapToGrid w:val="0"/>
          <w:color w:val="auto"/>
          <w:kern w:val="0"/>
          <w:highlight w:val="none"/>
          <w:lang w:val="en-US" w:eastAsia="zh-CN"/>
        </w:rPr>
        <w:t>额</w:t>
      </w:r>
      <w:r>
        <w:rPr>
          <w:rFonts w:hint="eastAsia" w:ascii="宋体" w:hAnsi="宋体" w:eastAsia="宋体" w:cs="宋体"/>
          <w:snapToGrid w:val="0"/>
          <w:color w:val="auto"/>
          <w:kern w:val="0"/>
          <w:highlight w:val="none"/>
        </w:rPr>
        <w:t>如有余额归发包人。暂列金</w:t>
      </w:r>
      <w:r>
        <w:rPr>
          <w:rFonts w:hint="eastAsia" w:hAnsi="宋体" w:eastAsia="宋体" w:cs="宋体"/>
          <w:snapToGrid w:val="0"/>
          <w:color w:val="auto"/>
          <w:kern w:val="0"/>
          <w:highlight w:val="none"/>
          <w:lang w:val="en-US" w:eastAsia="zh-CN"/>
        </w:rPr>
        <w:t>额</w:t>
      </w:r>
      <w:r>
        <w:rPr>
          <w:rFonts w:hint="eastAsia" w:ascii="宋体" w:hAnsi="宋体" w:eastAsia="宋体" w:cs="宋体"/>
          <w:snapToGrid w:val="0"/>
          <w:color w:val="auto"/>
          <w:kern w:val="0"/>
          <w:highlight w:val="none"/>
        </w:rPr>
        <w:t>用于以下情形：（1）施工中可能发生的工程变更、合同约定调整因素出现时的工程价款调整以及发生的索赔、现场签证确认等的费用。（2）国家政策性人工价差调整；（3）当合同履行期间，因人工、材料、工程设备、机械台班价格波动影响合同价款时，引起工程所在地工程造价管理机构发布的价格信息中材料、工程设备价格（指钢材、商品砼、水泥、砂、石等主要材料及工程设备）变化超过5%或施工机械使用费变化超过10%时，招标人或中标人材料价格可调整5%以外的部分、施工机械使用费可调整10%以外的部分。（4）施工合同签订时尚未确定或者不可预见的所需材料、设备、服务的采购。（5）本章第</w:t>
      </w:r>
      <w:r>
        <w:rPr>
          <w:rStyle w:val="22"/>
          <w:rFonts w:hint="eastAsia" w:ascii="宋体" w:hAnsi="宋体" w:eastAsia="宋体" w:cs="宋体"/>
          <w:bCs/>
          <w:color w:val="auto"/>
          <w:kern w:val="0"/>
          <w:highlight w:val="none"/>
        </w:rPr>
        <w:t>2.3.7.2条规定的情形。</w:t>
      </w:r>
      <w:r>
        <w:rPr>
          <w:rFonts w:hint="eastAsia" w:ascii="宋体" w:hAnsi="宋体" w:eastAsia="宋体" w:cs="宋体"/>
          <w:snapToGrid w:val="0"/>
          <w:color w:val="auto"/>
          <w:kern w:val="0"/>
          <w:highlight w:val="none"/>
        </w:rPr>
        <w:t>结算时按实际发生根据本章“2.工程结算原则”有关条款进行结算。</w:t>
      </w:r>
      <w:r>
        <w:rPr>
          <w:rFonts w:hint="eastAsia" w:ascii="宋体" w:hAnsi="宋体" w:eastAsia="宋体" w:cs="宋体"/>
          <w:b/>
          <w:snapToGrid w:val="0"/>
          <w:color w:val="auto"/>
          <w:kern w:val="0"/>
          <w:szCs w:val="28"/>
          <w:highlight w:val="none"/>
        </w:rPr>
        <w:t>不发生时不计入结算总价。</w:t>
      </w:r>
    </w:p>
    <w:p w14:paraId="2DC2FB38">
      <w:pPr>
        <w:wordWrap w:val="0"/>
        <w:adjustRightInd w:val="0"/>
        <w:snapToGrid w:val="0"/>
        <w:ind w:firstLine="480" w:firstLineChars="200"/>
        <w:rPr>
          <w:rFonts w:hint="eastAsia"/>
          <w:color w:val="auto"/>
          <w:highlight w:val="none"/>
        </w:rPr>
      </w:pPr>
      <w:r>
        <w:rPr>
          <w:rStyle w:val="22"/>
          <w:rFonts w:hint="eastAsia" w:hAnsi="宋体"/>
          <w:color w:val="auto"/>
          <w:kern w:val="0"/>
          <w:highlight w:val="none"/>
        </w:rPr>
        <w:t>以上暂列金</w:t>
      </w:r>
      <w:r>
        <w:rPr>
          <w:rStyle w:val="22"/>
          <w:rFonts w:hint="eastAsia" w:hAnsi="宋体"/>
          <w:color w:val="auto"/>
          <w:kern w:val="0"/>
          <w:highlight w:val="none"/>
          <w:lang w:val="en-US" w:eastAsia="zh-CN"/>
        </w:rPr>
        <w:t>额</w:t>
      </w:r>
      <w:r>
        <w:rPr>
          <w:rStyle w:val="22"/>
          <w:rFonts w:hint="eastAsia" w:hAnsi="宋体"/>
          <w:color w:val="auto"/>
          <w:kern w:val="0"/>
          <w:highlight w:val="none"/>
        </w:rPr>
        <w:t>使用情形中，如属于南雄市人民政府办公室《关于加强市本级政府投资项目财政投资评审监督管理的实施意见》（雄府办函﹝2023﹞5号）规定的纳入工程变更范畴的，须按照南雄市人民政府办公室《关于加强市本级政府投资项目财政投资评审监督管理的实施意见》（雄府办函﹝2023﹞5号）</w:t>
      </w:r>
      <w:r>
        <w:rPr>
          <w:rFonts w:hint="eastAsia" w:hAnsi="宋体"/>
          <w:color w:val="auto"/>
          <w:highlight w:val="none"/>
        </w:rPr>
        <w:t>的规定执行。</w:t>
      </w:r>
    </w:p>
    <w:p w14:paraId="3643C6F7">
      <w:pPr>
        <w:pStyle w:val="26"/>
        <w:snapToGrid w:val="0"/>
        <w:ind w:firstLine="480"/>
        <w:jc w:val="both"/>
        <w:outlineLvl w:val="1"/>
        <w:rPr>
          <w:rStyle w:val="22"/>
          <w:rFonts w:hint="eastAsia" w:ascii="宋体" w:hAnsi="宋体" w:eastAsia="宋体" w:cs="宋体"/>
          <w:b/>
          <w:bCs/>
          <w:color w:val="auto"/>
          <w:highlight w:val="none"/>
        </w:rPr>
      </w:pPr>
      <w:bookmarkStart w:id="284" w:name="_Toc3686"/>
      <w:bookmarkStart w:id="285" w:name="_Toc10867"/>
      <w:bookmarkStart w:id="286" w:name="_Toc9554"/>
      <w:bookmarkStart w:id="287" w:name="_Toc23669"/>
      <w:bookmarkStart w:id="288" w:name="_Toc11925"/>
      <w:bookmarkStart w:id="289" w:name="_Toc5071"/>
      <w:bookmarkStart w:id="290" w:name="_Toc14683"/>
      <w:bookmarkStart w:id="291" w:name="_Toc10938"/>
      <w:bookmarkStart w:id="292" w:name="_Toc9441"/>
      <w:bookmarkStart w:id="293" w:name="_Toc15011"/>
      <w:r>
        <w:rPr>
          <w:rStyle w:val="22"/>
          <w:rFonts w:hint="eastAsia" w:ascii="宋体" w:hAnsi="宋体" w:eastAsia="宋体" w:cs="宋体"/>
          <w:b/>
          <w:bCs/>
          <w:color w:val="auto"/>
          <w:highlight w:val="none"/>
        </w:rPr>
        <w:t>3. 工程付款办法</w:t>
      </w:r>
      <w:bookmarkEnd w:id="284"/>
      <w:bookmarkEnd w:id="285"/>
      <w:bookmarkEnd w:id="286"/>
      <w:bookmarkEnd w:id="287"/>
      <w:bookmarkEnd w:id="288"/>
      <w:bookmarkEnd w:id="289"/>
      <w:bookmarkEnd w:id="290"/>
      <w:bookmarkEnd w:id="291"/>
      <w:bookmarkEnd w:id="292"/>
      <w:bookmarkEnd w:id="293"/>
    </w:p>
    <w:p w14:paraId="0C2E0CCF">
      <w:pPr>
        <w:ind w:firstLine="472" w:firstLineChars="196"/>
        <w:rPr>
          <w:rStyle w:val="22"/>
          <w:rFonts w:hint="eastAsia" w:ascii="宋体" w:hAnsi="宋体" w:eastAsia="宋体" w:cs="宋体"/>
          <w:color w:val="auto"/>
          <w:kern w:val="1"/>
          <w:highlight w:val="none"/>
        </w:rPr>
      </w:pPr>
      <w:r>
        <w:rPr>
          <w:rStyle w:val="22"/>
          <w:rFonts w:hint="eastAsia" w:ascii="宋体" w:hAnsi="宋体" w:eastAsia="宋体" w:cs="宋体"/>
          <w:b/>
          <w:bCs/>
          <w:color w:val="auto"/>
          <w:kern w:val="1"/>
          <w:highlight w:val="none"/>
        </w:rPr>
        <w:t>3.1</w:t>
      </w:r>
      <w:r>
        <w:rPr>
          <w:rStyle w:val="22"/>
          <w:rFonts w:hint="eastAsia" w:ascii="宋体" w:hAnsi="宋体" w:eastAsia="宋体" w:cs="宋体"/>
          <w:color w:val="auto"/>
          <w:kern w:val="1"/>
          <w:highlight w:val="none"/>
        </w:rPr>
        <w:t>本项目</w:t>
      </w:r>
      <w:r>
        <w:rPr>
          <w:rStyle w:val="22"/>
          <w:rFonts w:hint="eastAsia" w:ascii="宋体" w:hAnsi="宋体" w:eastAsia="宋体" w:cs="宋体"/>
          <w:color w:val="auto"/>
          <w:kern w:val="1"/>
          <w:highlight w:val="none"/>
          <w:u w:val="single"/>
        </w:rPr>
        <w:t>支付</w:t>
      </w:r>
      <w:r>
        <w:rPr>
          <w:rStyle w:val="22"/>
          <w:rFonts w:hint="eastAsia" w:ascii="宋体" w:hAnsi="宋体" w:eastAsia="宋体" w:cs="宋体"/>
          <w:color w:val="auto"/>
          <w:kern w:val="1"/>
          <w:highlight w:val="none"/>
        </w:rPr>
        <w:t>施工预付款。</w:t>
      </w:r>
    </w:p>
    <w:p w14:paraId="431D1AD9">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1"/>
          <w:highlight w:val="none"/>
        </w:rPr>
        <w:t xml:space="preserve">3.2 </w:t>
      </w:r>
      <w:r>
        <w:rPr>
          <w:rStyle w:val="22"/>
          <w:rFonts w:hint="eastAsia" w:ascii="宋体" w:hAnsi="宋体" w:eastAsia="宋体" w:cs="宋体"/>
          <w:color w:val="auto"/>
          <w:kern w:val="0"/>
          <w:highlight w:val="none"/>
        </w:rPr>
        <w:t>施工预付款必须专用于合同工程，并按以下原则支付和抵扣：</w:t>
      </w:r>
    </w:p>
    <w:p w14:paraId="07D00694">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3.2.1</w:t>
      </w:r>
      <w:r>
        <w:rPr>
          <w:rStyle w:val="22"/>
          <w:rFonts w:hint="eastAsia" w:ascii="宋体" w:hAnsi="宋体" w:eastAsia="宋体" w:cs="宋体"/>
          <w:color w:val="auto"/>
          <w:kern w:val="0"/>
          <w:highlight w:val="none"/>
        </w:rPr>
        <w:t xml:space="preserve"> 施工预付款支付比例为：按施工合同价</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eastAsia="zh-CN"/>
        </w:rPr>
        <w:t>暂列金额、专业工程暂估价、</w:t>
      </w:r>
      <w:r>
        <w:rPr>
          <w:rFonts w:hint="eastAsia" w:ascii="宋体" w:hAnsi="宋体" w:eastAsia="宋体" w:cs="宋体"/>
          <w:snapToGrid w:val="0"/>
          <w:color w:val="auto"/>
          <w:kern w:val="0"/>
          <w:highlight w:val="none"/>
          <w:lang w:val="en-US" w:eastAsia="zh-CN"/>
        </w:rPr>
        <w:t>安全生产措施费除外</w:t>
      </w:r>
      <w:r>
        <w:rPr>
          <w:rFonts w:hint="eastAsia" w:ascii="宋体" w:hAnsi="宋体" w:eastAsia="宋体" w:cs="宋体"/>
          <w:snapToGrid w:val="0"/>
          <w:color w:val="auto"/>
          <w:kern w:val="0"/>
          <w:highlight w:val="none"/>
        </w:rPr>
        <w:t>）</w:t>
      </w:r>
      <w:r>
        <w:rPr>
          <w:rStyle w:val="22"/>
          <w:rFonts w:hint="eastAsia" w:ascii="宋体" w:hAnsi="宋体" w:eastAsia="宋体" w:cs="宋体"/>
          <w:color w:val="auto"/>
          <w:kern w:val="0"/>
          <w:highlight w:val="none"/>
        </w:rPr>
        <w:t>的</w:t>
      </w:r>
      <w:r>
        <w:rPr>
          <w:rStyle w:val="22"/>
          <w:rFonts w:hint="eastAsia" w:hAnsi="宋体" w:cs="宋体"/>
          <w:color w:val="auto"/>
          <w:kern w:val="0"/>
          <w:highlight w:val="none"/>
          <w:u w:val="single"/>
          <w:lang w:val="en-US" w:eastAsia="zh-CN"/>
        </w:rPr>
        <w:t>3</w:t>
      </w:r>
      <w:r>
        <w:rPr>
          <w:rStyle w:val="22"/>
          <w:rFonts w:hint="eastAsia" w:ascii="宋体" w:hAnsi="宋体" w:eastAsia="宋体" w:cs="宋体"/>
          <w:color w:val="auto"/>
          <w:kern w:val="0"/>
          <w:highlight w:val="none"/>
          <w:u w:val="single"/>
        </w:rPr>
        <w:t>0%</w:t>
      </w:r>
      <w:r>
        <w:rPr>
          <w:rStyle w:val="22"/>
          <w:rFonts w:hint="eastAsia" w:ascii="宋体" w:hAnsi="宋体" w:eastAsia="宋体" w:cs="宋体"/>
          <w:color w:val="auto"/>
          <w:kern w:val="0"/>
          <w:highlight w:val="none"/>
        </w:rPr>
        <w:t>支付。施工预付款中包含工人工资预付款，其中工人工资预付款比例为施工合同价（暂列金</w:t>
      </w:r>
      <w:r>
        <w:rPr>
          <w:rStyle w:val="22"/>
          <w:rFonts w:hint="eastAsia" w:ascii="宋体" w:hAnsi="宋体" w:eastAsia="宋体" w:cs="宋体"/>
          <w:color w:val="auto"/>
          <w:kern w:val="0"/>
          <w:highlight w:val="none"/>
          <w:lang w:val="en-US" w:eastAsia="zh-CN"/>
        </w:rPr>
        <w:t>额</w:t>
      </w:r>
      <w:r>
        <w:rPr>
          <w:rStyle w:val="22"/>
          <w:rFonts w:hint="eastAsia" w:ascii="宋体" w:hAnsi="宋体" w:eastAsia="宋体" w:cs="宋体"/>
          <w:color w:val="auto"/>
          <w:kern w:val="0"/>
          <w:highlight w:val="none"/>
        </w:rPr>
        <w:t>除外）的</w:t>
      </w:r>
      <w:r>
        <w:rPr>
          <w:rStyle w:val="22"/>
          <w:rFonts w:hint="eastAsia" w:hAnsi="宋体" w:cs="宋体"/>
          <w:color w:val="auto"/>
          <w:kern w:val="0"/>
          <w:highlight w:val="none"/>
          <w:lang w:val="en-US" w:eastAsia="zh-CN"/>
        </w:rPr>
        <w:t>5</w:t>
      </w:r>
      <w:r>
        <w:rPr>
          <w:rStyle w:val="22"/>
          <w:rFonts w:hint="eastAsia" w:ascii="宋体" w:hAnsi="宋体" w:eastAsia="宋体" w:cs="宋体"/>
          <w:color w:val="auto"/>
          <w:kern w:val="0"/>
          <w:highlight w:val="none"/>
        </w:rPr>
        <w:t>%。</w:t>
      </w:r>
    </w:p>
    <w:p w14:paraId="66FB2004">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3.2.2</w:t>
      </w:r>
      <w:r>
        <w:rPr>
          <w:rStyle w:val="22"/>
          <w:rFonts w:hint="eastAsia" w:ascii="宋体" w:hAnsi="宋体" w:eastAsia="宋体" w:cs="宋体"/>
          <w:color w:val="auto"/>
          <w:kern w:val="0"/>
          <w:highlight w:val="none"/>
        </w:rPr>
        <w:t xml:space="preserve"> 本项目</w:t>
      </w:r>
      <w:r>
        <w:rPr>
          <w:rStyle w:val="22"/>
          <w:rFonts w:hint="eastAsia" w:ascii="宋体" w:hAnsi="宋体" w:eastAsia="宋体" w:cs="宋体"/>
          <w:color w:val="auto"/>
          <w:kern w:val="0"/>
          <w:highlight w:val="none"/>
          <w:u w:val="single"/>
        </w:rPr>
        <w:t>要求</w:t>
      </w:r>
      <w:r>
        <w:rPr>
          <w:rStyle w:val="22"/>
          <w:rFonts w:hint="eastAsia" w:ascii="宋体" w:hAnsi="宋体" w:eastAsia="宋体" w:cs="宋体"/>
          <w:color w:val="auto"/>
          <w:kern w:val="0"/>
          <w:highlight w:val="none"/>
        </w:rPr>
        <w:t>承包人提供与预付款等额的预付款保函</w:t>
      </w:r>
      <w:r>
        <w:rPr>
          <w:rFonts w:hint="eastAsia" w:ascii="宋体" w:hAnsi="宋体" w:eastAsia="宋体" w:cs="宋体"/>
          <w:snapToGrid w:val="0"/>
          <w:color w:val="auto"/>
          <w:kern w:val="0"/>
          <w:highlight w:val="none"/>
        </w:rPr>
        <w:t>（预付款银行保函须按发包人提供的格式，详见附件一：预付款保函），</w:t>
      </w:r>
      <w:r>
        <w:rPr>
          <w:rFonts w:hint="eastAsia" w:ascii="宋体" w:hAnsi="宋体" w:eastAsia="宋体" w:cs="宋体"/>
          <w:b/>
          <w:snapToGrid w:val="0"/>
          <w:color w:val="auto"/>
          <w:kern w:val="0"/>
          <w:highlight w:val="none"/>
        </w:rPr>
        <w:t>且本工程预付款保函期限原则上不少于6个月，承包人的预付款保函有效期应保证在扣回预付款前有效，未扣回预付款但保函过期的，承包人应重新开具预付款保函。</w:t>
      </w:r>
    </w:p>
    <w:p w14:paraId="26730B5B">
      <w:pPr>
        <w:snapToGrid w:val="0"/>
        <w:ind w:firstLine="482" w:firstLineChars="20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3.2.3</w:t>
      </w:r>
      <w:r>
        <w:rPr>
          <w:rStyle w:val="22"/>
          <w:rFonts w:hint="eastAsia" w:ascii="宋体" w:hAnsi="宋体" w:eastAsia="宋体" w:cs="宋体"/>
          <w:color w:val="auto"/>
          <w:kern w:val="0"/>
          <w:highlight w:val="none"/>
        </w:rPr>
        <w:t xml:space="preserve"> 承包人应在签订合同后，</w:t>
      </w:r>
      <w:r>
        <w:rPr>
          <w:rFonts w:hint="eastAsia" w:ascii="宋体" w:hAnsi="宋体" w:eastAsia="宋体" w:cs="宋体"/>
          <w:bCs/>
          <w:snapToGrid w:val="0"/>
          <w:color w:val="auto"/>
          <w:highlight w:val="none"/>
        </w:rPr>
        <w:t>在提供符合要求的预付款保函及</w:t>
      </w:r>
      <w:r>
        <w:rPr>
          <w:rFonts w:hint="eastAsia" w:ascii="宋体" w:hAnsi="宋体" w:eastAsia="宋体" w:cs="宋体"/>
          <w:snapToGrid w:val="0"/>
          <w:color w:val="auto"/>
          <w:kern w:val="0"/>
          <w:highlight w:val="none"/>
        </w:rPr>
        <w:t>在具备施工条件的前提下，</w:t>
      </w:r>
      <w:r>
        <w:rPr>
          <w:rStyle w:val="22"/>
          <w:rFonts w:hint="eastAsia" w:ascii="宋体" w:hAnsi="宋体" w:eastAsia="宋体" w:cs="宋体"/>
          <w:color w:val="auto"/>
          <w:kern w:val="0"/>
          <w:highlight w:val="none"/>
        </w:rPr>
        <w:t>向发包人提交预付款支付申请。发包人应对在收到支付申请的7天内进行核实后</w:t>
      </w:r>
      <w:r>
        <w:rPr>
          <w:rFonts w:hint="eastAsia" w:ascii="宋体" w:hAnsi="宋体" w:eastAsia="宋体" w:cs="宋体"/>
          <w:snapToGrid w:val="0"/>
          <w:color w:val="auto"/>
          <w:kern w:val="0"/>
          <w:highlight w:val="none"/>
        </w:rPr>
        <w:t>，按程序向财政部门申请一次性支付预付款</w:t>
      </w:r>
      <w:r>
        <w:rPr>
          <w:rStyle w:val="22"/>
          <w:rFonts w:hint="eastAsia" w:ascii="宋体" w:hAnsi="宋体" w:eastAsia="宋体" w:cs="宋体"/>
          <w:color w:val="auto"/>
          <w:kern w:val="0"/>
          <w:highlight w:val="none"/>
        </w:rPr>
        <w:t>（</w:t>
      </w:r>
      <w:r>
        <w:rPr>
          <w:rStyle w:val="22"/>
          <w:rFonts w:hint="eastAsia" w:ascii="宋体" w:hAnsi="宋体" w:eastAsia="宋体" w:cs="宋体"/>
          <w:color w:val="auto"/>
          <w:kern w:val="0"/>
          <w:highlight w:val="none"/>
          <w:lang w:val="en-US" w:eastAsia="zh-CN"/>
        </w:rPr>
        <w:t>其中</w:t>
      </w:r>
      <w:r>
        <w:rPr>
          <w:rStyle w:val="22"/>
          <w:rFonts w:hint="eastAsia" w:ascii="宋体" w:hAnsi="宋体" w:eastAsia="宋体" w:cs="宋体"/>
          <w:color w:val="auto"/>
          <w:kern w:val="0"/>
          <w:highlight w:val="none"/>
        </w:rPr>
        <w:t>工人工资预付款单独支付至工人工资专用账户）。</w:t>
      </w:r>
      <w:r>
        <w:rPr>
          <w:rFonts w:hint="eastAsia" w:ascii="宋体" w:hAnsi="宋体" w:eastAsia="宋体" w:cs="宋体"/>
          <w:b/>
          <w:snapToGrid w:val="0"/>
          <w:color w:val="auto"/>
          <w:kern w:val="0"/>
          <w:highlight w:val="none"/>
        </w:rPr>
        <w:t>凡未签订合同、未提供预付款保函或不具备施工条件的工程，发包人不预付工程款</w:t>
      </w:r>
      <w:r>
        <w:rPr>
          <w:rStyle w:val="22"/>
          <w:rFonts w:hint="eastAsia" w:ascii="宋体" w:hAnsi="宋体" w:eastAsia="宋体" w:cs="宋体"/>
          <w:b/>
          <w:bCs/>
          <w:color w:val="auto"/>
          <w:kern w:val="0"/>
          <w:highlight w:val="none"/>
        </w:rPr>
        <w:t>。</w:t>
      </w:r>
    </w:p>
    <w:p w14:paraId="4F9B1DCA">
      <w:pPr>
        <w:pStyle w:val="24"/>
        <w:spacing w:line="360" w:lineRule="auto"/>
        <w:ind w:firstLine="482" w:firstLineChars="200"/>
        <w:rPr>
          <w:rFonts w:hint="eastAsia" w:ascii="宋体" w:hAnsi="宋体" w:eastAsia="宋体" w:cs="宋体"/>
          <w:strike/>
          <w:snapToGrid w:val="0"/>
          <w:color w:val="auto"/>
          <w:highlight w:val="none"/>
        </w:rPr>
      </w:pPr>
      <w:r>
        <w:rPr>
          <w:rFonts w:hint="eastAsia" w:ascii="宋体" w:hAnsi="宋体" w:eastAsia="宋体" w:cs="宋体"/>
          <w:b/>
          <w:bCs/>
          <w:snapToGrid w:val="0"/>
          <w:color w:val="auto"/>
          <w:highlight w:val="none"/>
        </w:rPr>
        <w:t>3.3</w:t>
      </w:r>
      <w:r>
        <w:rPr>
          <w:rFonts w:hint="eastAsia" w:ascii="宋体" w:hAnsi="宋体" w:eastAsia="宋体" w:cs="宋体"/>
          <w:snapToGrid w:val="0"/>
          <w:color w:val="auto"/>
          <w:highlight w:val="none"/>
        </w:rPr>
        <w:t xml:space="preserve"> 施工过程中按月支付工程进度款：</w:t>
      </w:r>
    </w:p>
    <w:p w14:paraId="78AFD3A8">
      <w:pPr>
        <w:pStyle w:val="24"/>
        <w:spacing w:line="360" w:lineRule="auto"/>
        <w:ind w:firstLine="480" w:firstLineChars="200"/>
        <w:rPr>
          <w:rStyle w:val="22"/>
          <w:rFonts w:hint="eastAsia" w:ascii="宋体" w:hAnsi="宋体" w:eastAsia="宋体" w:cs="宋体"/>
          <w:strike/>
          <w:color w:val="auto"/>
          <w:highlight w:val="none"/>
        </w:rPr>
      </w:pPr>
      <w:r>
        <w:rPr>
          <w:rFonts w:hint="eastAsia" w:ascii="宋体" w:hAnsi="宋体" w:eastAsia="宋体" w:cs="宋体"/>
          <w:color w:val="auto"/>
          <w:highlight w:val="none"/>
        </w:rPr>
        <w:t>承包人每月按</w:t>
      </w:r>
      <w:r>
        <w:rPr>
          <w:rFonts w:hint="eastAsia" w:ascii="宋体" w:hAnsi="宋体" w:eastAsia="宋体" w:cs="宋体"/>
          <w:color w:val="auto"/>
          <w:szCs w:val="22"/>
          <w:highlight w:val="none"/>
        </w:rPr>
        <w:t>工程形象进度申</w:t>
      </w:r>
      <w:r>
        <w:rPr>
          <w:rFonts w:hint="eastAsia" w:ascii="宋体" w:hAnsi="宋体" w:eastAsia="宋体" w:cs="宋体"/>
          <w:color w:val="auto"/>
          <w:highlight w:val="none"/>
        </w:rPr>
        <w:t>报，截止日为当月26日，形象进度和</w:t>
      </w:r>
      <w:r>
        <w:rPr>
          <w:rFonts w:hint="eastAsia" w:ascii="宋体" w:hAnsi="宋体" w:eastAsia="宋体" w:cs="宋体"/>
          <w:snapToGrid w:val="0"/>
          <w:color w:val="auto"/>
          <w:highlight w:val="none"/>
        </w:rPr>
        <w:t>《工程付款申请书》</w:t>
      </w:r>
      <w:r>
        <w:rPr>
          <w:rFonts w:hint="eastAsia" w:ascii="宋体" w:hAnsi="宋体" w:eastAsia="宋体" w:cs="宋体"/>
          <w:color w:val="auto"/>
          <w:highlight w:val="none"/>
        </w:rPr>
        <w:t>由监理单位核实确认，经</w:t>
      </w:r>
      <w:r>
        <w:rPr>
          <w:rFonts w:hint="eastAsia" w:ascii="宋体" w:hAnsi="宋体" w:eastAsia="宋体" w:cs="宋体"/>
          <w:snapToGrid w:val="0"/>
          <w:color w:val="auto"/>
          <w:highlight w:val="none"/>
        </w:rPr>
        <w:t>造价咨询单位审核，</w:t>
      </w:r>
      <w:r>
        <w:rPr>
          <w:rFonts w:hint="eastAsia" w:ascii="宋体" w:hAnsi="宋体" w:eastAsia="宋体" w:cs="宋体"/>
          <w:color w:val="auto"/>
          <w:highlight w:val="none"/>
        </w:rPr>
        <w:t>再经发包人审核确认后于申报工程进度款的次月支付。</w:t>
      </w:r>
    </w:p>
    <w:p w14:paraId="4053F93B">
      <w:pPr>
        <w:pStyle w:val="24"/>
        <w:spacing w:line="360" w:lineRule="auto"/>
        <w:ind w:firstLine="482" w:firstLineChars="200"/>
        <w:rPr>
          <w:rFonts w:hint="eastAsia" w:ascii="宋体" w:hAnsi="宋体" w:eastAsia="宋体" w:cs="宋体"/>
          <w:color w:val="auto"/>
          <w:highlight w:val="none"/>
          <w:lang w:eastAsia="zh-CN"/>
        </w:rPr>
      </w:pPr>
      <w:r>
        <w:rPr>
          <w:rStyle w:val="22"/>
          <w:rFonts w:hint="eastAsia" w:ascii="宋体" w:hAnsi="宋体" w:eastAsia="宋体" w:cs="宋体"/>
          <w:b/>
          <w:bCs/>
          <w:color w:val="auto"/>
          <w:kern w:val="1"/>
          <w:highlight w:val="none"/>
        </w:rPr>
        <w:t xml:space="preserve">3.4 </w:t>
      </w:r>
      <w:r>
        <w:rPr>
          <w:rFonts w:hint="eastAsia" w:ascii="宋体" w:hAnsi="宋体" w:eastAsia="宋体" w:cs="宋体"/>
          <w:snapToGrid w:val="0"/>
          <w:color w:val="auto"/>
          <w:highlight w:val="none"/>
        </w:rPr>
        <w:t>每月的工程进度款按应付金额的80％支付，</w:t>
      </w:r>
      <w:r>
        <w:rPr>
          <w:rFonts w:hint="eastAsia" w:hAnsi="宋体" w:cs="宋体"/>
          <w:snapToGrid w:val="0"/>
          <w:color w:val="auto"/>
          <w:highlight w:val="none"/>
          <w:lang w:val="en-US" w:eastAsia="zh-CN"/>
        </w:rPr>
        <w:t>其中</w:t>
      </w:r>
      <w:r>
        <w:rPr>
          <w:rFonts w:hint="eastAsia" w:ascii="宋体" w:hAnsi="宋体" w:eastAsia="宋体" w:cs="宋体"/>
          <w:snapToGrid w:val="0"/>
          <w:color w:val="auto"/>
          <w:highlight w:val="none"/>
        </w:rPr>
        <w:t>工程进度款中的作业工人工资款</w:t>
      </w:r>
      <w:r>
        <w:rPr>
          <w:rFonts w:hint="eastAsia" w:hAnsi="宋体" w:cs="宋体"/>
          <w:snapToGrid w:val="0"/>
          <w:color w:val="auto"/>
          <w:highlight w:val="none"/>
          <w:lang w:val="en-US" w:eastAsia="zh-CN"/>
        </w:rPr>
        <w:t>全额支付</w:t>
      </w:r>
      <w:r>
        <w:rPr>
          <w:rFonts w:hint="eastAsia" w:ascii="宋体" w:hAnsi="宋体" w:eastAsia="宋体" w:cs="宋体"/>
          <w:snapToGrid w:val="0"/>
          <w:color w:val="auto"/>
          <w:highlight w:val="none"/>
        </w:rPr>
        <w:t>，具体工人工资拨付金额以该月实际审核确认的为准，由发包人将该月审核确认后的作业工人工资款项单独足额拨付到承包人的工资专户。</w:t>
      </w:r>
    </w:p>
    <w:p w14:paraId="2C3509F6">
      <w:pPr>
        <w:ind w:firstLine="482" w:firstLineChars="200"/>
        <w:rPr>
          <w:rStyle w:val="22"/>
          <w:rFonts w:hint="eastAsia" w:ascii="宋体" w:hAnsi="宋体" w:eastAsia="宋体" w:cs="宋体"/>
          <w:color w:val="auto"/>
          <w:kern w:val="1"/>
          <w:highlight w:val="none"/>
        </w:rPr>
      </w:pPr>
      <w:r>
        <w:rPr>
          <w:rStyle w:val="22"/>
          <w:rFonts w:hint="eastAsia" w:ascii="宋体" w:hAnsi="宋体" w:eastAsia="宋体" w:cs="宋体"/>
          <w:b/>
          <w:bCs/>
          <w:color w:val="auto"/>
          <w:kern w:val="1"/>
          <w:highlight w:val="none"/>
        </w:rPr>
        <w:t xml:space="preserve">3.5 </w:t>
      </w:r>
      <w:r>
        <w:rPr>
          <w:rFonts w:hint="eastAsia" w:ascii="宋体" w:hAnsi="宋体" w:eastAsia="宋体" w:cs="宋体"/>
          <w:snapToGrid w:val="0"/>
          <w:color w:val="auto"/>
          <w:kern w:val="0"/>
          <w:highlight w:val="none"/>
          <w:lang w:eastAsia="zh-CN"/>
        </w:rPr>
        <w:t xml:space="preserve"> 措施项目费中的“安全生产措施费拨付按照《建设工程工程量清单计价标准》（GB/T50500一2024）执行，参照《关于印发&lt;广东省建设厅建筑工程安全防护、文明施工措施费用管理办法&gt;的通知》支付。承包人应在签订合同后，在项目开工、开通建设工程安措费专用账户、购买安全生产责任保险的前提下向发包人提交安全生产措施费中请，项目预付安全生产措施费总额的50%，其余部分应按照提前安排的原则进行分解，并与工程进度款同期支付。发承包双方在计算应付工程进度款时，预付款</w:t>
      </w:r>
      <w:r>
        <w:rPr>
          <w:rFonts w:hint="eastAsia" w:ascii="宋体" w:hAnsi="宋体" w:eastAsia="宋体" w:cs="宋体"/>
          <w:snapToGrid w:val="0"/>
          <w:color w:val="auto"/>
          <w:kern w:val="0"/>
          <w:highlight w:val="none"/>
          <w:lang w:val="en-US" w:eastAsia="zh-CN"/>
        </w:rPr>
        <w:t>中</w:t>
      </w:r>
      <w:r>
        <w:rPr>
          <w:rFonts w:hint="eastAsia" w:ascii="宋体" w:hAnsi="宋体" w:eastAsia="宋体" w:cs="宋体"/>
          <w:snapToGrid w:val="0"/>
          <w:color w:val="auto"/>
          <w:kern w:val="0"/>
          <w:highlight w:val="none"/>
          <w:lang w:eastAsia="zh-CN"/>
        </w:rPr>
        <w:t>不扣回安全生产措施费。安全生产措施费必须专款专用，并由发包人单独拨付到承包人的建设工程安全生产措施费专用账户。</w:t>
      </w:r>
    </w:p>
    <w:p w14:paraId="612277E4">
      <w:pPr>
        <w:ind w:firstLine="482" w:firstLineChars="200"/>
        <w:rPr>
          <w:rStyle w:val="22"/>
          <w:rFonts w:hint="eastAsia" w:ascii="宋体" w:hAnsi="宋体" w:eastAsia="宋体" w:cs="宋体"/>
          <w:color w:val="auto"/>
          <w:kern w:val="1"/>
          <w:highlight w:val="none"/>
        </w:rPr>
      </w:pPr>
      <w:r>
        <w:rPr>
          <w:rStyle w:val="22"/>
          <w:rFonts w:hint="eastAsia" w:ascii="宋体" w:hAnsi="宋体" w:eastAsia="宋体" w:cs="宋体"/>
          <w:b/>
          <w:bCs/>
          <w:color w:val="auto"/>
          <w:kern w:val="1"/>
          <w:highlight w:val="none"/>
        </w:rPr>
        <w:t xml:space="preserve">3.6 </w:t>
      </w:r>
      <w:r>
        <w:rPr>
          <w:rStyle w:val="22"/>
          <w:rFonts w:hint="eastAsia" w:ascii="宋体" w:hAnsi="宋体" w:eastAsia="宋体" w:cs="宋体"/>
          <w:color w:val="auto"/>
          <w:kern w:val="0"/>
          <w:highlight w:val="none"/>
        </w:rPr>
        <w:t>变更工程造价必须经监理单位核实</w:t>
      </w:r>
      <w:r>
        <w:rPr>
          <w:rFonts w:hint="eastAsia" w:ascii="宋体" w:hAnsi="宋体" w:eastAsia="宋体" w:cs="宋体"/>
          <w:snapToGrid w:val="0"/>
          <w:color w:val="auto"/>
          <w:kern w:val="0"/>
          <w:highlight w:val="none"/>
        </w:rPr>
        <w:t>及造价咨询单位（如有造价单位）审核</w:t>
      </w:r>
      <w:r>
        <w:rPr>
          <w:rStyle w:val="22"/>
          <w:rFonts w:hint="eastAsia" w:ascii="宋体" w:hAnsi="宋体" w:eastAsia="宋体" w:cs="宋体"/>
          <w:color w:val="auto"/>
          <w:kern w:val="0"/>
          <w:highlight w:val="none"/>
        </w:rPr>
        <w:t>，并经发包人核定后方可支付。</w:t>
      </w:r>
    </w:p>
    <w:p w14:paraId="154395DD">
      <w:pPr>
        <w:ind w:firstLine="482" w:firstLineChars="200"/>
        <w:rPr>
          <w:rFonts w:hint="eastAsia" w:ascii="宋体" w:hAnsi="宋体" w:eastAsia="宋体" w:cs="宋体"/>
          <w:snapToGrid w:val="0"/>
          <w:color w:val="auto"/>
          <w:kern w:val="0"/>
          <w:highlight w:val="none"/>
        </w:rPr>
      </w:pPr>
      <w:r>
        <w:rPr>
          <w:rStyle w:val="22"/>
          <w:rFonts w:hint="eastAsia" w:ascii="宋体" w:hAnsi="宋体" w:eastAsia="宋体" w:cs="宋体"/>
          <w:b/>
          <w:bCs/>
          <w:color w:val="auto"/>
          <w:kern w:val="1"/>
          <w:highlight w:val="none"/>
        </w:rPr>
        <w:t xml:space="preserve">3.7 </w:t>
      </w:r>
      <w:r>
        <w:rPr>
          <w:rFonts w:hint="eastAsia" w:ascii="宋体" w:hAnsi="宋体" w:eastAsia="宋体" w:cs="宋体"/>
          <w:snapToGrid w:val="0"/>
          <w:color w:val="auto"/>
          <w:kern w:val="0"/>
          <w:highlight w:val="none"/>
        </w:rPr>
        <w:t>结算审核完成后，于次月支付至审定总造价的97%，</w:t>
      </w:r>
      <w:r>
        <w:rPr>
          <w:rFonts w:hint="eastAsia" w:asciiTheme="minorEastAsia" w:hAnsiTheme="minorEastAsia" w:eastAsiaTheme="minorEastAsia" w:cstheme="minorEastAsia"/>
          <w:b w:val="0"/>
          <w:bCs/>
          <w:color w:val="auto"/>
          <w:sz w:val="24"/>
          <w:szCs w:val="24"/>
          <w:highlight w:val="none"/>
          <w:lang w:val="en-US" w:eastAsia="zh-CN"/>
        </w:rPr>
        <w:t>根据</w:t>
      </w:r>
      <w:r>
        <w:rPr>
          <w:rFonts w:asciiTheme="minorEastAsia" w:hAnsiTheme="minorEastAsia" w:eastAsiaTheme="minorEastAsia" w:cstheme="minorEastAsia"/>
          <w:b w:val="0"/>
          <w:bCs/>
          <w:color w:val="auto"/>
          <w:sz w:val="24"/>
          <w:szCs w:val="24"/>
          <w:highlight w:val="none"/>
        </w:rPr>
        <w:t>南雄市人民政府办公室《关于加强市本级政府投资项目财政投资评审监督管理的实施意见》</w:t>
      </w:r>
      <w:r>
        <w:rPr>
          <w:rFonts w:hint="eastAsia" w:asciiTheme="minorEastAsia" w:hAnsiTheme="minorEastAsia" w:eastAsiaTheme="minorEastAsia" w:cstheme="minorEastAsia"/>
          <w:b w:val="0"/>
          <w:bCs/>
          <w:color w:val="auto"/>
          <w:sz w:val="24"/>
          <w:szCs w:val="24"/>
          <w:highlight w:val="none"/>
          <w:lang w:eastAsia="zh-CN"/>
        </w:rPr>
        <w:t>（</w:t>
      </w:r>
      <w:r>
        <w:rPr>
          <w:rFonts w:asciiTheme="minorEastAsia" w:hAnsiTheme="minorEastAsia" w:eastAsiaTheme="minorEastAsia" w:cstheme="minorEastAsia"/>
          <w:b w:val="0"/>
          <w:bCs/>
          <w:color w:val="auto"/>
          <w:sz w:val="24"/>
          <w:szCs w:val="24"/>
          <w:highlight w:val="none"/>
        </w:rPr>
        <w:t>雄府办函[2023]5号</w:t>
      </w:r>
      <w:r>
        <w:rPr>
          <w:rFonts w:hint="eastAsia" w:asciiTheme="minorEastAsia" w:hAnsiTheme="minorEastAsia" w:eastAsiaTheme="minorEastAsia" w:cstheme="minorEastAsia"/>
          <w:b w:val="0"/>
          <w:bCs/>
          <w:color w:val="auto"/>
          <w:sz w:val="24"/>
          <w:szCs w:val="24"/>
          <w:highlight w:val="none"/>
          <w:lang w:eastAsia="zh-CN"/>
        </w:rPr>
        <w:t>）、《关于进一步加强政府投资项目财政投资评审监督管理的通知》的相关规定，</w:t>
      </w:r>
      <w:r>
        <w:rPr>
          <w:rFonts w:asciiTheme="minorEastAsia" w:hAnsiTheme="minorEastAsia" w:eastAsiaTheme="minorEastAsia" w:cstheme="minorEastAsia"/>
          <w:b w:val="0"/>
          <w:bCs/>
          <w:color w:val="auto"/>
          <w:sz w:val="24"/>
          <w:szCs w:val="24"/>
          <w:highlight w:val="none"/>
        </w:rPr>
        <w:t>项目工程费用</w:t>
      </w:r>
      <w:r>
        <w:rPr>
          <w:rFonts w:hint="eastAsia" w:asciiTheme="minorEastAsia" w:hAnsiTheme="minorEastAsia" w:eastAsiaTheme="minorEastAsia" w:cstheme="minorEastAsia"/>
          <w:b w:val="0"/>
          <w:bCs/>
          <w:color w:val="auto"/>
          <w:sz w:val="24"/>
          <w:szCs w:val="24"/>
          <w:highlight w:val="none"/>
          <w:lang w:eastAsia="zh-CN"/>
        </w:rPr>
        <w:t>结算后，项目工程结算金额若超出</w:t>
      </w:r>
      <w:r>
        <w:rPr>
          <w:rFonts w:hint="default" w:asciiTheme="minorEastAsia" w:hAnsiTheme="minorEastAsia" w:eastAsiaTheme="minorEastAsia" w:cstheme="minorEastAsia"/>
          <w:b w:val="0"/>
          <w:bCs/>
          <w:color w:val="auto"/>
          <w:sz w:val="24"/>
          <w:szCs w:val="24"/>
          <w:highlight w:val="none"/>
          <w:lang w:val="en-US"/>
        </w:rPr>
        <w:t>南雄市财政局投资评审中心</w:t>
      </w:r>
      <w:r>
        <w:rPr>
          <w:rFonts w:hint="eastAsia" w:asciiTheme="minorEastAsia" w:hAnsiTheme="minorEastAsia" w:eastAsiaTheme="minorEastAsia" w:cstheme="minorEastAsia"/>
          <w:b w:val="0"/>
          <w:bCs/>
          <w:color w:val="auto"/>
          <w:sz w:val="24"/>
          <w:szCs w:val="24"/>
          <w:highlight w:val="none"/>
          <w:lang w:val="en-US" w:eastAsia="zh-CN"/>
        </w:rPr>
        <w:t>复核的结算金额，承包人必须无条件在30日内按规定返还超付的工程款。</w:t>
      </w:r>
    </w:p>
    <w:p w14:paraId="0F847CD5">
      <w:pPr>
        <w:ind w:firstLine="480" w:firstLineChars="200"/>
        <w:rPr>
          <w:rFonts w:hint="eastAsia" w:hAnsi="宋体" w:cs="宋体"/>
          <w:snapToGrid w:val="0"/>
          <w:color w:val="auto"/>
          <w:kern w:val="0"/>
          <w:highlight w:val="none"/>
          <w:lang w:eastAsia="zh-CN"/>
        </w:rPr>
      </w:pPr>
      <w:r>
        <w:rPr>
          <w:rFonts w:hint="eastAsia" w:ascii="宋体" w:hAnsi="宋体" w:eastAsia="宋体" w:cs="宋体"/>
          <w:snapToGrid w:val="0"/>
          <w:color w:val="auto"/>
          <w:kern w:val="0"/>
          <w:highlight w:val="none"/>
        </w:rPr>
        <w:t>剩余3%转为质量保证金，</w:t>
      </w:r>
      <w:r>
        <w:rPr>
          <w:rFonts w:hint="eastAsia" w:ascii="宋体" w:hAnsi="宋体" w:eastAsia="宋体" w:cs="宋体"/>
          <w:snapToGrid w:val="0"/>
          <w:color w:val="auto"/>
          <w:kern w:val="0"/>
          <w:highlight w:val="none"/>
          <w:lang w:eastAsia="zh-CN"/>
        </w:rPr>
        <w:t>承包人提交了等额质量保证担保或质量保证保险的，于次月一次性结清合同价格</w:t>
      </w:r>
      <w:r>
        <w:rPr>
          <w:rFonts w:hint="eastAsia" w:hAnsi="宋体" w:cs="宋体"/>
          <w:snapToGrid w:val="0"/>
          <w:color w:val="auto"/>
          <w:kern w:val="0"/>
          <w:highlight w:val="none"/>
          <w:lang w:eastAsia="zh-CN"/>
        </w:rPr>
        <w:t>。</w:t>
      </w:r>
    </w:p>
    <w:p w14:paraId="0881E18E">
      <w:pPr>
        <w:ind w:firstLine="480" w:firstLineChars="200"/>
        <w:rPr>
          <w:rStyle w:val="22"/>
          <w:rFonts w:hint="eastAsia" w:ascii="宋体" w:hAnsi="宋体" w:eastAsia="宋体" w:cs="宋体"/>
          <w:color w:val="auto"/>
          <w:kern w:val="1"/>
          <w:highlight w:val="none"/>
        </w:rPr>
      </w:pPr>
      <w:r>
        <w:rPr>
          <w:rFonts w:hint="eastAsia" w:ascii="宋体" w:hAnsi="宋体" w:eastAsia="宋体" w:cs="宋体"/>
          <w:snapToGrid w:val="0"/>
          <w:color w:val="auto"/>
          <w:kern w:val="0"/>
          <w:highlight w:val="none"/>
        </w:rPr>
        <w:t>缺陷责任期到期后，若未发现质量问题，承包人向发包人申请退还质量保证金（或保函）。发包人收到退还申请后，于14天内会同承包人进行核实，经核实无异议后，在核实之日起14天内将应返保证金（或保函）退还承包人。</w:t>
      </w:r>
    </w:p>
    <w:p w14:paraId="60012A77">
      <w:pPr>
        <w:wordWrap w:val="0"/>
        <w:adjustRightInd w:val="0"/>
        <w:snapToGrid w:val="0"/>
        <w:ind w:firstLine="482" w:firstLineChars="200"/>
        <w:rPr>
          <w:rFonts w:hint="eastAsia" w:ascii="宋体" w:hAnsi="宋体" w:eastAsia="宋体" w:cs="宋体"/>
          <w:snapToGrid w:val="0"/>
          <w:color w:val="auto"/>
          <w:kern w:val="0"/>
          <w:highlight w:val="none"/>
        </w:rPr>
      </w:pPr>
      <w:r>
        <w:rPr>
          <w:rStyle w:val="22"/>
          <w:rFonts w:hint="eastAsia" w:ascii="宋体" w:hAnsi="宋体" w:eastAsia="宋体" w:cs="宋体"/>
          <w:b/>
          <w:bCs/>
          <w:color w:val="auto"/>
          <w:kern w:val="1"/>
          <w:highlight w:val="none"/>
        </w:rPr>
        <w:t>3.8</w:t>
      </w:r>
      <w:r>
        <w:rPr>
          <w:rFonts w:hint="eastAsia" w:ascii="宋体" w:hAnsi="宋体" w:eastAsia="宋体" w:cs="宋体"/>
          <w:snapToGrid w:val="0"/>
          <w:color w:val="auto"/>
          <w:kern w:val="0"/>
          <w:highlight w:val="none"/>
        </w:rPr>
        <w:t>承包人提供的工程款发票必须按照发包人要求提供相应增值税发票给发包人</w:t>
      </w:r>
      <w:r>
        <w:rPr>
          <w:rFonts w:hint="eastAsia" w:ascii="宋体" w:hAnsi="宋体" w:eastAsia="宋体" w:cs="宋体"/>
          <w:color w:val="auto"/>
          <w:highlight w:val="none"/>
        </w:rPr>
        <w:t>，发包人收到符合要求的发票后方可支付工程款</w:t>
      </w:r>
      <w:r>
        <w:rPr>
          <w:rFonts w:hint="eastAsia" w:ascii="宋体" w:hAnsi="宋体" w:eastAsia="宋体" w:cs="宋体"/>
          <w:snapToGrid w:val="0"/>
          <w:color w:val="auto"/>
          <w:kern w:val="0"/>
          <w:highlight w:val="none"/>
        </w:rPr>
        <w:t>。如果承包人无法提供符合要求的发票，由此造成的相应损失由承包人承担。</w:t>
      </w:r>
    </w:p>
    <w:p w14:paraId="764C508B">
      <w:pPr>
        <w:wordWrap w:val="0"/>
        <w:adjustRightInd w:val="0"/>
        <w:snapToGrid w:val="0"/>
        <w:ind w:firstLine="480" w:firstLineChars="200"/>
        <w:rPr>
          <w:rStyle w:val="22"/>
          <w:rFonts w:hint="eastAsia" w:ascii="宋体" w:hAnsi="宋体" w:eastAsia="宋体" w:cs="宋体"/>
          <w:color w:val="auto"/>
          <w:kern w:val="0"/>
          <w:highlight w:val="none"/>
        </w:rPr>
      </w:pPr>
      <w:r>
        <w:rPr>
          <w:rFonts w:hint="eastAsia" w:ascii="宋体" w:hAnsi="宋体" w:eastAsia="宋体" w:cs="宋体"/>
          <w:color w:val="auto"/>
          <w:highlight w:val="none"/>
        </w:rPr>
        <w:t>本工程为政府全额投资，所有支付手续经发包人审批后，还须报政府财政部门审批完毕方可支付，如经发包人审批后已及时履行了向财政部门申报审批手续，则发包人</w:t>
      </w:r>
      <w:r>
        <w:rPr>
          <w:rFonts w:hint="eastAsia" w:ascii="宋体" w:hAnsi="宋体" w:eastAsia="宋体" w:cs="宋体"/>
          <w:color w:val="auto"/>
          <w:szCs w:val="22"/>
          <w:highlight w:val="none"/>
        </w:rPr>
        <w:t>不承担由此而造成的延期付款责任及</w:t>
      </w:r>
      <w:r>
        <w:rPr>
          <w:rFonts w:hint="eastAsia" w:ascii="宋体" w:hAnsi="宋体" w:eastAsia="宋体" w:cs="宋体"/>
          <w:color w:val="auto"/>
          <w:highlight w:val="none"/>
        </w:rPr>
        <w:t>不支付延期付款的利息，承包人也不得因</w:t>
      </w:r>
      <w:r>
        <w:rPr>
          <w:rFonts w:hint="eastAsia" w:ascii="宋体" w:hAnsi="宋体" w:eastAsia="宋体" w:cs="宋体"/>
          <w:b/>
          <w:color w:val="auto"/>
          <w:szCs w:val="22"/>
          <w:highlight w:val="none"/>
        </w:rPr>
        <w:t>政府财政部门履行审批程序所造成的</w:t>
      </w:r>
      <w:r>
        <w:rPr>
          <w:rFonts w:hint="eastAsia" w:ascii="宋体" w:hAnsi="宋体" w:eastAsia="宋体" w:cs="宋体"/>
          <w:color w:val="auto"/>
          <w:highlight w:val="none"/>
        </w:rPr>
        <w:t>延期付款而暂停施工和相关服务。</w:t>
      </w:r>
    </w:p>
    <w:p w14:paraId="3CAE927E">
      <w:pPr>
        <w:snapToGrid w:val="0"/>
        <w:ind w:firstLine="482" w:firstLineChars="200"/>
        <w:rPr>
          <w:rFonts w:hint="eastAsia" w:ascii="宋体" w:hAnsi="宋体" w:eastAsia="宋体" w:cs="宋体"/>
          <w:color w:val="auto"/>
          <w:szCs w:val="22"/>
          <w:highlight w:val="none"/>
        </w:rPr>
      </w:pPr>
      <w:r>
        <w:rPr>
          <w:rStyle w:val="22"/>
          <w:rFonts w:hint="eastAsia" w:ascii="宋体" w:hAnsi="宋体" w:eastAsia="宋体" w:cs="宋体"/>
          <w:b/>
          <w:bCs/>
          <w:color w:val="auto"/>
          <w:kern w:val="0"/>
          <w:highlight w:val="none"/>
        </w:rPr>
        <w:t xml:space="preserve">3.9 </w:t>
      </w:r>
      <w:r>
        <w:rPr>
          <w:rFonts w:hint="eastAsia" w:ascii="宋体" w:hAnsi="宋体" w:eastAsia="宋体" w:cs="宋体"/>
          <w:snapToGrid w:val="0"/>
          <w:color w:val="auto"/>
          <w:kern w:val="0"/>
          <w:highlight w:val="none"/>
        </w:rPr>
        <w:t>暂列金</w:t>
      </w:r>
      <w:r>
        <w:rPr>
          <w:rFonts w:hint="eastAsia" w:hAnsi="宋体" w:eastAsia="宋体" w:cs="宋体"/>
          <w:snapToGrid w:val="0"/>
          <w:color w:val="auto"/>
          <w:kern w:val="0"/>
          <w:highlight w:val="none"/>
          <w:lang w:val="en-US" w:eastAsia="zh-CN"/>
        </w:rPr>
        <w:t>额</w:t>
      </w:r>
      <w:r>
        <w:rPr>
          <w:rFonts w:hint="eastAsia" w:ascii="宋体" w:hAnsi="宋体" w:eastAsia="宋体" w:cs="宋体"/>
          <w:color w:val="auto"/>
          <w:szCs w:val="22"/>
          <w:highlight w:val="none"/>
        </w:rPr>
        <w:t>支付方式：</w:t>
      </w:r>
      <w:r>
        <w:rPr>
          <w:rFonts w:hint="eastAsia" w:ascii="宋体" w:hAnsi="宋体" w:eastAsia="宋体" w:cs="宋体"/>
          <w:color w:val="auto"/>
          <w:szCs w:val="22"/>
          <w:highlight w:val="none"/>
          <w:u w:val="single"/>
        </w:rPr>
        <w:t>与每个月的工程进度款一并报送（若发生符合使用范围的情形需使用</w:t>
      </w:r>
      <w:r>
        <w:rPr>
          <w:rFonts w:hint="eastAsia" w:ascii="宋体" w:hAnsi="宋体" w:eastAsia="宋体" w:cs="宋体"/>
          <w:snapToGrid w:val="0"/>
          <w:color w:val="auto"/>
          <w:kern w:val="0"/>
          <w:highlight w:val="none"/>
          <w:u w:val="single"/>
        </w:rPr>
        <w:t>暂列金</w:t>
      </w:r>
      <w:r>
        <w:rPr>
          <w:rFonts w:hint="eastAsia" w:hAnsi="宋体" w:eastAsia="宋体" w:cs="宋体"/>
          <w:snapToGrid w:val="0"/>
          <w:color w:val="auto"/>
          <w:kern w:val="0"/>
          <w:highlight w:val="none"/>
          <w:u w:val="single"/>
          <w:lang w:val="en-US" w:eastAsia="zh-CN"/>
        </w:rPr>
        <w:t>额</w:t>
      </w:r>
      <w:r>
        <w:rPr>
          <w:rFonts w:hint="eastAsia" w:ascii="宋体" w:hAnsi="宋体" w:eastAsia="宋体" w:cs="宋体"/>
          <w:color w:val="auto"/>
          <w:szCs w:val="22"/>
          <w:highlight w:val="none"/>
          <w:u w:val="single"/>
        </w:rPr>
        <w:t>时），在</w:t>
      </w:r>
      <w:r>
        <w:rPr>
          <w:rFonts w:hint="eastAsia" w:ascii="宋体" w:hAnsi="宋体" w:eastAsia="宋体" w:cs="宋体"/>
          <w:snapToGrid w:val="0"/>
          <w:color w:val="auto"/>
          <w:kern w:val="0"/>
          <w:highlight w:val="none"/>
          <w:u w:val="single"/>
        </w:rPr>
        <w:t>暂列金</w:t>
      </w:r>
      <w:r>
        <w:rPr>
          <w:rFonts w:hint="eastAsia" w:hAnsi="宋体" w:eastAsia="宋体" w:cs="宋体"/>
          <w:snapToGrid w:val="0"/>
          <w:color w:val="auto"/>
          <w:kern w:val="0"/>
          <w:highlight w:val="none"/>
          <w:u w:val="single"/>
          <w:lang w:val="en-US" w:eastAsia="zh-CN"/>
        </w:rPr>
        <w:t>额</w:t>
      </w:r>
      <w:r>
        <w:rPr>
          <w:rFonts w:hint="eastAsia" w:ascii="宋体" w:hAnsi="宋体" w:eastAsia="宋体" w:cs="宋体"/>
          <w:color w:val="auto"/>
          <w:szCs w:val="22"/>
          <w:highlight w:val="none"/>
          <w:u w:val="single"/>
        </w:rPr>
        <w:t>的范围内由监理单位进行签认，造价咨询单位审核，发包人确认，进度款中需要列明涉及</w:t>
      </w:r>
      <w:r>
        <w:rPr>
          <w:rFonts w:hint="eastAsia" w:ascii="宋体" w:hAnsi="宋体" w:eastAsia="宋体" w:cs="宋体"/>
          <w:snapToGrid w:val="0"/>
          <w:color w:val="auto"/>
          <w:kern w:val="0"/>
          <w:highlight w:val="none"/>
          <w:u w:val="single"/>
        </w:rPr>
        <w:t>暂列金</w:t>
      </w:r>
      <w:r>
        <w:rPr>
          <w:rFonts w:hint="eastAsia" w:hAnsi="宋体" w:eastAsia="宋体" w:cs="宋体"/>
          <w:snapToGrid w:val="0"/>
          <w:color w:val="auto"/>
          <w:kern w:val="0"/>
          <w:highlight w:val="none"/>
          <w:u w:val="single"/>
          <w:lang w:val="en-US" w:eastAsia="zh-CN"/>
        </w:rPr>
        <w:t>额</w:t>
      </w:r>
      <w:r>
        <w:rPr>
          <w:rFonts w:hint="eastAsia" w:ascii="宋体" w:hAnsi="宋体" w:eastAsia="宋体" w:cs="宋体"/>
          <w:color w:val="auto"/>
          <w:szCs w:val="22"/>
          <w:highlight w:val="none"/>
          <w:u w:val="single"/>
        </w:rPr>
        <w:t>的部分。在</w:t>
      </w:r>
      <w:r>
        <w:rPr>
          <w:rFonts w:hint="eastAsia" w:ascii="宋体" w:hAnsi="宋体" w:eastAsia="宋体" w:cs="宋体"/>
          <w:snapToGrid w:val="0"/>
          <w:color w:val="auto"/>
          <w:kern w:val="0"/>
          <w:highlight w:val="none"/>
          <w:u w:val="single"/>
        </w:rPr>
        <w:t>暂列金</w:t>
      </w:r>
      <w:r>
        <w:rPr>
          <w:rFonts w:hint="eastAsia" w:hAnsi="宋体" w:eastAsia="宋体" w:cs="宋体"/>
          <w:snapToGrid w:val="0"/>
          <w:color w:val="auto"/>
          <w:kern w:val="0"/>
          <w:highlight w:val="none"/>
          <w:u w:val="single"/>
          <w:lang w:val="en-US" w:eastAsia="zh-CN"/>
        </w:rPr>
        <w:t>额</w:t>
      </w:r>
      <w:r>
        <w:rPr>
          <w:rFonts w:hint="eastAsia" w:ascii="宋体" w:hAnsi="宋体" w:eastAsia="宋体" w:cs="宋体"/>
          <w:color w:val="auto"/>
          <w:szCs w:val="22"/>
          <w:highlight w:val="none"/>
          <w:u w:val="single"/>
        </w:rPr>
        <w:t>的范围内由监理单位进行签证，造价咨询单位审核后，经发包人确认后按该进度款项的50％支付，其余部分待结算完成审核后支付。</w:t>
      </w:r>
      <w:r>
        <w:rPr>
          <w:rFonts w:hint="eastAsia" w:ascii="宋体" w:hAnsi="宋体" w:eastAsia="宋体" w:cs="宋体"/>
          <w:snapToGrid w:val="0"/>
          <w:color w:val="auto"/>
          <w:kern w:val="0"/>
          <w:highlight w:val="none"/>
          <w:u w:val="single"/>
        </w:rPr>
        <w:t>暂列金</w:t>
      </w:r>
      <w:r>
        <w:rPr>
          <w:rFonts w:hint="eastAsia" w:hAnsi="宋体" w:eastAsia="宋体" w:cs="宋体"/>
          <w:snapToGrid w:val="0"/>
          <w:color w:val="auto"/>
          <w:kern w:val="0"/>
          <w:highlight w:val="none"/>
          <w:u w:val="single"/>
          <w:lang w:val="en-US" w:eastAsia="zh-CN"/>
        </w:rPr>
        <w:t>额</w:t>
      </w:r>
      <w:r>
        <w:rPr>
          <w:rFonts w:hint="eastAsia" w:ascii="宋体" w:hAnsi="宋体" w:eastAsia="宋体" w:cs="宋体"/>
          <w:color w:val="auto"/>
          <w:szCs w:val="22"/>
          <w:highlight w:val="none"/>
          <w:u w:val="single"/>
        </w:rPr>
        <w:t>如有余额归发包人，不发生时不计入结算总价。</w:t>
      </w:r>
    </w:p>
    <w:p w14:paraId="11CEC6C9">
      <w:pPr>
        <w:pStyle w:val="24"/>
        <w:spacing w:line="360" w:lineRule="auto"/>
        <w:ind w:firstLine="480"/>
        <w:rPr>
          <w:rFonts w:hint="eastAsia" w:ascii="宋体" w:hAnsi="宋体" w:eastAsia="宋体" w:cs="宋体"/>
          <w:bCs/>
          <w:color w:val="auto"/>
          <w:highlight w:val="none"/>
        </w:rPr>
      </w:pPr>
      <w:r>
        <w:rPr>
          <w:rFonts w:hint="eastAsia" w:ascii="宋体" w:hAnsi="宋体" w:eastAsia="宋体" w:cs="宋体"/>
          <w:b/>
          <w:color w:val="auto"/>
          <w:highlight w:val="none"/>
        </w:rPr>
        <w:t>3.10</w:t>
      </w:r>
      <w:r>
        <w:rPr>
          <w:rFonts w:hint="eastAsia" w:ascii="宋体" w:hAnsi="宋体" w:eastAsia="宋体" w:cs="宋体"/>
          <w:snapToGrid w:val="0"/>
          <w:color w:val="auto"/>
          <w:highlight w:val="none"/>
        </w:rPr>
        <w:t>材料暂估价、专业工程暂估价支付方式：</w:t>
      </w:r>
      <w:r>
        <w:rPr>
          <w:rFonts w:hint="eastAsia" w:ascii="宋体" w:hAnsi="宋体" w:eastAsia="宋体" w:cs="宋体"/>
          <w:color w:val="auto"/>
          <w:szCs w:val="22"/>
          <w:highlight w:val="none"/>
          <w:u w:val="single"/>
        </w:rPr>
        <w:t>与每个月的工程进度款一并报送，进度款中需要列明涉及暂估价的部分。在材料暂估价、专业工程暂估价的范围内由监理单位进行签认，造价咨询单位审核，经发包人确认后按该进度款项的50％支付，其余部分待结算完成审核后支付。材料暂估价、专业工程暂估价如有余额归发包人，不发生时不计入结算总价。</w:t>
      </w:r>
    </w:p>
    <w:p w14:paraId="77FAB62E">
      <w:pPr>
        <w:pStyle w:val="24"/>
        <w:spacing w:line="360" w:lineRule="auto"/>
        <w:ind w:firstLine="480"/>
        <w:rPr>
          <w:rFonts w:hint="eastAsia" w:ascii="宋体" w:hAnsi="宋体" w:eastAsia="宋体" w:cs="宋体"/>
          <w:color w:val="auto"/>
          <w:highlight w:val="none"/>
        </w:rPr>
      </w:pPr>
      <w:r>
        <w:rPr>
          <w:rFonts w:hint="eastAsia" w:ascii="宋体" w:hAnsi="宋体" w:eastAsia="宋体" w:cs="宋体"/>
          <w:b/>
          <w:color w:val="auto"/>
          <w:highlight w:val="none"/>
        </w:rPr>
        <w:t>3.11</w:t>
      </w:r>
      <w:r>
        <w:rPr>
          <w:rFonts w:hint="eastAsia" w:ascii="宋体" w:hAnsi="宋体" w:eastAsia="宋体" w:cs="宋体"/>
          <w:color w:val="auto"/>
          <w:szCs w:val="22"/>
          <w:highlight w:val="none"/>
        </w:rPr>
        <w:t>本工程根据政府有关要求或资金安排情况，经双方协商可调整工程款支付办法。</w:t>
      </w:r>
    </w:p>
    <w:p w14:paraId="2F9108E3">
      <w:pPr>
        <w:pStyle w:val="26"/>
        <w:snapToGrid w:val="0"/>
        <w:jc w:val="both"/>
        <w:outlineLvl w:val="1"/>
        <w:rPr>
          <w:rStyle w:val="22"/>
          <w:rFonts w:hint="eastAsia" w:ascii="宋体" w:hAnsi="宋体" w:eastAsia="宋体" w:cs="宋体"/>
          <w:b/>
          <w:bCs/>
          <w:color w:val="auto"/>
          <w:highlight w:val="none"/>
        </w:rPr>
      </w:pPr>
      <w:bookmarkStart w:id="294" w:name="_Toc21241"/>
      <w:bookmarkStart w:id="295" w:name="_Toc27495"/>
      <w:bookmarkStart w:id="296" w:name="_Toc16634"/>
      <w:bookmarkStart w:id="297" w:name="_Toc30402"/>
      <w:bookmarkStart w:id="298" w:name="_Toc19371"/>
      <w:bookmarkStart w:id="299" w:name="_Toc18567"/>
      <w:bookmarkStart w:id="300" w:name="_Toc26629"/>
      <w:bookmarkStart w:id="301" w:name="_Toc8038"/>
      <w:bookmarkStart w:id="302" w:name="_Toc5434"/>
      <w:bookmarkStart w:id="303" w:name="_Toc11609"/>
      <w:r>
        <w:rPr>
          <w:rStyle w:val="22"/>
          <w:rFonts w:hint="eastAsia" w:ascii="宋体" w:hAnsi="宋体" w:eastAsia="宋体" w:cs="宋体"/>
          <w:b/>
          <w:bCs/>
          <w:color w:val="auto"/>
          <w:highlight w:val="none"/>
        </w:rPr>
        <w:t>4．专用合同条款</w:t>
      </w:r>
      <w:bookmarkEnd w:id="294"/>
      <w:bookmarkEnd w:id="295"/>
      <w:bookmarkEnd w:id="296"/>
      <w:bookmarkEnd w:id="297"/>
      <w:bookmarkEnd w:id="298"/>
      <w:bookmarkEnd w:id="299"/>
      <w:bookmarkEnd w:id="300"/>
      <w:bookmarkEnd w:id="301"/>
      <w:bookmarkEnd w:id="302"/>
      <w:bookmarkEnd w:id="303"/>
    </w:p>
    <w:p w14:paraId="066AE466">
      <w:pPr>
        <w:wordWrap w:val="0"/>
        <w:adjustRightInd w:val="0"/>
        <w:snapToGrid w:val="0"/>
        <w:ind w:firstLine="241" w:firstLineChars="100"/>
        <w:rPr>
          <w:rFonts w:hint="eastAsia" w:ascii="宋体" w:hAnsi="宋体" w:eastAsia="宋体" w:cs="宋体"/>
          <w:b/>
          <w:bCs/>
          <w:snapToGrid w:val="0"/>
          <w:color w:val="auto"/>
          <w:kern w:val="0"/>
          <w:highlight w:val="none"/>
        </w:rPr>
      </w:pPr>
      <w:bookmarkStart w:id="304" w:name="_Toc18877"/>
      <w:r>
        <w:rPr>
          <w:rFonts w:hint="eastAsia" w:ascii="宋体" w:hAnsi="宋体" w:eastAsia="宋体" w:cs="宋体"/>
          <w:b/>
          <w:bCs/>
          <w:snapToGrid w:val="0"/>
          <w:color w:val="auto"/>
          <w:kern w:val="0"/>
          <w:highlight w:val="none"/>
        </w:rPr>
        <w:t>4.1</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项目管理</w:t>
      </w:r>
    </w:p>
    <w:p w14:paraId="443C56E0">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项目经理要求：</w:t>
      </w:r>
    </w:p>
    <w:p w14:paraId="54FBC75F">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项目经理与投标文件承诺不一致或未及时到位，发包人将按照下列方式对承包人进行处罚：（1）担任项目经理的注册建造师与投标书承诺不一致，将视为承包人严重违约。除符合广东省住房和城乡建设厅《关于建设工程项目招标中标后监督检查的办法》粤建市〔2009〕8号文第九条规定的情形外，项目经理一律不得更换。承包人未经监理工程师和发包人书面同意，擅自更换投标书中确认的本工程项目经理的，监理工程师或发包人有权责令承包人三天内整改，且发包人有权提请建设行政主管部门对其作不良行为记录，有权给予承包人履约评价为不合格，同时发包人有权拒绝承包人3年内参加发包人其它工程的投标，擅自更换本工程项目经理的，即使发包人事后同意更换，承包人仍需支付每换一次15万元的违约金（仅被羁押或判处刑罚、身亡可免责）。</w:t>
      </w:r>
    </w:p>
    <w:p w14:paraId="5D3A635C">
      <w:pPr>
        <w:wordWrap w:val="0"/>
        <w:adjustRightInd w:val="0"/>
        <w:snapToGrid w:val="0"/>
        <w:ind w:firstLine="480" w:firstLineChars="200"/>
        <w:rPr>
          <w:rFonts w:hint="eastAsia" w:ascii="宋体" w:hAnsi="宋体" w:eastAsia="宋体" w:cs="宋体"/>
          <w:snapToGrid w:val="0"/>
          <w:color w:val="auto"/>
          <w:kern w:val="0"/>
          <w:highlight w:val="none"/>
          <w:lang w:eastAsia="zh-CN"/>
        </w:rPr>
      </w:pPr>
      <w:r>
        <w:rPr>
          <w:rFonts w:hint="eastAsia" w:ascii="宋体" w:hAnsi="宋体" w:eastAsia="宋体" w:cs="宋体"/>
          <w:snapToGrid w:val="0"/>
          <w:color w:val="auto"/>
          <w:kern w:val="0"/>
          <w:highlight w:val="none"/>
        </w:rPr>
        <w:t>（2）项目经理每延迟到位一天承包人应向发包人支付违约金5万元/天，超过10天（含10天）发包人有权单方解除合同，并要求承包人承担由此造成的一切损失。   （3）项目经理必须按时参加工程例会、图纸会审和技术交底、现场协调会、方案论证会、专项工作碰头会，以及发包人要求其参加的会议。未经发包人同意不到会者，承包人每次向发包人支付1万元违约金，并承担一般违约责任1次。</w:t>
      </w:r>
    </w:p>
    <w:p w14:paraId="77F346B2">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项目经理若需离开施工现场1日以上（含1日）需经发包人批准。在其请假离开的时间段内应委托项目副经理或项目总工全权代表其行使职权，否则每违约一次，承包人应当承担一般违约责任1次。项目经理每月的出勤天数不得少于22天，如少于22天的，按每缺勤一天向发包人支付违约金人民币3仟元，并承担一般违约责任1次。</w:t>
      </w:r>
    </w:p>
    <w:p w14:paraId="7AA48BD2">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对于难以胜任工作项目经理，发包人有权要求承包人进行更换，直至发包人满意为止，且更换人员应在接到书面通知后的3天内到位。更换项目经理期间延误的工期不予顺延，所有费用由承包人承担，给发包人造成的损失由承包人承担。</w:t>
      </w:r>
    </w:p>
    <w:p w14:paraId="00999EC3">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上述违约金由承包人直接向发包人支付，未付清之前，发包人有权暂停支付工程款。</w:t>
      </w:r>
    </w:p>
    <w:p w14:paraId="1D9C1A68">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承包人必须遵守国家相关法律法规、政府相关规定及</w:t>
      </w:r>
      <w:r>
        <w:rPr>
          <w:rFonts w:hint="eastAsia" w:hAnsi="宋体" w:cs="宋体"/>
          <w:snapToGrid w:val="0"/>
          <w:color w:val="auto"/>
          <w:kern w:val="0"/>
          <w:highlight w:val="none"/>
          <w:lang w:eastAsia="zh-CN"/>
        </w:rPr>
        <w:t>南雄市湖口镇人民政府</w:t>
      </w:r>
      <w:r>
        <w:rPr>
          <w:rFonts w:hint="eastAsia" w:ascii="宋体" w:hAnsi="宋体" w:eastAsia="宋体" w:cs="宋体"/>
          <w:snapToGrid w:val="0"/>
          <w:color w:val="auto"/>
          <w:kern w:val="0"/>
          <w:highlight w:val="none"/>
        </w:rPr>
        <w:t>的工程管理制度。</w:t>
      </w:r>
    </w:p>
    <w:p w14:paraId="10FA4E2D">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承包人应根据工程实际需要，配备满足进度要求的施工机械，自备发电机保证供电稳定，所有费用已包含在合同价中。</w:t>
      </w:r>
    </w:p>
    <w:p w14:paraId="546DE594">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如果承包人未能按照规定的工期完成合同工程（含材料、设备采购等），或者未能在相应的工期内完成某区段或某单项工程，经发包人书面发出通知要求承包人在规定时间内完成前述工程后，承包人仍未完成，则发包人有权直接雇用他人执行该项指令，并向其支付有关费用，所发生的费用从承包人合同总价中扣除，同时，在工程结算时发包人有权扣除承包人向发包人支付所发生费用10%的违约金，并由承包人承担影响工期的一切责任。</w:t>
      </w:r>
    </w:p>
    <w:p w14:paraId="75070611">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4.1.5</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在合同履行中如发包人、承包人双方发生争议，承包人不得以争议未解决为由擅自停工，否则将视为违约，由此产生工期的延误不予顺延。</w:t>
      </w:r>
    </w:p>
    <w:p w14:paraId="49203A96">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4.1.6</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对于隐蔽工程，若发现承包人在验收合格后到隐蔽施工前，对合格部分做任何改动，应重新进行验收；若承包人同一分项工程验收两次仍不合格，则以后每增加一次验收，承包人向发包人支付违约金5000元。如出现未经验收就进行隐蔽施工，承包人向发包人支付10万元/次的违约金，并且发包人有权暂停支付该部分进度款，直至发包人确认该部分工程合格为止，并通报相关部门，由此产生质量、工期延误等等均由承包人负责。</w:t>
      </w:r>
    </w:p>
    <w:p w14:paraId="1ECC427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经承包人的自检确认隐蔽工程和工程的隐蔽部位具备覆盖条件后的24小时内，承包人应通知监理人进行检查，通知应按规定的格式说明检查地点、内容和检查时间，并附有承包人自检记录和必要的检查资料。监理人应按通知约定的时间派员到场进行检查，在监理人员确认质量符合要求，并在检查记录上签字后，承包人才能进行覆盖。</w:t>
      </w:r>
    </w:p>
    <w:p w14:paraId="7200620D">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承包人未及时通知监理人到场检查，私自将隐蔽部位覆盖，监理人有权指示承包人采用钻孔探测揭开进行检查，由此增加的费用和工期延误责任由承包人承担。</w:t>
      </w:r>
    </w:p>
    <w:p w14:paraId="53104ED3">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4.1.7</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承包人必须编制合理的交通维护方案并负责实施，保证施工期间的交通组织符合南雄公安交通管理部门的有关规定，确保施工安全，其费用包含在合同价中。</w:t>
      </w:r>
    </w:p>
    <w:p w14:paraId="79038FB0">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4.1.8</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发生伤亡事故，承包人应在第一时间通知发包人，并按规定立即上报有关部门，同时按法律、法规及相关规定的要求及时处理，否则记承包人严重违约责任一次。</w:t>
      </w:r>
    </w:p>
    <w:p w14:paraId="2DEF950E">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bidi="ar"/>
        </w:rPr>
        <w:t>因承包人原因，承包人施工现场发生工伤或其他责任事故的，除按相关法律法规依法接受处理和赔偿所造成的损失外，承包人还须按下列标准向发包人支付惩罚性违约金：</w:t>
      </w:r>
    </w:p>
    <w:p w14:paraId="1707AA70">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bidi="ar"/>
        </w:rPr>
        <w:t>①一次事故或全年累计死亡3人及以上：安全第一责任人在韶关市地区建设范围内公开检查；承包人必须撤换项目经理、安全主管，同时支付合同价款15％的惩罚性违约金。</w:t>
      </w:r>
    </w:p>
    <w:p w14:paraId="75ADBA49">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bidi="ar"/>
        </w:rPr>
        <w:t>②一次事故或全年累计死亡2人：安全第一责任人在韶关市地区建设范围内公开检查；承包人必须撤换项目经理、安全主管，同时支付合同价款10％的惩罚性违约金。</w:t>
      </w:r>
    </w:p>
    <w:p w14:paraId="3F4578F0">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bidi="ar"/>
        </w:rPr>
        <w:t>③全年死亡1人：安全第一责任人在韶关市地区建设范围内公开检查，并报其上级单位；承包人必须撤换项目经理、安全主管；同时支付合同价款5％的惩罚性违约金。</w:t>
      </w:r>
    </w:p>
    <w:p w14:paraId="597DC980">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bidi="ar"/>
        </w:rPr>
        <w:t>④重伤事故、造成10人及以上集体中毒住院、经济损失重大的火灾、设备及交通事故，依法由承包人承担责任，并支付惩罚性违约金3万元人民币。</w:t>
      </w:r>
    </w:p>
    <w:p w14:paraId="36E564CD">
      <w:pPr>
        <w:pStyle w:val="3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⑤因施工造成的道路交通中断、通讯中断、管线漏水漏气等全部责任事故，依法由承包人承担责任，并支付惩罚性违约金2万元人民币。</w:t>
      </w:r>
    </w:p>
    <w:p w14:paraId="0C724976">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4.1.9</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承包人必须遵守有关环境保护的法律法规，并采取有效措施控制施工现场的各种粉尘、废气、废弃物、噪声、振动等对身体健康和周边环境造成的危害和污染，有关费用已包含在合同价中。</w:t>
      </w:r>
    </w:p>
    <w:p w14:paraId="293058CF">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4.1.10</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工程竣工验收合格后60天内，承包人必须及时按</w:t>
      </w:r>
      <w:r>
        <w:rPr>
          <w:rFonts w:hint="eastAsia" w:ascii="宋体" w:hAnsi="宋体" w:eastAsia="宋体" w:cs="宋体"/>
          <w:color w:val="auto"/>
          <w:highlight w:val="none"/>
        </w:rPr>
        <w:t>韶关市城市建设档案要求及发包人要求</w:t>
      </w:r>
      <w:r>
        <w:rPr>
          <w:rFonts w:hint="eastAsia" w:ascii="宋体" w:hAnsi="宋体" w:eastAsia="宋体" w:cs="宋体"/>
          <w:snapToGrid w:val="0"/>
          <w:color w:val="auto"/>
          <w:kern w:val="0"/>
          <w:highlight w:val="none"/>
        </w:rPr>
        <w:t>编制真实完整的竣工图纸等竣工档案资料，并由承包人负责汇总后，移交相关管理部门，且办理完成相关移交手续，否则每延迟１天，承包人向发包人支付2000元/天的违约金。同时，承包人向发包人提供完整的竣工图纸等竣工档案资料各8套（包括</w:t>
      </w:r>
      <w:r>
        <w:rPr>
          <w:rFonts w:hint="eastAsia" w:ascii="宋体" w:hAnsi="宋体" w:eastAsia="宋体" w:cs="宋体"/>
          <w:color w:val="auto"/>
          <w:highlight w:val="none"/>
        </w:rPr>
        <w:t>声像及</w:t>
      </w:r>
      <w:r>
        <w:rPr>
          <w:rFonts w:hint="eastAsia" w:ascii="宋体" w:hAnsi="宋体" w:eastAsia="宋体" w:cs="宋体"/>
          <w:snapToGrid w:val="0"/>
          <w:color w:val="auto"/>
          <w:kern w:val="0"/>
          <w:highlight w:val="none"/>
        </w:rPr>
        <w:t>电子文件</w:t>
      </w:r>
      <w:r>
        <w:rPr>
          <w:rFonts w:hint="eastAsia" w:ascii="宋体" w:hAnsi="宋体" w:eastAsia="宋体" w:cs="宋体"/>
          <w:color w:val="auto"/>
          <w:highlight w:val="none"/>
        </w:rPr>
        <w:t>等形式的档案</w:t>
      </w:r>
      <w:r>
        <w:rPr>
          <w:rFonts w:hint="eastAsia" w:ascii="宋体" w:hAnsi="宋体" w:eastAsia="宋体" w:cs="宋体"/>
          <w:snapToGrid w:val="0"/>
          <w:color w:val="auto"/>
          <w:kern w:val="0"/>
          <w:highlight w:val="none"/>
        </w:rPr>
        <w:t>）</w:t>
      </w:r>
      <w:r>
        <w:rPr>
          <w:rFonts w:hint="eastAsia" w:ascii="宋体" w:hAnsi="宋体" w:eastAsia="宋体" w:cs="宋体"/>
          <w:color w:val="auto"/>
          <w:highlight w:val="none"/>
        </w:rPr>
        <w:t>，档案的制作费用由承包人承担。</w:t>
      </w:r>
    </w:p>
    <w:p w14:paraId="65C95AE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如承包人不按合同内容及条款施工，或违反正常施工程序、施工工艺进行施工，或施工质量、安全、环保等达不到有关要求，或施工用材料设备不符合规定，发包人有权勒令承包人暂停施工，承包人必须停工整改，一切责任由承包人负责。</w:t>
      </w:r>
    </w:p>
    <w:p w14:paraId="3E6A88E2">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承包人全体现场施工人员佩戴安全帽，全部施工人员佩工作牌。</w:t>
      </w:r>
    </w:p>
    <w:p w14:paraId="7F945757">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未经发包人书面许可，承包人不得在施工现场布置任何与本项目工程无关的商业广告，否则发包人有权要求承包人拆除，承包人并向发包人每次支付违约金10000元。</w:t>
      </w:r>
    </w:p>
    <w:p w14:paraId="259F9D06">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承包人下列人员有以下情形的，承包人必须在24小时内将其调离，并应在3天内补充经发包人批准的相关合格人员。若承包人不及时履行，发包人则有权要求承包人按每人每次支付违约金1000元/天，具体情形如下：</w:t>
      </w:r>
    </w:p>
    <w:p w14:paraId="7E885CE0">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（1）发包人确认无法胜任工作者，包括：对分部分项工程施工进度及施工质量达不到合同要求负有责任的施工人员、不熟悉本专业的施工人员、工作责任心不强的施工人员等；</w:t>
      </w:r>
    </w:p>
    <w:p w14:paraId="456D9601">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（2）不积极配合发包人、监理工程师正常工作人员；</w:t>
      </w:r>
    </w:p>
    <w:p w14:paraId="77D696A9">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（3）违反承包人或发包人工地现场管理规定的人员；</w:t>
      </w:r>
    </w:p>
    <w:p w14:paraId="042B2E7D">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（4）无证上岗人员（适用于按规定必须有上岗证的）；</w:t>
      </w:r>
    </w:p>
    <w:p w14:paraId="252145E9">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（5）与本工程施工无关的人员。</w:t>
      </w:r>
    </w:p>
    <w:p w14:paraId="4F544BD0">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4.1.15</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 xml:space="preserve">本工程禁止转包，若发包人和监理单位发现承包人有转包行为，且经行政主管部门落实认定。发包人有权勒令承包人停工、驱逐其出现场，并提请建设行政主管部门对承包人按相关法律法规进行行政处罚；发包人还有权给予承包人履约评价为不合格，及有权拒绝承包人3年内参加发包人其它工程的投标；同时发包人有权单方面解除本合同。由此造成的损失均由承包人承担。 </w:t>
      </w:r>
    </w:p>
    <w:p w14:paraId="2D595214">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 用工和劳务</w:t>
      </w:r>
    </w:p>
    <w:p w14:paraId="0CEEF3FE">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4.2.1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承包人不得从为发包人或工程师服务的人员中招雇任何人员。</w:t>
      </w:r>
    </w:p>
    <w:p w14:paraId="020C9D3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4.2.2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不得以任何理由延期支付雇员的工资和劳务分包人的劳务费用。对发包人支付的工程款，承包人须优先用于支付工人劳动报酬，确保不发生因拖欠工人工资、劳务费而停工、上访，或因此在媒体曝光等事件。如果发生因拖欠工人工资、劳务费而停工上访，或因此在媒体曝光等事件，视为承包人违约，发包人有权要求承包人支付违约金20万元/次。</w:t>
      </w:r>
    </w:p>
    <w:p w14:paraId="6F8C1153">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4.2.3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应避免发包人因施工工人追索劳务费或工程款而将发包人诉至法院或仲裁委员会，否则一切责任由承包人承担，所发生的所有费用(包括但不限于诉讼费、调查费、律师费、赔偿费、违约金等)全部由承包人承担，发包人有权将此等费用从任何应支付的工程款中扣除或没收履约保函中的相应金额。</w:t>
      </w:r>
    </w:p>
    <w:p w14:paraId="383FDC08">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4.2.4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如果现场工程师需要了解承包人在现场的管理人员和各种劳务工种操作人员情况，以及工程师要求的有关承包人机械设备、主要施工机具、周转材料等的详细资料。承包人则应向工程师提交一份详细的统计表，其格式和提交的间隔时间应符合工程师的规定。</w:t>
      </w:r>
    </w:p>
    <w:p w14:paraId="36664296">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4.3</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施工准备工作</w:t>
      </w:r>
    </w:p>
    <w:p w14:paraId="5A19DBC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4.3.1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承包人应充分认识到本工程的特殊性和复杂性，施工前应切实做好各项准备工作，包括但不限于（1）、（2）、（3）：</w:t>
      </w:r>
    </w:p>
    <w:p w14:paraId="5E7C197B">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（1）必须按要求完成临时设施建设和现场指挥部建设。</w:t>
      </w:r>
    </w:p>
    <w:p w14:paraId="553DCBC9">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（2）按照相关规定及发包人要求做好现场申报、宣传、走访、排查和解释工作。</w:t>
      </w:r>
    </w:p>
    <w:p w14:paraId="20051AA7">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（3）根据现场实际环境，做好防火、防盗、防坠落等各项措施，排除安全隐患，确保施工期间施工的安全。</w:t>
      </w:r>
    </w:p>
    <w:p w14:paraId="1D392A74">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4.3.2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存在设计图纸疑问，必须在施工前30日提出，不得在施工时临时提出，也不得以此手段要求任何索赔，由此造成的一切损失由承包人承担。</w:t>
      </w:r>
    </w:p>
    <w:p w14:paraId="78902312">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4.4工程变更</w:t>
      </w:r>
    </w:p>
    <w:p w14:paraId="5AC05E06">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4.4.1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报送的变更价款，应实事求是，不得虚报数量，增加或变更的工程内容按招标文件中约定计价办法进行计量。若其报送金额超出建设工程造价管理部门或政府审核部门审定金额15%以上的，除在在结算中予以扣除外，每次承包人还须向发包人支付人民币伍仟（</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5000）元的违约金。</w:t>
      </w:r>
    </w:p>
    <w:p w14:paraId="0027924D">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4.4.2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承包人应充分考虑工程设计变更带来的风险。工程变更须按政府及发包人的有关规定、审批权限和审批程序进行审批，凡未经发包人审批同意，承包人擅自实施的，一律视为无效变更，结算时发包人不予承认。</w:t>
      </w:r>
    </w:p>
    <w:p w14:paraId="26178F25">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4.4.3</w:t>
      </w:r>
      <w:r>
        <w:rPr>
          <w:rFonts w:hint="eastAsia" w:hAnsi="宋体" w:eastAsia="宋体" w:cs="宋体"/>
          <w:snapToGrid w:val="0"/>
          <w:color w:val="auto"/>
          <w:kern w:val="0"/>
          <w:highlight w:val="none"/>
          <w:lang w:val="en-US" w:eastAsia="zh-CN"/>
        </w:rPr>
        <w:t xml:space="preserve"> </w:t>
      </w:r>
      <w:r>
        <w:rPr>
          <w:rFonts w:hint="eastAsia" w:hAnsi="宋体"/>
          <w:color w:val="auto"/>
          <w:highlight w:val="none"/>
        </w:rPr>
        <w:t>承包人应按南雄市人民政府办公室《关于加强市本级政府投资项目财政投资评审监督管理的实施意见》</w:t>
      </w:r>
      <w:r>
        <w:rPr>
          <w:rStyle w:val="22"/>
          <w:rFonts w:hint="eastAsia" w:hAnsi="宋体"/>
          <w:color w:val="auto"/>
          <w:kern w:val="0"/>
          <w:highlight w:val="none"/>
        </w:rPr>
        <w:t>（雄府办函﹝2023﹞5号）</w:t>
      </w:r>
      <w:r>
        <w:rPr>
          <w:rFonts w:hint="eastAsia" w:hAnsi="宋体"/>
          <w:color w:val="auto"/>
          <w:highlight w:val="none"/>
        </w:rPr>
        <w:t>的规定及时申报办理工程变更审批手续，并于申请当期工程款之前或一并申报完整的工程变更资料予以备案；凡不符合实施意见要求的变更均为无效变更。</w:t>
      </w:r>
    </w:p>
    <w:p w14:paraId="52587B4F">
      <w:pPr>
        <w:wordWrap w:val="0"/>
        <w:adjustRightInd w:val="0"/>
        <w:snapToGrid w:val="0"/>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4.5</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工程量清单约定</w:t>
      </w:r>
    </w:p>
    <w:p w14:paraId="7D2B898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4.5.1施工图分部分项工程量的结算约定</w:t>
      </w:r>
    </w:p>
    <w:p w14:paraId="6043CB76">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承包人必须按图纸及有关标准、规范的要求完成全部的施工内容。对于标底分部分项工程量清单中所列项目，如有错漏，承包人于签订施工合同后45天内报监理工程师、发包人，发包人根据招标时所公布的施工图（详见第五章图纸和招标工程量清单），委托预算编制进行计算，并经监理工程师、发包人审核后报审核部门备案（施工单位现场安全文明措施费和施工措施费包干，不作调整），逾期不报视为自动放弃，结算不再调整工程量。</w:t>
      </w:r>
    </w:p>
    <w:p w14:paraId="364BE361">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（2）分部分项工程量清单无而施工图设计文件已设计，属分部分项工程量清单漏项，与错项同时申报。最终结算以经监理工程师、发包人审核，财政评审中心审定的工程量为准。</w:t>
      </w:r>
    </w:p>
    <w:p w14:paraId="220A78A9">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特别注意的是分部分项工程量清单各项目（子目）内所列明的项目特征为主要特征，工程内容为主要内容，详细全面的特征和工程内容以图纸、技术要求、规范、</w:t>
      </w:r>
      <w:r>
        <w:rPr>
          <w:rFonts w:hint="eastAsia" w:hAnsi="宋体" w:cs="宋体"/>
          <w:color w:val="auto"/>
          <w:szCs w:val="24"/>
          <w:highlight w:val="none"/>
        </w:rPr>
        <w:t>《建设工程工程量清单计价标准》（GB/T 50500-2024）</w:t>
      </w:r>
      <w:r>
        <w:rPr>
          <w:rFonts w:hint="eastAsia" w:ascii="宋体" w:hAnsi="宋体" w:eastAsia="宋体" w:cs="宋体"/>
          <w:snapToGrid w:val="0"/>
          <w:color w:val="auto"/>
          <w:kern w:val="0"/>
          <w:highlight w:val="none"/>
        </w:rPr>
        <w:t>以及相关规定为依据，并以计价、设计、施工规范的严格者为准。每个分部分项工程量清单的各个项目（子目）中少列的工程内容、材料不属于分部分项工程量清单漏项。主要材料特征出现错误，经承包人提出申请，监理工程师、发包人确认同意后，仅调整主要材料的材料价差（不计企业管理费和利润），其他均不作调整，发包人有权无条件拒绝承包人的此项申请。</w:t>
      </w:r>
    </w:p>
    <w:p w14:paraId="65FCB570">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（3）工程量计量的其他约定：</w:t>
      </w:r>
    </w:p>
    <w:p w14:paraId="618CD3B9">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①承包人不得自行取消施工图或清单中的任何项目，发包人根据需要取消的未施工项目，经监理工程师核实后予以扣减，相应的措施费用予以扣</w:t>
      </w:r>
      <w:r>
        <w:rPr>
          <w:rFonts w:hint="eastAsia" w:ascii="宋体" w:hAnsi="宋体" w:eastAsia="宋体" w:cs="宋体"/>
          <w:color w:val="auto"/>
          <w:highlight w:val="none"/>
        </w:rPr>
        <w:t>减</w:t>
      </w:r>
      <w:r>
        <w:rPr>
          <w:rFonts w:hint="eastAsia" w:ascii="宋体" w:hAnsi="宋体" w:eastAsia="宋体" w:cs="宋体"/>
          <w:snapToGrid w:val="0"/>
          <w:color w:val="auto"/>
          <w:kern w:val="0"/>
          <w:highlight w:val="none"/>
        </w:rPr>
        <w:t>。</w:t>
      </w:r>
    </w:p>
    <w:p w14:paraId="40C47156">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②承包人自身原因造成的返工工程量，不予计量。</w:t>
      </w:r>
    </w:p>
    <w:p w14:paraId="304FE9E2">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③凡超出图纸范围又未经变更审批的工程量，不予计量。</w:t>
      </w:r>
    </w:p>
    <w:p w14:paraId="1CAC61B1">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④不符合工程质量标准的工程量，不予计量。</w:t>
      </w:r>
    </w:p>
    <w:p w14:paraId="470199AD">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⑤发包人书面通知承包人取消的工程量，不予计量。</w:t>
      </w:r>
    </w:p>
    <w:p w14:paraId="07FC4095">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⑥工程量清单中已列出的项目而承包人在商务标中未填报单价或合价的项目，将被视为该项费用已包括在其它有价款的综合单价或合价内，任何与此有关的工程价款，发包人将不另行支付。</w:t>
      </w:r>
    </w:p>
    <w:p w14:paraId="2703EF74">
      <w:pPr>
        <w:wordWrap w:val="0"/>
        <w:adjustRightInd w:val="0"/>
        <w:snapToGrid w:val="0"/>
        <w:ind w:firstLine="480"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snapToGrid w:val="0"/>
          <w:color w:val="auto"/>
          <w:kern w:val="0"/>
          <w:highlight w:val="none"/>
        </w:rPr>
        <w:t>除以上规定外，对于承包人提出的任何与工程量清单错漏有关的索赔，发包人将不予认可。如承包人不遵守上述约定从而造成工期延误，每延误一天承包人按逾期第壹天起每天按合同价款的3‰向发包人返纳逾期违约金</w:t>
      </w:r>
      <w:r>
        <w:rPr>
          <w:rFonts w:hint="eastAsia" w:hAnsi="宋体" w:eastAsia="宋体" w:cs="宋体"/>
          <w:snapToGrid w:val="0"/>
          <w:color w:val="auto"/>
          <w:kern w:val="0"/>
          <w:highlight w:val="none"/>
          <w:lang w:eastAsia="zh-CN"/>
        </w:rPr>
        <w:t>。</w:t>
      </w:r>
    </w:p>
    <w:p w14:paraId="634EB448">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4.5.2 工程量清单中所填入的综合单价为按技术规范与技术要求完成一个规定计量单位的工程所需的人工费、材料费、机械使用费、管理费、利润并考虑风险因素。按技术规范、招标文件、设计图纸、国标</w:t>
      </w:r>
      <w:r>
        <w:rPr>
          <w:rFonts w:hint="eastAsia" w:hAnsi="宋体" w:cs="宋体"/>
          <w:color w:val="auto"/>
          <w:szCs w:val="24"/>
          <w:highlight w:val="none"/>
        </w:rPr>
        <w:t>《建设工程工程量清单计价标准》</w:t>
      </w:r>
      <w:r>
        <w:rPr>
          <w:rFonts w:hint="eastAsia" w:ascii="宋体" w:hAnsi="宋体" w:eastAsia="宋体" w:cs="宋体"/>
          <w:snapToGrid w:val="0"/>
          <w:color w:val="auto"/>
          <w:kern w:val="0"/>
          <w:highlight w:val="none"/>
        </w:rPr>
        <w:t>、省市现行计价规程等要求为完成一个规定计量单位的工程量所需的其他一切费用，除非投标人在措施项目清单中列出，否则视为已被包含在工程量清单各项目综合单价中。承包人不得以综合单价和措施费所含工作内容缺漏项为由，向发包人提出任何变更工程价款的要求。</w:t>
      </w:r>
    </w:p>
    <w:p w14:paraId="3243B796">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Theme="minorEastAsia" w:hAnsiTheme="minorEastAsia" w:eastAsiaTheme="minorEastAsia" w:cstheme="minorEastAsia"/>
          <w:b/>
          <w:bCs w:val="0"/>
          <w:color w:val="auto"/>
          <w:sz w:val="24"/>
          <w:szCs w:val="24"/>
          <w:highlight w:val="none"/>
          <w:lang w:val="en-US" w:eastAsia="zh-CN"/>
        </w:rPr>
        <w:t>4.5.3 根据广东省建设工程造价管理规定（政府令第205号）</w:t>
      </w:r>
      <w:r>
        <w:rPr>
          <w:rFonts w:hint="eastAsia" w:asciiTheme="minorEastAsia" w:hAnsiTheme="minorEastAsia" w:eastAsiaTheme="minorEastAsia" w:cstheme="minorEastAsia"/>
          <w:b/>
          <w:bCs w:val="0"/>
          <w:color w:val="auto"/>
          <w:sz w:val="24"/>
          <w:szCs w:val="24"/>
          <w:highlight w:val="none"/>
          <w:lang w:eastAsia="zh-CN"/>
        </w:rPr>
        <w:t>承包人编制的工程结算文件质量偏差率不得超过5%（编制结算造价工程质量文件偏差率=(承包人编制的结算送审金额-经发包人位委托的造价咨询单位审核金额)/发包人委托的造价咨询单位审核金额*100%）。</w:t>
      </w:r>
      <w:r>
        <w:rPr>
          <w:rFonts w:hint="eastAsia" w:asciiTheme="minorEastAsia" w:hAnsiTheme="minorEastAsia" w:eastAsiaTheme="minorEastAsia" w:cstheme="minorEastAsia"/>
          <w:b/>
          <w:bCs w:val="0"/>
          <w:color w:val="auto"/>
          <w:sz w:val="24"/>
          <w:szCs w:val="24"/>
          <w:highlight w:val="none"/>
          <w:lang w:val="en-US" w:eastAsia="zh-CN"/>
        </w:rPr>
        <w:t>结算文件质量偏差率大于5%部分的效益收费由承包人承担。</w:t>
      </w:r>
    </w:p>
    <w:p w14:paraId="566FC7D0">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4.6</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承包人对专业分包的总要求</w:t>
      </w:r>
    </w:p>
    <w:p w14:paraId="7ACED2B5">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4.6.1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承包人对本工程所有分包人的管理费和相互间的配合费用由承包人与分包人自行商定，已含在承包人的投标报价中，发包人不予任何补偿。承包人承担全部管理、组织、协调和配合工作。</w:t>
      </w:r>
    </w:p>
    <w:p w14:paraId="6BCE8217">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4.6.2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若承包人的施工承包资质缺少本工程的专业承包资质，应按照有关规定事先报发包人和监理工程师审查并取得发包人批准后分包给具有相应资质的专业承包人（如果分包工程按规定需要进行招标的，由承包人在建设交易中心自行组织），由此产生的一切分包费用、配合费、招标费用以及其他可能存在风险所产生的费用都含在合同价中。承包人因上述情况提出的任何索赔或工期延长申请将不获批准。若承包人在施工过程中由于自身缺少本工程要求的专业承包资质，而又不能按规定时间发包给具有资质的专业承包企业或者分包企业不能按照设计要求实施专业工程的，由此造成工期延误，每延误1天承包人向发包人支付违约金3万元；给发包人造成质量损失的，承包人负责赔偿，同时发包人有权从合同价中按分包工程的审定预算价扣除，并委托其他施工单位实施，承包人须无条件与分包人签订合同。</w:t>
      </w:r>
    </w:p>
    <w:p w14:paraId="68E55189">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4.6.3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若同一分包工程的分包申请被否定二次，发包人有权就该分包工程采用单独招标形式确定分包人或直接指定分包人，承包人须无条件与分包人签订合同，并不得收取任何费用。同时发包人有权从合同价中按分包工程的审定预算价扣除，并委托其他施工单位实施，承包人须无条件与分包人签订合同。同时由此造成工期延误，每延误1天承包人向发包人支付违约金3万元；给发包人造成质量损失的，承包人负责赔偿。</w:t>
      </w:r>
    </w:p>
    <w:p w14:paraId="4B27B625">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4.6.4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经工程师、发包人认可，承包人与分包人签订分包合同后的5天内，承包人必须将分包合同等相关资料按规定送建设行政主管部门及其他相关管理部门备案，分包合同与本施工合同发生抵触，以本施工合同为准。承包人对分包合同承担连带责任。分包合同不解除承包人任何义务与责任，承包人在分包现场应派驻监督管理人员，保证合同的履行。分包人的任何违约或疏忽，均视为承包人违约或疏忽。</w:t>
      </w:r>
    </w:p>
    <w:p w14:paraId="488D68B9">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4.6.5</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若发包人和监理均认定承包人有未经发包人同意的分包行为（无须承包人认可，除非承包人在发包人发出通知后3天内提出有效举证），发包人有权勒令其停工、驱逐出现场等，由此造成的损失均由承包人承担，同时承包人向发包人支付违约金30万元/每次。发包人有权提请建设行政主管部门对其作不良行为记录，有权给予承包人履约评价为不合格，同时发包人有权拒绝承包人3年内参加发包人其它工程的投标。</w:t>
      </w:r>
    </w:p>
    <w:p w14:paraId="53EF5823">
      <w:pPr>
        <w:wordWrap w:val="0"/>
        <w:adjustRightInd w:val="0"/>
        <w:snapToGrid w:val="0"/>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4.7 措施项目</w:t>
      </w:r>
    </w:p>
    <w:p w14:paraId="370114F3">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承包人关于措施项目清单内的所有项目的投标报价为包干费用，承包人必须承担措施项目的所有风险及有关措施项目的运输、修建、维修、养护、拆除、恢复、摊销等全部费用。不得以任何理由向发包人提出措施项目的费用索赔。如因承包人的设计、方案和措施（即使已经监理工程师及发包人审批确认）无法满足正常施工的要求，有关的责任、损失、补救费用全部由承包人自行承担，承包人必须承担这些项目的所有风险及费用。除了合同条件中有明确的规定外，工程结算不能调整以下项目的合同金额：</w:t>
      </w:r>
    </w:p>
    <w:p w14:paraId="66019991">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措施项目包括安全文明施工措施（文明施工、安全施工、临时设施、环境保护）、履约担保手续费、夜间施工、赶工措施、冬雨季施工费、已完工程及设备保护费、地上地下设施及建筑物的临时保护费、二次搬运、脚手架、垂直运输机械、大型机械设备进出场及安拆、施工排水降水、水土保持增加费、与其他工程的衔接管理与配合费、其他措施费等。对于承包人在商务标措施清单项目报价中缺少的本工程必需的措施费用，按照承包人在商务标中提交的报价说明，未报价部分已经分摊在其他有价款的项目中，发包人不再另行支付。对于承包人根据需要增加的措施费项目，承包人已列入其他措施费中。</w:t>
      </w:r>
    </w:p>
    <w:p w14:paraId="6927C9C6">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现场安全文明设计必须满足国家、省市相关的要求达到“文明工地”的标准，并争做市级“示范文明工地”。除此之外，尚应满足如下要求：</w:t>
      </w:r>
    </w:p>
    <w:p w14:paraId="78B6FF88">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第一、安全、文明、临时设施要求：①主要管理人员与投标文件内填写的应一致；②施工现场应封闭施工。围墙和大门的方案图需满足相关主管部门要求，并通过监理工程师的审批。进出口要设大门、门卫和门卫制度。主进出口门头设企业标志，两侧要挂“七牌一图”,标牌应规范、整齐；③施工场地及生活区的所有临时道路，无污水、积水，地面要平整，路面满足施工及生活需要；排水要通畅，要有防止泥浆、污物堵塞排水管道的措施；按要求张挂各种安全标志牌和标语，设宣传栏，读报栏和黑板报并设有吸烟处；有绿化布置；④施工期间，承包人应随时根据现场情况对围挡进行维修和保护，确保施工界面达到韶关市、南雄市和建设部有关规定的标准。为确保施工安全，防止无关人员进入现场，承包人必须对施工范围进行全封闭围挡（特殊情况除外），并设置车辆进出口，若确因条件限制或环境要求无法实施封闭围档，承包人应切实做好安全防护及安全通道，设置合理科学的安全警示标志。如果承包人开工后经监理工程师下达整改通知后3天内仍未按规定实施，发包人有权安排其他施工队伍进场作好封闭围挡，相应费用从本合同总价中的现场安全文明措施费中扣除。承包人承诺按发包人制定的此条款执行，不得有任何异议。⑤施工场内，建筑材料、构件和料具要按施工现场平面图的布置要求堆放整齐，并挂物料名称，品种，规格等标牌，施工现场渣土和垃圾清运应当采取喷淋压尘装载；⑥承包人必须按照粤建安字【2009】20号文件要求，在开工前按有关规定要求，编制施工组织设计和施工现场消防设施平面布置图，按规定配备合格的的消防器材等，满足施工现场所需的消防措施、制度和灭火器材，灭火器材配置、消防水源所有器材和设备应合理、合格，使用明火应有动火审批手续和动火监护，所发生的费用已含合同中。⑦施工现场的施工区、办公区、生活区应当分开设置，实行区划管理，临时办公和生活用房应采用轻钢板房,并要具有抗强台风的措施，确保安全；⑧工地内要配备经培训的急救人员、保健医药箱、安全急救措施和急救器材，要开展卫生、防病自救、互救宣传教育；⑨要建立治安保卫制度，责任要分解到人。承包人在施工过程中的施工人员应配备必要的劳动、安全保护用品并配戴工作证，以及满足招标文件中其他相关规定。</w:t>
      </w:r>
    </w:p>
    <w:p w14:paraId="1F1498E4">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第二、环保要求：承包人在施工过程中必须根据环保部门和城管部门的要求采取一切可能的措施做好环境保护和水土保持工作，有效控制施工现场的各种粉尘、废气、废弃物、噪音、振动、雨污水等对周边环境造成的污染和危害，避免对周围的管线、道路、构筑物、建筑物造成损坏，环境保护所采用的措施包括但不局限于：①环境污染防治措施：禁止向周边和雨水口倾倒一切废物，包括生产和生活污水、生产和生活垃圾等；生活废水要自建生活污水处理装置；生活垃圾要收集在有防雨棚和防地表径流冲刷的临时垃圾池内，及时集中、清运；堆土区表面进行覆盖；②大气污染防治措施：采用洒水湿法抑尘；重点时段防护如：对工地进出运输车辆进行冲洗；运送散装物料的机动车、存放散装物料的堆放场地必须用棚布遮盖，拌合设备尽量封闭；③施工噪音防护措施：施工噪音执行《建筑施工噪音标准限值》（GB12523-90）规定的有关标准，未经环保部门批准中午和夜间不得施工作业；对高噪音的施工机械或加工环节尽量安排在远离民居的地方。④针对固体废物可能产生的多种环境影响，须采取必要的措施分类收集，运至指定地点和按规定进行处理。⑤制定建筑废弃物管理计划，达到绿色建筑施工的要求。⑥红线范围内必须落实雨污分流，生活污水须经过化粪池处理后接入市政管网排放。</w:t>
      </w:r>
    </w:p>
    <w:p w14:paraId="2081B221">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由于承包人原因导致的投诉、索赔、指控，由承包人承担全部责任，同时造成工期延误的，发包人将按照合同条款相关约定进行索赔。</w:t>
      </w:r>
    </w:p>
    <w:p w14:paraId="5416F849">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以上须采取的所有措施费用及相关的费用已含在合同价中。</w:t>
      </w:r>
    </w:p>
    <w:p w14:paraId="51BC1A6A">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第三、投标报价时应考虑聘请专业保安公司负责施工现场保安工作，并按主管部门的要求，发包人和监理工程师的审批方案在工地安装视频监控系统，履盖全场，保证正常使用。采取相应保卫措施防止出现财、物被盗行为，相关费用已包括在安全文明施工措施费中，发包人不再另行支付此类费用。</w:t>
      </w:r>
    </w:p>
    <w:p w14:paraId="0BA82C31">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已完工程及设备保护费</w:t>
      </w:r>
    </w:p>
    <w:p w14:paraId="3D1C0CD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①承包人应充分考虑本工程的已完工程及设备保护，其费用已包含在合同价内，结算不再调整；②承包人应充分考虑施工影响范围内的地上、地下设施，建筑物的临时保护等措施，以及对周围建筑物、周围道路管线的沉降和位移按照施工规范进行质量、安全性</w:t>
      </w:r>
      <w:r>
        <w:rPr>
          <w:rFonts w:hint="eastAsia" w:hAnsi="宋体" w:cs="宋体"/>
          <w:strike w:val="0"/>
          <w:dstrike w:val="0"/>
          <w:snapToGrid w:val="0"/>
          <w:color w:val="auto"/>
          <w:kern w:val="0"/>
          <w:highlight w:val="none"/>
          <w:lang w:val="en-US" w:eastAsia="zh-CN"/>
        </w:rPr>
        <w:t>检查</w:t>
      </w:r>
      <w:r>
        <w:rPr>
          <w:rFonts w:hint="eastAsia" w:ascii="宋体" w:hAnsi="宋体" w:eastAsia="宋体" w:cs="宋体"/>
          <w:snapToGrid w:val="0"/>
          <w:color w:val="auto"/>
          <w:kern w:val="0"/>
          <w:highlight w:val="none"/>
        </w:rPr>
        <w:t>，对于现场及周边临近的可能发生的危险情况及时向监理工程师或主管部门报告，在施工现场根据相关要求准备应急物资并及时采取有效措施，保护费用已包含在合同价中，结算时不再调整。</w:t>
      </w:r>
    </w:p>
    <w:p w14:paraId="64DB611E">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施工降排水</w:t>
      </w:r>
    </w:p>
    <w:p w14:paraId="49759A74">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承包人应按照地质报告、设计图纸要求、降水水位要求、现场实际和工程经验等对降排水进行深化设计、维护和加固，其深化应经过设计单位的审批、监理工程师和发包人的同意，施工降排水应包括设计、施工、加固、维护直至竣工的全部施工和抽排水工作，同时保证护栏的安全性。</w:t>
      </w:r>
    </w:p>
    <w:p w14:paraId="2C7CEC54">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本工程施工期间地表及地下水采用有组织的排放，采取的施工排水、降水应确保周边建（构）筑物的安全等有效措施。 </w:t>
      </w:r>
    </w:p>
    <w:p w14:paraId="45021968">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承包人应综合考虑施工期间除不可抗力原因外的气候条件造成的现场工程量的增加及其它风险（如发包人提供的地质报告等相关资料可能存在与实际不符）。</w:t>
      </w:r>
    </w:p>
    <w:p w14:paraId="40489A63">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雨季施工随时与气象部门保持联系，在大雨、台风到来之前按有关主管部门规定的防洪防汛应急措施等。</w:t>
      </w:r>
    </w:p>
    <w:p w14:paraId="5622DA0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以上有关费用已含在施工降排水费用中，结算不作调整。</w:t>
      </w:r>
    </w:p>
    <w:p w14:paraId="04A48288">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4.7.5</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水土保持</w:t>
      </w:r>
    </w:p>
    <w:p w14:paraId="5D7FD353">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承包人必须按照水土保持方案以及监理和检测单位的要求，采取设置排水沟、排洪沟、沉砂池、砂袋、植草等水土保持和防洪排涝措施，优化挖方填方，对土石方合理利用；对已完工土石方工程裸露表面，及时采取防护措施、严格控制水土流失，实现水土流失防治目标；及时做好排水导流工作，使地表径流和工程用水经沉砂池沉降后方可排放，沉砂池要定期清理，减轻水流对裸露地表的冲刷，防止泥砂流出对周边区域造成危害；临时堆土要全面覆盖，减少粉尘及雨水冲刷，堆土清理后或其他裸露地要采取恢复植被或其他防止水土流失措施。</w:t>
      </w:r>
    </w:p>
    <w:p w14:paraId="27BDED0B">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4.7.6</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施工用水、用电等</w:t>
      </w:r>
    </w:p>
    <w:p w14:paraId="50C1E57F">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①承包人根据现场条件和工程情况，接通生活和生产区场内外的给水、排水、施工用电、通讯等工作，同时承包人应自备充足的发电机，确保施工过程中的水、电安全稳定供应，结算费用不作调整。</w:t>
      </w:r>
    </w:p>
    <w:p w14:paraId="2F6EBED6">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②所有施工场地范围内涉及的废弃物与垃圾清理、外运，以及场地平整。</w:t>
      </w:r>
    </w:p>
    <w:p w14:paraId="005CC80A">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③为建设单位、监理单位提供施工现场临时办公、会议室用房和办公必须品，并开通通讯线路。</w:t>
      </w:r>
    </w:p>
    <w:p w14:paraId="598EE5E1">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④合同工期和顺延工期内临时用地（含占道）、房屋租赁的手续费和租金。</w:t>
      </w:r>
    </w:p>
    <w:p w14:paraId="58182DB2">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4.7.7</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与其他工程的衔接、管理与配合费</w:t>
      </w:r>
    </w:p>
    <w:p w14:paraId="07DEEE82">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由承包人负责工程衔接各专业工程进度安排、施工现场管理协调等工作。对安全、文明、施工、运输、仓储、住宿统筹管理；确定合理的工序和进度计划、安排作业面与通道、提供场地；工程完工后的整体调试、验收和竣工资料整理；按专业设计图纸要求配合做好埋件、预留洞、预埋管等工作；提供脚手架供专业承包人使用；提供照明、临时水电等设施。其费用在对其他工程的衔接、管理和配合费用中报价，结算不做调整。</w:t>
      </w:r>
    </w:p>
    <w:p w14:paraId="7DCAD4EF">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4.7.8</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因承包人原因而引起的罚款、索赔和指控等责任由承包人自行承担。</w:t>
      </w:r>
    </w:p>
    <w:p w14:paraId="17EB4348">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4.7.9</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工程完工后需要恢复的建筑物、构筑物，承包人必须及时恢复，并使监理工程师和发包人满意，满足政府管理部门的规定和要求。</w:t>
      </w:r>
    </w:p>
    <w:p w14:paraId="3A5CE2A1">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4.7.10</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必须按有关法规、标准、规定或发包人的合理要求实施有关措施项目，若以上设施或措施达不到要求，工程师发出指令后，承包人应按照要求予以整改，其费用由承包人承担。承包人拒绝整改或未能及时整改，发包人有权要求承包人支付违约金50万元，并将其列入履约考评不良纪录，同时发包人有权委托第三方实施，所有费用由承包人承担。由于承包人原因导致的投诉、索赔、指控，由承包人承担全部责任，同时造成工期延误的，发包人将按照合同条款相关约定进行索赔。</w:t>
      </w:r>
    </w:p>
    <w:p w14:paraId="1A44E0CA">
      <w:pPr>
        <w:wordWrap w:val="0"/>
        <w:adjustRightInd w:val="0"/>
        <w:snapToGrid w:val="0"/>
        <w:ind w:firstLine="482" w:firstLineChars="200"/>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highlight w:val="none"/>
        </w:rPr>
        <w:t>4.7.11</w:t>
      </w:r>
      <w:r>
        <w:rPr>
          <w:rFonts w:hint="eastAsia" w:hAnsi="宋体" w:eastAsia="宋体" w:cs="宋体"/>
          <w:b/>
          <w:snapToGrid w:val="0"/>
          <w:color w:val="auto"/>
          <w:kern w:val="0"/>
          <w:highlight w:val="none"/>
          <w:lang w:val="en-US" w:eastAsia="zh-CN"/>
        </w:rPr>
        <w:t xml:space="preserve"> </w:t>
      </w:r>
      <w:r>
        <w:rPr>
          <w:rFonts w:hint="eastAsia" w:ascii="宋体" w:hAnsi="宋体" w:eastAsia="宋体" w:cs="宋体"/>
          <w:b/>
          <w:snapToGrid w:val="0"/>
          <w:color w:val="auto"/>
          <w:kern w:val="0"/>
          <w:highlight w:val="none"/>
        </w:rPr>
        <w:t>承包人必须按照《建设工程安全生产管理条例》和《危险性较大的分部分项工程安全管理办法》进行施工，应按有关规定提供相应的防护措施且在施工前编制危险性较大分部分项工程的专项施工方案，有关费用已含在合同价中。因承包人原因，导致的安全事故，由承包人承担相应责任及发生的费用。</w:t>
      </w:r>
    </w:p>
    <w:p w14:paraId="606B6427">
      <w:pPr>
        <w:wordWrap w:val="0"/>
        <w:adjustRightInd w:val="0"/>
        <w:snapToGrid w:val="0"/>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4.8</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解除合同后续工程的补充约定</w:t>
      </w:r>
    </w:p>
    <w:p w14:paraId="15AF9D7A">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4.8.1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发包人向承包人发出解除或部分解除合同通知到达后，本合同即解除或部分解除，承包人必须在3日内停止施工，5日内将现场施工材料设备、工程用机具设备和人员等撤出施工场地，完成现场和有关资料的移交，并于完成交接工作当日内离场。承包人应保护好已完工程、已购设备材料，保证所移交的资料齐全完整。承包人无特殊原因未在规定期限内移交、离场或移交完整资料，发包人有权处理其留在现场的材料、设备和其他物件，处理费用由承包人承担。</w:t>
      </w:r>
    </w:p>
    <w:p w14:paraId="3E296088">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对于部分解除合同的情形，承包人拒不履行配合，发包人有权全部解除合同，如果造成发包人工期延误和其他方面的损失，发包人将要求承包人赔偿有关损失。发包人在发出解除合同的通知后，发包人即可清理现场、委托重新招标或委托新的承包人承接该工程。同时，承包人不得影响或阻碍新的承包人办理进场手续和相关工作。</w:t>
      </w:r>
    </w:p>
    <w:p w14:paraId="0987812E">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4.8.2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由于承包人原因导致的合同解除或部分合同解除，承包人已经订货的材料、设备，以及已进场尚未安装的材料设备均由承包人负责退货或解除订货合同，不能退还的货款、定金、订金，因退货和解除订货合同发生的费用以及因无法退货造成的损失均由承包人承担，发包人不予补偿。</w:t>
      </w:r>
    </w:p>
    <w:p w14:paraId="6185EF25">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4.8.3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非承包人原因导致的合同解除或部分合同解除，承包人已经签订订货合同，但尚未进场的材料、设备；或虽已进场但发包人或监理工程师验货不合格的，解除订货合同或退货发生的费用以及因无法退货造成的损失均由承包人承担，发包人不予补偿。</w:t>
      </w:r>
    </w:p>
    <w:p w14:paraId="7B9439E2">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经发包人或监理工程师验货、签收，且已进场的材料设备但尚未安装的材料设备，费用由发包人承担。数量按发包人、监理工程师审核确认的数量；原投标设备材料表中已列明单价，单价按投标报价计算，原投标设备材料表中未列明单价的，按预算审定价中的材料设备价*（1-下浮率）计算。</w:t>
      </w:r>
    </w:p>
    <w:p w14:paraId="334C5149">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4.8.4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承包人的已完工程结算时间由发包人确定。按本合同结算条款约定办理结算，同时必须按合同约定扣除违约金、赔偿金。</w:t>
      </w:r>
    </w:p>
    <w:p w14:paraId="0AEE87C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4.8.5</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因承包人原因导致解除合同，发包人所遭受的一切损失,由承包人承担全部赔偿责任。</w:t>
      </w:r>
    </w:p>
    <w:p w14:paraId="1EA43728">
      <w:pPr>
        <w:wordWrap w:val="0"/>
        <w:adjustRightInd w:val="0"/>
        <w:snapToGrid w:val="0"/>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4.9</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承包人违约责任追究补充细则</w:t>
      </w:r>
    </w:p>
    <w:p w14:paraId="1A77870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工程质量达不到合同约定的质量标准承包人违约责任：如未达到合格</w:t>
      </w:r>
      <w:r>
        <w:rPr>
          <w:rFonts w:hint="eastAsia" w:hAnsi="宋体" w:cs="宋体"/>
          <w:snapToGrid w:val="0"/>
          <w:color w:val="auto"/>
          <w:kern w:val="0"/>
          <w:highlight w:val="none"/>
          <w:lang w:val="en-US" w:eastAsia="zh-CN"/>
        </w:rPr>
        <w:t>标准</w:t>
      </w:r>
      <w:r>
        <w:rPr>
          <w:rFonts w:hint="eastAsia" w:ascii="宋体" w:hAnsi="宋体" w:eastAsia="宋体" w:cs="宋体"/>
          <w:snapToGrid w:val="0"/>
          <w:color w:val="auto"/>
          <w:kern w:val="0"/>
          <w:highlight w:val="none"/>
        </w:rPr>
        <w:t>，除则按合同价款的</w:t>
      </w:r>
      <w:r>
        <w:rPr>
          <w:rFonts w:hint="eastAsia" w:ascii="宋体" w:hAnsi="宋体" w:eastAsia="宋体" w:cs="宋体"/>
          <w:snapToGrid w:val="0"/>
          <w:color w:val="auto"/>
          <w:kern w:val="0"/>
          <w:highlight w:val="none"/>
          <w:u w:val="single"/>
        </w:rPr>
        <w:t>1%</w:t>
      </w:r>
      <w:r>
        <w:rPr>
          <w:rFonts w:hint="eastAsia" w:ascii="宋体" w:hAnsi="宋体" w:eastAsia="宋体" w:cs="宋体"/>
          <w:snapToGrid w:val="0"/>
          <w:color w:val="auto"/>
          <w:kern w:val="0"/>
          <w:highlight w:val="none"/>
        </w:rPr>
        <w:t xml:space="preserve">向招标人返纳质量违约金外，发包人有权利选择以下方式返工或修复，承包人不得异议：⑴ 发包人要求承包人在监理工程师和发包人要求的合理时间内，完成质量不合格工程的返工或修复工作，直至合同约定的质量标准，由此造成的工期延误和所有费用，全部由承包人承担；⑵发包人直接委托其它承包人完成质量不合格部分工程的返工或修复工作，由此造成的工期延误和所有费用，全部由承包人承担。（3）无论采取以上何种方式返工或修复，发包人均有权提请建设行政主管部门对其作不良行为记录，有权给予承包人履约评价为不合格，同时发包人有权拒绝承包人3年内参加发包人其它工程的投标。  </w:t>
      </w:r>
    </w:p>
    <w:p w14:paraId="7C390110">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承包人违反本合同的约定，应当按约定向发包人承担相应的违约责任。本合同违约责任形式按以下情况分类：</w:t>
      </w:r>
    </w:p>
    <w:p w14:paraId="086B36FD">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（1）限期改正。承包人未履行或未按时履行或未按质履行义务时，发包人有权提出书面警告，承包人必须在发包人限定的时间内履行义务。每一次书面警告扣除违约金人民币壹仟元（</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1000）。</w:t>
      </w:r>
    </w:p>
    <w:p w14:paraId="791DE07B">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（2）一般违约责任。承包人按本合同约定应当承担一般违约责任时，在发包人提出书面警告或通知后扣除违约金人民币伍仟元（</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5000）/次。合同另有约定的除外。</w:t>
      </w:r>
    </w:p>
    <w:p w14:paraId="0EF7A42D">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（3）严重违约责任。承包人按本合同约定应当承担严重违约责任时，在发包人提出书面警告或通知后扣除违约金伍万元（</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50000）/次。合同另有约定的除外。</w:t>
      </w:r>
    </w:p>
    <w:p w14:paraId="47EB0248">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（4）部分解除合同。三次受到发包人书面警告，发包人有权直接解除合同或部分解除合同，按承包人违约解除合同的条款执行。</w:t>
      </w:r>
    </w:p>
    <w:p w14:paraId="598832F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三次限期改正责任相当于一次一般违约责任，三次一般违约责任相当于一次严重违约责任；累计三次严重违约责任，发包人有权单方部分解除合同；累计五次严重违约责任，发包人有权全部解除合同。合同另有约定的除外。</w:t>
      </w:r>
    </w:p>
    <w:p w14:paraId="7FEFC4A4">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承包人未按合同要求建立组织架构、派驻项目管理人员和投入设备，承包人必须按发包人要求限期整改，并承担相应违约责任。具体约定为：</w:t>
      </w:r>
    </w:p>
    <w:p w14:paraId="513EE8E4">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在中标通知书发出后3日内，承包人承诺的项目技术负责人（总工）不到位，或到位后又离开，造成该岗位空缺。发包人一旦发现，将要求承包人做出书面解释并保证限期到位，同时将承担一般违约责任1次；若承包人拒不配合，未在发包人提出限期改正的期限内进行整改的，应承担严重违约责任1次，发包人有权单方提出解除合同，并要求承包人承担由此造成的一切损失。</w:t>
      </w:r>
    </w:p>
    <w:p w14:paraId="6B67709F">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在规定的时间内施工人员和设备进场后3日内，承包人在投标文件中承诺的其他主要管理人员未能足额到位，或到位后又离开，造成该岗位空缺，以及未按承诺依时、足额投入有关设备，发包人一旦发现将要求承包人做出书面解释并保证人员、设备限期到位。上述情况每发生1次，承包人应承担限期改正责任1次。如果承包人拒不配合，未在发包人提出限期改正的期限内进行整改的，承包人应承担一般违约责任1次，连续二次书面通知整改拒不配合的，承包人应承担严重违约责任1次。</w:t>
      </w:r>
    </w:p>
    <w:p w14:paraId="08538D76">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4.9.5</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如需要调换除项目经理外的其他主要管理人员，必须事先征得发包人书面同意。如承包人未经发包人书面同意，擅自调换项目主要管理人员，除必须限期改正外，承包人必须承担严重违约责任，发包人有权暂停支付工程款，并保留索赔的权利。</w:t>
      </w:r>
    </w:p>
    <w:p w14:paraId="4C4FBBB3">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4.9.6</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除项目经理外的其他主要管理人员需离开施工现场3日以上（含3日）需报发包人批准。在其请假离开的时间段内应书面委托其他驻场管理人员全权代表其行使相应职权。否则，每违约一次，承包人应当承担限期整改责任1次。在国家法定节假日期间，承包人应做好管理人员的轮休，并保证现场管理人员不少于3名。在工程实施期间，承包人应对现场主要管理人员进行考勤，并在每月1日前将前一月考勤表报送甲方审核。现场主要管理人员出勤天数均不得少于22天，若少于22天将按每缺勤一天扣减工程费用叁仟元（</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3000）/每人次处理。</w:t>
      </w:r>
    </w:p>
    <w:p w14:paraId="1CA4C851">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4.9.7</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承包人项目经理和主要管理人员的考勤实行实名制打卡，承包人项目经理和主要管理人员的考勤若发现有弄虚作假行为，发现一次，承包人应承担一般违约责任1次。</w:t>
      </w:r>
    </w:p>
    <w:p w14:paraId="441BD322">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4.9.8 对于难以胜任工作的承包人管理人员和主要操作技术人员，发包人有权要求承包人进行更换，直至发包人满意为止，且更换人员应在接到书面通知后的3天内到位。</w:t>
      </w:r>
    </w:p>
    <w:p w14:paraId="63A92AE3">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4.9.9</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未按招标文件及合同要求按期提交发包人工程指挥部所需要的各项设施，应承担限期整改责任1次，若限期整改仍不提交，应承担一般违约责任1次，发包人有权自行安排临时设施的建设，所有费用由承包人工程费用中扣减。</w:t>
      </w:r>
    </w:p>
    <w:p w14:paraId="4460E8E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4.9.10</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承包人未按合同及投标书所作的承诺投入机械、设备、材料等，被监理工程师或发包人发现后，承包人除必须限期改正外，应承担限期改正责任1次。</w:t>
      </w:r>
    </w:p>
    <w:p w14:paraId="4D066B5F">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4.9.11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工程承包人每次的进场材料，若出现不合格材料使用于工程上并造成质量缺陷，承包人必须承担一般违约责任1次。若出现质量事故或经济损失一次人民币壹拾万元（</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100,000）以上的，必须承担严重违约责任1次。造成重大质量安全事故（按国家安监部门规定界定），发包人视情况部分或全部解除合同。同时，发包人有权追究当事人和承包人的法律责任。</w:t>
      </w:r>
    </w:p>
    <w:p w14:paraId="3CBFB57C">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4.9.12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的工程质量，经监理工程师、发包人或工程质量监督机构抽查，发现质量有不合格、或未按设计要求和有关规范进行施工的，每发现一处承包人应承担一般违约责任1次；出现大面积质量不合格（占比达30％及以上），每发现一处承包人应承担严重违约责任1次，发包人将情况通报纪检监察和建设行政主管部门，必要时申请调查责任相关人员，且承包人应赔偿发包人的经济损失。</w:t>
      </w:r>
    </w:p>
    <w:p w14:paraId="7EAA8AD9">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4.9.13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没有按投标承诺和有关规定做好文明施工措施及安全生产，当发生包括但不限于以下情况：工人不统一着装、施工临时材料如脚手架、泥网等过于陈旧、现场垃圾未安排专人清理、现场排水不畅污水横流、交通组织不力现场交通严重拥挤、材料设备堆放混乱、安全防护不符合要求、既有管线被破坏、野蛮施工造成周边环境破坏及警示安全标志不齐等，被监理工程师、发包人发现后，承包人除必须限期改正外，每发生一次（或一处），承包人必须承担限期改正责任1次。由此而被上级主管部门通报批评、被新闻媒体曝光的，承包人应承担一般违约责任1次；若由此发生安全生产事故，承包人应承担严重违约责任1次；造成严重安全事故等情节严重的，发包人有权部分或全部解除合同。</w:t>
      </w:r>
    </w:p>
    <w:p w14:paraId="29BDD61A">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4.9.14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因承包人原因造成工程投资增加的，承包人应赔偿发包人由此遭受的实际损失，情况严重时发包人有权单方解除本施工合同。</w:t>
      </w:r>
    </w:p>
    <w:p w14:paraId="6C0F9DCF">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若因承包人未按设计规定和施工技术规程要求认真做好施工现场的临时降水、排水（尤其是雨季施工期间）工作导致需要进行地基处理、边坡加固等情况时，每发生一处承包人应负严重违约责任1次，由此造成的工程投资增加由承包人承担。</w:t>
      </w:r>
    </w:p>
    <w:p w14:paraId="11974417">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（2）若承包人未严格按施工进度计划要求组织施工造成工期拖延，导致一些工程项目被迫进入雨季施工而引起投资增加的，承包人应承担严重违约责任1次，由此造成的投资增加由承包人负责。</w:t>
      </w:r>
    </w:p>
    <w:p w14:paraId="63ACED46">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（3）承包人未经监理工程师、发包人同意擅自改变施工技术方案和工艺，造成投资增加的，应承担严重违约责任1次，由此造成的投资增加由承包人负责。</w:t>
      </w:r>
    </w:p>
    <w:p w14:paraId="4C6CE1AD">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承包人未拟定临时设施方案并经监理工程师、发包人审批同意擅自实施临时设施建设，若此临时设施建设经核实无法达到合同规定的要求，承包人应承担限期整改责任1次，若承包人拒绝限期整改应当承担一般违约责任1次，同时发包人有权按实际发生重新核定安全文明施工措施费。</w:t>
      </w:r>
    </w:p>
    <w:p w14:paraId="04087328">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（5）承包人提供虚假情况或制造现场假象造成设计变更及投资增加时，经监理公司、发包人发现，承包人应承担严重违约责任1次，造成的投资增加由承包人承担。</w:t>
      </w:r>
    </w:p>
    <w:p w14:paraId="5CD4BED5">
      <w:pPr>
        <w:pStyle w:val="33"/>
        <w:spacing w:line="360" w:lineRule="auto"/>
        <w:ind w:firstLine="482" w:firstLineChars="200"/>
        <w:jc w:val="left"/>
        <w:rPr>
          <w:rFonts w:hint="eastAsia" w:ascii="宋体" w:hAnsi="宋体" w:eastAsia="宋体" w:cs="宋体"/>
          <w:color w:val="auto"/>
          <w:sz w:val="24"/>
          <w:highlight w:val="none"/>
        </w:rPr>
      </w:pPr>
      <w:r>
        <w:rPr>
          <w:rFonts w:hint="eastAsia" w:ascii="宋体" w:hAnsi="宋体" w:eastAsia="宋体" w:cs="宋体"/>
          <w:snapToGrid w:val="0"/>
          <w:color w:val="auto"/>
          <w:kern w:val="0"/>
          <w:sz w:val="24"/>
          <w:highlight w:val="none"/>
        </w:rPr>
        <w:t>4.9.15</w:t>
      </w:r>
      <w:r>
        <w:rPr>
          <w:rFonts w:hint="eastAsia" w:ascii="宋体" w:hAnsi="宋体" w:eastAsia="宋体" w:cs="宋体"/>
          <w:snapToGrid w:val="0"/>
          <w:color w:val="auto"/>
          <w:kern w:val="0"/>
          <w:sz w:val="24"/>
          <w:highlight w:val="none"/>
          <w:lang w:val="en-US" w:eastAsia="zh-CN"/>
        </w:rPr>
        <w:t xml:space="preserve"> </w:t>
      </w:r>
      <w:r>
        <w:rPr>
          <w:rFonts w:hint="eastAsia" w:ascii="宋体" w:hAnsi="宋体" w:eastAsia="宋体" w:cs="宋体"/>
          <w:color w:val="auto"/>
          <w:sz w:val="24"/>
          <w:highlight w:val="none"/>
        </w:rPr>
        <w:t>承包人没有正当合理的理由中途退场，可扣除承包人已递交的所有履约保证金</w:t>
      </w:r>
      <w:r>
        <w:rPr>
          <w:rFonts w:hint="eastAsia" w:ascii="宋体" w:hAnsi="宋体" w:eastAsia="宋体" w:cs="宋体"/>
          <w:snapToGrid w:val="0"/>
          <w:color w:val="auto"/>
          <w:kern w:val="0"/>
          <w:sz w:val="24"/>
          <w:highlight w:val="none"/>
        </w:rPr>
        <w:t>外，承包人还须承当因其无故中途退场所造成的全部损失责任。</w:t>
      </w:r>
    </w:p>
    <w:p w14:paraId="3F7FB969">
      <w:pPr>
        <w:ind w:firstLine="472" w:firstLineChars="197"/>
        <w:rPr>
          <w:rFonts w:hint="eastAsia" w:ascii="宋体" w:hAnsi="宋体" w:eastAsia="宋体" w:cs="宋体"/>
          <w:color w:val="auto"/>
          <w:highlight w:val="none"/>
        </w:rPr>
      </w:pPr>
      <w:r>
        <w:rPr>
          <w:rFonts w:hint="eastAsia" w:ascii="宋体" w:hAnsi="宋体" w:eastAsia="宋体" w:cs="宋体"/>
          <w:bCs/>
          <w:snapToGrid w:val="0"/>
          <w:color w:val="auto"/>
          <w:kern w:val="0"/>
          <w:highlight w:val="none"/>
        </w:rPr>
        <w:t>4.9.16</w:t>
      </w:r>
      <w:r>
        <w:rPr>
          <w:rFonts w:hint="eastAsia" w:hAnsi="宋体" w:eastAsia="宋体" w:cs="宋体"/>
          <w:bCs/>
          <w:snapToGrid w:val="0"/>
          <w:color w:val="auto"/>
          <w:kern w:val="0"/>
          <w:highlight w:val="none"/>
          <w:lang w:val="en-US" w:eastAsia="zh-CN"/>
        </w:rPr>
        <w:t xml:space="preserve"> </w:t>
      </w:r>
      <w:r>
        <w:rPr>
          <w:rFonts w:hint="eastAsia" w:ascii="宋体" w:hAnsi="宋体" w:eastAsia="宋体" w:cs="宋体"/>
          <w:color w:val="auto"/>
          <w:highlight w:val="none"/>
        </w:rPr>
        <w:t>有下列情况之一的，发包人有权拒绝承包人在三年内不得参与发包人的任何工程任务，并有权勒令承包人从现施工的工地退场，同时扣除承包人10万元作为违约金：</w:t>
      </w:r>
    </w:p>
    <w:p w14:paraId="2DFBCA70">
      <w:pPr>
        <w:ind w:firstLine="352" w:firstLineChars="147"/>
        <w:rPr>
          <w:rFonts w:hint="eastAsia" w:ascii="宋体" w:hAnsi="宋体" w:eastAsia="宋体" w:cs="宋体"/>
          <w:color w:val="auto"/>
          <w:highlight w:val="none"/>
        </w:rPr>
      </w:pPr>
      <w:r>
        <w:rPr>
          <w:rFonts w:hint="eastAsia" w:ascii="宋体" w:hAnsi="宋体" w:eastAsia="宋体" w:cs="宋体"/>
          <w:color w:val="auto"/>
          <w:highlight w:val="none"/>
        </w:rPr>
        <w:t>A、路面沉降、开裂超过规范要求并造成不良社会影响的；</w:t>
      </w:r>
    </w:p>
    <w:p w14:paraId="290E808B">
      <w:pPr>
        <w:ind w:firstLine="352" w:firstLineChars="147"/>
        <w:rPr>
          <w:rFonts w:hint="eastAsia" w:ascii="宋体" w:hAnsi="宋体" w:eastAsia="宋体" w:cs="宋体"/>
          <w:color w:val="auto"/>
          <w:highlight w:val="none"/>
        </w:rPr>
      </w:pPr>
      <w:r>
        <w:rPr>
          <w:rFonts w:hint="eastAsia" w:ascii="宋体" w:hAnsi="宋体" w:eastAsia="宋体" w:cs="宋体"/>
          <w:color w:val="auto"/>
          <w:highlight w:val="none"/>
        </w:rPr>
        <w:t>B、发生重大责任安全事故的；</w:t>
      </w:r>
    </w:p>
    <w:p w14:paraId="645C653B">
      <w:pPr>
        <w:ind w:firstLine="352" w:firstLineChars="147"/>
        <w:rPr>
          <w:rFonts w:hint="eastAsia" w:ascii="宋体" w:hAnsi="宋体" w:eastAsia="宋体" w:cs="宋体"/>
          <w:color w:val="auto"/>
          <w:highlight w:val="none"/>
        </w:rPr>
      </w:pPr>
      <w:r>
        <w:rPr>
          <w:rFonts w:hint="eastAsia" w:ascii="宋体" w:hAnsi="宋体" w:eastAsia="宋体" w:cs="宋体"/>
          <w:color w:val="auto"/>
          <w:highlight w:val="none"/>
        </w:rPr>
        <w:t>C、承包人所承担的施工任务在施工期间，由于工程质量或工程进度原因，监理单位发出10个以上﹙含10个﹚停工令的；</w:t>
      </w:r>
    </w:p>
    <w:p w14:paraId="2AEE4606">
      <w:pPr>
        <w:ind w:firstLine="352" w:firstLineChars="147"/>
        <w:rPr>
          <w:rFonts w:hint="eastAsia" w:ascii="宋体" w:hAnsi="宋体" w:eastAsia="宋体" w:cs="宋体"/>
          <w:color w:val="auto"/>
          <w:highlight w:val="none"/>
        </w:rPr>
      </w:pPr>
      <w:r>
        <w:rPr>
          <w:rFonts w:hint="eastAsia" w:ascii="宋体" w:hAnsi="宋体" w:eastAsia="宋体" w:cs="宋体"/>
          <w:color w:val="auto"/>
          <w:highlight w:val="none"/>
        </w:rPr>
        <w:t>D、质量监督部门在抽检时发出5个以上（含5个）由于工程质量原因通报的；</w:t>
      </w:r>
    </w:p>
    <w:p w14:paraId="563F885E">
      <w:pPr>
        <w:ind w:firstLine="352" w:firstLineChars="147"/>
        <w:rPr>
          <w:rFonts w:hint="eastAsia" w:ascii="宋体" w:hAnsi="宋体" w:eastAsia="宋体" w:cs="宋体"/>
          <w:color w:val="auto"/>
          <w:highlight w:val="none"/>
        </w:rPr>
      </w:pPr>
      <w:r>
        <w:rPr>
          <w:rFonts w:hint="eastAsia" w:ascii="宋体" w:hAnsi="宋体" w:eastAsia="宋体" w:cs="宋体"/>
          <w:color w:val="auto"/>
          <w:highlight w:val="none"/>
        </w:rPr>
        <w:t>E、业主组织的质量大检查发现由于工程质量原因而通报二次以上（含二次）的。</w:t>
      </w:r>
    </w:p>
    <w:p w14:paraId="11476759">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4.9.17</w:t>
      </w:r>
      <w:r>
        <w:rPr>
          <w:rFonts w:hint="eastAsia" w:hAnsi="宋体" w:eastAsia="宋体" w:cs="宋体"/>
          <w:color w:val="auto"/>
          <w:highlight w:val="none"/>
          <w:lang w:val="en-US" w:eastAsia="zh-CN"/>
        </w:rPr>
        <w:t xml:space="preserve"> </w:t>
      </w:r>
      <w:r>
        <w:rPr>
          <w:rFonts w:hint="eastAsia" w:ascii="宋体" w:hAnsi="宋体" w:eastAsia="宋体" w:cs="宋体"/>
          <w:color w:val="auto"/>
          <w:highlight w:val="none"/>
        </w:rPr>
        <w:t>承包人施工资料必须与形象进度同步，如发包人在日常检查中发现不同步的现象的，视为违约并扣除违约金5000元/每次。</w:t>
      </w:r>
    </w:p>
    <w:p w14:paraId="71F842DD">
      <w:pPr>
        <w:ind w:firstLine="472" w:firstLineChars="197"/>
        <w:rPr>
          <w:rFonts w:hint="eastAsia" w:ascii="宋体" w:hAnsi="宋体" w:eastAsia="宋体" w:cs="宋体"/>
          <w:color w:val="auto"/>
          <w:highlight w:val="none"/>
        </w:rPr>
      </w:pPr>
      <w:r>
        <w:rPr>
          <w:rFonts w:hint="eastAsia" w:ascii="宋体" w:hAnsi="宋体" w:eastAsia="宋体" w:cs="宋体"/>
          <w:color w:val="auto"/>
          <w:highlight w:val="none"/>
        </w:rPr>
        <w:t>4.9.18</w:t>
      </w:r>
      <w:r>
        <w:rPr>
          <w:rFonts w:hint="eastAsia" w:hAnsi="宋体" w:eastAsia="宋体" w:cs="宋体"/>
          <w:color w:val="auto"/>
          <w:highlight w:val="none"/>
          <w:lang w:val="en-US" w:eastAsia="zh-CN"/>
        </w:rPr>
        <w:t xml:space="preserve"> </w:t>
      </w:r>
      <w:r>
        <w:rPr>
          <w:rFonts w:hint="eastAsia" w:ascii="宋体" w:hAnsi="宋体" w:eastAsia="宋体" w:cs="宋体"/>
          <w:color w:val="auto"/>
          <w:highlight w:val="none"/>
        </w:rPr>
        <w:t>承包人因上述违约行为而须缴纳的违约金在工程进度款中或结算时一并扣除。</w:t>
      </w:r>
    </w:p>
    <w:p w14:paraId="7EA668B2">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4.10</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发包人将根据承包人的投标文件，严格考核施工项目管理人员的日常到位情况，并定期按照发包人的合同履约评价管理办法对承包人的合同履行情况进行评价，</w:t>
      </w:r>
      <w:r>
        <w:rPr>
          <w:rFonts w:hint="eastAsia" w:ascii="宋体" w:hAnsi="宋体" w:eastAsia="宋体" w:cs="宋体"/>
          <w:color w:val="auto"/>
          <w:highlight w:val="none"/>
        </w:rPr>
        <w:t>评价内容包含人员到位情况、服务配合程度、服务成果质量、项目后期服务及信用评价结果的运用等。</w:t>
      </w:r>
      <w:r>
        <w:rPr>
          <w:rFonts w:hint="eastAsia" w:ascii="宋体" w:hAnsi="宋体" w:eastAsia="宋体" w:cs="宋体"/>
          <w:snapToGrid w:val="0"/>
          <w:color w:val="auto"/>
          <w:kern w:val="0"/>
          <w:highlight w:val="none"/>
        </w:rPr>
        <w:t>履约评价为不合格的，发包人有权拒绝承包人3年内参加发包人任何其它工程的投标，有权报请建设行政主管部门对其作不良行为记录。</w:t>
      </w:r>
    </w:p>
    <w:p w14:paraId="3FAFD8E5">
      <w:pPr>
        <w:wordWrap w:val="0"/>
        <w:adjustRightInd w:val="0"/>
        <w:snapToGrid w:val="0"/>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4.11</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承包人提供竣工资料的约定：</w:t>
      </w:r>
    </w:p>
    <w:p w14:paraId="42672904">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本工程具备竣工验收条件后14天内，承包人按国家建设部、广东省及南雄市的有关规定和发包人的要求编制工程竣工资料（包括施工原始记录、照片等资料），向工程师提供完整竣工验收资料8套、竣工验收报告和相应的声像、电子文件，并由承包人及时向主管部门和监督部门备案。工程师收到竣工验收资料后，应在10天内审核，若不符合要求，工程师可提出整改意见。承包人按要求整改合格后报工程师，工程师在整改验收合格后10天内应组织有关单位进行初步验收，并在10天内对工程质量予以认可或提出再次整改意见。承包人按要求再次整改，并承担由其自身原因造成的整改费用。编制竣工图、竣工资料的费用已含在合同价中。</w:t>
      </w:r>
    </w:p>
    <w:p w14:paraId="46620F20">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竣工验收资料包括全部工程（包括项目单位发包项目及其他分包工程）的竣工图纸和竣工资料，以及经确认的深化设计图纸和技术资料。各类分包工程的竣工资料均由承包人负责编制、指导、审阅、汇总、整理、归档，费用由本合同承包人自行承担。</w:t>
      </w:r>
    </w:p>
    <w:p w14:paraId="65EFA0A6">
      <w:pPr>
        <w:wordWrap w:val="0"/>
        <w:adjustRightInd w:val="0"/>
        <w:snapToGrid w:val="0"/>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4.12</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工程移交及档案管理</w:t>
      </w:r>
    </w:p>
    <w:p w14:paraId="0848A4B4">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4.12.1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工程完工后，承包人必须及时按相关档案管理规定整理及移交竣工档案，承包人办理工程结算需提交相关工程档案移交签字单，否则结算不予办理。</w:t>
      </w:r>
    </w:p>
    <w:p w14:paraId="17B84196">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4.12.2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工程竣工验收合格后承包人必须将成品移交给发包人指定的接管单位。在移交工作完成前，现场所有安全及成品保护责任和费用由承包人承担。</w:t>
      </w:r>
    </w:p>
    <w:p w14:paraId="10323C3B">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4.12.3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在向发包人指定的接管单位移交钥匙的同时提供下列清单：</w:t>
      </w:r>
    </w:p>
    <w:p w14:paraId="45A4ABD3">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①办理钥匙移交清单；</w:t>
      </w:r>
    </w:p>
    <w:p w14:paraId="2979BD38">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②双方抄好水表电表底数；</w:t>
      </w:r>
    </w:p>
    <w:p w14:paraId="0F2AB038">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③列出详细的设备、物件移交清单，标明名称、数量、外观、状态等基本资料</w:t>
      </w:r>
    </w:p>
    <w:p w14:paraId="5BDCDA44">
      <w:pPr>
        <w:pStyle w:val="44"/>
        <w:keepNext w:val="0"/>
        <w:keepLines w:val="0"/>
        <w:widowControl w:val="0"/>
        <w:wordWrap w:val="0"/>
        <w:adjustRightInd w:val="0"/>
        <w:snapToGrid w:val="0"/>
        <w:spacing w:before="0" w:after="0"/>
        <w:jc w:val="both"/>
        <w:rPr>
          <w:rFonts w:hint="eastAsia" w:ascii="宋体" w:hAnsi="宋体" w:eastAsia="宋体" w:cs="宋体"/>
          <w:snapToGrid w:val="0"/>
          <w:color w:val="auto"/>
          <w:szCs w:val="24"/>
          <w:highlight w:val="none"/>
        </w:rPr>
      </w:pPr>
      <w:r>
        <w:rPr>
          <w:rFonts w:hint="eastAsia" w:ascii="宋体" w:hAnsi="宋体" w:eastAsia="宋体" w:cs="宋体"/>
          <w:snapToGrid w:val="0"/>
          <w:color w:val="auto"/>
          <w:szCs w:val="24"/>
          <w:highlight w:val="none"/>
        </w:rPr>
        <w:t>4.12.4</w:t>
      </w:r>
      <w:r>
        <w:rPr>
          <w:rFonts w:hint="eastAsia" w:ascii="宋体" w:hAnsi="宋体" w:cs="宋体"/>
          <w:snapToGrid w:val="0"/>
          <w:color w:val="auto"/>
          <w:szCs w:val="24"/>
          <w:highlight w:val="none"/>
          <w:lang w:val="en-US" w:eastAsia="zh-CN"/>
        </w:rPr>
        <w:t xml:space="preserve"> </w:t>
      </w:r>
      <w:r>
        <w:rPr>
          <w:rFonts w:hint="eastAsia" w:ascii="宋体" w:hAnsi="宋体" w:eastAsia="宋体" w:cs="宋体"/>
          <w:snapToGrid w:val="0"/>
          <w:color w:val="auto"/>
          <w:szCs w:val="24"/>
          <w:highlight w:val="none"/>
        </w:rPr>
        <w:t>按国家、省市和建设主管部门的相关规定应当移交的其他资料。</w:t>
      </w:r>
      <w:bookmarkStart w:id="305" w:name="_Toc8254"/>
      <w:bookmarkStart w:id="306" w:name="_Toc16839"/>
    </w:p>
    <w:p w14:paraId="7DE422C5">
      <w:pPr>
        <w:pStyle w:val="44"/>
        <w:keepNext w:val="0"/>
        <w:keepLines w:val="0"/>
        <w:widowControl w:val="0"/>
        <w:wordWrap w:val="0"/>
        <w:adjustRightInd w:val="0"/>
        <w:snapToGrid w:val="0"/>
        <w:spacing w:before="0" w:after="0"/>
        <w:ind w:left="3626" w:leftChars="15" w:hanging="3590" w:hangingChars="1496"/>
        <w:jc w:val="both"/>
        <w:rPr>
          <w:rFonts w:hint="eastAsia" w:ascii="宋体" w:hAnsi="宋体" w:eastAsia="宋体" w:cs="宋体"/>
          <w:snapToGrid w:val="0"/>
          <w:color w:val="auto"/>
          <w:szCs w:val="24"/>
          <w:highlight w:val="none"/>
        </w:rPr>
      </w:pPr>
    </w:p>
    <w:p w14:paraId="3F13CD1B">
      <w:pPr>
        <w:pStyle w:val="44"/>
        <w:keepNext w:val="0"/>
        <w:keepLines w:val="0"/>
        <w:widowControl w:val="0"/>
        <w:wordWrap w:val="0"/>
        <w:adjustRightInd w:val="0"/>
        <w:snapToGrid w:val="0"/>
        <w:spacing w:before="0" w:after="0"/>
        <w:ind w:left="3640" w:leftChars="15" w:hanging="3604" w:hangingChars="1496"/>
        <w:jc w:val="both"/>
        <w:rPr>
          <w:rFonts w:hint="eastAsia" w:ascii="宋体" w:hAnsi="宋体" w:eastAsia="宋体" w:cs="宋体"/>
          <w:b/>
          <w:snapToGrid w:val="0"/>
          <w:color w:val="auto"/>
          <w:highlight w:val="none"/>
        </w:rPr>
      </w:pPr>
      <w:r>
        <w:rPr>
          <w:rFonts w:hint="eastAsia" w:ascii="宋体" w:hAnsi="宋体" w:eastAsia="宋体" w:cs="宋体"/>
          <w:b/>
          <w:snapToGrid w:val="0"/>
          <w:color w:val="auto"/>
          <w:highlight w:val="none"/>
        </w:rPr>
        <w:br w:type="page"/>
      </w:r>
      <w:r>
        <w:rPr>
          <w:rFonts w:hint="eastAsia" w:ascii="宋体" w:hAnsi="宋体" w:eastAsia="宋体" w:cs="宋体"/>
          <w:b/>
          <w:snapToGrid w:val="0"/>
          <w:color w:val="auto"/>
          <w:highlight w:val="none"/>
        </w:rPr>
        <w:t>附件一： 预付款保函</w:t>
      </w:r>
      <w:bookmarkEnd w:id="305"/>
      <w:bookmarkEnd w:id="306"/>
    </w:p>
    <w:p w14:paraId="0C888365">
      <w:pPr>
        <w:jc w:val="center"/>
        <w:rPr>
          <w:rFonts w:hint="eastAsia" w:ascii="宋体" w:hAnsi="宋体" w:eastAsia="宋体" w:cs="宋体"/>
          <w:color w:val="auto"/>
          <w:szCs w:val="21"/>
          <w:highlight w:val="none"/>
        </w:rPr>
      </w:pPr>
      <w:r>
        <w:rPr>
          <w:rFonts w:hint="eastAsia" w:ascii="宋体" w:hAnsi="宋体" w:eastAsia="宋体" w:cs="宋体"/>
          <w:b/>
          <w:bCs/>
          <w:snapToGrid w:val="0"/>
          <w:color w:val="auto"/>
          <w:kern w:val="0"/>
          <w:highlight w:val="none"/>
        </w:rPr>
        <w:t xml:space="preserve">  </w:t>
      </w:r>
      <w:r>
        <w:rPr>
          <w:rFonts w:hint="eastAsia" w:ascii="宋体" w:hAnsi="宋体" w:eastAsia="宋体" w:cs="宋体"/>
          <w:b/>
          <w:bCs/>
          <w:color w:val="auto"/>
          <w:sz w:val="32"/>
          <w:szCs w:val="32"/>
          <w:highlight w:val="none"/>
        </w:rPr>
        <w:t xml:space="preserve"> </w:t>
      </w:r>
      <w:bookmarkStart w:id="307" w:name="_Toc14863"/>
      <w:r>
        <w:rPr>
          <w:rFonts w:hint="eastAsia" w:ascii="宋体" w:hAnsi="宋体" w:eastAsia="宋体" w:cs="宋体"/>
          <w:b/>
          <w:bCs/>
          <w:color w:val="auto"/>
          <w:sz w:val="32"/>
          <w:szCs w:val="32"/>
          <w:highlight w:val="none"/>
        </w:rPr>
        <w:t>预付款保函</w:t>
      </w:r>
      <w:bookmarkEnd w:id="307"/>
    </w:p>
    <w:p w14:paraId="79006489">
      <w:pPr>
        <w:wordWrap w:val="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编号：           </w:t>
      </w:r>
    </w:p>
    <w:p w14:paraId="0D9441AE">
      <w:pPr>
        <w:rPr>
          <w:rFonts w:hint="eastAsia" w:ascii="宋体" w:hAnsi="宋体" w:eastAsia="宋体" w:cs="宋体"/>
          <w:color w:val="auto"/>
          <w:highlight w:val="none"/>
        </w:rPr>
      </w:pPr>
    </w:p>
    <w:p w14:paraId="68FB4E28">
      <w:pPr>
        <w:rPr>
          <w:rFonts w:hint="eastAsia" w:ascii="宋体" w:hAnsi="宋体" w:eastAsia="宋体" w:cs="宋体"/>
          <w:color w:val="auto"/>
          <w:highlight w:val="none"/>
        </w:rPr>
      </w:pPr>
      <w:r>
        <w:rPr>
          <w:rFonts w:hint="eastAsia" w:ascii="宋体" w:hAnsi="宋体" w:eastAsia="宋体" w:cs="宋体"/>
          <w:color w:val="auto"/>
          <w:highlight w:val="none"/>
        </w:rPr>
        <w:t>申请人：</w:t>
      </w:r>
    </w:p>
    <w:p w14:paraId="5B0D55DF">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14:paraId="3551FEC1">
      <w:pPr>
        <w:rPr>
          <w:rFonts w:hint="eastAsia" w:ascii="宋体" w:hAnsi="宋体" w:eastAsia="宋体" w:cs="宋体"/>
          <w:color w:val="auto"/>
          <w:highlight w:val="none"/>
        </w:rPr>
      </w:pPr>
      <w:r>
        <w:rPr>
          <w:rFonts w:hint="eastAsia" w:ascii="宋体" w:hAnsi="宋体" w:eastAsia="宋体" w:cs="宋体"/>
          <w:color w:val="auto"/>
          <w:highlight w:val="none"/>
        </w:rPr>
        <w:t>受益人：</w:t>
      </w:r>
    </w:p>
    <w:p w14:paraId="30923500">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14:paraId="23C815E7">
      <w:pPr>
        <w:rPr>
          <w:rFonts w:hint="eastAsia" w:ascii="宋体" w:hAnsi="宋体" w:eastAsia="宋体" w:cs="宋体"/>
          <w:color w:val="auto"/>
          <w:highlight w:val="none"/>
        </w:rPr>
      </w:pPr>
      <w:r>
        <w:rPr>
          <w:rFonts w:hint="eastAsia" w:ascii="宋体" w:hAnsi="宋体" w:eastAsia="宋体" w:cs="宋体"/>
          <w:color w:val="auto"/>
          <w:highlight w:val="none"/>
        </w:rPr>
        <w:t>开立人：</w:t>
      </w:r>
    </w:p>
    <w:p w14:paraId="2EE142C3">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14:paraId="7234DE5F">
      <w:pP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46119266">
      <w:pPr>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（受益人名称）： </w:t>
      </w:r>
    </w:p>
    <w:p w14:paraId="26EEDB2A">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鉴于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（以下简称“受益人”）与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（以下简称“申请人”）于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工程（以下简称“本工程”）施工和有关事项协商一致共同签订</w:t>
      </w:r>
      <w:r>
        <w:rPr>
          <w:rFonts w:hint="eastAsia" w:ascii="宋体" w:hAnsi="宋体" w:eastAsia="宋体" w:cs="宋体"/>
          <w:color w:val="auto"/>
          <w:highlight w:val="none"/>
          <w:u w:val="single"/>
        </w:rPr>
        <w:t>《        》</w:t>
      </w:r>
      <w:r>
        <w:rPr>
          <w:rFonts w:hint="eastAsia" w:ascii="宋体" w:hAnsi="宋体" w:eastAsia="宋体" w:cs="宋体"/>
          <w:color w:val="auto"/>
          <w:highlight w:val="none"/>
        </w:rPr>
        <w:t>（以下简称“</w:t>
      </w:r>
      <w:r>
        <w:rPr>
          <w:rFonts w:hint="eastAsia" w:hAnsi="宋体" w:eastAsia="宋体" w:cs="宋体"/>
          <w:color w:val="auto"/>
          <w:highlight w:val="none"/>
          <w:lang w:val="en-US" w:eastAsia="zh-CN"/>
        </w:rPr>
        <w:t>基础</w:t>
      </w:r>
      <w:r>
        <w:rPr>
          <w:rFonts w:hint="eastAsia" w:ascii="宋体" w:hAnsi="宋体" w:eastAsia="宋体" w:cs="宋体"/>
          <w:color w:val="auto"/>
          <w:highlight w:val="none"/>
        </w:rPr>
        <w:t>合同”），我方（即“开立人”）根据</w:t>
      </w:r>
      <w:r>
        <w:rPr>
          <w:rFonts w:hint="eastAsia" w:hAnsi="宋体" w:eastAsia="宋体" w:cs="宋体"/>
          <w:color w:val="auto"/>
          <w:highlight w:val="none"/>
          <w:lang w:val="en-US" w:eastAsia="zh-CN"/>
        </w:rPr>
        <w:t>基础</w:t>
      </w:r>
      <w:r>
        <w:rPr>
          <w:rFonts w:hint="eastAsia" w:ascii="宋体" w:hAnsi="宋体" w:eastAsia="宋体" w:cs="宋体"/>
          <w:color w:val="auto"/>
          <w:highlight w:val="none"/>
        </w:rPr>
        <w:t>合同了解到申请人为</w:t>
      </w:r>
      <w:r>
        <w:rPr>
          <w:rFonts w:hint="eastAsia" w:hAnsi="宋体" w:eastAsia="宋体" w:cs="宋体"/>
          <w:color w:val="auto"/>
          <w:highlight w:val="none"/>
          <w:lang w:val="en-US" w:eastAsia="zh-CN"/>
        </w:rPr>
        <w:t>基础</w:t>
      </w:r>
      <w:r>
        <w:rPr>
          <w:rFonts w:hint="eastAsia" w:ascii="宋体" w:hAnsi="宋体" w:eastAsia="宋体" w:cs="宋体"/>
          <w:color w:val="auto"/>
          <w:highlight w:val="none"/>
        </w:rPr>
        <w:t>合同项下之承包人，受益人为</w:t>
      </w:r>
      <w:r>
        <w:rPr>
          <w:rFonts w:hint="eastAsia" w:hAnsi="宋体" w:eastAsia="宋体" w:cs="宋体"/>
          <w:color w:val="auto"/>
          <w:highlight w:val="none"/>
          <w:lang w:val="en-US" w:eastAsia="zh-CN"/>
        </w:rPr>
        <w:t>基础</w:t>
      </w:r>
      <w:r>
        <w:rPr>
          <w:rFonts w:hint="eastAsia" w:ascii="宋体" w:hAnsi="宋体" w:eastAsia="宋体" w:cs="宋体"/>
          <w:color w:val="auto"/>
          <w:highlight w:val="none"/>
        </w:rPr>
        <w:t xml:space="preserve">合同项下之发包人，基于申请人的请求，我方同意就申请人按照合同约定正确和合理地为合同目的使用预付款，向贵方提供不可撤销、不可转让的见索即付独立保函（以下简称“本保函”）。 </w:t>
      </w:r>
    </w:p>
    <w:p w14:paraId="4DA37BF0">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一、本保函担保范围：申请人未按照合同约定正确和合理地为合同目的使用预付款，应当向贵方承担的违约责任和赔偿因此造成的损失、利息、律师费、诉讼费用等实现债权的费用。</w:t>
      </w:r>
    </w:p>
    <w:p w14:paraId="3B67EDD3">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二、本保函担保金额最高不超过人民币（大写）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61388AAE">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三、本保函有效期自开立之日起至发包人全额扣回预付款后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日止，最迟不超过</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59CDEF33">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四、我方承诺，在收到受益人发来的书面付款通知后的</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日内无条件支付，前述书面付款通知即为付款要求之单据，且应满足以下要求：</w:t>
      </w:r>
    </w:p>
    <w:p w14:paraId="35E072E2">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（1）付款通知到达的日期在本保函的有效期内；</w:t>
      </w:r>
    </w:p>
    <w:p w14:paraId="3A01988C">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（2）载明要求支付的金额；</w:t>
      </w:r>
    </w:p>
    <w:p w14:paraId="41819BD7">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（3）载明申请人违反合同义务的条款和内容；</w:t>
      </w:r>
    </w:p>
    <w:p w14:paraId="33DE4504">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（4）声明不存在合同文件约定或我国法律规定免除申请人或开立人支付责任的情形；</w:t>
      </w:r>
    </w:p>
    <w:p w14:paraId="41E39F9E">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（5）付款通知应在本保函有效期内到达的地址是：</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40635AED">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受益人发出的书面付款通知应由其为鉴明受益人法定代表人（负责人）或授权代理人签字并加盖公章。</w:t>
      </w:r>
    </w:p>
    <w:p w14:paraId="1620A74D">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五、本保函项下的权利不得转让，不得设定担保。贵方未经我方书面同意转 让本保函或其项下任何权利，对我方不发生法律效力。 </w:t>
      </w:r>
    </w:p>
    <w:p w14:paraId="3F95949B">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六、与本保函有关的基础合同不成立、不生效、无效、被撤销、被解除，不影响本保函的独立有效。 </w:t>
      </w:r>
    </w:p>
    <w:p w14:paraId="1DB93283">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63E4E5C8">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八、本保函适用的法律为中华人民共和国法律，争议裁判管辖地为中华人民共和国</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61CF7306">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九、本保函自我方法定代表人或授权代表签字并加盖公章之日起生效。 </w:t>
      </w:r>
    </w:p>
    <w:p w14:paraId="0C1D9DBE">
      <w:pPr>
        <w:ind w:firstLine="480" w:firstLineChars="200"/>
        <w:rPr>
          <w:rFonts w:hint="eastAsia" w:ascii="宋体" w:hAnsi="宋体" w:eastAsia="宋体" w:cs="宋体"/>
          <w:color w:val="auto"/>
          <w:highlight w:val="none"/>
        </w:rPr>
      </w:pPr>
    </w:p>
    <w:p w14:paraId="0DF72744">
      <w:pPr>
        <w:ind w:firstLine="480" w:firstLineChars="200"/>
        <w:rPr>
          <w:rFonts w:hint="eastAsia" w:ascii="宋体" w:hAnsi="宋体" w:eastAsia="宋体" w:cs="宋体"/>
          <w:color w:val="auto"/>
          <w:highlight w:val="none"/>
        </w:rPr>
      </w:pPr>
    </w:p>
    <w:p w14:paraId="7ABBAACC">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开 立 人：                              （公章） </w:t>
      </w:r>
    </w:p>
    <w:p w14:paraId="76458989">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法定代表人（或授权代表）：               （签字） </w:t>
      </w:r>
    </w:p>
    <w:p w14:paraId="6DBE0ED6">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地    址：                                       </w:t>
      </w:r>
    </w:p>
    <w:p w14:paraId="2737B39E">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邮政编码：                 </w:t>
      </w:r>
    </w:p>
    <w:p w14:paraId="1088C18A">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电    话：                 </w:t>
      </w:r>
    </w:p>
    <w:p w14:paraId="4EC908C5">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传    真：                 </w:t>
      </w:r>
    </w:p>
    <w:p w14:paraId="72722414">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开立时间：      年      月        日</w:t>
      </w:r>
    </w:p>
    <w:p w14:paraId="70BB1453">
      <w:pPr>
        <w:pStyle w:val="31"/>
        <w:ind w:firstLine="0"/>
        <w:rPr>
          <w:rFonts w:hint="eastAsia" w:ascii="宋体" w:hAnsi="宋体" w:eastAsia="宋体" w:cs="宋体"/>
          <w:color w:val="auto"/>
          <w:sz w:val="24"/>
          <w:szCs w:val="24"/>
          <w:highlight w:val="none"/>
        </w:rPr>
      </w:pPr>
    </w:p>
    <w:p w14:paraId="4FE1FE52">
      <w:pPr>
        <w:pStyle w:val="31"/>
        <w:ind w:firstLine="0"/>
        <w:rPr>
          <w:rFonts w:hint="eastAsia" w:ascii="宋体" w:hAnsi="宋体" w:eastAsia="宋体" w:cs="宋体"/>
          <w:color w:val="auto"/>
          <w:sz w:val="24"/>
          <w:szCs w:val="24"/>
          <w:highlight w:val="none"/>
        </w:rPr>
      </w:pPr>
    </w:p>
    <w:p w14:paraId="26003C92">
      <w:pPr>
        <w:pStyle w:val="31"/>
        <w:ind w:firstLine="0"/>
        <w:rPr>
          <w:rFonts w:hint="eastAsia" w:ascii="宋体" w:hAnsi="宋体" w:eastAsia="宋体" w:cs="宋体"/>
          <w:color w:val="auto"/>
          <w:sz w:val="24"/>
          <w:szCs w:val="24"/>
          <w:highlight w:val="none"/>
        </w:rPr>
      </w:pPr>
    </w:p>
    <w:p w14:paraId="37205088">
      <w:pPr>
        <w:pStyle w:val="31"/>
        <w:ind w:firstLine="0"/>
        <w:rPr>
          <w:rFonts w:hint="eastAsia" w:ascii="宋体" w:hAnsi="宋体" w:eastAsia="宋体" w:cs="宋体"/>
          <w:color w:val="auto"/>
          <w:sz w:val="24"/>
          <w:szCs w:val="24"/>
          <w:highlight w:val="none"/>
        </w:rPr>
      </w:pPr>
    </w:p>
    <w:p w14:paraId="6C6FCB3F">
      <w:pPr>
        <w:pStyle w:val="31"/>
        <w:ind w:firstLine="0"/>
        <w:rPr>
          <w:rFonts w:hint="eastAsia" w:ascii="宋体" w:hAnsi="宋体" w:eastAsia="宋体" w:cs="宋体"/>
          <w:color w:val="auto"/>
          <w:sz w:val="24"/>
          <w:szCs w:val="24"/>
          <w:highlight w:val="none"/>
        </w:rPr>
      </w:pPr>
    </w:p>
    <w:p w14:paraId="1C118B21">
      <w:pPr>
        <w:pStyle w:val="44"/>
        <w:keepNext w:val="0"/>
        <w:keepLines w:val="0"/>
        <w:widowControl w:val="0"/>
        <w:wordWrap w:val="0"/>
        <w:adjustRightInd w:val="0"/>
        <w:snapToGrid w:val="0"/>
        <w:spacing w:before="0" w:after="0" w:line="240" w:lineRule="auto"/>
        <w:ind w:left="3640" w:leftChars="15" w:hanging="3604" w:hangingChars="1496"/>
        <w:jc w:val="both"/>
        <w:rPr>
          <w:rFonts w:hint="eastAsia" w:ascii="宋体" w:hAnsi="宋体" w:eastAsia="宋体" w:cs="宋体"/>
          <w:b/>
          <w:snapToGrid w:val="0"/>
          <w:color w:val="auto"/>
          <w:highlight w:val="none"/>
        </w:rPr>
      </w:pPr>
      <w:bookmarkStart w:id="308" w:name="_Toc10704"/>
      <w:bookmarkStart w:id="309" w:name="_Toc6023"/>
    </w:p>
    <w:p w14:paraId="6BF8658E">
      <w:pPr>
        <w:pStyle w:val="44"/>
        <w:keepNext w:val="0"/>
        <w:keepLines w:val="0"/>
        <w:widowControl w:val="0"/>
        <w:wordWrap w:val="0"/>
        <w:adjustRightInd w:val="0"/>
        <w:snapToGrid w:val="0"/>
        <w:spacing w:before="0" w:after="0" w:line="240" w:lineRule="auto"/>
        <w:ind w:left="3640" w:leftChars="15" w:hanging="3604" w:hangingChars="1496"/>
        <w:jc w:val="both"/>
        <w:rPr>
          <w:rFonts w:hint="eastAsia" w:ascii="宋体" w:hAnsi="宋体" w:eastAsia="宋体" w:cs="宋体"/>
          <w:b/>
          <w:snapToGrid w:val="0"/>
          <w:color w:val="auto"/>
          <w:highlight w:val="none"/>
        </w:rPr>
      </w:pPr>
      <w:r>
        <w:rPr>
          <w:rFonts w:hint="eastAsia" w:ascii="宋体" w:hAnsi="宋体" w:eastAsia="宋体" w:cs="宋体"/>
          <w:b/>
          <w:snapToGrid w:val="0"/>
          <w:color w:val="auto"/>
          <w:highlight w:val="none"/>
        </w:rPr>
        <w:t>附件二：履约保函</w:t>
      </w:r>
      <w:bookmarkEnd w:id="308"/>
      <w:bookmarkEnd w:id="309"/>
      <w:bookmarkStart w:id="310" w:name="_Toc28124"/>
      <w:bookmarkStart w:id="311" w:name="_Toc4311"/>
    </w:p>
    <w:p w14:paraId="0BD272D9">
      <w:p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履约保函</w:t>
      </w:r>
      <w:bookmarkEnd w:id="310"/>
    </w:p>
    <w:bookmarkEnd w:id="311"/>
    <w:p w14:paraId="6E33CF53">
      <w:pPr>
        <w:wordWrap w:val="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编号：           </w:t>
      </w:r>
    </w:p>
    <w:p w14:paraId="57E77526">
      <w:pPr>
        <w:rPr>
          <w:rFonts w:hint="eastAsia" w:ascii="宋体" w:hAnsi="宋体" w:eastAsia="宋体" w:cs="宋体"/>
          <w:color w:val="auto"/>
          <w:highlight w:val="none"/>
        </w:rPr>
      </w:pPr>
      <w:r>
        <w:rPr>
          <w:rFonts w:hint="eastAsia" w:ascii="宋体" w:hAnsi="宋体" w:eastAsia="宋体" w:cs="宋体"/>
          <w:color w:val="auto"/>
          <w:highlight w:val="none"/>
        </w:rPr>
        <w:t>申请人：</w:t>
      </w:r>
    </w:p>
    <w:p w14:paraId="3DC1B57B">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14:paraId="5ED53B12">
      <w:pPr>
        <w:rPr>
          <w:rFonts w:hint="eastAsia" w:ascii="宋体" w:hAnsi="宋体" w:eastAsia="宋体" w:cs="宋体"/>
          <w:color w:val="auto"/>
          <w:highlight w:val="none"/>
        </w:rPr>
      </w:pPr>
      <w:r>
        <w:rPr>
          <w:rFonts w:hint="eastAsia" w:ascii="宋体" w:hAnsi="宋体" w:eastAsia="宋体" w:cs="宋体"/>
          <w:color w:val="auto"/>
          <w:highlight w:val="none"/>
        </w:rPr>
        <w:t>受益人：</w:t>
      </w:r>
    </w:p>
    <w:p w14:paraId="4CCCDD11">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14:paraId="407BC5E5">
      <w:pPr>
        <w:rPr>
          <w:rFonts w:hint="eastAsia" w:ascii="宋体" w:hAnsi="宋体" w:eastAsia="宋体" w:cs="宋体"/>
          <w:color w:val="auto"/>
          <w:highlight w:val="none"/>
        </w:rPr>
      </w:pPr>
      <w:r>
        <w:rPr>
          <w:rFonts w:hint="eastAsia" w:ascii="宋体" w:hAnsi="宋体" w:eastAsia="宋体" w:cs="宋体"/>
          <w:color w:val="auto"/>
          <w:highlight w:val="none"/>
        </w:rPr>
        <w:t>开立人：</w:t>
      </w:r>
    </w:p>
    <w:p w14:paraId="1D1B7152">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14:paraId="362B0576">
      <w:pP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64E1A1AC">
      <w:pPr>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（受益人名称）： </w:t>
      </w:r>
    </w:p>
    <w:p w14:paraId="611155B0">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鉴于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（以下简称“受益人”）与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（以下简称“申请人”）于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工程（以下简称“本工程”）施工和有关事项协商一致共同签订</w:t>
      </w:r>
      <w:r>
        <w:rPr>
          <w:rFonts w:hint="eastAsia" w:ascii="宋体" w:hAnsi="宋体" w:eastAsia="宋体" w:cs="宋体"/>
          <w:color w:val="auto"/>
          <w:highlight w:val="none"/>
          <w:u w:val="single"/>
        </w:rPr>
        <w:t>《        》</w:t>
      </w:r>
      <w:r>
        <w:rPr>
          <w:rFonts w:hint="eastAsia" w:ascii="宋体" w:hAnsi="宋体" w:eastAsia="宋体" w:cs="宋体"/>
          <w:color w:val="auto"/>
          <w:highlight w:val="none"/>
        </w:rPr>
        <w:t xml:space="preserve">（以下简称“基础合同”），我方（即“开立人”）根据基础合同了解到申请人为基础合同项下之承包人，受益人为基础合同项下之发包人，基于申请人的请求，我方同意就申请人履行与贵方签订的基础合同项下的义务，向贵方提供不可撤销、不可转让的见索即付独立保函（以下简称“本保函”）。 </w:t>
      </w:r>
    </w:p>
    <w:p w14:paraId="6EAD5BC4">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一、本保函担保范围：承包人未按照基础合同的约定履行义务，应当向贵方承担的违约责任和赔偿因此造成的损失、利息、律师费、诉讼费用等实现债权的费用。</w:t>
      </w:r>
    </w:p>
    <w:p w14:paraId="27739161">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二、本保函担保金额最高不超过人民币（大写）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190CE1FD">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三、本保函有效期自开立之日起至基础合同约定的缺陷责任期后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日止，最迟不超过</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日。 </w:t>
      </w:r>
    </w:p>
    <w:p w14:paraId="3411036B">
      <w:pPr>
        <w:ind w:firstLine="480"/>
        <w:rPr>
          <w:rFonts w:hint="eastAsia" w:ascii="宋体" w:hAnsi="宋体" w:eastAsia="宋体" w:cs="宋体"/>
          <w:color w:val="auto"/>
          <w:highlight w:val="none"/>
        </w:rPr>
      </w:pPr>
      <w:r>
        <w:rPr>
          <w:rFonts w:hint="eastAsia" w:ascii="宋体" w:hAnsi="宋体" w:eastAsia="宋体" w:cs="宋体"/>
          <w:color w:val="auto"/>
          <w:highlight w:val="none"/>
        </w:rPr>
        <w:t>四、我方承诺，在收到受益人发来的书面付款通知后的</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日内无条件支付，前述书面付款通知即为付款要求之单据，且应满足以下要求：</w:t>
      </w:r>
    </w:p>
    <w:p w14:paraId="2970C4B7">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（1）付款通知到达的日期在本保函的有效期内；</w:t>
      </w:r>
    </w:p>
    <w:p w14:paraId="1F655499">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（2）载明要求支付的金额；</w:t>
      </w:r>
    </w:p>
    <w:p w14:paraId="0405835C">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（3）载明申请人违反合同义务的条款和内容；</w:t>
      </w:r>
    </w:p>
    <w:p w14:paraId="59F51968">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（4）声明不存在合同文件约定或我国法律规定免除申请人或开立人支付责任的情形；</w:t>
      </w:r>
    </w:p>
    <w:p w14:paraId="5344234C">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（5）付款通知应在本保函有效期内到达的地址是：</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6BB058DA">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受益人发出的书面付款通知应由其为鉴明受益人法定代表人（负责人）或授权代理人签字并加盖公章。</w:t>
      </w:r>
    </w:p>
    <w:p w14:paraId="790AC458">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五、本保函项下的权利不得转让，不得设定担保。贵方未经我方书面同意转 让本保函或其项下任何权利，对我方不发生法律效力。 </w:t>
      </w:r>
    </w:p>
    <w:p w14:paraId="0A5CC8AD">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六、与本保函有关的基础合同不成立、不生效、无效、被撤销、被解除，不影响本保函的独立有效。 </w:t>
      </w:r>
    </w:p>
    <w:p w14:paraId="5C6ED856">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497F22B6">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八、本保函适用的法律为中华人民共和国法律，争议裁判管辖地为中华人民共和国</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3F8C5D1B">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九、本保函自我方法定代表人或授权代表签字并加盖公章之日起生效。 </w:t>
      </w:r>
    </w:p>
    <w:p w14:paraId="1DCCAF07">
      <w:pPr>
        <w:ind w:firstLine="480" w:firstLineChars="200"/>
        <w:rPr>
          <w:rFonts w:hint="eastAsia" w:ascii="宋体" w:hAnsi="宋体" w:eastAsia="宋体" w:cs="宋体"/>
          <w:color w:val="auto"/>
          <w:highlight w:val="none"/>
        </w:rPr>
      </w:pPr>
    </w:p>
    <w:p w14:paraId="35C25358">
      <w:pPr>
        <w:ind w:firstLine="480" w:firstLineChars="200"/>
        <w:rPr>
          <w:rFonts w:hint="eastAsia" w:ascii="宋体" w:hAnsi="宋体" w:eastAsia="宋体" w:cs="宋体"/>
          <w:color w:val="auto"/>
          <w:highlight w:val="none"/>
        </w:rPr>
      </w:pPr>
    </w:p>
    <w:p w14:paraId="29B98E6E">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开 立 人：                              （公章） </w:t>
      </w:r>
    </w:p>
    <w:p w14:paraId="21DFD66E">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法定代表人（或授权代表）：               （签字） </w:t>
      </w:r>
    </w:p>
    <w:p w14:paraId="31323485">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地    址：                                       </w:t>
      </w:r>
    </w:p>
    <w:p w14:paraId="29083BD3">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邮政编码：                 </w:t>
      </w:r>
    </w:p>
    <w:p w14:paraId="272B5BA8">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电    话：                 </w:t>
      </w:r>
    </w:p>
    <w:p w14:paraId="3E0D464F">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传    真：                 </w:t>
      </w:r>
    </w:p>
    <w:p w14:paraId="76EF12F7">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开立时间：      年      月     日</w:t>
      </w:r>
    </w:p>
    <w:p w14:paraId="2EA9985E">
      <w:pPr>
        <w:pStyle w:val="31"/>
        <w:rPr>
          <w:rFonts w:hint="eastAsia" w:ascii="宋体" w:hAnsi="宋体" w:eastAsia="宋体" w:cs="宋体"/>
          <w:color w:val="auto"/>
          <w:highlight w:val="none"/>
        </w:rPr>
      </w:pPr>
    </w:p>
    <w:p w14:paraId="3FB2E6C4">
      <w:pPr>
        <w:pStyle w:val="4"/>
        <w:jc w:val="left"/>
        <w:rPr>
          <w:rFonts w:hint="eastAsia" w:ascii="宋体" w:hAnsi="宋体" w:eastAsia="宋体" w:cs="宋体"/>
          <w:bCs/>
          <w:color w:val="auto"/>
          <w:highlight w:val="none"/>
        </w:rPr>
      </w:pPr>
      <w:bookmarkStart w:id="312" w:name="_Toc556"/>
    </w:p>
    <w:p w14:paraId="75505AA8">
      <w:pPr>
        <w:pStyle w:val="4"/>
        <w:jc w:val="left"/>
        <w:rPr>
          <w:rFonts w:hint="eastAsia" w:ascii="宋体" w:hAnsi="宋体" w:eastAsia="宋体" w:cs="宋体"/>
          <w:bCs/>
          <w:color w:val="auto"/>
          <w:highlight w:val="none"/>
        </w:rPr>
      </w:pPr>
    </w:p>
    <w:p w14:paraId="3468E425">
      <w:pPr>
        <w:pStyle w:val="4"/>
        <w:jc w:val="left"/>
        <w:rPr>
          <w:rFonts w:hint="eastAsia" w:ascii="宋体" w:hAnsi="宋体" w:eastAsia="宋体" w:cs="宋体"/>
          <w:bCs/>
          <w:color w:val="auto"/>
          <w:highlight w:val="none"/>
        </w:rPr>
      </w:pPr>
    </w:p>
    <w:p w14:paraId="06B09AB6">
      <w:pPr>
        <w:rPr>
          <w:rFonts w:hint="eastAsia" w:ascii="宋体" w:hAnsi="宋体" w:eastAsia="宋体" w:cs="宋体"/>
          <w:b/>
          <w:bCs/>
          <w:color w:val="auto"/>
          <w:highlight w:val="none"/>
        </w:rPr>
      </w:pPr>
    </w:p>
    <w:p w14:paraId="5FB4F3E1">
      <w:pPr>
        <w:pStyle w:val="44"/>
        <w:keepNext w:val="0"/>
        <w:keepLines w:val="0"/>
        <w:widowControl w:val="0"/>
        <w:wordWrap w:val="0"/>
        <w:adjustRightInd w:val="0"/>
        <w:snapToGrid w:val="0"/>
        <w:spacing w:before="0" w:after="0" w:line="240" w:lineRule="auto"/>
        <w:ind w:firstLine="0"/>
        <w:jc w:val="both"/>
        <w:rPr>
          <w:rFonts w:hint="eastAsia" w:ascii="宋体" w:hAnsi="宋体" w:eastAsia="宋体" w:cs="宋体"/>
          <w:b/>
          <w:snapToGrid w:val="0"/>
          <w:color w:val="auto"/>
          <w:highlight w:val="none"/>
        </w:rPr>
      </w:pPr>
      <w:bookmarkStart w:id="313" w:name="_Toc7299"/>
      <w:bookmarkStart w:id="314" w:name="_Toc5949"/>
      <w:r>
        <w:rPr>
          <w:rFonts w:hint="eastAsia" w:ascii="宋体" w:hAnsi="宋体" w:eastAsia="宋体" w:cs="宋体"/>
          <w:b/>
          <w:snapToGrid w:val="0"/>
          <w:color w:val="auto"/>
          <w:highlight w:val="none"/>
        </w:rPr>
        <w:t>附件三：支付保函</w:t>
      </w:r>
      <w:bookmarkEnd w:id="312"/>
      <w:bookmarkEnd w:id="313"/>
      <w:bookmarkEnd w:id="314"/>
    </w:p>
    <w:p w14:paraId="06EA707E">
      <w:p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支付保函</w:t>
      </w:r>
    </w:p>
    <w:p w14:paraId="7FFB56B9">
      <w:pPr>
        <w:jc w:val="center"/>
        <w:rPr>
          <w:rFonts w:hint="eastAsia" w:ascii="宋体" w:hAnsi="宋体" w:eastAsia="宋体" w:cs="宋体"/>
          <w:b/>
          <w:bCs/>
          <w:color w:val="auto"/>
          <w:sz w:val="32"/>
          <w:szCs w:val="32"/>
          <w:highlight w:val="none"/>
        </w:rPr>
      </w:pPr>
    </w:p>
    <w:p w14:paraId="7A95D12F">
      <w:pPr>
        <w:wordWrap w:val="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编号：           </w:t>
      </w:r>
    </w:p>
    <w:p w14:paraId="366FAE3C">
      <w:pPr>
        <w:rPr>
          <w:rFonts w:hint="eastAsia" w:ascii="宋体" w:hAnsi="宋体" w:eastAsia="宋体" w:cs="宋体"/>
          <w:color w:val="auto"/>
          <w:highlight w:val="none"/>
        </w:rPr>
      </w:pPr>
      <w:r>
        <w:rPr>
          <w:rFonts w:hint="eastAsia" w:ascii="宋体" w:hAnsi="宋体" w:eastAsia="宋体" w:cs="宋体"/>
          <w:color w:val="auto"/>
          <w:highlight w:val="none"/>
        </w:rPr>
        <w:t>申请人：</w:t>
      </w:r>
    </w:p>
    <w:p w14:paraId="084FC1D3">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14:paraId="144AA5C6">
      <w:pPr>
        <w:rPr>
          <w:rFonts w:hint="eastAsia" w:ascii="宋体" w:hAnsi="宋体" w:eastAsia="宋体" w:cs="宋体"/>
          <w:color w:val="auto"/>
          <w:highlight w:val="none"/>
        </w:rPr>
      </w:pPr>
      <w:r>
        <w:rPr>
          <w:rFonts w:hint="eastAsia" w:ascii="宋体" w:hAnsi="宋体" w:eastAsia="宋体" w:cs="宋体"/>
          <w:color w:val="auto"/>
          <w:highlight w:val="none"/>
        </w:rPr>
        <w:t>受益人：</w:t>
      </w:r>
    </w:p>
    <w:p w14:paraId="24D16A44">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14:paraId="099791BC">
      <w:pPr>
        <w:rPr>
          <w:rFonts w:hint="eastAsia" w:ascii="宋体" w:hAnsi="宋体" w:eastAsia="宋体" w:cs="宋体"/>
          <w:color w:val="auto"/>
          <w:highlight w:val="none"/>
        </w:rPr>
      </w:pPr>
      <w:r>
        <w:rPr>
          <w:rFonts w:hint="eastAsia" w:ascii="宋体" w:hAnsi="宋体" w:eastAsia="宋体" w:cs="宋体"/>
          <w:color w:val="auto"/>
          <w:highlight w:val="none"/>
        </w:rPr>
        <w:t>开立人：</w:t>
      </w:r>
    </w:p>
    <w:p w14:paraId="0945B371">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14:paraId="4C938C7B">
      <w:pP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56BE13FB">
      <w:pPr>
        <w:rPr>
          <w:rFonts w:hint="eastAsia" w:ascii="宋体" w:hAnsi="宋体" w:eastAsia="宋体" w:cs="宋体"/>
          <w:color w:val="auto"/>
          <w:highlight w:val="none"/>
        </w:rPr>
      </w:pPr>
      <w:bookmarkStart w:id="315" w:name="_Hlk40355074"/>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（受益人名称）： </w:t>
      </w:r>
    </w:p>
    <w:bookmarkEnd w:id="315"/>
    <w:p w14:paraId="5AD67AC9">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鉴于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（以下简称“受益人”）与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（以下简称“申请人”）于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工程（以下简称“本工程”）施工和有关事项协商一致共同签订</w:t>
      </w:r>
      <w:r>
        <w:rPr>
          <w:rFonts w:hint="eastAsia" w:ascii="宋体" w:hAnsi="宋体" w:eastAsia="宋体" w:cs="宋体"/>
          <w:color w:val="auto"/>
          <w:highlight w:val="none"/>
          <w:u w:val="single"/>
        </w:rPr>
        <w:t>《        》</w:t>
      </w:r>
      <w:r>
        <w:rPr>
          <w:rFonts w:hint="eastAsia" w:ascii="宋体" w:hAnsi="宋体" w:eastAsia="宋体" w:cs="宋体"/>
          <w:color w:val="auto"/>
          <w:highlight w:val="none"/>
        </w:rPr>
        <w:t xml:space="preserve">（以下简称基础合同”），我方（即“开立人”）根据基础合同了解到申请人为基础合同项下之发包人，受益人为基础合同项下之承包人，基于申请人的请求，我方同意就申请人履行与贵方签订的基础合同项下的工程款（指基础合同约定的除工程质量保修金以外的工程款）付款义务，向贵方提供不可撤销、不可转让的见索即付独立保函（以下简称“本保函”）。 </w:t>
      </w:r>
    </w:p>
    <w:p w14:paraId="197EB6C3">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一、本保函担保范围：申请人未履行基础合同约定的工程款支付义务，应当向贵方承担的违约责任和赔偿因此造成的损失、利息、律师费、诉讼费用等实现债权的费用。</w:t>
      </w:r>
    </w:p>
    <w:p w14:paraId="2EFFCA68">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二、本保函担保金额最高不超过人民币（大写）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28D86AEB">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三、本保函有效期自开立之日起至基础合同约定的除工程质量保修金以外的全部工程结算款项支付之日后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日止，最迟不超过</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日。 </w:t>
      </w:r>
    </w:p>
    <w:p w14:paraId="534B9F15">
      <w:pPr>
        <w:ind w:firstLine="480"/>
        <w:rPr>
          <w:rFonts w:hint="eastAsia" w:ascii="宋体" w:hAnsi="宋体" w:eastAsia="宋体" w:cs="宋体"/>
          <w:color w:val="auto"/>
          <w:highlight w:val="none"/>
        </w:rPr>
      </w:pPr>
      <w:r>
        <w:rPr>
          <w:rFonts w:hint="eastAsia" w:ascii="宋体" w:hAnsi="宋体" w:eastAsia="宋体" w:cs="宋体"/>
          <w:color w:val="auto"/>
          <w:highlight w:val="none"/>
        </w:rPr>
        <w:t>四、我方承诺，在收到受益人发来的书面付款通知后的</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日内无条件支付，前述书面付款通知即为付款要求之单据，且应满足以下要求：</w:t>
      </w:r>
    </w:p>
    <w:p w14:paraId="12B9A672">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（1）付款通知到达的日期在本保函的有效期内；</w:t>
      </w:r>
    </w:p>
    <w:p w14:paraId="6D9A60ED">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（2）载明要求支付的金额；</w:t>
      </w:r>
    </w:p>
    <w:p w14:paraId="2947AEE1">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（3）载明申请人违反合同义务的条款和内容；</w:t>
      </w:r>
    </w:p>
    <w:p w14:paraId="34A9E921">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（4）声明不存在合同文件约定或我国法律规定免除申请人或开立人支付责任的情形；</w:t>
      </w:r>
    </w:p>
    <w:p w14:paraId="316D991B">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（5）付款通知应在本保函有效期内到达的地址是：</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334712EC">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受益人发出的书面付款通知应由其为鉴明受益人法定代表人（负责人）或授权代理人签字并加盖公章。</w:t>
      </w:r>
    </w:p>
    <w:p w14:paraId="1525914D">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五、本保函项下的权利不得转让，不得设定担保。贵方未经我方书面同意转 让本保函或其项下任何权利，对我方不发生法律效力。 </w:t>
      </w:r>
    </w:p>
    <w:p w14:paraId="7F0BD085">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六、与本保函有关的基础合同不成立、不生效、无效、被撤销、被解除，不影响本保函的独立有效。 </w:t>
      </w:r>
    </w:p>
    <w:p w14:paraId="70BCEC25">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175DECAB">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八、本保函适用的法律为中华人民共和国法律，争议裁判管辖地为中华人民共和国</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4AE8B724">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九、本保函自我方法定代表人</w:t>
      </w:r>
      <w:bookmarkStart w:id="316" w:name="_Hlk58487855"/>
      <w:r>
        <w:rPr>
          <w:rFonts w:hint="eastAsia" w:ascii="宋体" w:hAnsi="宋体" w:eastAsia="宋体" w:cs="宋体"/>
          <w:color w:val="auto"/>
          <w:highlight w:val="none"/>
        </w:rPr>
        <w:t>或授权代表</w:t>
      </w:r>
      <w:bookmarkEnd w:id="316"/>
      <w:r>
        <w:rPr>
          <w:rFonts w:hint="eastAsia" w:ascii="宋体" w:hAnsi="宋体" w:eastAsia="宋体" w:cs="宋体"/>
          <w:color w:val="auto"/>
          <w:highlight w:val="none"/>
        </w:rPr>
        <w:t xml:space="preserve">签字并加盖公章之日起生效。 </w:t>
      </w:r>
    </w:p>
    <w:p w14:paraId="0D44C38A">
      <w:pPr>
        <w:ind w:firstLine="480" w:firstLineChars="200"/>
        <w:rPr>
          <w:rFonts w:hint="eastAsia" w:ascii="宋体" w:hAnsi="宋体" w:eastAsia="宋体" w:cs="宋体"/>
          <w:color w:val="auto"/>
          <w:highlight w:val="none"/>
        </w:rPr>
      </w:pPr>
    </w:p>
    <w:p w14:paraId="626B4BBF">
      <w:pPr>
        <w:ind w:firstLine="480" w:firstLineChars="200"/>
        <w:rPr>
          <w:rFonts w:hint="eastAsia" w:ascii="宋体" w:hAnsi="宋体" w:eastAsia="宋体" w:cs="宋体"/>
          <w:color w:val="auto"/>
          <w:highlight w:val="none"/>
        </w:rPr>
      </w:pPr>
    </w:p>
    <w:p w14:paraId="04A94F8E">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开 立 人：                              （公章） </w:t>
      </w:r>
    </w:p>
    <w:p w14:paraId="43A72452">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法定代表人（或授权代表）：               （签字） </w:t>
      </w:r>
    </w:p>
    <w:p w14:paraId="3046D854">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地    址：                                       </w:t>
      </w:r>
    </w:p>
    <w:p w14:paraId="62C8F165">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邮政编码：                 </w:t>
      </w:r>
    </w:p>
    <w:p w14:paraId="31125305">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电    话：                 </w:t>
      </w:r>
    </w:p>
    <w:p w14:paraId="7F7E8576">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传    真：                 </w:t>
      </w:r>
    </w:p>
    <w:p w14:paraId="30AF8624">
      <w:pPr>
        <w:ind w:firstLine="480" w:firstLineChars="200"/>
        <w:rPr>
          <w:rFonts w:hint="eastAsia" w:ascii="宋体" w:hAnsi="宋体" w:eastAsia="宋体" w:cs="宋体"/>
          <w:color w:val="auto"/>
          <w:highlight w:val="none"/>
        </w:rPr>
        <w:sectPr>
          <w:endnotePr>
            <w:numFmt w:val="decimal"/>
          </w:endnotePr>
          <w:pgSz w:w="11906" w:h="16838"/>
          <w:pgMar w:top="1461" w:right="1531" w:bottom="977" w:left="1531" w:header="850" w:footer="992" w:gutter="0"/>
          <w:cols w:space="720" w:num="1"/>
          <w:docGrid w:linePitch="327" w:charSpace="0"/>
        </w:sectPr>
      </w:pPr>
      <w:r>
        <w:rPr>
          <w:rFonts w:hint="eastAsia" w:ascii="宋体" w:hAnsi="宋体" w:eastAsia="宋体" w:cs="宋体"/>
          <w:color w:val="auto"/>
          <w:highlight w:val="none"/>
        </w:rPr>
        <w:t xml:space="preserve">开立时间：      年      月      </w:t>
      </w:r>
    </w:p>
    <w:p w14:paraId="6134AAA0">
      <w:pPr>
        <w:pStyle w:val="47"/>
        <w:tabs>
          <w:tab w:val="left" w:pos="885"/>
        </w:tabs>
        <w:snapToGrid w:val="0"/>
        <w:spacing w:line="440" w:lineRule="exact"/>
        <w:ind w:firstLine="0" w:firstLineChars="0"/>
        <w:jc w:val="center"/>
        <w:outlineLvl w:val="0"/>
        <w:rPr>
          <w:rStyle w:val="22"/>
          <w:rFonts w:hint="eastAsia" w:ascii="宋体" w:hAnsi="宋体" w:eastAsia="宋体" w:cs="宋体"/>
          <w:b/>
          <w:bCs/>
          <w:color w:val="auto"/>
          <w:highlight w:val="none"/>
        </w:rPr>
      </w:pPr>
      <w:bookmarkStart w:id="317" w:name="_Toc25616"/>
      <w:bookmarkStart w:id="318" w:name="_Toc24572"/>
      <w:bookmarkStart w:id="319" w:name="_Toc28086"/>
      <w:bookmarkStart w:id="320" w:name="_Toc30224"/>
      <w:bookmarkStart w:id="321" w:name="_Toc23902"/>
      <w:bookmarkStart w:id="322" w:name="_Toc17509"/>
      <w:bookmarkStart w:id="323" w:name="_Toc24640"/>
      <w:bookmarkStart w:id="324" w:name="_Toc23090"/>
      <w:bookmarkStart w:id="325" w:name="_Toc18368"/>
      <w:r>
        <w:rPr>
          <w:rStyle w:val="22"/>
          <w:rFonts w:hint="eastAsia" w:ascii="宋体" w:hAnsi="宋体" w:eastAsia="宋体" w:cs="宋体"/>
          <w:b/>
          <w:bCs/>
          <w:color w:val="auto"/>
          <w:highlight w:val="none"/>
        </w:rPr>
        <w:t>第四章 技术要求</w:t>
      </w:r>
      <w:bookmarkEnd w:id="304"/>
      <w:bookmarkEnd w:id="317"/>
      <w:bookmarkEnd w:id="318"/>
      <w:bookmarkEnd w:id="319"/>
      <w:bookmarkEnd w:id="320"/>
      <w:bookmarkEnd w:id="321"/>
      <w:bookmarkEnd w:id="322"/>
      <w:bookmarkEnd w:id="323"/>
      <w:bookmarkEnd w:id="324"/>
      <w:bookmarkEnd w:id="325"/>
    </w:p>
    <w:p w14:paraId="1782712F">
      <w:pPr>
        <w:pStyle w:val="48"/>
        <w:snapToGrid w:val="0"/>
        <w:spacing w:before="0" w:after="0" w:line="440" w:lineRule="exact"/>
        <w:ind w:left="643" w:firstLine="0"/>
        <w:jc w:val="both"/>
        <w:rPr>
          <w:rStyle w:val="22"/>
          <w:rFonts w:hint="eastAsia" w:ascii="宋体" w:hAnsi="宋体" w:eastAsia="宋体" w:cs="宋体"/>
          <w:b/>
          <w:bCs/>
          <w:color w:val="auto"/>
          <w:highlight w:val="none"/>
        </w:rPr>
      </w:pPr>
    </w:p>
    <w:p w14:paraId="71F365B3">
      <w:pPr>
        <w:widowControl w:val="0"/>
        <w:wordWrap w:val="0"/>
        <w:adjustRightInd w:val="0"/>
        <w:snapToGrid w:val="0"/>
        <w:spacing w:line="440" w:lineRule="exact"/>
        <w:ind w:firstLine="482" w:firstLineChars="200"/>
        <w:textAlignment w:val="auto"/>
        <w:rPr>
          <w:rFonts w:hint="eastAsia" w:ascii="宋体" w:hAnsi="宋体" w:eastAsia="宋体" w:cs="宋体"/>
          <w:b/>
          <w:snapToGrid w:val="0"/>
          <w:color w:val="auto"/>
          <w:kern w:val="0"/>
          <w:highlight w:val="none"/>
        </w:rPr>
      </w:pPr>
      <w:bookmarkStart w:id="326" w:name="_Hlt69670335"/>
      <w:bookmarkEnd w:id="326"/>
      <w:r>
        <w:rPr>
          <w:rFonts w:hint="eastAsia" w:ascii="宋体" w:hAnsi="宋体" w:eastAsia="宋体" w:cs="宋体"/>
          <w:b/>
          <w:snapToGrid w:val="0"/>
          <w:color w:val="auto"/>
          <w:kern w:val="0"/>
          <w:highlight w:val="none"/>
        </w:rPr>
        <w:t>1．房屋建筑工程建设项目</w:t>
      </w:r>
    </w:p>
    <w:p w14:paraId="32C4920F">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bookmarkStart w:id="327" w:name="_Hlt69359245"/>
      <w:bookmarkEnd w:id="327"/>
      <w:bookmarkStart w:id="328" w:name="_Hlt69116858"/>
      <w:bookmarkEnd w:id="328"/>
      <w:bookmarkStart w:id="329" w:name="_Hlt69359243"/>
      <w:bookmarkEnd w:id="329"/>
      <w:bookmarkStart w:id="330" w:name="_Hlt69359086"/>
      <w:bookmarkEnd w:id="330"/>
      <w:bookmarkStart w:id="331" w:name="_Hlt78709799"/>
      <w:bookmarkEnd w:id="331"/>
      <w:bookmarkStart w:id="332" w:name="_Hlt69358458"/>
      <w:bookmarkEnd w:id="332"/>
      <w:bookmarkStart w:id="333" w:name="_Hlt69635252"/>
      <w:bookmarkEnd w:id="333"/>
      <w:r>
        <w:rPr>
          <w:rFonts w:hint="eastAsia" w:ascii="宋体" w:hAnsi="宋体" w:eastAsia="宋体" w:cs="宋体"/>
          <w:bCs/>
          <w:snapToGrid w:val="0"/>
          <w:color w:val="auto"/>
          <w:kern w:val="0"/>
          <w:highlight w:val="none"/>
        </w:rPr>
        <w:t>房屋建筑工程建设项目必须执行的现行技术规范，包括且不限于：</w:t>
      </w:r>
    </w:p>
    <w:p w14:paraId="6735A262">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（1）《建筑工程施工质量验收统一标准》；</w:t>
      </w:r>
    </w:p>
    <w:p w14:paraId="4B49D347">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（2）《建筑地基基础工程施工质量验收规范》；</w:t>
      </w:r>
    </w:p>
    <w:p w14:paraId="496CD539">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（3）《砌体工程施工质量验收规范》；</w:t>
      </w:r>
    </w:p>
    <w:p w14:paraId="2F24E4B7">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（4）《混凝土结构工程施工质量验收规范》；</w:t>
      </w:r>
    </w:p>
    <w:p w14:paraId="090901A6">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（5）《屋面工程质量验收规范》；</w:t>
      </w:r>
    </w:p>
    <w:p w14:paraId="3E94E29E">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（6）《地下防水工程质量验收规范》；</w:t>
      </w:r>
    </w:p>
    <w:p w14:paraId="039BE897">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（7）</w:t>
      </w:r>
      <w:bookmarkStart w:id="334" w:name="_Hlt78795211"/>
      <w:bookmarkEnd w:id="334"/>
      <w:r>
        <w:rPr>
          <w:rFonts w:hint="eastAsia" w:ascii="宋体" w:hAnsi="宋体" w:eastAsia="宋体" w:cs="宋体"/>
          <w:bCs/>
          <w:snapToGrid w:val="0"/>
          <w:color w:val="auto"/>
          <w:kern w:val="0"/>
          <w:highlight w:val="none"/>
        </w:rPr>
        <w:t>《建筑地面工程施工质量验收规范》；</w:t>
      </w:r>
    </w:p>
    <w:p w14:paraId="1AF3240B">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（8）《建筑装饰装修工程施工质量验收规范》；</w:t>
      </w:r>
    </w:p>
    <w:p w14:paraId="56876E6A">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（9）《建筑给排水及采暖工程施工质量验收规范》；</w:t>
      </w:r>
    </w:p>
    <w:p w14:paraId="6DE175D1">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（10）《建筑电气工程施工质量验收规范》；</w:t>
      </w:r>
    </w:p>
    <w:p w14:paraId="39AE778B">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（11）《住建部绿色建筑评价标准》；</w:t>
      </w:r>
    </w:p>
    <w:p w14:paraId="437FDD8E">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（12）《建筑节能与可再生能源利用通用规范》（GB55015-2021）；</w:t>
      </w:r>
    </w:p>
    <w:p w14:paraId="0B478707">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（13）《建筑环境通用规范》；</w:t>
      </w:r>
    </w:p>
    <w:p w14:paraId="010716A5">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（14）《广东省住房和城乡建设厅绿色施工导则》；</w:t>
      </w:r>
    </w:p>
    <w:p w14:paraId="120B8829">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（15）《广东省建筑工程绿色施工评价标准》；</w:t>
      </w:r>
    </w:p>
    <w:p w14:paraId="4761D9FF">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（16）《广东省建筑节能与绿色建筑工程施工质量验收规范》</w:t>
      </w:r>
    </w:p>
    <w:p w14:paraId="0962FFC5">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（17）其他现行国家、广东省关于房建工程的施工及验收规范、定额、规程、标准。</w:t>
      </w:r>
    </w:p>
    <w:p w14:paraId="3C7F8ED4">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p>
    <w:p w14:paraId="2B02D45E">
      <w:pPr>
        <w:widowControl w:val="0"/>
        <w:wordWrap w:val="0"/>
        <w:adjustRightInd w:val="0"/>
        <w:snapToGrid w:val="0"/>
        <w:spacing w:line="440" w:lineRule="exact"/>
        <w:ind w:firstLine="482"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
          <w:snapToGrid w:val="0"/>
          <w:color w:val="auto"/>
          <w:kern w:val="0"/>
          <w:highlight w:val="none"/>
        </w:rPr>
        <w:t>2．市政基础设施工程建设项目</w:t>
      </w:r>
    </w:p>
    <w:p w14:paraId="0B370256">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szCs w:val="28"/>
          <w:highlight w:val="none"/>
        </w:rPr>
      </w:pPr>
      <w:r>
        <w:rPr>
          <w:rFonts w:hint="eastAsia" w:ascii="宋体" w:hAnsi="宋体" w:eastAsia="宋体" w:cs="宋体"/>
          <w:bCs/>
          <w:snapToGrid w:val="0"/>
          <w:color w:val="auto"/>
          <w:kern w:val="0"/>
          <w:highlight w:val="none"/>
        </w:rPr>
        <w:t>市政基础设施工程建设项目必须执行的现行技术规范，包括且不限于：</w:t>
      </w:r>
    </w:p>
    <w:p w14:paraId="76E39C4F">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szCs w:val="28"/>
          <w:highlight w:val="none"/>
        </w:rPr>
        <w:t>（1）《公路路基施工技术规范》</w:t>
      </w:r>
      <w:r>
        <w:rPr>
          <w:rFonts w:hint="eastAsia" w:ascii="宋体" w:hAnsi="宋体" w:eastAsia="宋体" w:cs="宋体"/>
          <w:bCs/>
          <w:snapToGrid w:val="0"/>
          <w:color w:val="auto"/>
          <w:kern w:val="0"/>
          <w:highlight w:val="none"/>
        </w:rPr>
        <w:t>；</w:t>
      </w:r>
    </w:p>
    <w:p w14:paraId="21E31023">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（2）《市政道路工程质量检验评定标准》；</w:t>
      </w:r>
    </w:p>
    <w:p w14:paraId="3F802C97">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（3）《市政排水管渠工程质量检验评定标准》；</w:t>
      </w:r>
    </w:p>
    <w:p w14:paraId="606683D0">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（4）《给水排水管道工程施工及验收规范》；</w:t>
      </w:r>
    </w:p>
    <w:p w14:paraId="411A6C02">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（5）《城市道路路基工程施工及验收规范》；</w:t>
      </w:r>
    </w:p>
    <w:p w14:paraId="06505712">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（6）《水泥砼路面施工及验收规范》；</w:t>
      </w:r>
    </w:p>
    <w:p w14:paraId="02047664">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（7）《公路水泥砼路面施工技术规范》；</w:t>
      </w:r>
    </w:p>
    <w:p w14:paraId="7E109627">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（8）《埋地硬聚氯乙烯排水管道工程技术规程》；</w:t>
      </w:r>
    </w:p>
    <w:p w14:paraId="28ED9581">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（9）《沥青路面施工及验收规范》；</w:t>
      </w:r>
    </w:p>
    <w:p w14:paraId="5B7DC4F8">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（10）《广东省市政工程施工质量技术资料统一用表》。</w:t>
      </w:r>
    </w:p>
    <w:p w14:paraId="30C4F446">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（11）《城市道路照明设计标准》（CJJ45-2015）；</w:t>
      </w:r>
    </w:p>
    <w:p w14:paraId="6EE5993E">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（12）《低压配电设计规范》（GB50054-2011）；</w:t>
      </w:r>
    </w:p>
    <w:p w14:paraId="12A55A04">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（13）《城市道路照明工程施工及验收规程》（CJJ89-2012）；</w:t>
      </w:r>
    </w:p>
    <w:p w14:paraId="1D0FD216">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（14）《LED道路照明工程技术规范》（DB44/T 1898-2016）；</w:t>
      </w:r>
    </w:p>
    <w:p w14:paraId="21F883D5">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（15）《灯具第1部分：一般要求与试验》（GB7000.1-2015）；</w:t>
      </w:r>
    </w:p>
    <w:p w14:paraId="0EE23EF2">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（16）《电缆工程电缆设计标准》（GB50217-2018）；</w:t>
      </w:r>
    </w:p>
    <w:p w14:paraId="1A2FEDCF">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（17）其他现行国家、广东省关于市政工程的技术及验收规范、定额、规程、标准。</w:t>
      </w:r>
    </w:p>
    <w:p w14:paraId="49FE1296">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p>
    <w:p w14:paraId="619DB7F5">
      <w:pPr>
        <w:widowControl w:val="0"/>
        <w:wordWrap w:val="0"/>
        <w:adjustRightInd w:val="0"/>
        <w:snapToGrid w:val="0"/>
        <w:spacing w:line="440" w:lineRule="exact"/>
        <w:ind w:firstLine="560"/>
        <w:textAlignment w:val="auto"/>
        <w:rPr>
          <w:rFonts w:hint="eastAsia" w:ascii="宋体" w:hAnsi="宋体" w:eastAsia="宋体" w:cs="宋体"/>
          <w:strike/>
          <w:snapToGrid w:val="0"/>
          <w:color w:val="auto"/>
          <w:kern w:val="0"/>
          <w:highlight w:val="none"/>
        </w:rPr>
      </w:pPr>
      <w:r>
        <w:rPr>
          <w:rFonts w:hint="eastAsia" w:ascii="宋体" w:hAnsi="宋体" w:eastAsia="宋体" w:cs="宋体"/>
          <w:b/>
          <w:snapToGrid w:val="0"/>
          <w:color w:val="auto"/>
          <w:kern w:val="0"/>
          <w:highlight w:val="none"/>
        </w:rPr>
        <w:t>3．备查要求</w:t>
      </w:r>
    </w:p>
    <w:p w14:paraId="43934633">
      <w:pPr>
        <w:wordWrap w:val="0"/>
        <w:adjustRightInd w:val="0"/>
        <w:snapToGrid w:val="0"/>
        <w:spacing w:line="440" w:lineRule="exact"/>
        <w:ind w:firstLine="560"/>
        <w:rPr>
          <w:rStyle w:val="22"/>
          <w:rFonts w:hint="eastAsia" w:ascii="宋体" w:hAnsi="宋体" w:eastAsia="宋体" w:cs="宋体"/>
          <w:strike/>
          <w:color w:val="auto"/>
          <w:kern w:val="0"/>
          <w:highlight w:val="none"/>
        </w:rPr>
        <w:sectPr>
          <w:endnotePr>
            <w:numFmt w:val="decimal"/>
          </w:endnotePr>
          <w:pgSz w:w="11906" w:h="16838"/>
          <w:pgMar w:top="1701" w:right="1531" w:bottom="1417" w:left="1531" w:header="850" w:footer="992" w:gutter="0"/>
          <w:cols w:space="720" w:num="1"/>
          <w:docGrid w:linePitch="327" w:charSpace="0"/>
        </w:sectPr>
      </w:pP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人必须在施工现场准备至少一套上述规范，</w:t>
      </w:r>
      <w:r>
        <w:rPr>
          <w:rFonts w:hint="eastAsia" w:ascii="宋体" w:hAnsi="宋体" w:eastAsia="宋体" w:cs="宋体"/>
          <w:snapToGrid w:val="0"/>
          <w:color w:val="auto"/>
          <w:kern w:val="0"/>
          <w:highlight w:val="none"/>
        </w:rPr>
        <w:t>发包</w:t>
      </w:r>
      <w:r>
        <w:rPr>
          <w:rFonts w:hint="eastAsia" w:ascii="宋体" w:hAnsi="宋体" w:eastAsia="宋体" w:cs="宋体"/>
          <w:bCs/>
          <w:snapToGrid w:val="0"/>
          <w:color w:val="auto"/>
          <w:kern w:val="0"/>
          <w:highlight w:val="none"/>
        </w:rPr>
        <w:t>人和监理单位可随时检查</w:t>
      </w: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人的上述规范，并监督</w:t>
      </w: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人按规范要求执行。</w:t>
      </w:r>
    </w:p>
    <w:p w14:paraId="0024E1E8">
      <w:pPr>
        <w:tabs>
          <w:tab w:val="left" w:pos="885"/>
        </w:tabs>
        <w:snapToGrid w:val="0"/>
        <w:spacing w:line="440" w:lineRule="exact"/>
        <w:ind w:left="885" w:hanging="885"/>
        <w:jc w:val="center"/>
        <w:outlineLvl w:val="0"/>
        <w:rPr>
          <w:rStyle w:val="22"/>
          <w:rFonts w:hint="eastAsia" w:ascii="宋体" w:hAnsi="宋体" w:eastAsia="宋体" w:cs="宋体"/>
          <w:b/>
          <w:bCs/>
          <w:color w:val="auto"/>
          <w:highlight w:val="none"/>
        </w:rPr>
      </w:pPr>
      <w:bookmarkStart w:id="335" w:name="_Toc2426"/>
      <w:bookmarkStart w:id="336" w:name="_Toc11187"/>
      <w:bookmarkStart w:id="337" w:name="_Toc29718"/>
      <w:bookmarkStart w:id="338" w:name="_Toc26068"/>
      <w:bookmarkStart w:id="339" w:name="_Toc27255"/>
      <w:bookmarkStart w:id="340" w:name="_Toc30591"/>
      <w:bookmarkStart w:id="341" w:name="_Toc9956"/>
      <w:bookmarkStart w:id="342" w:name="_Toc26762"/>
      <w:bookmarkStart w:id="343" w:name="_Toc1434"/>
      <w:bookmarkStart w:id="344" w:name="_Toc8569"/>
      <w:r>
        <w:rPr>
          <w:rStyle w:val="22"/>
          <w:rFonts w:hint="eastAsia" w:ascii="宋体" w:hAnsi="宋体" w:eastAsia="宋体" w:cs="宋体"/>
          <w:b/>
          <w:bCs/>
          <w:color w:val="auto"/>
          <w:highlight w:val="none"/>
        </w:rPr>
        <w:t>第五章 图纸和招标工程量清单</w:t>
      </w:r>
      <w:bookmarkEnd w:id="335"/>
      <w:bookmarkEnd w:id="336"/>
      <w:bookmarkEnd w:id="337"/>
      <w:bookmarkEnd w:id="338"/>
      <w:bookmarkEnd w:id="339"/>
      <w:bookmarkEnd w:id="340"/>
      <w:bookmarkEnd w:id="341"/>
      <w:bookmarkEnd w:id="342"/>
      <w:bookmarkEnd w:id="343"/>
      <w:bookmarkEnd w:id="344"/>
    </w:p>
    <w:p w14:paraId="7AB9C9C0">
      <w:pPr>
        <w:snapToGrid w:val="0"/>
        <w:spacing w:line="440" w:lineRule="exact"/>
        <w:ind w:firstLine="480" w:firstLineChars="200"/>
        <w:rPr>
          <w:rStyle w:val="22"/>
          <w:rFonts w:hint="eastAsia" w:ascii="宋体" w:hAnsi="宋体" w:eastAsia="宋体" w:cs="宋体"/>
          <w:color w:val="auto"/>
          <w:kern w:val="0"/>
          <w:highlight w:val="none"/>
        </w:rPr>
      </w:pPr>
    </w:p>
    <w:p w14:paraId="57E416BF">
      <w:pPr>
        <w:snapToGrid w:val="0"/>
        <w:spacing w:line="440" w:lineRule="exact"/>
        <w:ind w:firstLine="482" w:firstLineChars="200"/>
        <w:outlineLvl w:val="1"/>
        <w:rPr>
          <w:rStyle w:val="22"/>
          <w:rFonts w:hint="eastAsia" w:ascii="宋体" w:hAnsi="宋体" w:eastAsia="宋体" w:cs="宋体"/>
          <w:color w:val="auto"/>
          <w:kern w:val="0"/>
          <w:highlight w:val="none"/>
        </w:rPr>
      </w:pPr>
      <w:bookmarkStart w:id="345" w:name="_Toc31734"/>
      <w:bookmarkStart w:id="346" w:name="_Toc4007"/>
      <w:bookmarkStart w:id="347" w:name="_Toc23490"/>
      <w:bookmarkStart w:id="348" w:name="_Toc24543"/>
      <w:bookmarkStart w:id="349" w:name="_Toc25351"/>
      <w:bookmarkStart w:id="350" w:name="_Toc17533"/>
      <w:bookmarkStart w:id="351" w:name="_Toc23868"/>
      <w:bookmarkStart w:id="352" w:name="_Toc18345"/>
      <w:bookmarkStart w:id="353" w:name="_Toc13785"/>
      <w:bookmarkStart w:id="354" w:name="_Toc26698"/>
      <w:r>
        <w:rPr>
          <w:rStyle w:val="22"/>
          <w:rFonts w:hint="eastAsia" w:ascii="宋体" w:hAnsi="宋体" w:eastAsia="宋体" w:cs="宋体"/>
          <w:b/>
          <w:bCs/>
          <w:color w:val="auto"/>
          <w:kern w:val="0"/>
          <w:highlight w:val="none"/>
        </w:rPr>
        <w:t>1．图纸</w:t>
      </w:r>
      <w:bookmarkEnd w:id="345"/>
      <w:bookmarkEnd w:id="346"/>
      <w:bookmarkEnd w:id="347"/>
      <w:bookmarkEnd w:id="348"/>
      <w:bookmarkEnd w:id="349"/>
      <w:bookmarkEnd w:id="350"/>
      <w:bookmarkEnd w:id="351"/>
      <w:bookmarkEnd w:id="352"/>
      <w:bookmarkEnd w:id="353"/>
      <w:bookmarkEnd w:id="354"/>
    </w:p>
    <w:p w14:paraId="71FE4940">
      <w:pPr>
        <w:wordWrap w:val="0"/>
        <w:adjustRightInd w:val="0"/>
        <w:snapToGrid w:val="0"/>
        <w:spacing w:line="440" w:lineRule="exact"/>
        <w:ind w:firstLine="480" w:firstLineChars="200"/>
        <w:rPr>
          <w:rStyle w:val="22"/>
          <w:rFonts w:hint="eastAsia" w:ascii="宋体" w:hAnsi="宋体" w:eastAsia="宋体" w:cs="宋体"/>
          <w:color w:val="auto"/>
          <w:kern w:val="0"/>
          <w:highlight w:val="none"/>
        </w:rPr>
      </w:pPr>
      <w:r>
        <w:rPr>
          <w:rFonts w:hint="eastAsia" w:ascii="宋体" w:hAnsi="宋体" w:eastAsia="宋体" w:cs="宋体"/>
          <w:snapToGrid w:val="0"/>
          <w:color w:val="auto"/>
          <w:kern w:val="0"/>
          <w:highlight w:val="none"/>
        </w:rPr>
        <w:t>本招标文件随文另附施工图（电子文件）一套。</w:t>
      </w:r>
    </w:p>
    <w:p w14:paraId="1F01C1C4">
      <w:pPr>
        <w:snapToGrid w:val="0"/>
        <w:spacing w:line="440" w:lineRule="exact"/>
        <w:ind w:firstLine="480" w:firstLineChars="200"/>
        <w:rPr>
          <w:rStyle w:val="22"/>
          <w:rFonts w:hint="eastAsia" w:ascii="宋体" w:hAnsi="宋体" w:eastAsia="宋体" w:cs="宋体"/>
          <w:color w:val="auto"/>
          <w:kern w:val="0"/>
          <w:highlight w:val="none"/>
        </w:rPr>
      </w:pPr>
    </w:p>
    <w:p w14:paraId="338FF7E3">
      <w:pPr>
        <w:snapToGrid w:val="0"/>
        <w:spacing w:line="440" w:lineRule="exact"/>
        <w:ind w:firstLine="482" w:firstLineChars="200"/>
        <w:outlineLvl w:val="1"/>
        <w:rPr>
          <w:rStyle w:val="22"/>
          <w:rFonts w:hint="eastAsia" w:ascii="宋体" w:hAnsi="宋体" w:eastAsia="宋体" w:cs="宋体"/>
          <w:color w:val="auto"/>
          <w:kern w:val="0"/>
          <w:highlight w:val="none"/>
        </w:rPr>
      </w:pPr>
      <w:bookmarkStart w:id="355" w:name="_Toc6335"/>
      <w:bookmarkStart w:id="356" w:name="_Toc5487"/>
      <w:bookmarkStart w:id="357" w:name="_Toc8922"/>
      <w:bookmarkStart w:id="358" w:name="_Toc20200"/>
      <w:bookmarkStart w:id="359" w:name="_Toc28562"/>
      <w:bookmarkStart w:id="360" w:name="_Toc12213"/>
      <w:bookmarkStart w:id="361" w:name="_Toc24790"/>
      <w:bookmarkStart w:id="362" w:name="_Toc5875"/>
      <w:bookmarkStart w:id="363" w:name="_Toc3141"/>
      <w:bookmarkStart w:id="364" w:name="_Toc5733"/>
      <w:r>
        <w:rPr>
          <w:rStyle w:val="22"/>
          <w:rFonts w:hint="eastAsia" w:ascii="宋体" w:hAnsi="宋体" w:eastAsia="宋体" w:cs="宋体"/>
          <w:b/>
          <w:bCs/>
          <w:color w:val="auto"/>
          <w:kern w:val="0"/>
          <w:highlight w:val="none"/>
        </w:rPr>
        <w:t>2．招标工程量清单</w:t>
      </w:r>
      <w:bookmarkEnd w:id="355"/>
      <w:bookmarkEnd w:id="356"/>
      <w:bookmarkEnd w:id="357"/>
      <w:bookmarkEnd w:id="358"/>
      <w:bookmarkEnd w:id="359"/>
      <w:bookmarkEnd w:id="360"/>
      <w:bookmarkEnd w:id="361"/>
      <w:bookmarkEnd w:id="362"/>
      <w:bookmarkEnd w:id="363"/>
      <w:bookmarkEnd w:id="364"/>
    </w:p>
    <w:p w14:paraId="43A440C1">
      <w:pPr>
        <w:snapToGrid w:val="0"/>
        <w:spacing w:line="440" w:lineRule="exact"/>
        <w:ind w:firstLine="480"/>
        <w:rPr>
          <w:rStyle w:val="22"/>
          <w:rFonts w:hint="eastAsia" w:ascii="宋体" w:hAnsi="宋体" w:eastAsia="宋体" w:cs="宋体"/>
          <w:b/>
          <w:bCs/>
          <w:color w:val="auto"/>
          <w:highlight w:val="none"/>
        </w:rPr>
      </w:pPr>
      <w:r>
        <w:rPr>
          <w:rStyle w:val="22"/>
          <w:rFonts w:hint="eastAsia" w:ascii="宋体" w:hAnsi="宋体" w:eastAsia="宋体" w:cs="宋体"/>
          <w:b/>
          <w:bCs/>
          <w:color w:val="auto"/>
          <w:kern w:val="0"/>
          <w:highlight w:val="none"/>
        </w:rPr>
        <w:t>2.1</w:t>
      </w:r>
      <w:r>
        <w:rPr>
          <w:rStyle w:val="22"/>
          <w:rFonts w:hint="eastAsia" w:ascii="宋体" w:hAnsi="宋体" w:eastAsia="宋体" w:cs="宋体"/>
          <w:color w:val="auto"/>
          <w:kern w:val="0"/>
          <w:highlight w:val="none"/>
        </w:rPr>
        <w:t xml:space="preserve"> </w:t>
      </w:r>
      <w:r>
        <w:rPr>
          <w:rFonts w:hint="eastAsia" w:ascii="宋体" w:hAnsi="宋体" w:eastAsia="宋体" w:cs="宋体"/>
          <w:snapToGrid w:val="0"/>
          <w:color w:val="auto"/>
          <w:kern w:val="0"/>
          <w:highlight w:val="none"/>
        </w:rPr>
        <w:t>本招标文件随文另附招标工程量清单（</w:t>
      </w:r>
      <w:r>
        <w:rPr>
          <w:rFonts w:hint="eastAsia" w:ascii="宋体" w:hAnsi="宋体" w:eastAsia="宋体" w:cs="宋体"/>
          <w:snapToGrid w:val="0"/>
          <w:color w:val="auto"/>
          <w:kern w:val="0"/>
          <w:highlight w:val="none"/>
          <w:u w:val="single"/>
        </w:rPr>
        <w:t xml:space="preserve">含控制价的软件版/EXCEL版 </w:t>
      </w:r>
      <w:r>
        <w:rPr>
          <w:rFonts w:hint="eastAsia" w:ascii="宋体" w:hAnsi="宋体" w:eastAsia="宋体" w:cs="宋体"/>
          <w:snapToGrid w:val="0"/>
          <w:color w:val="auto"/>
          <w:kern w:val="0"/>
          <w:highlight w:val="none"/>
        </w:rPr>
        <w:t>电子文件）一套</w:t>
      </w:r>
      <w:r>
        <w:rPr>
          <w:rStyle w:val="22"/>
          <w:rFonts w:hint="eastAsia" w:ascii="宋体" w:hAnsi="宋体" w:eastAsia="宋体" w:cs="宋体"/>
          <w:color w:val="auto"/>
          <w:kern w:val="0"/>
          <w:highlight w:val="none"/>
        </w:rPr>
        <w:t>。</w:t>
      </w:r>
    </w:p>
    <w:p w14:paraId="77874EDB">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2.2</w:t>
      </w:r>
      <w:r>
        <w:rPr>
          <w:rStyle w:val="22"/>
          <w:rFonts w:hint="eastAsia" w:ascii="宋体" w:hAnsi="宋体" w:eastAsia="宋体" w:cs="宋体"/>
          <w:color w:val="auto"/>
          <w:kern w:val="0"/>
          <w:highlight w:val="none"/>
        </w:rPr>
        <w:t xml:space="preserve"> 本工程按照以下依据编制招标工程量清单</w:t>
      </w:r>
      <w:r>
        <w:rPr>
          <w:rFonts w:hint="eastAsia" w:ascii="宋体" w:hAnsi="宋体" w:eastAsia="宋体" w:cs="宋体"/>
          <w:snapToGrid w:val="0"/>
          <w:color w:val="auto"/>
          <w:kern w:val="0"/>
          <w:highlight w:val="none"/>
        </w:rPr>
        <w:t>（</w:t>
      </w:r>
      <w:r>
        <w:rPr>
          <w:rFonts w:hint="eastAsia" w:ascii="宋体" w:hAnsi="宋体" w:eastAsia="宋体" w:cs="宋体"/>
          <w:b/>
          <w:bCs/>
          <w:snapToGrid w:val="0"/>
          <w:color w:val="auto"/>
          <w:kern w:val="0"/>
          <w:highlight w:val="none"/>
        </w:rPr>
        <w:t>（完整）软件版</w:t>
      </w:r>
      <w:r>
        <w:rPr>
          <w:rFonts w:hint="eastAsia" w:ascii="宋体" w:hAnsi="宋体" w:eastAsia="宋体" w:cs="宋体"/>
          <w:snapToGrid w:val="0"/>
          <w:color w:val="auto"/>
          <w:kern w:val="0"/>
          <w:highlight w:val="none"/>
        </w:rPr>
        <w:t>）</w:t>
      </w:r>
      <w:r>
        <w:rPr>
          <w:rStyle w:val="22"/>
          <w:rFonts w:hint="eastAsia" w:ascii="宋体" w:hAnsi="宋体" w:eastAsia="宋体" w:cs="宋体"/>
          <w:color w:val="auto"/>
          <w:kern w:val="0"/>
          <w:highlight w:val="none"/>
        </w:rPr>
        <w:t>：</w:t>
      </w:r>
    </w:p>
    <w:p w14:paraId="7FD90ED3">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w:t>
      </w:r>
      <w:r>
        <w:rPr>
          <w:rFonts w:hint="eastAsia" w:hAnsi="宋体" w:cs="宋体"/>
          <w:color w:val="auto"/>
          <w:szCs w:val="24"/>
          <w:highlight w:val="none"/>
        </w:rPr>
        <w:t>《建设工程工程量清单计价标准》（GB/T 50500-2024）</w:t>
      </w:r>
      <w:r>
        <w:rPr>
          <w:rFonts w:hint="eastAsia" w:hAnsi="宋体" w:cs="宋体"/>
          <w:color w:val="auto"/>
          <w:szCs w:val="24"/>
          <w:highlight w:val="none"/>
          <w:lang w:eastAsia="zh-CN"/>
        </w:rPr>
        <w:t>、</w:t>
      </w:r>
      <w:r>
        <w:rPr>
          <w:rFonts w:hint="eastAsia" w:hAnsi="宋体" w:cs="宋体"/>
          <w:color w:val="auto"/>
          <w:szCs w:val="24"/>
          <w:highlight w:val="none"/>
        </w:rPr>
        <w:t>《房屋建筑与装饰工程工程量计算标准》（GB/T 50854-2024）《通用安装工程工程量计算标准》（GB/T 50856-2024）、《市政工程工程量计算标准》（GB/T 50857-2024）、《园林绿化工程工程量计算标准》（GB/T 50858-2024）</w:t>
      </w:r>
      <w:r>
        <w:rPr>
          <w:rFonts w:hint="eastAsia" w:hAnsi="宋体" w:cs="宋体"/>
          <w:color w:val="auto"/>
          <w:szCs w:val="24"/>
          <w:highlight w:val="none"/>
          <w:lang w:val="en-US" w:eastAsia="zh-CN"/>
        </w:rPr>
        <w:t>等；</w:t>
      </w:r>
    </w:p>
    <w:p w14:paraId="06BB79B8">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val="en-US" w:eastAsia="zh-CN"/>
        </w:rPr>
        <w:t>2</w:t>
      </w:r>
      <w:r>
        <w:rPr>
          <w:rStyle w:val="22"/>
          <w:rFonts w:hint="eastAsia" w:ascii="宋体" w:hAnsi="宋体" w:eastAsia="宋体" w:cs="宋体"/>
          <w:color w:val="auto"/>
          <w:kern w:val="0"/>
          <w:highlight w:val="none"/>
        </w:rPr>
        <w:t>）《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3650FF33">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val="en-US" w:eastAsia="zh-CN"/>
        </w:rPr>
        <w:t>3</w:t>
      </w:r>
      <w:r>
        <w:rPr>
          <w:rStyle w:val="22"/>
          <w:rFonts w:hint="eastAsia" w:ascii="宋体" w:hAnsi="宋体" w:eastAsia="宋体" w:cs="宋体"/>
          <w:color w:val="auto"/>
          <w:kern w:val="0"/>
          <w:highlight w:val="none"/>
        </w:rPr>
        <w:t>）施工图及相关资料；</w:t>
      </w:r>
    </w:p>
    <w:p w14:paraId="1C09D6E9">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val="en-US" w:eastAsia="zh-CN"/>
        </w:rPr>
        <w:t>4</w:t>
      </w:r>
      <w:r>
        <w:rPr>
          <w:rStyle w:val="22"/>
          <w:rFonts w:hint="eastAsia" w:ascii="宋体" w:hAnsi="宋体" w:eastAsia="宋体" w:cs="宋体"/>
          <w:color w:val="auto"/>
          <w:kern w:val="0"/>
          <w:highlight w:val="none"/>
        </w:rPr>
        <w:t>）招标文件；</w:t>
      </w:r>
    </w:p>
    <w:p w14:paraId="384E9AEB">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val="en-US" w:eastAsia="zh-CN"/>
        </w:rPr>
        <w:t>5</w:t>
      </w:r>
      <w:r>
        <w:rPr>
          <w:rStyle w:val="22"/>
          <w:rFonts w:hint="eastAsia" w:ascii="宋体" w:hAnsi="宋体" w:eastAsia="宋体" w:cs="宋体"/>
          <w:color w:val="auto"/>
          <w:kern w:val="0"/>
          <w:highlight w:val="none"/>
        </w:rPr>
        <w:t>）施工现场情况、地勘水文资料、工程特点及常规施工方案；</w:t>
      </w:r>
    </w:p>
    <w:p w14:paraId="4E50345E">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val="en-US" w:eastAsia="zh-CN"/>
        </w:rPr>
        <w:t>6</w:t>
      </w:r>
      <w:r>
        <w:rPr>
          <w:rStyle w:val="22"/>
          <w:rFonts w:hint="eastAsia" w:ascii="宋体" w:hAnsi="宋体" w:eastAsia="宋体" w:cs="宋体"/>
          <w:color w:val="auto"/>
          <w:kern w:val="0"/>
          <w:highlight w:val="none"/>
        </w:rPr>
        <w:t>）与建设工程有关的标准、规范、技术资料。</w:t>
      </w:r>
    </w:p>
    <w:p w14:paraId="2D446B26">
      <w:pPr>
        <w:snapToGrid w:val="0"/>
        <w:spacing w:line="440" w:lineRule="exact"/>
        <w:ind w:firstLine="480"/>
        <w:rPr>
          <w:rStyle w:val="22"/>
          <w:rFonts w:hint="eastAsia" w:ascii="宋体" w:hAnsi="宋体" w:eastAsia="宋体" w:cs="宋体"/>
          <w:color w:val="auto"/>
          <w:kern w:val="0"/>
          <w:highlight w:val="none"/>
        </w:rPr>
      </w:pPr>
    </w:p>
    <w:p w14:paraId="252D9B86">
      <w:pPr>
        <w:pStyle w:val="2"/>
        <w:rPr>
          <w:rFonts w:hint="eastAsia"/>
          <w:color w:val="auto"/>
          <w:highlight w:val="none"/>
        </w:rPr>
        <w:sectPr>
          <w:endnotePr>
            <w:numFmt w:val="decimal"/>
          </w:endnotePr>
          <w:pgSz w:w="11906" w:h="16838"/>
          <w:pgMar w:top="1701" w:right="1531" w:bottom="1417" w:left="1531" w:header="850" w:footer="992" w:gutter="0"/>
          <w:cols w:space="720" w:num="1"/>
          <w:docGrid w:linePitch="327" w:charSpace="0"/>
        </w:sectPr>
      </w:pPr>
    </w:p>
    <w:p w14:paraId="07F7E20E">
      <w:pPr>
        <w:snapToGrid w:val="0"/>
        <w:spacing w:line="440" w:lineRule="exact"/>
        <w:ind w:firstLine="480"/>
        <w:jc w:val="center"/>
        <w:outlineLvl w:val="0"/>
        <w:rPr>
          <w:rStyle w:val="22"/>
          <w:rFonts w:hint="eastAsia" w:ascii="宋体" w:hAnsi="宋体" w:eastAsia="宋体" w:cs="宋体"/>
          <w:b/>
          <w:bCs/>
          <w:color w:val="auto"/>
          <w:highlight w:val="none"/>
        </w:rPr>
      </w:pPr>
      <w:bookmarkStart w:id="365" w:name="_Toc5605"/>
      <w:bookmarkStart w:id="366" w:name="_Toc23933"/>
      <w:bookmarkStart w:id="367" w:name="_Toc27783"/>
      <w:bookmarkStart w:id="368" w:name="_Toc22611"/>
      <w:bookmarkStart w:id="369" w:name="_Toc23861"/>
      <w:bookmarkStart w:id="370" w:name="_Toc30375"/>
      <w:bookmarkStart w:id="371" w:name="_Toc20486"/>
      <w:bookmarkStart w:id="372" w:name="_Toc23235"/>
      <w:bookmarkStart w:id="373" w:name="_Toc11483"/>
      <w:bookmarkStart w:id="374" w:name="_Toc2024"/>
      <w:r>
        <w:rPr>
          <w:rStyle w:val="22"/>
          <w:rFonts w:hint="eastAsia" w:ascii="宋体" w:hAnsi="宋体" w:eastAsia="宋体" w:cs="宋体"/>
          <w:b/>
          <w:bCs/>
          <w:color w:val="auto"/>
          <w:highlight w:val="none"/>
        </w:rPr>
        <w:t>第六章 投标文件格式</w:t>
      </w:r>
      <w:bookmarkEnd w:id="365"/>
      <w:bookmarkEnd w:id="366"/>
      <w:bookmarkEnd w:id="367"/>
      <w:bookmarkEnd w:id="368"/>
      <w:bookmarkEnd w:id="369"/>
      <w:bookmarkEnd w:id="370"/>
      <w:bookmarkEnd w:id="371"/>
      <w:bookmarkEnd w:id="372"/>
      <w:bookmarkEnd w:id="373"/>
      <w:bookmarkEnd w:id="374"/>
    </w:p>
    <w:p w14:paraId="1BDA2CE8">
      <w:pPr>
        <w:pStyle w:val="50"/>
        <w:snapToGrid w:val="0"/>
        <w:spacing w:line="440" w:lineRule="exact"/>
        <w:ind w:firstLine="0"/>
        <w:outlineLvl w:val="1"/>
        <w:rPr>
          <w:rStyle w:val="22"/>
          <w:rFonts w:hint="eastAsia" w:ascii="宋体" w:hAnsi="宋体" w:eastAsia="宋体" w:cs="宋体"/>
          <w:b/>
          <w:bCs/>
          <w:color w:val="auto"/>
          <w:sz w:val="21"/>
          <w:szCs w:val="21"/>
          <w:highlight w:val="none"/>
        </w:rPr>
      </w:pPr>
    </w:p>
    <w:p w14:paraId="1BC4697F">
      <w:pPr>
        <w:pStyle w:val="49"/>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375" w:name="_Toc3825"/>
      <w:bookmarkStart w:id="376" w:name="_Toc22593"/>
      <w:bookmarkStart w:id="377" w:name="_Toc8025"/>
      <w:bookmarkStart w:id="378" w:name="_Toc319"/>
      <w:bookmarkStart w:id="379" w:name="_Toc27729"/>
      <w:bookmarkStart w:id="380" w:name="_Toc2924"/>
      <w:bookmarkStart w:id="381" w:name="_Toc16570"/>
      <w:bookmarkStart w:id="382" w:name="_Toc15531"/>
      <w:bookmarkStart w:id="383" w:name="_Toc26040"/>
      <w:bookmarkStart w:id="384" w:name="_Toc7724"/>
      <w:r>
        <w:rPr>
          <w:rStyle w:val="22"/>
          <w:rFonts w:hint="eastAsia" w:ascii="宋体" w:hAnsi="宋体" w:eastAsia="宋体" w:cs="宋体"/>
          <w:b/>
          <w:bCs/>
          <w:color w:val="auto"/>
          <w:sz w:val="21"/>
          <w:szCs w:val="21"/>
          <w:highlight w:val="none"/>
        </w:rPr>
        <w:t>格式一 封面</w:t>
      </w:r>
      <w:bookmarkEnd w:id="375"/>
      <w:bookmarkEnd w:id="376"/>
      <w:bookmarkEnd w:id="377"/>
      <w:bookmarkEnd w:id="378"/>
      <w:bookmarkEnd w:id="379"/>
      <w:bookmarkEnd w:id="380"/>
      <w:bookmarkEnd w:id="381"/>
      <w:bookmarkEnd w:id="382"/>
      <w:bookmarkEnd w:id="383"/>
      <w:bookmarkEnd w:id="384"/>
    </w:p>
    <w:p w14:paraId="0ABE4275">
      <w:pPr>
        <w:pStyle w:val="50"/>
        <w:snapToGrid w:val="0"/>
        <w:spacing w:line="240" w:lineRule="auto"/>
        <w:rPr>
          <w:rStyle w:val="22"/>
          <w:rFonts w:hint="eastAsia" w:ascii="宋体" w:hAnsi="宋体" w:eastAsia="宋体" w:cs="宋体"/>
          <w:b/>
          <w:bCs/>
          <w:color w:val="auto"/>
          <w:sz w:val="24"/>
          <w:szCs w:val="24"/>
          <w:highlight w:val="none"/>
        </w:rPr>
      </w:pPr>
    </w:p>
    <w:p w14:paraId="08DE6B08">
      <w:pPr>
        <w:pStyle w:val="50"/>
        <w:snapToGrid w:val="0"/>
        <w:spacing w:line="240" w:lineRule="auto"/>
        <w:rPr>
          <w:rStyle w:val="22"/>
          <w:rFonts w:hint="eastAsia" w:ascii="宋体" w:hAnsi="宋体" w:eastAsia="宋体" w:cs="宋体"/>
          <w:b/>
          <w:bCs/>
          <w:color w:val="auto"/>
          <w:sz w:val="24"/>
          <w:szCs w:val="24"/>
          <w:highlight w:val="none"/>
        </w:rPr>
      </w:pPr>
    </w:p>
    <w:p w14:paraId="41BFC79A">
      <w:pPr>
        <w:pStyle w:val="50"/>
        <w:snapToGrid w:val="0"/>
        <w:spacing w:line="240" w:lineRule="auto"/>
        <w:rPr>
          <w:rStyle w:val="22"/>
          <w:rFonts w:hint="eastAsia" w:ascii="宋体" w:hAnsi="宋体" w:eastAsia="宋体" w:cs="宋体"/>
          <w:b/>
          <w:bCs/>
          <w:color w:val="auto"/>
          <w:sz w:val="24"/>
          <w:szCs w:val="24"/>
          <w:highlight w:val="none"/>
        </w:rPr>
      </w:pPr>
    </w:p>
    <w:p w14:paraId="0B65B510">
      <w:pPr>
        <w:pStyle w:val="50"/>
        <w:snapToGrid w:val="0"/>
        <w:spacing w:line="240" w:lineRule="auto"/>
        <w:rPr>
          <w:rStyle w:val="22"/>
          <w:rFonts w:hint="eastAsia" w:ascii="宋体" w:hAnsi="宋体" w:eastAsia="宋体" w:cs="宋体"/>
          <w:b/>
          <w:bCs/>
          <w:color w:val="auto"/>
          <w:sz w:val="24"/>
          <w:szCs w:val="24"/>
          <w:highlight w:val="none"/>
        </w:rPr>
      </w:pPr>
      <w:r>
        <w:rPr>
          <w:rStyle w:val="22"/>
          <w:rFonts w:hint="eastAsia" w:ascii="宋体" w:hAnsi="宋体" w:eastAsia="宋体" w:cs="宋体"/>
          <w:b/>
          <w:bCs/>
          <w:color w:val="auto"/>
          <w:sz w:val="24"/>
          <w:szCs w:val="24"/>
          <w:highlight w:val="none"/>
        </w:rPr>
        <w:t xml:space="preserve">  </w:t>
      </w:r>
    </w:p>
    <w:p w14:paraId="58FC9D43">
      <w:pPr>
        <w:pStyle w:val="50"/>
        <w:snapToGrid w:val="0"/>
        <w:spacing w:line="240" w:lineRule="auto"/>
        <w:rPr>
          <w:rStyle w:val="22"/>
          <w:rFonts w:hint="eastAsia" w:ascii="宋体" w:hAnsi="宋体" w:eastAsia="宋体" w:cs="宋体"/>
          <w:b/>
          <w:bCs/>
          <w:color w:val="auto"/>
          <w:sz w:val="24"/>
          <w:szCs w:val="24"/>
          <w:highlight w:val="none"/>
        </w:rPr>
      </w:pPr>
    </w:p>
    <w:p w14:paraId="59F437A1">
      <w:pPr>
        <w:pStyle w:val="50"/>
        <w:snapToGrid w:val="0"/>
        <w:spacing w:line="240" w:lineRule="auto"/>
        <w:rPr>
          <w:rStyle w:val="22"/>
          <w:rFonts w:hint="eastAsia" w:ascii="宋体" w:hAnsi="宋体" w:eastAsia="宋体" w:cs="宋体"/>
          <w:b/>
          <w:bCs/>
          <w:color w:val="auto"/>
          <w:sz w:val="24"/>
          <w:szCs w:val="24"/>
          <w:highlight w:val="none"/>
        </w:rPr>
      </w:pPr>
    </w:p>
    <w:p w14:paraId="6201CAE8">
      <w:pPr>
        <w:pStyle w:val="50"/>
        <w:snapToGrid w:val="0"/>
        <w:spacing w:line="240" w:lineRule="auto"/>
        <w:rPr>
          <w:rStyle w:val="22"/>
          <w:rFonts w:hint="eastAsia" w:ascii="宋体" w:hAnsi="宋体" w:eastAsia="宋体" w:cs="宋体"/>
          <w:b/>
          <w:bCs/>
          <w:color w:val="auto"/>
          <w:sz w:val="24"/>
          <w:szCs w:val="24"/>
          <w:highlight w:val="none"/>
        </w:rPr>
      </w:pPr>
    </w:p>
    <w:p w14:paraId="2FD814CD">
      <w:pPr>
        <w:pStyle w:val="50"/>
        <w:snapToGrid w:val="0"/>
        <w:spacing w:line="240" w:lineRule="auto"/>
        <w:rPr>
          <w:rStyle w:val="22"/>
          <w:rFonts w:hint="eastAsia" w:ascii="宋体" w:hAnsi="宋体" w:eastAsia="宋体" w:cs="宋体"/>
          <w:b/>
          <w:bCs/>
          <w:color w:val="auto"/>
          <w:sz w:val="24"/>
          <w:szCs w:val="24"/>
          <w:highlight w:val="none"/>
        </w:rPr>
      </w:pPr>
    </w:p>
    <w:p w14:paraId="499643C6">
      <w:pPr>
        <w:pStyle w:val="50"/>
        <w:snapToGrid w:val="0"/>
        <w:spacing w:line="240" w:lineRule="auto"/>
        <w:rPr>
          <w:rStyle w:val="22"/>
          <w:rFonts w:hint="eastAsia" w:ascii="宋体" w:hAnsi="宋体" w:eastAsia="宋体" w:cs="宋体"/>
          <w:b/>
          <w:bCs/>
          <w:color w:val="auto"/>
          <w:sz w:val="24"/>
          <w:szCs w:val="24"/>
          <w:highlight w:val="none"/>
        </w:rPr>
      </w:pPr>
    </w:p>
    <w:p w14:paraId="31FE013B">
      <w:pPr>
        <w:pStyle w:val="50"/>
        <w:snapToGrid w:val="0"/>
        <w:spacing w:line="240" w:lineRule="auto"/>
        <w:rPr>
          <w:rStyle w:val="22"/>
          <w:rFonts w:hint="eastAsia" w:ascii="宋体" w:hAnsi="宋体" w:eastAsia="宋体" w:cs="宋体"/>
          <w:b/>
          <w:bCs/>
          <w:color w:val="auto"/>
          <w:sz w:val="24"/>
          <w:szCs w:val="24"/>
          <w:highlight w:val="none"/>
        </w:rPr>
      </w:pPr>
    </w:p>
    <w:p w14:paraId="7899841C">
      <w:pPr>
        <w:pStyle w:val="50"/>
        <w:snapToGrid w:val="0"/>
        <w:spacing w:line="240" w:lineRule="auto"/>
        <w:ind w:firstLine="0"/>
        <w:jc w:val="center"/>
        <w:rPr>
          <w:rStyle w:val="22"/>
          <w:rFonts w:hint="eastAsia" w:ascii="宋体" w:hAnsi="宋体" w:eastAsia="宋体" w:cs="宋体"/>
          <w:b/>
          <w:bCs/>
          <w:color w:val="auto"/>
          <w:sz w:val="48"/>
          <w:szCs w:val="48"/>
          <w:highlight w:val="none"/>
        </w:rPr>
      </w:pPr>
      <w:r>
        <w:rPr>
          <w:rStyle w:val="22"/>
          <w:rFonts w:hint="eastAsia" w:ascii="宋体" w:hAnsi="宋体" w:eastAsia="宋体" w:cs="宋体"/>
          <w:color w:val="auto"/>
          <w:sz w:val="48"/>
          <w:szCs w:val="48"/>
          <w:highlight w:val="none"/>
          <w:u w:val="single"/>
        </w:rPr>
        <w:t xml:space="preserve">             </w:t>
      </w:r>
      <w:bookmarkStart w:id="385" w:name="_Toc23835"/>
      <w:bookmarkStart w:id="386" w:name="_Toc30993"/>
      <w:bookmarkStart w:id="387" w:name="_Toc17128"/>
      <w:bookmarkStart w:id="388" w:name="_Toc21235"/>
      <w:r>
        <w:rPr>
          <w:rStyle w:val="22"/>
          <w:rFonts w:hint="eastAsia" w:ascii="宋体" w:hAnsi="宋体" w:eastAsia="宋体" w:cs="宋体"/>
          <w:b/>
          <w:bCs/>
          <w:color w:val="auto"/>
          <w:sz w:val="48"/>
          <w:szCs w:val="48"/>
          <w:highlight w:val="none"/>
        </w:rPr>
        <w:t>（工程名称）招标</w:t>
      </w:r>
      <w:bookmarkEnd w:id="385"/>
      <w:bookmarkEnd w:id="386"/>
      <w:bookmarkEnd w:id="387"/>
      <w:bookmarkEnd w:id="388"/>
      <w:r>
        <w:rPr>
          <w:rStyle w:val="22"/>
          <w:rFonts w:hint="eastAsia" w:ascii="宋体" w:hAnsi="宋体" w:eastAsia="宋体" w:cs="宋体"/>
          <w:b/>
          <w:bCs/>
          <w:color w:val="auto"/>
          <w:sz w:val="48"/>
          <w:szCs w:val="48"/>
          <w:highlight w:val="none"/>
        </w:rPr>
        <w:t xml:space="preserve"> </w:t>
      </w:r>
    </w:p>
    <w:p w14:paraId="0479DA1B">
      <w:pPr>
        <w:pStyle w:val="50"/>
        <w:snapToGrid w:val="0"/>
        <w:spacing w:line="240" w:lineRule="auto"/>
        <w:ind w:firstLine="0"/>
        <w:jc w:val="center"/>
        <w:rPr>
          <w:rStyle w:val="22"/>
          <w:rFonts w:hint="eastAsia" w:ascii="宋体" w:hAnsi="宋体" w:eastAsia="宋体" w:cs="宋体"/>
          <w:b/>
          <w:bCs/>
          <w:color w:val="auto"/>
          <w:sz w:val="32"/>
          <w:szCs w:val="32"/>
          <w:highlight w:val="none"/>
        </w:rPr>
      </w:pPr>
    </w:p>
    <w:p w14:paraId="6D01B693">
      <w:pPr>
        <w:pStyle w:val="50"/>
        <w:snapToGrid w:val="0"/>
        <w:spacing w:line="240" w:lineRule="auto"/>
        <w:ind w:firstLine="0"/>
        <w:jc w:val="center"/>
        <w:rPr>
          <w:rStyle w:val="22"/>
          <w:rFonts w:hint="eastAsia" w:ascii="宋体" w:hAnsi="宋体" w:eastAsia="宋体" w:cs="宋体"/>
          <w:b/>
          <w:bCs/>
          <w:color w:val="auto"/>
          <w:sz w:val="72"/>
          <w:szCs w:val="72"/>
          <w:highlight w:val="none"/>
        </w:rPr>
      </w:pPr>
      <w:r>
        <w:rPr>
          <w:rStyle w:val="22"/>
          <w:rFonts w:hint="eastAsia" w:ascii="宋体" w:hAnsi="宋体" w:eastAsia="宋体" w:cs="宋体"/>
          <w:b/>
          <w:bCs/>
          <w:color w:val="auto"/>
          <w:sz w:val="72"/>
          <w:szCs w:val="72"/>
          <w:highlight w:val="none"/>
        </w:rPr>
        <w:t>投  标  文  件</w:t>
      </w:r>
    </w:p>
    <w:p w14:paraId="1494BCC7">
      <w:pPr>
        <w:pStyle w:val="50"/>
        <w:snapToGrid w:val="0"/>
        <w:spacing w:line="240" w:lineRule="auto"/>
        <w:ind w:firstLine="0"/>
        <w:jc w:val="center"/>
        <w:rPr>
          <w:rStyle w:val="22"/>
          <w:rFonts w:hint="eastAsia" w:ascii="宋体" w:hAnsi="宋体" w:eastAsia="宋体" w:cs="宋体"/>
          <w:b/>
          <w:bCs/>
          <w:color w:val="auto"/>
          <w:sz w:val="32"/>
          <w:szCs w:val="32"/>
          <w:highlight w:val="none"/>
        </w:rPr>
      </w:pPr>
    </w:p>
    <w:p w14:paraId="33B796B3">
      <w:pPr>
        <w:pStyle w:val="50"/>
        <w:snapToGrid w:val="0"/>
        <w:spacing w:line="240" w:lineRule="auto"/>
        <w:ind w:firstLine="0"/>
        <w:jc w:val="center"/>
        <w:rPr>
          <w:rStyle w:val="22"/>
          <w:rFonts w:hint="eastAsia" w:ascii="宋体" w:hAnsi="宋体" w:eastAsia="宋体" w:cs="宋体"/>
          <w:b/>
          <w:bCs/>
          <w:color w:val="auto"/>
          <w:sz w:val="40"/>
          <w:szCs w:val="40"/>
          <w:highlight w:val="none"/>
        </w:rPr>
      </w:pPr>
      <w:bookmarkStart w:id="389" w:name="_Toc23170"/>
      <w:bookmarkStart w:id="390" w:name="_Toc25717"/>
      <w:bookmarkStart w:id="391" w:name="_Toc10939"/>
      <w:bookmarkStart w:id="392" w:name="_Toc14202"/>
      <w:r>
        <w:rPr>
          <w:rStyle w:val="22"/>
          <w:rFonts w:hint="eastAsia" w:ascii="宋体" w:hAnsi="宋体" w:eastAsia="宋体" w:cs="宋体"/>
          <w:b/>
          <w:bCs/>
          <w:color w:val="auto"/>
          <w:sz w:val="40"/>
          <w:szCs w:val="40"/>
          <w:highlight w:val="none"/>
        </w:rPr>
        <w:t>（商务标书／经济标书／施工组织设计）</w:t>
      </w:r>
      <w:bookmarkEnd w:id="389"/>
      <w:bookmarkEnd w:id="390"/>
      <w:bookmarkEnd w:id="391"/>
      <w:bookmarkEnd w:id="392"/>
    </w:p>
    <w:p w14:paraId="0F1AA36B">
      <w:pPr>
        <w:pStyle w:val="50"/>
        <w:snapToGrid w:val="0"/>
        <w:spacing w:line="240" w:lineRule="auto"/>
        <w:rPr>
          <w:rStyle w:val="22"/>
          <w:rFonts w:hint="eastAsia" w:ascii="宋体" w:hAnsi="宋体" w:eastAsia="宋体" w:cs="宋体"/>
          <w:b/>
          <w:bCs/>
          <w:color w:val="auto"/>
          <w:highlight w:val="none"/>
        </w:rPr>
      </w:pPr>
    </w:p>
    <w:p w14:paraId="498AF04C">
      <w:pPr>
        <w:pStyle w:val="50"/>
        <w:snapToGrid w:val="0"/>
        <w:spacing w:line="240" w:lineRule="auto"/>
        <w:rPr>
          <w:rStyle w:val="22"/>
          <w:rFonts w:hint="eastAsia" w:ascii="宋体" w:hAnsi="宋体" w:eastAsia="宋体" w:cs="宋体"/>
          <w:b/>
          <w:bCs/>
          <w:color w:val="auto"/>
          <w:sz w:val="32"/>
          <w:szCs w:val="32"/>
          <w:highlight w:val="none"/>
        </w:rPr>
      </w:pPr>
    </w:p>
    <w:p w14:paraId="65ED19CD">
      <w:pPr>
        <w:pStyle w:val="50"/>
        <w:snapToGrid w:val="0"/>
        <w:spacing w:line="240" w:lineRule="auto"/>
        <w:rPr>
          <w:rStyle w:val="22"/>
          <w:rFonts w:hint="eastAsia" w:ascii="宋体" w:hAnsi="宋体" w:eastAsia="宋体" w:cs="宋体"/>
          <w:b/>
          <w:bCs/>
          <w:color w:val="auto"/>
          <w:sz w:val="32"/>
          <w:szCs w:val="32"/>
          <w:highlight w:val="none"/>
        </w:rPr>
      </w:pPr>
    </w:p>
    <w:p w14:paraId="01F0850F">
      <w:pPr>
        <w:pStyle w:val="50"/>
        <w:snapToGrid w:val="0"/>
        <w:spacing w:line="240" w:lineRule="auto"/>
        <w:rPr>
          <w:rStyle w:val="22"/>
          <w:rFonts w:hint="eastAsia" w:ascii="宋体" w:hAnsi="宋体" w:eastAsia="宋体" w:cs="宋体"/>
          <w:b/>
          <w:bCs/>
          <w:color w:val="auto"/>
          <w:sz w:val="32"/>
          <w:szCs w:val="32"/>
          <w:highlight w:val="none"/>
        </w:rPr>
      </w:pPr>
    </w:p>
    <w:p w14:paraId="0B91F785">
      <w:pPr>
        <w:pStyle w:val="50"/>
        <w:snapToGrid w:val="0"/>
        <w:spacing w:line="240" w:lineRule="auto"/>
        <w:rPr>
          <w:rStyle w:val="22"/>
          <w:rFonts w:hint="eastAsia" w:ascii="宋体" w:hAnsi="宋体" w:eastAsia="宋体" w:cs="宋体"/>
          <w:b/>
          <w:bCs/>
          <w:color w:val="auto"/>
          <w:sz w:val="32"/>
          <w:szCs w:val="32"/>
          <w:highlight w:val="none"/>
        </w:rPr>
      </w:pPr>
    </w:p>
    <w:p w14:paraId="4A87DD40">
      <w:pPr>
        <w:pStyle w:val="50"/>
        <w:snapToGrid w:val="0"/>
        <w:spacing w:line="240" w:lineRule="auto"/>
        <w:rPr>
          <w:rStyle w:val="22"/>
          <w:rFonts w:hint="eastAsia" w:ascii="宋体" w:hAnsi="宋体" w:eastAsia="宋体" w:cs="宋体"/>
          <w:b/>
          <w:bCs/>
          <w:color w:val="auto"/>
          <w:sz w:val="32"/>
          <w:szCs w:val="32"/>
          <w:highlight w:val="none"/>
        </w:rPr>
      </w:pPr>
    </w:p>
    <w:p w14:paraId="7E9D6161">
      <w:pPr>
        <w:pStyle w:val="50"/>
        <w:snapToGrid w:val="0"/>
        <w:spacing w:line="240" w:lineRule="auto"/>
        <w:rPr>
          <w:rStyle w:val="22"/>
          <w:rFonts w:hint="eastAsia" w:ascii="宋体" w:hAnsi="宋体" w:eastAsia="宋体" w:cs="宋体"/>
          <w:b/>
          <w:bCs/>
          <w:color w:val="auto"/>
          <w:sz w:val="32"/>
          <w:szCs w:val="32"/>
          <w:highlight w:val="none"/>
        </w:rPr>
      </w:pPr>
    </w:p>
    <w:p w14:paraId="2A8A4DAE">
      <w:pPr>
        <w:pStyle w:val="50"/>
        <w:snapToGrid w:val="0"/>
        <w:spacing w:line="240" w:lineRule="auto"/>
        <w:ind w:firstLine="0"/>
        <w:jc w:val="center"/>
        <w:rPr>
          <w:rStyle w:val="22"/>
          <w:rFonts w:hint="eastAsia" w:ascii="宋体" w:hAnsi="宋体" w:eastAsia="宋体" w:cs="宋体"/>
          <w:color w:val="auto"/>
          <w:sz w:val="32"/>
          <w:szCs w:val="32"/>
          <w:highlight w:val="none"/>
        </w:rPr>
      </w:pPr>
      <w:bookmarkStart w:id="393" w:name="_Toc11118"/>
      <w:bookmarkStart w:id="394" w:name="_Toc753"/>
      <w:bookmarkStart w:id="395" w:name="_Toc8126"/>
      <w:bookmarkStart w:id="396" w:name="_Toc18522"/>
      <w:r>
        <w:rPr>
          <w:rStyle w:val="22"/>
          <w:rFonts w:hint="eastAsia" w:ascii="宋体" w:hAnsi="宋体" w:eastAsia="宋体" w:cs="宋体"/>
          <w:color w:val="auto"/>
          <w:sz w:val="32"/>
          <w:szCs w:val="32"/>
          <w:highlight w:val="none"/>
        </w:rPr>
        <w:t>投标人：</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（盖单位章）</w:t>
      </w:r>
      <w:bookmarkEnd w:id="393"/>
      <w:bookmarkEnd w:id="394"/>
      <w:bookmarkEnd w:id="395"/>
      <w:bookmarkEnd w:id="396"/>
    </w:p>
    <w:p w14:paraId="38E693B7">
      <w:pPr>
        <w:pStyle w:val="50"/>
        <w:snapToGrid w:val="0"/>
        <w:spacing w:line="240" w:lineRule="auto"/>
        <w:ind w:firstLine="0"/>
        <w:jc w:val="center"/>
        <w:rPr>
          <w:rStyle w:val="22"/>
          <w:rFonts w:hint="eastAsia" w:ascii="宋体" w:hAnsi="宋体" w:eastAsia="宋体" w:cs="宋体"/>
          <w:color w:val="auto"/>
          <w:sz w:val="32"/>
          <w:szCs w:val="32"/>
          <w:highlight w:val="none"/>
        </w:rPr>
      </w:pPr>
    </w:p>
    <w:p w14:paraId="2F278955">
      <w:pPr>
        <w:pStyle w:val="50"/>
        <w:snapToGrid w:val="0"/>
        <w:spacing w:line="240" w:lineRule="auto"/>
        <w:ind w:firstLine="0"/>
        <w:jc w:val="center"/>
        <w:rPr>
          <w:rStyle w:val="22"/>
          <w:rFonts w:hint="eastAsia" w:ascii="宋体" w:hAnsi="宋体" w:eastAsia="宋体" w:cs="宋体"/>
          <w:color w:val="auto"/>
          <w:sz w:val="32"/>
          <w:szCs w:val="32"/>
          <w:highlight w:val="none"/>
        </w:rPr>
      </w:pPr>
    </w:p>
    <w:p w14:paraId="4EF0576F">
      <w:pPr>
        <w:pStyle w:val="50"/>
        <w:snapToGrid w:val="0"/>
        <w:spacing w:line="240" w:lineRule="auto"/>
        <w:ind w:firstLine="0"/>
        <w:jc w:val="center"/>
        <w:rPr>
          <w:rStyle w:val="22"/>
          <w:rFonts w:hint="eastAsia" w:ascii="宋体" w:hAnsi="宋体" w:eastAsia="宋体" w:cs="宋体"/>
          <w:color w:val="auto"/>
          <w:sz w:val="32"/>
          <w:szCs w:val="32"/>
          <w:highlight w:val="none"/>
        </w:rPr>
      </w:pPr>
    </w:p>
    <w:p w14:paraId="654C220D">
      <w:pPr>
        <w:pStyle w:val="50"/>
        <w:snapToGrid w:val="0"/>
        <w:spacing w:line="240" w:lineRule="auto"/>
        <w:ind w:firstLine="0"/>
        <w:jc w:val="center"/>
        <w:rPr>
          <w:rStyle w:val="22"/>
          <w:rFonts w:hint="eastAsia" w:ascii="宋体" w:hAnsi="宋体" w:eastAsia="宋体" w:cs="宋体"/>
          <w:color w:val="auto"/>
          <w:sz w:val="32"/>
          <w:szCs w:val="32"/>
          <w:highlight w:val="none"/>
        </w:rPr>
      </w:pPr>
      <w:bookmarkStart w:id="397" w:name="_Toc12062"/>
      <w:bookmarkStart w:id="398" w:name="_Toc19176"/>
      <w:bookmarkStart w:id="399" w:name="_Toc28339"/>
      <w:bookmarkStart w:id="400" w:name="_Toc501"/>
      <w:r>
        <w:rPr>
          <w:rStyle w:val="22"/>
          <w:rFonts w:hint="eastAsia" w:ascii="宋体" w:hAnsi="宋体" w:eastAsia="宋体" w:cs="宋体"/>
          <w:color w:val="auto"/>
          <w:sz w:val="32"/>
          <w:szCs w:val="32"/>
          <w:highlight w:val="none"/>
        </w:rPr>
        <w:t>法定代表人或其委托代理人：</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（签字或盖章）</w:t>
      </w:r>
      <w:bookmarkEnd w:id="397"/>
      <w:bookmarkEnd w:id="398"/>
      <w:bookmarkEnd w:id="399"/>
      <w:bookmarkEnd w:id="400"/>
    </w:p>
    <w:p w14:paraId="7A7DD8C2">
      <w:pPr>
        <w:pStyle w:val="50"/>
        <w:snapToGrid w:val="0"/>
        <w:spacing w:line="240" w:lineRule="auto"/>
        <w:ind w:firstLine="0"/>
        <w:jc w:val="center"/>
        <w:rPr>
          <w:rStyle w:val="22"/>
          <w:rFonts w:hint="eastAsia" w:ascii="宋体" w:hAnsi="宋体" w:eastAsia="宋体" w:cs="宋体"/>
          <w:color w:val="auto"/>
          <w:sz w:val="32"/>
          <w:szCs w:val="32"/>
          <w:highlight w:val="none"/>
        </w:rPr>
      </w:pPr>
    </w:p>
    <w:p w14:paraId="7978A33A">
      <w:pPr>
        <w:pStyle w:val="50"/>
        <w:snapToGrid w:val="0"/>
        <w:spacing w:line="240" w:lineRule="auto"/>
        <w:ind w:firstLine="0"/>
        <w:jc w:val="center"/>
        <w:rPr>
          <w:rStyle w:val="22"/>
          <w:rFonts w:hint="eastAsia" w:ascii="宋体" w:hAnsi="宋体" w:eastAsia="宋体" w:cs="宋体"/>
          <w:color w:val="auto"/>
          <w:sz w:val="32"/>
          <w:szCs w:val="32"/>
          <w:highlight w:val="none"/>
          <w:u w:val="single"/>
        </w:rPr>
      </w:pPr>
    </w:p>
    <w:p w14:paraId="1135080E">
      <w:pPr>
        <w:pStyle w:val="50"/>
        <w:snapToGrid w:val="0"/>
        <w:spacing w:line="240" w:lineRule="auto"/>
        <w:ind w:firstLine="0"/>
        <w:jc w:val="center"/>
        <w:rPr>
          <w:rStyle w:val="22"/>
          <w:rFonts w:hint="eastAsia" w:ascii="宋体" w:hAnsi="宋体" w:eastAsia="宋体" w:cs="宋体"/>
          <w:b/>
          <w:bCs/>
          <w:color w:val="auto"/>
          <w:highlight w:val="none"/>
        </w:rPr>
      </w:pPr>
      <w:r>
        <w:rPr>
          <w:rStyle w:val="22"/>
          <w:rFonts w:hint="eastAsia" w:ascii="宋体" w:hAnsi="宋体" w:eastAsia="宋体" w:cs="宋体"/>
          <w:color w:val="auto"/>
          <w:sz w:val="32"/>
          <w:szCs w:val="32"/>
          <w:highlight w:val="none"/>
          <w:u w:val="single"/>
        </w:rPr>
        <w:t xml:space="preserve">         </w:t>
      </w:r>
      <w:bookmarkStart w:id="401" w:name="_Toc19304"/>
      <w:bookmarkStart w:id="402" w:name="_Toc24812"/>
      <w:bookmarkStart w:id="403" w:name="_Toc23099"/>
      <w:bookmarkStart w:id="404" w:name="_Toc29803"/>
      <w:bookmarkStart w:id="405" w:name="_Toc27315"/>
      <w:r>
        <w:rPr>
          <w:rStyle w:val="22"/>
          <w:rFonts w:hint="eastAsia" w:ascii="宋体" w:hAnsi="宋体" w:eastAsia="宋体" w:cs="宋体"/>
          <w:color w:val="auto"/>
          <w:sz w:val="32"/>
          <w:szCs w:val="32"/>
          <w:highlight w:val="none"/>
        </w:rPr>
        <w:t>年</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月</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日</w:t>
      </w:r>
      <w:bookmarkEnd w:id="401"/>
      <w:bookmarkEnd w:id="402"/>
      <w:bookmarkEnd w:id="403"/>
      <w:bookmarkEnd w:id="404"/>
      <w:bookmarkEnd w:id="405"/>
    </w:p>
    <w:p w14:paraId="0B042A2D">
      <w:pPr>
        <w:pStyle w:val="49"/>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06" w:name="_Toc5509"/>
      <w:bookmarkStart w:id="407" w:name="_Toc27916"/>
      <w:bookmarkStart w:id="408" w:name="_Toc28278"/>
      <w:bookmarkStart w:id="409" w:name="_Toc28797"/>
      <w:bookmarkStart w:id="410" w:name="_Toc32654"/>
      <w:bookmarkStart w:id="411" w:name="_Toc5547"/>
      <w:bookmarkStart w:id="412" w:name="_Toc30213"/>
      <w:bookmarkStart w:id="413" w:name="_Toc23624"/>
      <w:bookmarkStart w:id="414" w:name="_Toc30854"/>
      <w:bookmarkStart w:id="415" w:name="_Toc15168"/>
      <w:r>
        <w:rPr>
          <w:rStyle w:val="22"/>
          <w:rFonts w:hint="eastAsia" w:ascii="宋体" w:hAnsi="宋体" w:eastAsia="宋体" w:cs="宋体"/>
          <w:b/>
          <w:bCs/>
          <w:color w:val="auto"/>
          <w:sz w:val="21"/>
          <w:szCs w:val="21"/>
          <w:highlight w:val="none"/>
        </w:rPr>
        <w:t>格式二 投标函</w:t>
      </w:r>
      <w:bookmarkEnd w:id="406"/>
      <w:bookmarkEnd w:id="407"/>
      <w:bookmarkEnd w:id="408"/>
      <w:bookmarkEnd w:id="409"/>
      <w:bookmarkEnd w:id="410"/>
      <w:bookmarkEnd w:id="411"/>
      <w:bookmarkEnd w:id="412"/>
      <w:bookmarkEnd w:id="413"/>
      <w:bookmarkEnd w:id="414"/>
      <w:bookmarkEnd w:id="415"/>
    </w:p>
    <w:p w14:paraId="19B30119">
      <w:pPr>
        <w:pStyle w:val="48"/>
        <w:snapToGrid w:val="0"/>
        <w:spacing w:before="260" w:after="260" w:line="440" w:lineRule="exact"/>
        <w:ind w:firstLine="0"/>
        <w:rPr>
          <w:rStyle w:val="22"/>
          <w:rFonts w:hint="eastAsia" w:ascii="宋体" w:hAnsi="宋体" w:eastAsia="宋体" w:cs="宋体"/>
          <w:b/>
          <w:bCs/>
          <w:color w:val="auto"/>
          <w:highlight w:val="none"/>
        </w:rPr>
      </w:pPr>
      <w:r>
        <w:rPr>
          <w:rStyle w:val="22"/>
          <w:rFonts w:hint="eastAsia" w:ascii="宋体" w:hAnsi="宋体" w:eastAsia="宋体" w:cs="宋体"/>
          <w:b/>
          <w:bCs/>
          <w:color w:val="auto"/>
          <w:sz w:val="30"/>
          <w:szCs w:val="30"/>
          <w:highlight w:val="none"/>
        </w:rPr>
        <w:t>投  标  函</w:t>
      </w:r>
    </w:p>
    <w:p w14:paraId="17858A1E">
      <w:pPr>
        <w:snapToGrid w:val="0"/>
        <w:spacing w:line="440" w:lineRule="exact"/>
        <w:jc w:val="center"/>
        <w:rPr>
          <w:rStyle w:val="22"/>
          <w:rFonts w:hint="eastAsia" w:ascii="宋体" w:hAnsi="宋体" w:eastAsia="宋体" w:cs="宋体"/>
          <w:b/>
          <w:bCs/>
          <w:color w:val="auto"/>
          <w:kern w:val="0"/>
          <w:highlight w:val="none"/>
        </w:rPr>
      </w:pPr>
    </w:p>
    <w:p w14:paraId="6908F5FF">
      <w:pPr>
        <w:snapToGrid w:val="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（招标人名称）</w:t>
      </w:r>
    </w:p>
    <w:p w14:paraId="2C3F6224">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 我方考察现场并充分研究</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（工程名称）（以下简称“本工程”）招标文件所有内容后，结合自身资质、能力和特点，愿意接受招标文件的全部内容和条件，兹以人民币（大写）：</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）的投标总价竞投本工程施工。</w:t>
      </w:r>
    </w:p>
    <w:p w14:paraId="7B22CF30">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在我方的上述投标总价中，包括：</w:t>
      </w:r>
      <w:r>
        <w:rPr>
          <w:rStyle w:val="22"/>
          <w:rFonts w:hint="eastAsia" w:hAnsi="宋体" w:cs="宋体"/>
          <w:color w:val="auto"/>
          <w:kern w:val="0"/>
          <w:highlight w:val="none"/>
          <w:lang w:eastAsia="zh-CN"/>
        </w:rPr>
        <w:t>安全生产措施费</w:t>
      </w:r>
      <w:r>
        <w:rPr>
          <w:rStyle w:val="22"/>
          <w:rFonts w:hint="eastAsia" w:ascii="宋体" w:hAnsi="宋体" w:eastAsia="宋体" w:cs="宋体"/>
          <w:color w:val="auto"/>
          <w:kern w:val="0"/>
          <w:highlight w:val="none"/>
        </w:rPr>
        <w:t>¥</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，暂列金额¥</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val="en-US" w:eastAsia="zh-CN"/>
        </w:rPr>
        <w:t>专业工程</w:t>
      </w:r>
      <w:r>
        <w:rPr>
          <w:rStyle w:val="22"/>
          <w:rFonts w:hint="eastAsia" w:ascii="宋体" w:hAnsi="宋体" w:eastAsia="宋体" w:cs="宋体"/>
          <w:color w:val="auto"/>
          <w:kern w:val="0"/>
          <w:highlight w:val="none"/>
        </w:rPr>
        <w:t>暂估价¥</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w:t>
      </w:r>
    </w:p>
    <w:p w14:paraId="35106733">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2.如果我方中标，我方保证按照合同约定的开工日期开始本工程的施工，</w:t>
      </w:r>
      <w:r>
        <w:rPr>
          <w:rStyle w:val="22"/>
          <w:rFonts w:hint="eastAsia" w:ascii="宋体" w:hAnsi="宋体" w:eastAsia="宋体" w:cs="宋体"/>
          <w:color w:val="auto"/>
          <w:kern w:val="0"/>
          <w:highlight w:val="none"/>
          <w:u w:val="single"/>
        </w:rPr>
        <w:t xml:space="preserve">  </w:t>
      </w:r>
      <w:r>
        <w:rPr>
          <w:rStyle w:val="22"/>
          <w:rFonts w:hint="eastAsia" w:hAnsi="宋体" w:cs="宋体"/>
          <w:color w:val="auto"/>
          <w:kern w:val="0"/>
          <w:highlight w:val="none"/>
          <w:u w:val="single"/>
          <w:lang w:val="en-US" w:eastAsia="zh-CN"/>
        </w:rPr>
        <w:t xml:space="preserve">  </w:t>
      </w:r>
      <w:r>
        <w:rPr>
          <w:rStyle w:val="22"/>
          <w:rFonts w:hint="eastAsia" w:ascii="宋体" w:hAnsi="宋体" w:eastAsia="宋体" w:cs="宋体"/>
          <w:color w:val="auto"/>
          <w:kern w:val="0"/>
          <w:highlight w:val="none"/>
        </w:rPr>
        <w:t>个日历天内竣工，并确保工程质量达到</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标准和维修其中的任何缺陷。</w:t>
      </w:r>
    </w:p>
    <w:p w14:paraId="5041617E">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3.本投标函在你方接收我方递交的投标文件之日起、到招标文件规定的投标有效期期满前对我方具有约束力。我方随时准备接受你方发出的中标通知书。</w:t>
      </w:r>
    </w:p>
    <w:p w14:paraId="4725AD3E">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4．我方在此声明，我方不存在本工程招标文件第一章第三节第</w:t>
      </w:r>
      <w:r>
        <w:rPr>
          <w:rStyle w:val="22"/>
          <w:rFonts w:hint="eastAsia" w:ascii="宋体" w:hAnsi="宋体" w:eastAsia="宋体" w:cs="宋体"/>
          <w:b/>
          <w:bCs/>
          <w:color w:val="auto"/>
          <w:kern w:val="0"/>
          <w:highlight w:val="none"/>
        </w:rPr>
        <w:t>2.4</w:t>
      </w:r>
      <w:r>
        <w:rPr>
          <w:rStyle w:val="22"/>
          <w:rFonts w:hint="eastAsia" w:ascii="宋体" w:hAnsi="宋体" w:eastAsia="宋体" w:cs="宋体"/>
          <w:color w:val="auto"/>
          <w:kern w:val="0"/>
          <w:highlight w:val="none"/>
        </w:rPr>
        <w:t>条“禁止投标条款”所列出的任何一种情形，并愿意承担因我方就此弄虚作假所引起的一切法律后果。</w:t>
      </w:r>
    </w:p>
    <w:p w14:paraId="7F4F7FA4">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5．我方在此承诺，所递交投标文件的全部内容均为真实、有效、准确的，并愿意承担因我方就此弄虚作假所引起的一切法律后果，同时理解和同意有可能被要求提供更多的资料。</w:t>
      </w:r>
    </w:p>
    <w:p w14:paraId="7E37E70E">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6. 我方理解你方不一定要接纳收到的最低投标总价或任何投标总价的投标人中标，也不要求你方解释我方是否中标的原因。</w:t>
      </w:r>
    </w:p>
    <w:p w14:paraId="330403FB">
      <w:pPr>
        <w:snapToGrid w:val="0"/>
        <w:spacing w:line="440" w:lineRule="exact"/>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p>
    <w:p w14:paraId="548F5F22">
      <w:pPr>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投标人：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（盖单位章）</w:t>
      </w:r>
    </w:p>
    <w:p w14:paraId="1746E02F">
      <w:pPr>
        <w:snapToGrid w:val="0"/>
        <w:spacing w:line="440" w:lineRule="exact"/>
        <w:jc w:val="right"/>
        <w:rPr>
          <w:rStyle w:val="22"/>
          <w:rFonts w:hint="eastAsia" w:ascii="宋体" w:hAnsi="宋体" w:eastAsia="宋体" w:cs="宋体"/>
          <w:color w:val="auto"/>
          <w:kern w:val="0"/>
          <w:highlight w:val="none"/>
        </w:rPr>
      </w:pPr>
    </w:p>
    <w:p w14:paraId="405707D9">
      <w:pPr>
        <w:snapToGrid w:val="0"/>
        <w:spacing w:line="440" w:lineRule="exact"/>
        <w:ind w:firstLine="480" w:firstLineChars="200"/>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法定代表人或其委托代理人：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（签字或盖章）</w:t>
      </w:r>
    </w:p>
    <w:p w14:paraId="1CC3F73E">
      <w:pPr>
        <w:snapToGrid w:val="0"/>
        <w:spacing w:line="440" w:lineRule="exact"/>
        <w:ind w:firstLine="480" w:firstLineChars="200"/>
        <w:jc w:val="right"/>
        <w:rPr>
          <w:rStyle w:val="22"/>
          <w:rFonts w:hint="eastAsia" w:ascii="宋体" w:hAnsi="宋体" w:eastAsia="宋体" w:cs="宋体"/>
          <w:color w:val="auto"/>
          <w:kern w:val="0"/>
          <w:highlight w:val="none"/>
        </w:rPr>
      </w:pPr>
    </w:p>
    <w:p w14:paraId="13D769F1">
      <w:pPr>
        <w:snapToGrid w:val="0"/>
        <w:spacing w:line="440" w:lineRule="exact"/>
        <w:jc w:val="left"/>
        <w:rPr>
          <w:rStyle w:val="22"/>
          <w:rFonts w:hint="eastAsia" w:ascii="宋体" w:hAnsi="宋体" w:eastAsia="宋体" w:cs="宋体"/>
          <w:color w:val="auto"/>
          <w:kern w:val="0"/>
          <w:highlight w:val="none"/>
        </w:rPr>
        <w:sectPr>
          <w:endnotePr>
            <w:numFmt w:val="decimal"/>
          </w:endnotePr>
          <w:pgSz w:w="11906" w:h="16838"/>
          <w:pgMar w:top="1701" w:right="1531" w:bottom="1417" w:left="1531" w:header="850" w:footer="992" w:gutter="0"/>
          <w:cols w:space="720" w:num="1"/>
          <w:docGrid w:linePitch="327" w:charSpace="0"/>
        </w:sect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日</w:t>
      </w:r>
    </w:p>
    <w:p w14:paraId="02A4EF1B">
      <w:pPr>
        <w:pStyle w:val="52"/>
        <w:rPr>
          <w:rFonts w:hint="eastAsia" w:ascii="宋体" w:hAnsi="宋体" w:eastAsia="宋体" w:cs="宋体"/>
          <w:color w:val="auto"/>
          <w:sz w:val="21"/>
          <w:szCs w:val="21"/>
          <w:highlight w:val="none"/>
        </w:rPr>
      </w:pPr>
      <w:bookmarkStart w:id="416" w:name="_Toc1615"/>
      <w:bookmarkStart w:id="417" w:name="_Toc4917"/>
      <w:bookmarkStart w:id="418" w:name="_Toc14714"/>
      <w:bookmarkStart w:id="419" w:name="_Toc5519"/>
      <w:bookmarkStart w:id="420" w:name="_Toc32320"/>
      <w:bookmarkStart w:id="421" w:name="_Toc4375"/>
      <w:bookmarkStart w:id="422" w:name="_Toc5017"/>
      <w:bookmarkStart w:id="423" w:name="_Toc13340"/>
      <w:bookmarkStart w:id="424" w:name="_Toc23704"/>
      <w:bookmarkStart w:id="425" w:name="_Toc7329"/>
      <w:bookmarkStart w:id="426" w:name="_Toc21578"/>
      <w:r>
        <w:rPr>
          <w:rFonts w:hint="eastAsia" w:ascii="宋体" w:hAnsi="宋体" w:eastAsia="宋体" w:cs="宋体"/>
          <w:color w:val="auto"/>
          <w:sz w:val="21"/>
          <w:szCs w:val="21"/>
          <w:highlight w:val="none"/>
        </w:rPr>
        <w:t>格式三 各项承诺一览表</w:t>
      </w:r>
      <w:bookmarkEnd w:id="416"/>
      <w:bookmarkEnd w:id="417"/>
      <w:bookmarkEnd w:id="418"/>
      <w:bookmarkEnd w:id="419"/>
      <w:bookmarkEnd w:id="420"/>
      <w:bookmarkEnd w:id="421"/>
      <w:bookmarkEnd w:id="422"/>
    </w:p>
    <w:p w14:paraId="2E6E431A">
      <w:pPr>
        <w:pStyle w:val="45"/>
        <w:widowControl w:val="0"/>
        <w:wordWrap w:val="0"/>
        <w:adjustRightInd w:val="0"/>
        <w:snapToGrid w:val="0"/>
        <w:spacing w:before="240" w:after="240" w:line="440" w:lineRule="exact"/>
        <w:ind w:firstLine="0"/>
        <w:jc w:val="center"/>
        <w:rPr>
          <w:rFonts w:hint="eastAsia" w:ascii="宋体" w:hAnsi="宋体" w:eastAsia="宋体" w:cs="宋体"/>
          <w:b/>
          <w:snapToGrid w:val="0"/>
          <w:color w:val="auto"/>
          <w:sz w:val="30"/>
          <w:highlight w:val="none"/>
        </w:rPr>
      </w:pPr>
      <w:bookmarkStart w:id="427" w:name="_Toc14261300"/>
      <w:r>
        <w:rPr>
          <w:rFonts w:hint="eastAsia" w:ascii="宋体" w:hAnsi="宋体" w:eastAsia="宋体" w:cs="宋体"/>
          <w:b/>
          <w:snapToGrid w:val="0"/>
          <w:color w:val="auto"/>
          <w:sz w:val="30"/>
          <w:highlight w:val="none"/>
        </w:rPr>
        <w:t>各项承诺一览表</w:t>
      </w:r>
      <w:bookmarkEnd w:id="427"/>
    </w:p>
    <w:tbl>
      <w:tblPr>
        <w:tblStyle w:val="18"/>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1"/>
        <w:gridCol w:w="1530"/>
        <w:gridCol w:w="3495"/>
        <w:gridCol w:w="4272"/>
      </w:tblGrid>
      <w:tr w14:paraId="58B74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521" w:type="dxa"/>
            <w:vAlign w:val="top"/>
          </w:tcPr>
          <w:p w14:paraId="7EF6A643">
            <w:pPr>
              <w:keepNext w:val="0"/>
              <w:keepLines w:val="0"/>
              <w:pageBreakBefore w:val="0"/>
              <w:widowControl/>
              <w:shd w:val="clear"/>
              <w:kinsoku w:val="0"/>
              <w:wordWrap/>
              <w:overflowPunct/>
              <w:topLinePunct w:val="0"/>
              <w:autoSpaceDE w:val="0"/>
              <w:autoSpaceDN w:val="0"/>
              <w:bidi w:val="0"/>
              <w:adjustRightInd w:val="0"/>
              <w:snapToGrid w:val="0"/>
              <w:spacing w:before="209" w:line="288" w:lineRule="auto"/>
              <w:ind w:left="126"/>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5"/>
                <w:kern w:val="0"/>
                <w:sz w:val="24"/>
                <w:szCs w:val="24"/>
                <w:highlight w:val="none"/>
                <w:lang w:eastAsia="en-US"/>
              </w:rPr>
              <w:t>序号</w:t>
            </w:r>
          </w:p>
        </w:tc>
        <w:tc>
          <w:tcPr>
            <w:tcW w:w="1530" w:type="dxa"/>
            <w:vAlign w:val="top"/>
          </w:tcPr>
          <w:p w14:paraId="0A694732">
            <w:pPr>
              <w:keepNext w:val="0"/>
              <w:keepLines w:val="0"/>
              <w:pageBreakBefore w:val="0"/>
              <w:widowControl/>
              <w:shd w:val="clear"/>
              <w:kinsoku w:val="0"/>
              <w:wordWrap/>
              <w:overflowPunct/>
              <w:topLinePunct w:val="0"/>
              <w:autoSpaceDE w:val="0"/>
              <w:autoSpaceDN w:val="0"/>
              <w:bidi w:val="0"/>
              <w:adjustRightInd w:val="0"/>
              <w:snapToGrid w:val="0"/>
              <w:spacing w:before="208" w:line="288" w:lineRule="auto"/>
              <w:ind w:left="310"/>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3"/>
                <w:kern w:val="0"/>
                <w:sz w:val="24"/>
                <w:szCs w:val="24"/>
                <w:highlight w:val="none"/>
                <w:lang w:eastAsia="en-US"/>
              </w:rPr>
              <w:t>承诺事项</w:t>
            </w:r>
          </w:p>
        </w:tc>
        <w:tc>
          <w:tcPr>
            <w:tcW w:w="3495" w:type="dxa"/>
            <w:vAlign w:val="top"/>
          </w:tcPr>
          <w:p w14:paraId="0DFC5C24">
            <w:pPr>
              <w:keepNext w:val="0"/>
              <w:keepLines w:val="0"/>
              <w:pageBreakBefore w:val="0"/>
              <w:widowControl/>
              <w:shd w:val="clear"/>
              <w:kinsoku w:val="0"/>
              <w:wordWrap/>
              <w:overflowPunct/>
              <w:topLinePunct w:val="0"/>
              <w:autoSpaceDE w:val="0"/>
              <w:autoSpaceDN w:val="0"/>
              <w:bidi w:val="0"/>
              <w:adjustRightInd w:val="0"/>
              <w:snapToGrid w:val="0"/>
              <w:spacing w:before="209" w:line="288" w:lineRule="auto"/>
              <w:ind w:left="987"/>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3"/>
                <w:kern w:val="0"/>
                <w:sz w:val="24"/>
                <w:szCs w:val="24"/>
                <w:highlight w:val="none"/>
                <w:lang w:eastAsia="en-US"/>
              </w:rPr>
              <w:t>承诺内容</w:t>
            </w:r>
          </w:p>
        </w:tc>
        <w:tc>
          <w:tcPr>
            <w:tcW w:w="4272" w:type="dxa"/>
            <w:vAlign w:val="top"/>
          </w:tcPr>
          <w:p w14:paraId="20193320">
            <w:pPr>
              <w:keepNext w:val="0"/>
              <w:keepLines w:val="0"/>
              <w:pageBreakBefore w:val="0"/>
              <w:widowControl/>
              <w:shd w:val="clear"/>
              <w:kinsoku w:val="0"/>
              <w:wordWrap/>
              <w:overflowPunct/>
              <w:topLinePunct w:val="0"/>
              <w:autoSpaceDE w:val="0"/>
              <w:autoSpaceDN w:val="0"/>
              <w:bidi w:val="0"/>
              <w:adjustRightInd w:val="0"/>
              <w:snapToGrid w:val="0"/>
              <w:spacing w:before="209" w:line="288" w:lineRule="auto"/>
              <w:ind w:left="1537"/>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3"/>
                <w:kern w:val="0"/>
                <w:sz w:val="24"/>
                <w:szCs w:val="24"/>
                <w:highlight w:val="none"/>
                <w:lang w:eastAsia="en-US"/>
              </w:rPr>
              <w:t>违约承诺</w:t>
            </w:r>
          </w:p>
        </w:tc>
      </w:tr>
      <w:tr w14:paraId="0AAA0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521" w:type="dxa"/>
            <w:vAlign w:val="top"/>
          </w:tcPr>
          <w:p w14:paraId="15BC6A55">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7CB6F209">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0AA12C14">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43782F3D">
            <w:pPr>
              <w:keepNext w:val="0"/>
              <w:keepLines w:val="0"/>
              <w:pageBreakBefore w:val="0"/>
              <w:widowControl/>
              <w:shd w:val="clear"/>
              <w:kinsoku w:val="0"/>
              <w:wordWrap/>
              <w:overflowPunct/>
              <w:topLinePunct w:val="0"/>
              <w:autoSpaceDE w:val="0"/>
              <w:autoSpaceDN w:val="0"/>
              <w:bidi w:val="0"/>
              <w:adjustRightInd w:val="0"/>
              <w:snapToGrid w:val="0"/>
              <w:spacing w:before="58" w:line="288" w:lineRule="auto"/>
              <w:ind w:left="328"/>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kern w:val="0"/>
                <w:sz w:val="24"/>
                <w:szCs w:val="24"/>
                <w:highlight w:val="none"/>
                <w:lang w:eastAsia="en-US"/>
              </w:rPr>
              <w:t>1</w:t>
            </w:r>
          </w:p>
        </w:tc>
        <w:tc>
          <w:tcPr>
            <w:tcW w:w="1530" w:type="dxa"/>
            <w:vAlign w:val="top"/>
          </w:tcPr>
          <w:p w14:paraId="0ED2C5D1">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515CDDC2">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75114FF5">
            <w:pPr>
              <w:keepNext w:val="0"/>
              <w:keepLines w:val="0"/>
              <w:pageBreakBefore w:val="0"/>
              <w:widowControl/>
              <w:shd w:val="clear"/>
              <w:kinsoku w:val="0"/>
              <w:wordWrap/>
              <w:overflowPunct/>
              <w:topLinePunct w:val="0"/>
              <w:autoSpaceDE w:val="0"/>
              <w:autoSpaceDN w:val="0"/>
              <w:bidi w:val="0"/>
              <w:adjustRightInd w:val="0"/>
              <w:snapToGrid w:val="0"/>
              <w:spacing w:before="65" w:line="288" w:lineRule="auto"/>
              <w:ind w:left="57" w:right="50" w:firstLine="135"/>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2"/>
                <w:kern w:val="0"/>
                <w:sz w:val="24"/>
                <w:szCs w:val="24"/>
                <w:highlight w:val="none"/>
                <w:lang w:eastAsia="en-US"/>
              </w:rPr>
              <w:t>自愿接受招标</w:t>
            </w:r>
            <w:r>
              <w:rPr>
                <w:rFonts w:hint="eastAsia" w:ascii="宋体" w:hAnsi="宋体" w:eastAsia="宋体" w:cs="宋体"/>
                <w:snapToGrid w:val="0"/>
                <w:color w:val="auto"/>
                <w:spacing w:val="8"/>
                <w:kern w:val="0"/>
                <w:sz w:val="24"/>
                <w:szCs w:val="24"/>
                <w:highlight w:val="none"/>
                <w:lang w:eastAsia="en-US"/>
              </w:rPr>
              <w:t>文件条款的承诺</w:t>
            </w:r>
          </w:p>
        </w:tc>
        <w:tc>
          <w:tcPr>
            <w:tcW w:w="3495" w:type="dxa"/>
            <w:vAlign w:val="top"/>
          </w:tcPr>
          <w:p w14:paraId="2FCC9D4E">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2CFCB7A4">
            <w:pPr>
              <w:keepNext w:val="0"/>
              <w:keepLines w:val="0"/>
              <w:pageBreakBefore w:val="0"/>
              <w:widowControl/>
              <w:shd w:val="clear"/>
              <w:kinsoku w:val="0"/>
              <w:wordWrap/>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25"/>
                <w:kern w:val="0"/>
                <w:sz w:val="24"/>
                <w:szCs w:val="24"/>
                <w:highlight w:val="none"/>
                <w:lang w:eastAsia="en-US"/>
              </w:rPr>
              <w:t>我方自愿接受招标文件的</w:t>
            </w:r>
            <w:r>
              <w:rPr>
                <w:rFonts w:hint="eastAsia" w:ascii="宋体" w:hAnsi="宋体" w:eastAsia="宋体" w:cs="宋体"/>
                <w:snapToGrid w:val="0"/>
                <w:color w:val="auto"/>
                <w:spacing w:val="7"/>
                <w:kern w:val="0"/>
                <w:sz w:val="24"/>
                <w:szCs w:val="24"/>
                <w:highlight w:val="none"/>
                <w:lang w:eastAsia="en-US"/>
              </w:rPr>
              <w:t>所有条款，所递交的投标文件已</w:t>
            </w:r>
            <w:r>
              <w:rPr>
                <w:rFonts w:hint="eastAsia" w:ascii="宋体" w:hAnsi="宋体" w:eastAsia="宋体" w:cs="宋体"/>
                <w:snapToGrid w:val="0"/>
                <w:color w:val="auto"/>
                <w:spacing w:val="4"/>
                <w:kern w:val="0"/>
                <w:sz w:val="24"/>
                <w:szCs w:val="24"/>
                <w:highlight w:val="none"/>
                <w:lang w:eastAsia="en-US"/>
              </w:rPr>
              <w:t xml:space="preserve"> </w:t>
            </w:r>
            <w:r>
              <w:rPr>
                <w:rFonts w:hint="eastAsia" w:ascii="宋体" w:hAnsi="宋体" w:eastAsia="宋体" w:cs="宋体"/>
                <w:snapToGrid w:val="0"/>
                <w:color w:val="auto"/>
                <w:spacing w:val="23"/>
                <w:kern w:val="0"/>
                <w:sz w:val="24"/>
                <w:szCs w:val="24"/>
                <w:highlight w:val="none"/>
                <w:lang w:eastAsia="en-US"/>
              </w:rPr>
              <w:t>经充分响应招标文件的实质性</w:t>
            </w:r>
            <w:r>
              <w:rPr>
                <w:rFonts w:hint="eastAsia" w:ascii="宋体" w:hAnsi="宋体" w:eastAsia="宋体" w:cs="宋体"/>
                <w:snapToGrid w:val="0"/>
                <w:color w:val="auto"/>
                <w:spacing w:val="3"/>
                <w:kern w:val="0"/>
                <w:sz w:val="24"/>
                <w:szCs w:val="24"/>
                <w:highlight w:val="none"/>
                <w:lang w:eastAsia="en-US"/>
              </w:rPr>
              <w:t>要求。</w:t>
            </w:r>
          </w:p>
        </w:tc>
        <w:tc>
          <w:tcPr>
            <w:tcW w:w="4272" w:type="dxa"/>
            <w:vAlign w:val="top"/>
          </w:tcPr>
          <w:p w14:paraId="440459EB">
            <w:pPr>
              <w:keepNext w:val="0"/>
              <w:keepLines w:val="0"/>
              <w:pageBreakBefore w:val="0"/>
              <w:widowControl/>
              <w:shd w:val="clear"/>
              <w:kinsoku w:val="0"/>
              <w:wordWrap/>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10"/>
                <w:kern w:val="0"/>
                <w:sz w:val="24"/>
                <w:szCs w:val="24"/>
                <w:highlight w:val="none"/>
                <w:lang w:eastAsia="en-US"/>
              </w:rPr>
              <w:t>如果我方的投标文件未响应、违反、偏</w:t>
            </w:r>
            <w:r>
              <w:rPr>
                <w:rFonts w:hint="eastAsia" w:ascii="宋体" w:hAnsi="宋体" w:eastAsia="宋体" w:cs="宋体"/>
                <w:snapToGrid w:val="0"/>
                <w:color w:val="auto"/>
                <w:spacing w:val="5"/>
                <w:kern w:val="0"/>
                <w:sz w:val="24"/>
                <w:szCs w:val="24"/>
                <w:highlight w:val="none"/>
                <w:lang w:eastAsia="en-US"/>
              </w:rPr>
              <w:t xml:space="preserve"> </w:t>
            </w:r>
            <w:r>
              <w:rPr>
                <w:rFonts w:hint="eastAsia" w:ascii="宋体" w:hAnsi="宋体" w:eastAsia="宋体" w:cs="宋体"/>
                <w:snapToGrid w:val="0"/>
                <w:color w:val="auto"/>
                <w:spacing w:val="10"/>
                <w:kern w:val="0"/>
                <w:sz w:val="24"/>
                <w:szCs w:val="24"/>
                <w:highlight w:val="none"/>
                <w:lang w:eastAsia="en-US"/>
              </w:rPr>
              <w:t>离招标文件的实质性要求，我方接受招标人或其授权的招标代理机构或其组建的评标委员会依据招标文件作出的相应处理，包括否</w:t>
            </w:r>
            <w:r>
              <w:rPr>
                <w:rFonts w:hint="eastAsia" w:ascii="宋体" w:hAnsi="宋体" w:eastAsia="宋体" w:cs="宋体"/>
                <w:snapToGrid w:val="0"/>
                <w:color w:val="auto"/>
                <w:spacing w:val="4"/>
                <w:kern w:val="0"/>
                <w:sz w:val="24"/>
                <w:szCs w:val="24"/>
                <w:highlight w:val="none"/>
                <w:lang w:eastAsia="en-US"/>
              </w:rPr>
              <w:t>决投标。</w:t>
            </w:r>
          </w:p>
        </w:tc>
      </w:tr>
      <w:tr w14:paraId="15A62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521" w:type="dxa"/>
            <w:vAlign w:val="top"/>
          </w:tcPr>
          <w:p w14:paraId="09EC3A36">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6A0A864D">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2E04F3FC">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26BC9934">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1579B128">
            <w:pPr>
              <w:keepNext w:val="0"/>
              <w:keepLines w:val="0"/>
              <w:pageBreakBefore w:val="0"/>
              <w:widowControl/>
              <w:shd w:val="clear"/>
              <w:kinsoku w:val="0"/>
              <w:wordWrap/>
              <w:overflowPunct/>
              <w:topLinePunct w:val="0"/>
              <w:autoSpaceDE w:val="0"/>
              <w:autoSpaceDN w:val="0"/>
              <w:bidi w:val="0"/>
              <w:adjustRightInd w:val="0"/>
              <w:snapToGrid w:val="0"/>
              <w:spacing w:before="58" w:line="288" w:lineRule="auto"/>
              <w:ind w:left="308"/>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kern w:val="0"/>
                <w:sz w:val="24"/>
                <w:szCs w:val="24"/>
                <w:highlight w:val="none"/>
                <w:lang w:eastAsia="en-US"/>
              </w:rPr>
              <w:t>2</w:t>
            </w:r>
          </w:p>
        </w:tc>
        <w:tc>
          <w:tcPr>
            <w:tcW w:w="1530" w:type="dxa"/>
            <w:vAlign w:val="top"/>
          </w:tcPr>
          <w:p w14:paraId="71D39203">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2149D353">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3DE4F7A1">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72795798">
            <w:pPr>
              <w:keepNext w:val="0"/>
              <w:keepLines w:val="0"/>
              <w:pageBreakBefore w:val="0"/>
              <w:widowControl/>
              <w:shd w:val="clear"/>
              <w:kinsoku w:val="0"/>
              <w:wordWrap/>
              <w:overflowPunct/>
              <w:topLinePunct w:val="0"/>
              <w:autoSpaceDE w:val="0"/>
              <w:autoSpaceDN w:val="0"/>
              <w:bidi w:val="0"/>
              <w:adjustRightInd w:val="0"/>
              <w:snapToGrid w:val="0"/>
              <w:spacing w:before="65" w:line="288" w:lineRule="auto"/>
              <w:ind w:left="262" w:right="261" w:firstLine="3"/>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7"/>
                <w:kern w:val="0"/>
                <w:sz w:val="24"/>
                <w:szCs w:val="24"/>
                <w:highlight w:val="none"/>
                <w:lang w:eastAsia="en-US"/>
              </w:rPr>
              <w:t>无禁止投标</w:t>
            </w:r>
            <w:r>
              <w:rPr>
                <w:rFonts w:hint="eastAsia" w:ascii="宋体" w:hAnsi="宋体" w:eastAsia="宋体" w:cs="宋体"/>
                <w:snapToGrid w:val="0"/>
                <w:color w:val="auto"/>
                <w:spacing w:val="8"/>
                <w:kern w:val="0"/>
                <w:sz w:val="24"/>
                <w:szCs w:val="24"/>
                <w:highlight w:val="none"/>
                <w:lang w:eastAsia="en-US"/>
              </w:rPr>
              <w:t>情形的承诺</w:t>
            </w:r>
          </w:p>
        </w:tc>
        <w:tc>
          <w:tcPr>
            <w:tcW w:w="3495" w:type="dxa"/>
            <w:vAlign w:val="top"/>
          </w:tcPr>
          <w:p w14:paraId="230C9A8F">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2DF55E17">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6674FD08">
            <w:pPr>
              <w:keepNext w:val="0"/>
              <w:keepLines w:val="0"/>
              <w:pageBreakBefore w:val="0"/>
              <w:widowControl/>
              <w:shd w:val="clear"/>
              <w:kinsoku w:val="0"/>
              <w:wordWrap/>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25"/>
                <w:kern w:val="0"/>
                <w:sz w:val="24"/>
                <w:szCs w:val="24"/>
                <w:highlight w:val="none"/>
                <w:lang w:eastAsia="en-US"/>
              </w:rPr>
              <w:t>我方不存在招标文件第一</w:t>
            </w:r>
            <w:r>
              <w:rPr>
                <w:rFonts w:hint="eastAsia" w:ascii="宋体" w:hAnsi="宋体" w:eastAsia="宋体" w:cs="宋体"/>
                <w:snapToGrid w:val="0"/>
                <w:color w:val="auto"/>
                <w:spacing w:val="8"/>
                <w:kern w:val="0"/>
                <w:sz w:val="24"/>
                <w:szCs w:val="24"/>
                <w:highlight w:val="none"/>
                <w:lang w:eastAsia="en-US"/>
              </w:rPr>
              <w:t>章第三节第</w:t>
            </w:r>
            <w:r>
              <w:rPr>
                <w:rFonts w:hint="eastAsia" w:ascii="宋体" w:hAnsi="宋体" w:eastAsia="宋体" w:cs="宋体"/>
                <w:snapToGrid w:val="0"/>
                <w:color w:val="auto"/>
                <w:spacing w:val="-35"/>
                <w:kern w:val="0"/>
                <w:sz w:val="24"/>
                <w:szCs w:val="24"/>
                <w:highlight w:val="none"/>
                <w:lang w:eastAsia="en-US"/>
              </w:rPr>
              <w:t xml:space="preserve"> </w:t>
            </w:r>
            <w:r>
              <w:rPr>
                <w:rFonts w:hint="eastAsia" w:ascii="宋体" w:hAnsi="宋体" w:eastAsia="宋体" w:cs="宋体"/>
                <w:b/>
                <w:bCs/>
                <w:snapToGrid w:val="0"/>
                <w:color w:val="auto"/>
                <w:spacing w:val="8"/>
                <w:kern w:val="0"/>
                <w:sz w:val="24"/>
                <w:szCs w:val="24"/>
                <w:highlight w:val="none"/>
                <w:lang w:eastAsia="en-US"/>
              </w:rPr>
              <w:t>2.4</w:t>
            </w:r>
            <w:r>
              <w:rPr>
                <w:rFonts w:hint="eastAsia" w:ascii="宋体" w:hAnsi="宋体" w:eastAsia="宋体" w:cs="宋体"/>
                <w:b/>
                <w:bCs/>
                <w:snapToGrid w:val="0"/>
                <w:color w:val="auto"/>
                <w:spacing w:val="16"/>
                <w:kern w:val="0"/>
                <w:sz w:val="24"/>
                <w:szCs w:val="24"/>
                <w:highlight w:val="none"/>
                <w:lang w:eastAsia="en-US"/>
              </w:rPr>
              <w:t xml:space="preserve"> </w:t>
            </w:r>
            <w:r>
              <w:rPr>
                <w:rFonts w:hint="eastAsia" w:ascii="宋体" w:hAnsi="宋体" w:eastAsia="宋体" w:cs="宋体"/>
                <w:snapToGrid w:val="0"/>
                <w:color w:val="auto"/>
                <w:spacing w:val="8"/>
                <w:kern w:val="0"/>
                <w:sz w:val="24"/>
                <w:szCs w:val="24"/>
                <w:highlight w:val="none"/>
                <w:lang w:eastAsia="en-US"/>
              </w:rPr>
              <w:t>条“禁止投标条</w:t>
            </w:r>
            <w:r>
              <w:rPr>
                <w:rFonts w:hint="eastAsia" w:ascii="宋体" w:hAnsi="宋体" w:eastAsia="宋体" w:cs="宋体"/>
                <w:snapToGrid w:val="0"/>
                <w:color w:val="auto"/>
                <w:kern w:val="0"/>
                <w:sz w:val="24"/>
                <w:szCs w:val="24"/>
                <w:highlight w:val="none"/>
                <w:lang w:eastAsia="en-US"/>
              </w:rPr>
              <w:t xml:space="preserve"> </w:t>
            </w:r>
            <w:r>
              <w:rPr>
                <w:rFonts w:hint="eastAsia" w:ascii="宋体" w:hAnsi="宋体" w:eastAsia="宋体" w:cs="宋体"/>
                <w:snapToGrid w:val="0"/>
                <w:color w:val="auto"/>
                <w:spacing w:val="6"/>
                <w:kern w:val="0"/>
                <w:sz w:val="24"/>
                <w:szCs w:val="24"/>
                <w:highlight w:val="none"/>
                <w:lang w:eastAsia="en-US"/>
              </w:rPr>
              <w:t>款</w:t>
            </w:r>
            <w:r>
              <w:rPr>
                <w:rFonts w:hint="eastAsia" w:ascii="宋体" w:hAnsi="宋体" w:eastAsia="宋体" w:cs="宋体"/>
                <w:snapToGrid w:val="0"/>
                <w:color w:val="auto"/>
                <w:spacing w:val="-73"/>
                <w:kern w:val="0"/>
                <w:sz w:val="24"/>
                <w:szCs w:val="24"/>
                <w:highlight w:val="none"/>
                <w:lang w:eastAsia="en-US"/>
              </w:rPr>
              <w:t xml:space="preserve"> </w:t>
            </w:r>
            <w:r>
              <w:rPr>
                <w:rFonts w:hint="eastAsia" w:ascii="宋体" w:hAnsi="宋体" w:eastAsia="宋体" w:cs="宋体"/>
                <w:snapToGrid w:val="0"/>
                <w:color w:val="auto"/>
                <w:spacing w:val="6"/>
                <w:kern w:val="0"/>
                <w:sz w:val="24"/>
                <w:szCs w:val="24"/>
                <w:highlight w:val="none"/>
                <w:lang w:eastAsia="en-US"/>
              </w:rPr>
              <w:t>”规定的任何一种情形。</w:t>
            </w:r>
          </w:p>
        </w:tc>
        <w:tc>
          <w:tcPr>
            <w:tcW w:w="4272" w:type="dxa"/>
            <w:vAlign w:val="top"/>
          </w:tcPr>
          <w:p w14:paraId="5ED1BB51">
            <w:pPr>
              <w:keepNext w:val="0"/>
              <w:keepLines w:val="0"/>
              <w:pageBreakBefore w:val="0"/>
              <w:widowControl/>
              <w:shd w:val="clear"/>
              <w:kinsoku w:val="0"/>
              <w:wordWrap/>
              <w:overflowPunct/>
              <w:topLinePunct w:val="0"/>
              <w:autoSpaceDE w:val="0"/>
              <w:autoSpaceDN w:val="0"/>
              <w:bidi w:val="0"/>
              <w:adjustRightInd w:val="0"/>
              <w:snapToGrid w:val="0"/>
              <w:spacing w:before="122" w:line="288" w:lineRule="auto"/>
              <w:ind w:left="9" w:firstLine="421"/>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6"/>
                <w:kern w:val="0"/>
                <w:sz w:val="24"/>
                <w:szCs w:val="24"/>
                <w:highlight w:val="none"/>
                <w:lang w:eastAsia="en-US"/>
              </w:rPr>
              <w:t>如果我方有招标文件第一章第三节第</w:t>
            </w:r>
            <w:r>
              <w:rPr>
                <w:rFonts w:hint="eastAsia" w:ascii="宋体" w:hAnsi="宋体" w:eastAsia="宋体" w:cs="宋体"/>
                <w:snapToGrid w:val="0"/>
                <w:color w:val="auto"/>
                <w:spacing w:val="-27"/>
                <w:kern w:val="0"/>
                <w:sz w:val="24"/>
                <w:szCs w:val="24"/>
                <w:highlight w:val="none"/>
                <w:lang w:eastAsia="en-US"/>
              </w:rPr>
              <w:t xml:space="preserve"> </w:t>
            </w:r>
            <w:r>
              <w:rPr>
                <w:rFonts w:hint="eastAsia" w:ascii="宋体" w:hAnsi="宋体" w:eastAsia="宋体" w:cs="宋体"/>
                <w:b/>
                <w:bCs/>
                <w:snapToGrid w:val="0"/>
                <w:color w:val="auto"/>
                <w:spacing w:val="6"/>
                <w:kern w:val="0"/>
                <w:sz w:val="24"/>
                <w:szCs w:val="24"/>
                <w:highlight w:val="none"/>
                <w:lang w:eastAsia="en-US"/>
              </w:rPr>
              <w:t>2.</w:t>
            </w:r>
            <w:r>
              <w:rPr>
                <w:rFonts w:hint="eastAsia" w:ascii="宋体" w:hAnsi="宋体" w:eastAsia="宋体" w:cs="宋体"/>
                <w:b/>
                <w:bCs/>
                <w:snapToGrid w:val="0"/>
                <w:color w:val="auto"/>
                <w:spacing w:val="1"/>
                <w:kern w:val="0"/>
                <w:sz w:val="24"/>
                <w:szCs w:val="24"/>
                <w:highlight w:val="none"/>
                <w:lang w:eastAsia="en-US"/>
              </w:rPr>
              <w:t xml:space="preserve">4 </w:t>
            </w:r>
            <w:r>
              <w:rPr>
                <w:rFonts w:hint="eastAsia" w:ascii="宋体" w:hAnsi="宋体" w:eastAsia="宋体" w:cs="宋体"/>
                <w:snapToGrid w:val="0"/>
                <w:color w:val="auto"/>
                <w:spacing w:val="1"/>
                <w:kern w:val="0"/>
                <w:sz w:val="24"/>
                <w:szCs w:val="24"/>
                <w:highlight w:val="none"/>
                <w:lang w:eastAsia="en-US"/>
              </w:rPr>
              <w:t>条“禁止投标条款</w:t>
            </w:r>
            <w:r>
              <w:rPr>
                <w:rFonts w:hint="eastAsia" w:ascii="宋体" w:hAnsi="宋体" w:eastAsia="宋体" w:cs="宋体"/>
                <w:snapToGrid w:val="0"/>
                <w:color w:val="auto"/>
                <w:spacing w:val="-65"/>
                <w:kern w:val="0"/>
                <w:sz w:val="24"/>
                <w:szCs w:val="24"/>
                <w:highlight w:val="none"/>
                <w:lang w:eastAsia="en-US"/>
              </w:rPr>
              <w:t xml:space="preserve"> </w:t>
            </w:r>
            <w:r>
              <w:rPr>
                <w:rFonts w:hint="eastAsia" w:ascii="宋体" w:hAnsi="宋体" w:eastAsia="宋体" w:cs="宋体"/>
                <w:snapToGrid w:val="0"/>
                <w:color w:val="auto"/>
                <w:spacing w:val="1"/>
                <w:kern w:val="0"/>
                <w:sz w:val="24"/>
                <w:szCs w:val="24"/>
                <w:highlight w:val="none"/>
                <w:lang w:eastAsia="en-US"/>
              </w:rPr>
              <w:t>”规定的任何一种情形，</w:t>
            </w:r>
            <w:r>
              <w:rPr>
                <w:rFonts w:hint="eastAsia" w:ascii="宋体" w:hAnsi="宋体" w:eastAsia="宋体" w:cs="宋体"/>
                <w:snapToGrid w:val="0"/>
                <w:color w:val="auto"/>
                <w:kern w:val="0"/>
                <w:sz w:val="24"/>
                <w:szCs w:val="24"/>
                <w:highlight w:val="none"/>
                <w:lang w:eastAsia="en-US"/>
              </w:rPr>
              <w:t xml:space="preserve"> </w:t>
            </w:r>
            <w:r>
              <w:rPr>
                <w:rFonts w:hint="eastAsia" w:ascii="宋体" w:hAnsi="宋体" w:eastAsia="宋体" w:cs="宋体"/>
                <w:snapToGrid w:val="0"/>
                <w:color w:val="auto"/>
                <w:spacing w:val="8"/>
                <w:kern w:val="0"/>
                <w:sz w:val="24"/>
                <w:szCs w:val="24"/>
                <w:highlight w:val="none"/>
                <w:lang w:eastAsia="en-US"/>
              </w:rPr>
              <w:t>我方接受招标人或其授权的招标代理机构或</w:t>
            </w:r>
            <w:r>
              <w:rPr>
                <w:rFonts w:hint="eastAsia" w:ascii="宋体" w:hAnsi="宋体" w:eastAsia="宋体" w:cs="宋体"/>
                <w:snapToGrid w:val="0"/>
                <w:color w:val="auto"/>
                <w:spacing w:val="1"/>
                <w:kern w:val="0"/>
                <w:sz w:val="24"/>
                <w:szCs w:val="24"/>
                <w:highlight w:val="none"/>
                <w:lang w:eastAsia="en-US"/>
              </w:rPr>
              <w:t xml:space="preserve"> </w:t>
            </w:r>
            <w:r>
              <w:rPr>
                <w:rFonts w:hint="eastAsia" w:ascii="宋体" w:hAnsi="宋体" w:eastAsia="宋体" w:cs="宋体"/>
                <w:snapToGrid w:val="0"/>
                <w:color w:val="auto"/>
                <w:spacing w:val="8"/>
                <w:kern w:val="0"/>
                <w:sz w:val="24"/>
                <w:szCs w:val="24"/>
                <w:highlight w:val="none"/>
                <w:lang w:eastAsia="en-US"/>
              </w:rPr>
              <w:t>其组建的评标委员会依据招标文件作出的相</w:t>
            </w:r>
            <w:r>
              <w:rPr>
                <w:rFonts w:hint="eastAsia" w:ascii="宋体" w:hAnsi="宋体" w:eastAsia="宋体" w:cs="宋体"/>
                <w:snapToGrid w:val="0"/>
                <w:color w:val="auto"/>
                <w:spacing w:val="1"/>
                <w:kern w:val="0"/>
                <w:sz w:val="24"/>
                <w:szCs w:val="24"/>
                <w:highlight w:val="none"/>
                <w:lang w:eastAsia="en-US"/>
              </w:rPr>
              <w:t xml:space="preserve"> </w:t>
            </w:r>
            <w:r>
              <w:rPr>
                <w:rFonts w:hint="eastAsia" w:ascii="宋体" w:hAnsi="宋体" w:eastAsia="宋体" w:cs="宋体"/>
                <w:snapToGrid w:val="0"/>
                <w:color w:val="auto"/>
                <w:spacing w:val="8"/>
                <w:kern w:val="0"/>
                <w:sz w:val="24"/>
                <w:szCs w:val="24"/>
                <w:highlight w:val="none"/>
                <w:lang w:eastAsia="en-US"/>
              </w:rPr>
              <w:t>应处理以及有关监督部门作出的行政处罚，</w:t>
            </w:r>
            <w:r>
              <w:rPr>
                <w:rFonts w:hint="eastAsia" w:ascii="宋体" w:hAnsi="宋体" w:eastAsia="宋体" w:cs="宋体"/>
                <w:snapToGrid w:val="0"/>
                <w:color w:val="auto"/>
                <w:spacing w:val="6"/>
                <w:kern w:val="0"/>
                <w:sz w:val="24"/>
                <w:szCs w:val="24"/>
                <w:highlight w:val="none"/>
                <w:lang w:eastAsia="en-US"/>
              </w:rPr>
              <w:t>并承担由此引起的一切法律后果。</w:t>
            </w:r>
          </w:p>
        </w:tc>
      </w:tr>
      <w:tr w14:paraId="6B1DFF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521" w:type="dxa"/>
            <w:vAlign w:val="top"/>
          </w:tcPr>
          <w:p w14:paraId="607C1C66">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2F4D8448">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237E034B">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1A439D3F">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0597C507">
            <w:pPr>
              <w:keepNext w:val="0"/>
              <w:keepLines w:val="0"/>
              <w:pageBreakBefore w:val="0"/>
              <w:widowControl/>
              <w:shd w:val="clear"/>
              <w:kinsoku w:val="0"/>
              <w:wordWrap/>
              <w:overflowPunct/>
              <w:topLinePunct w:val="0"/>
              <w:autoSpaceDE w:val="0"/>
              <w:autoSpaceDN w:val="0"/>
              <w:bidi w:val="0"/>
              <w:adjustRightInd w:val="0"/>
              <w:snapToGrid w:val="0"/>
              <w:spacing w:before="57" w:line="288" w:lineRule="auto"/>
              <w:ind w:left="312"/>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kern w:val="0"/>
                <w:sz w:val="24"/>
                <w:szCs w:val="24"/>
                <w:highlight w:val="none"/>
                <w:lang w:eastAsia="en-US"/>
              </w:rPr>
              <w:t>3</w:t>
            </w:r>
          </w:p>
        </w:tc>
        <w:tc>
          <w:tcPr>
            <w:tcW w:w="1530" w:type="dxa"/>
            <w:vAlign w:val="top"/>
          </w:tcPr>
          <w:p w14:paraId="044F0066">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54DE7766">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6C9B7B26">
            <w:pPr>
              <w:keepNext w:val="0"/>
              <w:keepLines w:val="0"/>
              <w:pageBreakBefore w:val="0"/>
              <w:widowControl/>
              <w:shd w:val="clear"/>
              <w:kinsoku w:val="0"/>
              <w:wordWrap/>
              <w:overflowPunct/>
              <w:topLinePunct w:val="0"/>
              <w:autoSpaceDE w:val="0"/>
              <w:autoSpaceDN w:val="0"/>
              <w:bidi w:val="0"/>
              <w:adjustRightInd w:val="0"/>
              <w:snapToGrid w:val="0"/>
              <w:spacing w:before="65" w:line="288" w:lineRule="auto"/>
              <w:ind w:left="193"/>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2"/>
                <w:kern w:val="0"/>
                <w:sz w:val="24"/>
                <w:szCs w:val="24"/>
                <w:highlight w:val="none"/>
                <w:lang w:eastAsia="en-US"/>
              </w:rPr>
              <w:t>自觉抵制围标</w:t>
            </w:r>
          </w:p>
          <w:p w14:paraId="5119A4D7">
            <w:pPr>
              <w:keepNext w:val="0"/>
              <w:keepLines w:val="0"/>
              <w:pageBreakBefore w:val="0"/>
              <w:widowControl/>
              <w:shd w:val="clear"/>
              <w:kinsoku w:val="0"/>
              <w:wordWrap/>
              <w:overflowPunct/>
              <w:topLinePunct w:val="0"/>
              <w:autoSpaceDE w:val="0"/>
              <w:autoSpaceDN w:val="0"/>
              <w:bidi w:val="0"/>
              <w:adjustRightInd w:val="0"/>
              <w:snapToGrid w:val="0"/>
              <w:spacing w:before="131" w:line="288" w:lineRule="auto"/>
              <w:ind w:left="283"/>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4"/>
                <w:kern w:val="0"/>
                <w:sz w:val="24"/>
                <w:szCs w:val="24"/>
                <w:highlight w:val="none"/>
                <w:lang w:eastAsia="en-US"/>
              </w:rPr>
              <w:t>串标和弄虚</w:t>
            </w:r>
          </w:p>
          <w:p w14:paraId="7B41E95F">
            <w:pPr>
              <w:keepNext w:val="0"/>
              <w:keepLines w:val="0"/>
              <w:pageBreakBefore w:val="0"/>
              <w:widowControl/>
              <w:shd w:val="clear"/>
              <w:kinsoku w:val="0"/>
              <w:wordWrap/>
              <w:overflowPunct/>
              <w:topLinePunct w:val="0"/>
              <w:autoSpaceDE w:val="0"/>
              <w:autoSpaceDN w:val="0"/>
              <w:bidi w:val="0"/>
              <w:adjustRightInd w:val="0"/>
              <w:snapToGrid w:val="0"/>
              <w:spacing w:before="133" w:line="288" w:lineRule="auto"/>
              <w:ind w:left="56"/>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8"/>
                <w:kern w:val="0"/>
                <w:sz w:val="24"/>
                <w:szCs w:val="24"/>
                <w:highlight w:val="none"/>
                <w:lang w:eastAsia="en-US"/>
              </w:rPr>
              <w:t>作假行为的承诺</w:t>
            </w:r>
          </w:p>
        </w:tc>
        <w:tc>
          <w:tcPr>
            <w:tcW w:w="3495" w:type="dxa"/>
            <w:vAlign w:val="top"/>
          </w:tcPr>
          <w:p w14:paraId="49C60235">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310A4ADD">
            <w:pPr>
              <w:keepNext w:val="0"/>
              <w:keepLines w:val="0"/>
              <w:pageBreakBefore w:val="0"/>
              <w:widowControl/>
              <w:shd w:val="clear"/>
              <w:kinsoku w:val="0"/>
              <w:wordWrap/>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6"/>
                <w:kern w:val="0"/>
                <w:sz w:val="24"/>
                <w:szCs w:val="24"/>
                <w:highlight w:val="none"/>
                <w:lang w:eastAsia="en-US"/>
              </w:rPr>
              <w:t>我方合法正当、诚实守信地</w:t>
            </w:r>
            <w:r>
              <w:rPr>
                <w:rFonts w:hint="eastAsia" w:ascii="宋体" w:hAnsi="宋体" w:eastAsia="宋体" w:cs="宋体"/>
                <w:snapToGrid w:val="0"/>
                <w:color w:val="auto"/>
                <w:spacing w:val="7"/>
                <w:kern w:val="0"/>
                <w:sz w:val="24"/>
                <w:szCs w:val="24"/>
                <w:highlight w:val="none"/>
                <w:lang w:eastAsia="en-US"/>
              </w:rPr>
              <w:t>参与投标，不组织、不参加围标串标违法行为，不通过弄虚作假</w:t>
            </w:r>
            <w:r>
              <w:rPr>
                <w:rFonts w:hint="eastAsia" w:ascii="宋体" w:hAnsi="宋体" w:eastAsia="宋体" w:cs="宋体"/>
                <w:snapToGrid w:val="0"/>
                <w:color w:val="auto"/>
                <w:spacing w:val="2"/>
                <w:kern w:val="0"/>
                <w:sz w:val="24"/>
                <w:szCs w:val="24"/>
                <w:highlight w:val="none"/>
                <w:lang w:eastAsia="en-US"/>
              </w:rPr>
              <w:t xml:space="preserve"> </w:t>
            </w:r>
            <w:r>
              <w:rPr>
                <w:rFonts w:hint="eastAsia" w:ascii="宋体" w:hAnsi="宋体" w:eastAsia="宋体" w:cs="宋体"/>
                <w:snapToGrid w:val="0"/>
                <w:color w:val="auto"/>
                <w:spacing w:val="6"/>
                <w:kern w:val="0"/>
                <w:sz w:val="24"/>
                <w:szCs w:val="24"/>
                <w:highlight w:val="none"/>
                <w:lang w:eastAsia="en-US"/>
              </w:rPr>
              <w:t>行为骗取中标。</w:t>
            </w:r>
          </w:p>
        </w:tc>
        <w:tc>
          <w:tcPr>
            <w:tcW w:w="4272" w:type="dxa"/>
            <w:vAlign w:val="top"/>
          </w:tcPr>
          <w:p w14:paraId="22E96A24">
            <w:pPr>
              <w:keepNext w:val="0"/>
              <w:keepLines w:val="0"/>
              <w:pageBreakBefore w:val="0"/>
              <w:widowControl/>
              <w:shd w:val="clear"/>
              <w:kinsoku w:val="0"/>
              <w:wordWrap/>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10"/>
                <w:kern w:val="0"/>
                <w:sz w:val="24"/>
                <w:szCs w:val="24"/>
                <w:highlight w:val="none"/>
                <w:lang w:eastAsia="en-US"/>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w:t>
            </w:r>
            <w:r>
              <w:rPr>
                <w:rFonts w:hint="eastAsia" w:ascii="宋体" w:hAnsi="宋体" w:eastAsia="宋体" w:cs="宋体"/>
                <w:snapToGrid w:val="0"/>
                <w:color w:val="auto"/>
                <w:spacing w:val="7"/>
                <w:kern w:val="0"/>
                <w:sz w:val="24"/>
                <w:szCs w:val="24"/>
                <w:highlight w:val="none"/>
                <w:lang w:eastAsia="en-US"/>
              </w:rPr>
              <w:t>引起的一切法律后果。</w:t>
            </w:r>
          </w:p>
        </w:tc>
      </w:tr>
      <w:tr w14:paraId="0AF10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521" w:type="dxa"/>
            <w:vAlign w:val="top"/>
          </w:tcPr>
          <w:p w14:paraId="39861AC1">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05F18D97">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5E4A706A">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3B1E77E6">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598CB621">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5B43BB20">
            <w:pPr>
              <w:keepNext w:val="0"/>
              <w:keepLines w:val="0"/>
              <w:pageBreakBefore w:val="0"/>
              <w:widowControl/>
              <w:shd w:val="clear"/>
              <w:kinsoku w:val="0"/>
              <w:wordWrap/>
              <w:overflowPunct/>
              <w:topLinePunct w:val="0"/>
              <w:autoSpaceDE w:val="0"/>
              <w:autoSpaceDN w:val="0"/>
              <w:bidi w:val="0"/>
              <w:adjustRightInd w:val="0"/>
              <w:snapToGrid w:val="0"/>
              <w:spacing w:before="58" w:line="288" w:lineRule="auto"/>
              <w:ind w:left="307"/>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1"/>
                <w:kern w:val="0"/>
                <w:sz w:val="24"/>
                <w:szCs w:val="24"/>
                <w:highlight w:val="none"/>
                <w:lang w:eastAsia="en-US"/>
              </w:rPr>
              <w:t>4</w:t>
            </w:r>
          </w:p>
        </w:tc>
        <w:tc>
          <w:tcPr>
            <w:tcW w:w="1530" w:type="dxa"/>
            <w:vAlign w:val="top"/>
          </w:tcPr>
          <w:p w14:paraId="7561B12C">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27F9E1D6">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7C4D248E">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06C4F220">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59326ADF">
            <w:pPr>
              <w:keepNext w:val="0"/>
              <w:keepLines w:val="0"/>
              <w:pageBreakBefore w:val="0"/>
              <w:widowControl/>
              <w:shd w:val="clear"/>
              <w:kinsoku w:val="0"/>
              <w:wordWrap/>
              <w:overflowPunct/>
              <w:topLinePunct w:val="0"/>
              <w:autoSpaceDE w:val="0"/>
              <w:autoSpaceDN w:val="0"/>
              <w:bidi w:val="0"/>
              <w:adjustRightInd w:val="0"/>
              <w:snapToGrid w:val="0"/>
              <w:spacing w:before="65" w:line="288" w:lineRule="auto"/>
              <w:ind w:left="369" w:right="367" w:firstLine="4"/>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6"/>
                <w:kern w:val="0"/>
                <w:sz w:val="24"/>
                <w:szCs w:val="24"/>
                <w:highlight w:val="none"/>
                <w:lang w:eastAsia="en-US"/>
              </w:rPr>
              <w:t>项目经理</w:t>
            </w:r>
            <w:r>
              <w:rPr>
                <w:rFonts w:hint="eastAsia" w:ascii="宋体" w:hAnsi="宋体" w:eastAsia="宋体" w:cs="宋体"/>
                <w:snapToGrid w:val="0"/>
                <w:color w:val="auto"/>
                <w:spacing w:val="7"/>
                <w:kern w:val="0"/>
                <w:sz w:val="24"/>
                <w:szCs w:val="24"/>
                <w:highlight w:val="none"/>
                <w:lang w:eastAsia="en-US"/>
              </w:rPr>
              <w:t>任职承诺</w:t>
            </w:r>
          </w:p>
        </w:tc>
        <w:tc>
          <w:tcPr>
            <w:tcW w:w="3495" w:type="dxa"/>
            <w:vAlign w:val="top"/>
          </w:tcPr>
          <w:p w14:paraId="05174F84">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51FF2F0D">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2C2DE0B3">
            <w:pPr>
              <w:keepNext w:val="0"/>
              <w:keepLines w:val="0"/>
              <w:pageBreakBefore w:val="0"/>
              <w:widowControl/>
              <w:shd w:val="clear"/>
              <w:kinsoku w:val="0"/>
              <w:wordWrap/>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19"/>
                <w:kern w:val="0"/>
                <w:sz w:val="24"/>
                <w:szCs w:val="24"/>
                <w:highlight w:val="none"/>
                <w:lang w:eastAsia="en-US"/>
              </w:rPr>
              <w:t>我方拟派项目经理现阶段</w:t>
            </w:r>
            <w:r>
              <w:rPr>
                <w:rFonts w:hint="eastAsia" w:ascii="宋体" w:hAnsi="宋体" w:eastAsia="宋体" w:cs="宋体"/>
                <w:snapToGrid w:val="0"/>
                <w:color w:val="auto"/>
                <w:spacing w:val="7"/>
                <w:kern w:val="0"/>
                <w:sz w:val="24"/>
                <w:szCs w:val="24"/>
                <w:highlight w:val="none"/>
                <w:lang w:eastAsia="en-US"/>
              </w:rPr>
              <w:t>没有担任任何在施（包括已中标</w:t>
            </w:r>
            <w:r>
              <w:rPr>
                <w:rFonts w:hint="eastAsia" w:ascii="宋体" w:hAnsi="宋体" w:eastAsia="宋体" w:cs="宋体"/>
                <w:snapToGrid w:val="0"/>
                <w:color w:val="auto"/>
                <w:spacing w:val="5"/>
                <w:kern w:val="0"/>
                <w:sz w:val="24"/>
                <w:szCs w:val="24"/>
                <w:highlight w:val="none"/>
                <w:lang w:eastAsia="en-US"/>
              </w:rPr>
              <w:t xml:space="preserve"> </w:t>
            </w:r>
            <w:r>
              <w:rPr>
                <w:rFonts w:hint="eastAsia" w:ascii="宋体" w:hAnsi="宋体" w:eastAsia="宋体" w:cs="宋体"/>
                <w:snapToGrid w:val="0"/>
                <w:color w:val="auto"/>
                <w:spacing w:val="7"/>
                <w:kern w:val="0"/>
                <w:sz w:val="24"/>
                <w:szCs w:val="24"/>
                <w:highlight w:val="none"/>
                <w:lang w:eastAsia="en-US"/>
              </w:rPr>
              <w:t>未开工、已开工未竣工）建设工</w:t>
            </w:r>
            <w:r>
              <w:rPr>
                <w:rFonts w:hint="eastAsia" w:ascii="宋体" w:hAnsi="宋体" w:eastAsia="宋体" w:cs="宋体"/>
                <w:snapToGrid w:val="0"/>
                <w:color w:val="auto"/>
                <w:spacing w:val="5"/>
                <w:kern w:val="0"/>
                <w:sz w:val="24"/>
                <w:szCs w:val="24"/>
                <w:highlight w:val="none"/>
                <w:lang w:eastAsia="en-US"/>
              </w:rPr>
              <w:t xml:space="preserve"> </w:t>
            </w:r>
            <w:r>
              <w:rPr>
                <w:rFonts w:hint="eastAsia" w:ascii="宋体" w:hAnsi="宋体" w:eastAsia="宋体" w:cs="宋体"/>
                <w:snapToGrid w:val="0"/>
                <w:color w:val="auto"/>
                <w:spacing w:val="7"/>
                <w:kern w:val="0"/>
                <w:sz w:val="24"/>
                <w:szCs w:val="24"/>
                <w:highlight w:val="none"/>
                <w:lang w:eastAsia="en-US"/>
              </w:rPr>
              <w:t>程项目的项目经理。</w:t>
            </w:r>
          </w:p>
        </w:tc>
        <w:tc>
          <w:tcPr>
            <w:tcW w:w="4272" w:type="dxa"/>
            <w:vAlign w:val="top"/>
          </w:tcPr>
          <w:p w14:paraId="0D43D01E">
            <w:pPr>
              <w:keepNext w:val="0"/>
              <w:keepLines w:val="0"/>
              <w:pageBreakBefore w:val="0"/>
              <w:widowControl/>
              <w:shd w:val="clear"/>
              <w:kinsoku w:val="0"/>
              <w:wordWrap/>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7"/>
                <w:kern w:val="0"/>
                <w:sz w:val="24"/>
                <w:szCs w:val="24"/>
                <w:highlight w:val="none"/>
                <w:lang w:eastAsia="en-US"/>
              </w:rPr>
              <w:t>如果我方拟派项目经理在本项目招标投</w:t>
            </w:r>
            <w:r>
              <w:rPr>
                <w:rFonts w:hint="eastAsia" w:ascii="宋体" w:hAnsi="宋体" w:eastAsia="宋体" w:cs="宋体"/>
                <w:snapToGrid w:val="0"/>
                <w:color w:val="auto"/>
                <w:kern w:val="0"/>
                <w:sz w:val="24"/>
                <w:szCs w:val="24"/>
                <w:highlight w:val="none"/>
                <w:lang w:eastAsia="en-US"/>
              </w:rPr>
              <w:t xml:space="preserve"> </w:t>
            </w:r>
            <w:r>
              <w:rPr>
                <w:rFonts w:hint="eastAsia" w:ascii="宋体" w:hAnsi="宋体" w:eastAsia="宋体" w:cs="宋体"/>
                <w:snapToGrid w:val="0"/>
                <w:color w:val="auto"/>
                <w:spacing w:val="7"/>
                <w:kern w:val="0"/>
                <w:sz w:val="24"/>
                <w:szCs w:val="24"/>
                <w:highlight w:val="none"/>
                <w:lang w:eastAsia="en-US"/>
              </w:rPr>
              <w:t>标活动期间有担任其他任何在施（包括已中标未开工、已开工未竣工）建设工程项目的</w:t>
            </w:r>
            <w:r>
              <w:rPr>
                <w:rFonts w:hint="eastAsia" w:ascii="宋体" w:hAnsi="宋体" w:eastAsia="宋体" w:cs="宋体"/>
                <w:snapToGrid w:val="0"/>
                <w:color w:val="auto"/>
                <w:spacing w:val="3"/>
                <w:kern w:val="0"/>
                <w:sz w:val="24"/>
                <w:szCs w:val="24"/>
                <w:highlight w:val="none"/>
                <w:lang w:eastAsia="en-US"/>
              </w:rPr>
              <w:t xml:space="preserve"> </w:t>
            </w:r>
            <w:r>
              <w:rPr>
                <w:rFonts w:hint="eastAsia" w:ascii="宋体" w:hAnsi="宋体" w:eastAsia="宋体" w:cs="宋体"/>
                <w:snapToGrid w:val="0"/>
                <w:color w:val="auto"/>
                <w:spacing w:val="7"/>
                <w:kern w:val="0"/>
                <w:sz w:val="24"/>
                <w:szCs w:val="24"/>
                <w:highlight w:val="none"/>
                <w:lang w:eastAsia="en-US"/>
              </w:rPr>
              <w:t>项目经理，我方接受招标人或其授权的招标</w:t>
            </w:r>
            <w:r>
              <w:rPr>
                <w:rFonts w:hint="eastAsia" w:ascii="宋体" w:hAnsi="宋体" w:eastAsia="宋体" w:cs="宋体"/>
                <w:snapToGrid w:val="0"/>
                <w:color w:val="auto"/>
                <w:spacing w:val="3"/>
                <w:kern w:val="0"/>
                <w:sz w:val="24"/>
                <w:szCs w:val="24"/>
                <w:highlight w:val="none"/>
                <w:lang w:eastAsia="en-US"/>
              </w:rPr>
              <w:t xml:space="preserve"> </w:t>
            </w:r>
            <w:r>
              <w:rPr>
                <w:rFonts w:hint="eastAsia" w:ascii="宋体" w:hAnsi="宋体" w:eastAsia="宋体" w:cs="宋体"/>
                <w:snapToGrid w:val="0"/>
                <w:color w:val="auto"/>
                <w:spacing w:val="7"/>
                <w:kern w:val="0"/>
                <w:sz w:val="24"/>
                <w:szCs w:val="24"/>
                <w:highlight w:val="none"/>
                <w:lang w:eastAsia="en-US"/>
              </w:rPr>
              <w:t>代理机构或其组建的评标委员会依据招标文件作出的相应处理以及有关监督部门作出的</w:t>
            </w:r>
            <w:r>
              <w:rPr>
                <w:rFonts w:hint="eastAsia" w:ascii="宋体" w:hAnsi="宋体" w:eastAsia="宋体" w:cs="宋体"/>
                <w:snapToGrid w:val="0"/>
                <w:color w:val="auto"/>
                <w:spacing w:val="3"/>
                <w:kern w:val="0"/>
                <w:sz w:val="24"/>
                <w:szCs w:val="24"/>
                <w:highlight w:val="none"/>
                <w:lang w:eastAsia="en-US"/>
              </w:rPr>
              <w:t xml:space="preserve"> </w:t>
            </w:r>
            <w:r>
              <w:rPr>
                <w:rFonts w:hint="eastAsia" w:ascii="宋体" w:hAnsi="宋体" w:eastAsia="宋体" w:cs="宋体"/>
                <w:snapToGrid w:val="0"/>
                <w:color w:val="auto"/>
                <w:kern w:val="0"/>
                <w:sz w:val="24"/>
                <w:szCs w:val="24"/>
                <w:highlight w:val="none"/>
                <w:lang w:eastAsia="en-US"/>
              </w:rPr>
              <w:t>行政处罚，并承担由此引起的一切法律后果。</w:t>
            </w:r>
          </w:p>
        </w:tc>
      </w:tr>
      <w:tr w14:paraId="57984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521" w:type="dxa"/>
            <w:vAlign w:val="top"/>
          </w:tcPr>
          <w:p w14:paraId="05CE2B3A">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27F68C28">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4A9B3772">
            <w:pPr>
              <w:keepNext w:val="0"/>
              <w:keepLines w:val="0"/>
              <w:pageBreakBefore w:val="0"/>
              <w:widowControl/>
              <w:shd w:val="clear"/>
              <w:kinsoku w:val="0"/>
              <w:wordWrap/>
              <w:overflowPunct/>
              <w:topLinePunct w:val="0"/>
              <w:autoSpaceDE w:val="0"/>
              <w:autoSpaceDN w:val="0"/>
              <w:bidi w:val="0"/>
              <w:adjustRightInd w:val="0"/>
              <w:snapToGrid w:val="0"/>
              <w:spacing w:before="58" w:line="288" w:lineRule="auto"/>
              <w:ind w:left="314"/>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kern w:val="0"/>
                <w:sz w:val="24"/>
                <w:szCs w:val="24"/>
                <w:highlight w:val="none"/>
                <w:lang w:eastAsia="en-US"/>
              </w:rPr>
              <w:t>5</w:t>
            </w:r>
          </w:p>
        </w:tc>
        <w:tc>
          <w:tcPr>
            <w:tcW w:w="1530" w:type="dxa"/>
            <w:vAlign w:val="top"/>
          </w:tcPr>
          <w:p w14:paraId="4CEEB5B2">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1F0BBB97">
            <w:pPr>
              <w:keepNext w:val="0"/>
              <w:keepLines w:val="0"/>
              <w:pageBreakBefore w:val="0"/>
              <w:widowControl/>
              <w:shd w:val="clear"/>
              <w:kinsoku w:val="0"/>
              <w:wordWrap/>
              <w:overflowPunct/>
              <w:topLinePunct w:val="0"/>
              <w:autoSpaceDE w:val="0"/>
              <w:autoSpaceDN w:val="0"/>
              <w:bidi w:val="0"/>
              <w:adjustRightInd w:val="0"/>
              <w:snapToGrid w:val="0"/>
              <w:spacing w:before="65" w:line="288" w:lineRule="auto"/>
              <w:ind w:left="267" w:right="261" w:firstLine="105"/>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6"/>
                <w:kern w:val="0"/>
                <w:sz w:val="24"/>
                <w:szCs w:val="24"/>
                <w:highlight w:val="none"/>
                <w:lang w:eastAsia="en-US"/>
              </w:rPr>
              <w:t>投标文件</w:t>
            </w:r>
            <w:r>
              <w:rPr>
                <w:rFonts w:hint="eastAsia" w:ascii="宋体" w:hAnsi="宋体" w:eastAsia="宋体" w:cs="宋体"/>
                <w:snapToGrid w:val="0"/>
                <w:color w:val="auto"/>
                <w:spacing w:val="1"/>
                <w:kern w:val="0"/>
                <w:sz w:val="24"/>
                <w:szCs w:val="24"/>
                <w:highlight w:val="none"/>
                <w:lang w:eastAsia="en-US"/>
              </w:rPr>
              <w:t xml:space="preserve">  </w:t>
            </w:r>
            <w:r>
              <w:rPr>
                <w:rFonts w:hint="eastAsia" w:ascii="宋体" w:hAnsi="宋体" w:eastAsia="宋体" w:cs="宋体"/>
                <w:snapToGrid w:val="0"/>
                <w:color w:val="auto"/>
                <w:spacing w:val="7"/>
                <w:kern w:val="0"/>
                <w:sz w:val="24"/>
                <w:szCs w:val="24"/>
                <w:highlight w:val="none"/>
                <w:lang w:eastAsia="en-US"/>
              </w:rPr>
              <w:t>真实性承诺</w:t>
            </w:r>
          </w:p>
        </w:tc>
        <w:tc>
          <w:tcPr>
            <w:tcW w:w="3495" w:type="dxa"/>
            <w:vAlign w:val="top"/>
          </w:tcPr>
          <w:p w14:paraId="7B821AD0">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5BB27A49">
            <w:pPr>
              <w:keepNext w:val="0"/>
              <w:keepLines w:val="0"/>
              <w:pageBreakBefore w:val="0"/>
              <w:widowControl/>
              <w:shd w:val="clear"/>
              <w:kinsoku w:val="0"/>
              <w:wordWrap/>
              <w:overflowPunct/>
              <w:topLinePunct w:val="0"/>
              <w:autoSpaceDE w:val="0"/>
              <w:autoSpaceDN w:val="0"/>
              <w:bidi w:val="0"/>
              <w:adjustRightInd w:val="0"/>
              <w:snapToGrid w:val="0"/>
              <w:spacing w:before="65" w:line="288" w:lineRule="auto"/>
              <w:ind w:left="12" w:firstLine="409"/>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20"/>
                <w:kern w:val="0"/>
                <w:sz w:val="24"/>
                <w:szCs w:val="24"/>
                <w:highlight w:val="none"/>
                <w:lang w:eastAsia="en-US"/>
              </w:rPr>
              <w:t>我方所递交投标文件的全</w:t>
            </w:r>
            <w:r>
              <w:rPr>
                <w:rFonts w:hint="eastAsia" w:ascii="宋体" w:hAnsi="宋体" w:eastAsia="宋体" w:cs="宋体"/>
                <w:snapToGrid w:val="0"/>
                <w:color w:val="auto"/>
                <w:spacing w:val="-7"/>
                <w:kern w:val="0"/>
                <w:sz w:val="24"/>
                <w:szCs w:val="24"/>
                <w:highlight w:val="none"/>
                <w:lang w:eastAsia="en-US"/>
              </w:rPr>
              <w:t>部内容均为真实、有效、准确的。</w:t>
            </w:r>
          </w:p>
        </w:tc>
        <w:tc>
          <w:tcPr>
            <w:tcW w:w="4272" w:type="dxa"/>
            <w:vAlign w:val="top"/>
          </w:tcPr>
          <w:p w14:paraId="13636EF7">
            <w:pPr>
              <w:keepNext w:val="0"/>
              <w:keepLines w:val="0"/>
              <w:pageBreakBefore w:val="0"/>
              <w:widowControl/>
              <w:shd w:val="clear"/>
              <w:kinsoku w:val="0"/>
              <w:wordWrap/>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7"/>
                <w:kern w:val="0"/>
                <w:sz w:val="24"/>
                <w:szCs w:val="24"/>
                <w:highlight w:val="none"/>
                <w:lang w:eastAsia="en-US"/>
              </w:rPr>
              <w:t>如果我方递交的投标文件任何内容不真实或无效或不准确，我方接受招标人或其授权的招标代理机构或其组建的评标委员会依</w:t>
            </w:r>
            <w:r>
              <w:rPr>
                <w:rFonts w:hint="eastAsia" w:ascii="宋体" w:hAnsi="宋体" w:eastAsia="宋体" w:cs="宋体"/>
                <w:snapToGrid w:val="0"/>
                <w:color w:val="auto"/>
                <w:kern w:val="0"/>
                <w:sz w:val="24"/>
                <w:szCs w:val="24"/>
                <w:highlight w:val="none"/>
                <w:lang w:eastAsia="en-US"/>
              </w:rPr>
              <w:t>据招标文件作出的相应处理，包括否决投标。</w:t>
            </w:r>
          </w:p>
        </w:tc>
      </w:tr>
      <w:tr w14:paraId="3B4F9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521" w:type="dxa"/>
            <w:vAlign w:val="top"/>
          </w:tcPr>
          <w:p w14:paraId="5E7504E0">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6E3FF94C">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7995E990">
            <w:pPr>
              <w:keepNext w:val="0"/>
              <w:keepLines w:val="0"/>
              <w:pageBreakBefore w:val="0"/>
              <w:widowControl/>
              <w:shd w:val="clear"/>
              <w:kinsoku w:val="0"/>
              <w:wordWrap/>
              <w:overflowPunct/>
              <w:topLinePunct w:val="0"/>
              <w:autoSpaceDE w:val="0"/>
              <w:autoSpaceDN w:val="0"/>
              <w:bidi w:val="0"/>
              <w:adjustRightInd w:val="0"/>
              <w:snapToGrid w:val="0"/>
              <w:spacing w:before="58" w:line="288" w:lineRule="auto"/>
              <w:ind w:left="313"/>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kern w:val="0"/>
                <w:sz w:val="24"/>
                <w:szCs w:val="24"/>
                <w:highlight w:val="none"/>
                <w:lang w:eastAsia="en-US"/>
              </w:rPr>
              <w:t>6</w:t>
            </w:r>
          </w:p>
          <w:p w14:paraId="67909AAF">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r>
              <w:rPr>
                <w:rFonts w:hint="eastAsia" w:ascii="宋体" w:hAnsi="宋体" w:eastAsia="宋体" w:cs="宋体"/>
                <w:snapToGrid w:val="0"/>
                <w:color w:val="auto"/>
                <w:sz w:val="24"/>
                <w:szCs w:val="24"/>
                <w:highlight w:val="none"/>
                <w:lang w:val="en-US" w:eastAsia="en-US" w:bidi="ar-SA"/>
              </w:rPr>
              <w:drawing>
                <wp:anchor distT="0" distB="0" distL="114300" distR="114300" simplePos="0" relativeHeight="251662336"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33"/>
                          <a:stretch>
                            <a:fillRect/>
                          </a:stretch>
                        </pic:blipFill>
                        <pic:spPr>
                          <a:xfrm>
                            <a:off x="0" y="0"/>
                            <a:ext cx="6350" cy="241300"/>
                          </a:xfrm>
                          <a:prstGeom prst="rect">
                            <a:avLst/>
                          </a:prstGeom>
                          <a:noFill/>
                          <a:ln>
                            <a:noFill/>
                          </a:ln>
                        </pic:spPr>
                      </pic:pic>
                    </a:graphicData>
                  </a:graphic>
                </wp:anchor>
              </w:drawing>
            </w:r>
          </w:p>
        </w:tc>
        <w:tc>
          <w:tcPr>
            <w:tcW w:w="1530" w:type="dxa"/>
            <w:vAlign w:val="top"/>
          </w:tcPr>
          <w:p w14:paraId="7C80C75E">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7852C82B">
            <w:pPr>
              <w:keepNext w:val="0"/>
              <w:keepLines w:val="0"/>
              <w:pageBreakBefore w:val="0"/>
              <w:widowControl/>
              <w:shd w:val="clear"/>
              <w:kinsoku w:val="0"/>
              <w:wordWrap/>
              <w:overflowPunct/>
              <w:topLinePunct w:val="0"/>
              <w:autoSpaceDE w:val="0"/>
              <w:autoSpaceDN w:val="0"/>
              <w:bidi w:val="0"/>
              <w:adjustRightInd w:val="0"/>
              <w:snapToGrid w:val="0"/>
              <w:spacing w:line="288" w:lineRule="auto"/>
              <w:ind w:left="0"/>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6"/>
                <w:kern w:val="0"/>
                <w:sz w:val="24"/>
                <w:szCs w:val="24"/>
                <w:highlight w:val="none"/>
                <w:lang w:eastAsia="en-US"/>
              </w:rPr>
              <w:t>投标文件</w:t>
            </w:r>
          </w:p>
          <w:p w14:paraId="29EDDD87">
            <w:pPr>
              <w:keepNext w:val="0"/>
              <w:keepLines w:val="0"/>
              <w:pageBreakBefore w:val="0"/>
              <w:widowControl/>
              <w:shd w:val="clear"/>
              <w:kinsoku w:val="0"/>
              <w:wordWrap/>
              <w:overflowPunct/>
              <w:topLinePunct w:val="0"/>
              <w:autoSpaceDE w:val="0"/>
              <w:autoSpaceDN w:val="0"/>
              <w:bidi w:val="0"/>
              <w:adjustRightInd w:val="0"/>
              <w:snapToGrid w:val="0"/>
              <w:spacing w:line="288" w:lineRule="auto"/>
              <w:ind w:left="0"/>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8"/>
                <w:kern w:val="0"/>
                <w:sz w:val="24"/>
                <w:szCs w:val="24"/>
                <w:highlight w:val="none"/>
                <w:lang w:eastAsia="en-US"/>
              </w:rPr>
              <w:t>信息公开承诺</w:t>
            </w:r>
          </w:p>
        </w:tc>
        <w:tc>
          <w:tcPr>
            <w:tcW w:w="3495" w:type="dxa"/>
            <w:vAlign w:val="top"/>
          </w:tcPr>
          <w:p w14:paraId="56E13C12">
            <w:pPr>
              <w:keepNext w:val="0"/>
              <w:keepLines w:val="0"/>
              <w:pageBreakBefore w:val="0"/>
              <w:widowControl/>
              <w:shd w:val="clear"/>
              <w:kinsoku w:val="0"/>
              <w:wordWrap/>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6"/>
                <w:kern w:val="0"/>
                <w:sz w:val="24"/>
                <w:szCs w:val="24"/>
                <w:highlight w:val="none"/>
                <w:lang w:eastAsia="en-US"/>
              </w:rPr>
              <w:t>我方提供完整的文件。如果</w:t>
            </w:r>
            <w:r>
              <w:rPr>
                <w:rFonts w:hint="eastAsia" w:ascii="宋体" w:hAnsi="宋体" w:eastAsia="宋体" w:cs="宋体"/>
                <w:snapToGrid w:val="0"/>
                <w:color w:val="auto"/>
                <w:spacing w:val="7"/>
                <w:kern w:val="0"/>
                <w:sz w:val="24"/>
                <w:szCs w:val="24"/>
                <w:highlight w:val="none"/>
                <w:lang w:eastAsia="en-US"/>
              </w:rPr>
              <w:t>我方成为本项目中标候选人，我</w:t>
            </w:r>
            <w:r>
              <w:rPr>
                <w:rFonts w:hint="eastAsia" w:ascii="宋体" w:hAnsi="宋体" w:eastAsia="宋体" w:cs="宋体"/>
                <w:snapToGrid w:val="0"/>
                <w:color w:val="auto"/>
                <w:spacing w:val="23"/>
                <w:kern w:val="0"/>
                <w:sz w:val="24"/>
                <w:szCs w:val="24"/>
                <w:highlight w:val="none"/>
                <w:lang w:eastAsia="en-US"/>
              </w:rPr>
              <w:t>方同意并授权招标人在评标结果公示期内公开我方商务标书</w:t>
            </w:r>
            <w:r>
              <w:rPr>
                <w:rFonts w:hint="eastAsia" w:ascii="宋体" w:hAnsi="宋体" w:eastAsia="宋体" w:cs="宋体"/>
                <w:snapToGrid w:val="0"/>
                <w:color w:val="auto"/>
                <w:spacing w:val="3"/>
                <w:kern w:val="0"/>
                <w:sz w:val="24"/>
                <w:szCs w:val="24"/>
                <w:highlight w:val="none"/>
                <w:lang w:eastAsia="en-US"/>
              </w:rPr>
              <w:t>的全部内容。</w:t>
            </w:r>
          </w:p>
        </w:tc>
        <w:tc>
          <w:tcPr>
            <w:tcW w:w="4272" w:type="dxa"/>
            <w:vAlign w:val="top"/>
          </w:tcPr>
          <w:p w14:paraId="78948F2F">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360A1024">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08076F3D">
            <w:pPr>
              <w:keepNext w:val="0"/>
              <w:keepLines w:val="0"/>
              <w:pageBreakBefore w:val="0"/>
              <w:widowControl/>
              <w:shd w:val="clear"/>
              <w:kinsoku w:val="0"/>
              <w:wordWrap/>
              <w:overflowPunct/>
              <w:topLinePunct w:val="0"/>
              <w:autoSpaceDE w:val="0"/>
              <w:autoSpaceDN w:val="0"/>
              <w:bidi w:val="0"/>
              <w:adjustRightInd w:val="0"/>
              <w:snapToGrid w:val="0"/>
              <w:spacing w:before="58" w:line="288" w:lineRule="auto"/>
              <w:ind w:left="1979"/>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w:t>
            </w:r>
          </w:p>
        </w:tc>
      </w:tr>
      <w:tr w14:paraId="2B461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521" w:type="dxa"/>
            <w:vAlign w:val="top"/>
          </w:tcPr>
          <w:p w14:paraId="49D28FDA">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1135E8F7">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500B5250">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6F500A05">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236D389A">
            <w:pPr>
              <w:keepNext w:val="0"/>
              <w:keepLines w:val="0"/>
              <w:pageBreakBefore w:val="0"/>
              <w:widowControl/>
              <w:shd w:val="clear"/>
              <w:kinsoku w:val="0"/>
              <w:wordWrap/>
              <w:overflowPunct/>
              <w:topLinePunct w:val="0"/>
              <w:autoSpaceDE w:val="0"/>
              <w:autoSpaceDN w:val="0"/>
              <w:bidi w:val="0"/>
              <w:adjustRightInd w:val="0"/>
              <w:snapToGrid w:val="0"/>
              <w:spacing w:before="57" w:line="288" w:lineRule="auto"/>
              <w:ind w:left="312"/>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kern w:val="0"/>
                <w:sz w:val="24"/>
                <w:szCs w:val="24"/>
                <w:highlight w:val="none"/>
                <w:lang w:eastAsia="en-US"/>
              </w:rPr>
              <w:t>7</w:t>
            </w:r>
          </w:p>
        </w:tc>
        <w:tc>
          <w:tcPr>
            <w:tcW w:w="1530" w:type="dxa"/>
            <w:vAlign w:val="top"/>
          </w:tcPr>
          <w:p w14:paraId="0ED3EC94">
            <w:pPr>
              <w:keepNext w:val="0"/>
              <w:keepLines w:val="0"/>
              <w:pageBreakBefore w:val="0"/>
              <w:widowControl/>
              <w:shd w:val="clear"/>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snapToGrid w:val="0"/>
                <w:color w:val="auto"/>
                <w:sz w:val="24"/>
                <w:szCs w:val="24"/>
                <w:highlight w:val="none"/>
                <w:lang w:val="en-US" w:eastAsia="en-US" w:bidi="ar-SA"/>
              </w:rPr>
            </w:pPr>
          </w:p>
          <w:p w14:paraId="380A64C4">
            <w:pPr>
              <w:keepNext w:val="0"/>
              <w:keepLines w:val="0"/>
              <w:pageBreakBefore w:val="0"/>
              <w:widowControl/>
              <w:shd w:val="clear"/>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snapToGrid w:val="0"/>
                <w:color w:val="auto"/>
                <w:sz w:val="24"/>
                <w:szCs w:val="24"/>
                <w:highlight w:val="none"/>
                <w:lang w:val="en-US" w:eastAsia="en-US" w:bidi="ar-SA"/>
              </w:rPr>
            </w:pPr>
          </w:p>
          <w:p w14:paraId="288C3465">
            <w:pPr>
              <w:keepNext w:val="0"/>
              <w:keepLines w:val="0"/>
              <w:pageBreakBefore w:val="0"/>
              <w:widowControl/>
              <w:shd w:val="clear"/>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snapToGrid w:val="0"/>
                <w:color w:val="auto"/>
                <w:sz w:val="24"/>
                <w:szCs w:val="24"/>
                <w:highlight w:val="none"/>
                <w:lang w:val="en-US" w:eastAsia="en-US" w:bidi="ar-SA"/>
              </w:rPr>
            </w:pPr>
          </w:p>
          <w:p w14:paraId="6E179272">
            <w:pPr>
              <w:keepNext w:val="0"/>
              <w:keepLines w:val="0"/>
              <w:pageBreakBefore w:val="0"/>
              <w:widowControl/>
              <w:shd w:val="clear"/>
              <w:kinsoku w:val="0"/>
              <w:wordWrap/>
              <w:overflowPunct/>
              <w:topLinePunct w:val="0"/>
              <w:autoSpaceDE w:val="0"/>
              <w:autoSpaceDN w:val="0"/>
              <w:bidi w:val="0"/>
              <w:adjustRightInd w:val="0"/>
              <w:snapToGrid w:val="0"/>
              <w:spacing w:line="288" w:lineRule="auto"/>
              <w:ind w:left="0" w:right="0" w:firstLine="0"/>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8"/>
                <w:kern w:val="0"/>
                <w:sz w:val="24"/>
                <w:szCs w:val="24"/>
                <w:highlight w:val="none"/>
                <w:lang w:eastAsia="en-US"/>
              </w:rPr>
              <w:t>对不正常报价</w:t>
            </w:r>
            <w:r>
              <w:rPr>
                <w:rFonts w:hint="eastAsia" w:ascii="宋体" w:hAnsi="宋体" w:eastAsia="宋体" w:cs="宋体"/>
                <w:snapToGrid w:val="0"/>
                <w:color w:val="auto"/>
                <w:spacing w:val="1"/>
                <w:kern w:val="0"/>
                <w:sz w:val="24"/>
                <w:szCs w:val="24"/>
                <w:highlight w:val="none"/>
                <w:lang w:eastAsia="en-US"/>
              </w:rPr>
              <w:t xml:space="preserve"> </w:t>
            </w:r>
            <w:r>
              <w:rPr>
                <w:rFonts w:hint="eastAsia" w:ascii="宋体" w:hAnsi="宋体" w:eastAsia="宋体" w:cs="宋体"/>
                <w:snapToGrid w:val="0"/>
                <w:color w:val="auto"/>
                <w:spacing w:val="4"/>
                <w:kern w:val="0"/>
                <w:sz w:val="24"/>
                <w:szCs w:val="24"/>
                <w:highlight w:val="none"/>
                <w:lang w:eastAsia="en-US"/>
              </w:rPr>
              <w:t>的确认承诺</w:t>
            </w:r>
          </w:p>
        </w:tc>
        <w:tc>
          <w:tcPr>
            <w:tcW w:w="3495" w:type="dxa"/>
            <w:vAlign w:val="top"/>
          </w:tcPr>
          <w:p w14:paraId="5BCCA8A0">
            <w:pPr>
              <w:keepNext w:val="0"/>
              <w:keepLines w:val="0"/>
              <w:pageBreakBefore w:val="0"/>
              <w:widowControl/>
              <w:shd w:val="clear"/>
              <w:kinsoku w:val="0"/>
              <w:wordWrap/>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6"/>
                <w:kern w:val="0"/>
                <w:sz w:val="24"/>
                <w:szCs w:val="24"/>
                <w:highlight w:val="none"/>
                <w:lang w:eastAsia="en-US"/>
              </w:rPr>
              <w:t>如果我方中标，我方接受招</w:t>
            </w:r>
            <w:r>
              <w:rPr>
                <w:rFonts w:hint="eastAsia" w:ascii="宋体" w:hAnsi="宋体" w:eastAsia="宋体" w:cs="宋体"/>
                <w:snapToGrid w:val="0"/>
                <w:color w:val="auto"/>
                <w:spacing w:val="23"/>
                <w:kern w:val="0"/>
                <w:sz w:val="24"/>
                <w:szCs w:val="24"/>
                <w:highlight w:val="none"/>
                <w:lang w:eastAsia="en-US"/>
              </w:rPr>
              <w:t>标人在合同订立期间依据招标文件有关条款约定对我方已标价工程量清单中不正常报价的</w:t>
            </w:r>
            <w:r>
              <w:rPr>
                <w:rFonts w:hint="eastAsia" w:ascii="宋体" w:hAnsi="宋体" w:eastAsia="宋体" w:cs="宋体"/>
                <w:snapToGrid w:val="0"/>
                <w:color w:val="auto"/>
                <w:spacing w:val="7"/>
                <w:kern w:val="0"/>
                <w:sz w:val="24"/>
                <w:szCs w:val="24"/>
                <w:highlight w:val="none"/>
                <w:lang w:eastAsia="en-US"/>
              </w:rPr>
              <w:t>修正或认定，并按要求签署《不</w:t>
            </w:r>
            <w:r>
              <w:rPr>
                <w:rFonts w:hint="eastAsia" w:ascii="宋体" w:hAnsi="宋体" w:eastAsia="宋体" w:cs="宋体"/>
                <w:snapToGrid w:val="0"/>
                <w:color w:val="auto"/>
                <w:spacing w:val="8"/>
                <w:kern w:val="0"/>
                <w:sz w:val="24"/>
                <w:szCs w:val="24"/>
                <w:highlight w:val="none"/>
                <w:lang w:eastAsia="en-US"/>
              </w:rPr>
              <w:t>正常报价清单》加以确认。</w:t>
            </w:r>
          </w:p>
        </w:tc>
        <w:tc>
          <w:tcPr>
            <w:tcW w:w="4272" w:type="dxa"/>
            <w:vAlign w:val="top"/>
          </w:tcPr>
          <w:p w14:paraId="031D8C8F">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18068349">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69A13754">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1EC79608">
            <w:pPr>
              <w:keepNext w:val="0"/>
              <w:keepLines w:val="0"/>
              <w:pageBreakBefore w:val="0"/>
              <w:widowControl/>
              <w:shd w:val="clear"/>
              <w:kinsoku w:val="0"/>
              <w:wordWrap/>
              <w:overflowPunct/>
              <w:topLinePunct w:val="0"/>
              <w:autoSpaceDE w:val="0"/>
              <w:autoSpaceDN w:val="0"/>
              <w:bidi w:val="0"/>
              <w:adjustRightInd w:val="0"/>
              <w:snapToGrid w:val="0"/>
              <w:spacing w:before="57" w:line="288" w:lineRule="auto"/>
              <w:ind w:left="1979"/>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w:t>
            </w:r>
          </w:p>
        </w:tc>
      </w:tr>
      <w:tr w14:paraId="551AB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521" w:type="dxa"/>
            <w:vAlign w:val="top"/>
          </w:tcPr>
          <w:p w14:paraId="4AEE0E7D">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1DEE3A36">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0F1B6D91">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474B1D3F">
            <w:pPr>
              <w:keepNext w:val="0"/>
              <w:keepLines w:val="0"/>
              <w:pageBreakBefore w:val="0"/>
              <w:widowControl/>
              <w:shd w:val="clear"/>
              <w:kinsoku w:val="0"/>
              <w:wordWrap/>
              <w:overflowPunct/>
              <w:topLinePunct w:val="0"/>
              <w:autoSpaceDE w:val="0"/>
              <w:autoSpaceDN w:val="0"/>
              <w:bidi w:val="0"/>
              <w:adjustRightInd w:val="0"/>
              <w:snapToGrid w:val="0"/>
              <w:spacing w:before="58" w:line="288" w:lineRule="auto"/>
              <w:ind w:left="317"/>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kern w:val="0"/>
                <w:sz w:val="24"/>
                <w:szCs w:val="24"/>
                <w:highlight w:val="none"/>
                <w:lang w:eastAsia="en-US"/>
              </w:rPr>
              <w:t>8</w:t>
            </w:r>
          </w:p>
        </w:tc>
        <w:tc>
          <w:tcPr>
            <w:tcW w:w="1530" w:type="dxa"/>
            <w:vAlign w:val="top"/>
          </w:tcPr>
          <w:p w14:paraId="1B8FE009">
            <w:pPr>
              <w:keepNext w:val="0"/>
              <w:keepLines w:val="0"/>
              <w:pageBreakBefore w:val="0"/>
              <w:widowControl/>
              <w:shd w:val="clear"/>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snapToGrid w:val="0"/>
                <w:color w:val="auto"/>
                <w:sz w:val="24"/>
                <w:szCs w:val="24"/>
                <w:highlight w:val="none"/>
                <w:lang w:val="en-US" w:eastAsia="en-US" w:bidi="ar-SA"/>
              </w:rPr>
            </w:pPr>
          </w:p>
          <w:p w14:paraId="293566C3">
            <w:pPr>
              <w:keepNext w:val="0"/>
              <w:keepLines w:val="0"/>
              <w:pageBreakBefore w:val="0"/>
              <w:widowControl/>
              <w:shd w:val="clear"/>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snapToGrid w:val="0"/>
                <w:color w:val="auto"/>
                <w:sz w:val="24"/>
                <w:szCs w:val="24"/>
                <w:highlight w:val="none"/>
                <w:lang w:val="en-US" w:eastAsia="en-US" w:bidi="ar-SA"/>
              </w:rPr>
            </w:pPr>
          </w:p>
          <w:p w14:paraId="59157F38">
            <w:pPr>
              <w:keepNext w:val="0"/>
              <w:keepLines w:val="0"/>
              <w:pageBreakBefore w:val="0"/>
              <w:widowControl/>
              <w:shd w:val="clear"/>
              <w:kinsoku w:val="0"/>
              <w:wordWrap/>
              <w:overflowPunct/>
              <w:topLinePunct w:val="0"/>
              <w:autoSpaceDE w:val="0"/>
              <w:autoSpaceDN w:val="0"/>
              <w:bidi w:val="0"/>
              <w:adjustRightInd w:val="0"/>
              <w:snapToGrid w:val="0"/>
              <w:spacing w:line="288" w:lineRule="auto"/>
              <w:ind w:left="0" w:right="0" w:firstLine="0"/>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7"/>
                <w:kern w:val="0"/>
                <w:sz w:val="24"/>
                <w:szCs w:val="24"/>
                <w:highlight w:val="none"/>
                <w:lang w:eastAsia="en-US"/>
              </w:rPr>
              <w:t>按时提交履约</w:t>
            </w:r>
            <w:r>
              <w:rPr>
                <w:rFonts w:hint="eastAsia" w:ascii="宋体" w:hAnsi="宋体" w:eastAsia="宋体" w:cs="宋体"/>
                <w:snapToGrid w:val="0"/>
                <w:color w:val="auto"/>
                <w:spacing w:val="4"/>
                <w:kern w:val="0"/>
                <w:sz w:val="24"/>
                <w:szCs w:val="24"/>
                <w:highlight w:val="none"/>
                <w:lang w:eastAsia="en-US"/>
              </w:rPr>
              <w:t xml:space="preserve"> </w:t>
            </w:r>
            <w:r>
              <w:rPr>
                <w:rFonts w:hint="eastAsia" w:ascii="宋体" w:hAnsi="宋体" w:eastAsia="宋体" w:cs="宋体"/>
                <w:snapToGrid w:val="0"/>
                <w:color w:val="auto"/>
                <w:spacing w:val="7"/>
                <w:kern w:val="0"/>
                <w:sz w:val="24"/>
                <w:szCs w:val="24"/>
                <w:highlight w:val="none"/>
                <w:lang w:eastAsia="en-US"/>
              </w:rPr>
              <w:t>保证的承诺</w:t>
            </w:r>
          </w:p>
        </w:tc>
        <w:tc>
          <w:tcPr>
            <w:tcW w:w="3495" w:type="dxa"/>
            <w:vAlign w:val="top"/>
          </w:tcPr>
          <w:p w14:paraId="5D7189BD">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3BC81556">
            <w:pPr>
              <w:keepNext w:val="0"/>
              <w:keepLines w:val="0"/>
              <w:pageBreakBefore w:val="0"/>
              <w:widowControl/>
              <w:shd w:val="clear"/>
              <w:kinsoku w:val="0"/>
              <w:wordWrap/>
              <w:overflowPunct/>
              <w:topLinePunct w:val="0"/>
              <w:autoSpaceDE w:val="0"/>
              <w:autoSpaceDN w:val="0"/>
              <w:bidi w:val="0"/>
              <w:adjustRightInd w:val="0"/>
              <w:snapToGrid w:val="0"/>
              <w:spacing w:line="288" w:lineRule="auto"/>
              <w:ind w:left="11" w:right="0" w:firstLine="0"/>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6"/>
                <w:kern w:val="0"/>
                <w:sz w:val="24"/>
                <w:szCs w:val="24"/>
                <w:highlight w:val="none"/>
                <w:lang w:eastAsia="en-US"/>
              </w:rPr>
              <w:t>如果我方中标，我方保证在</w:t>
            </w:r>
            <w:r>
              <w:rPr>
                <w:rFonts w:hint="eastAsia" w:ascii="宋体" w:hAnsi="宋体" w:eastAsia="宋体" w:cs="宋体"/>
                <w:snapToGrid w:val="0"/>
                <w:color w:val="auto"/>
                <w:spacing w:val="23"/>
                <w:kern w:val="0"/>
                <w:sz w:val="24"/>
                <w:szCs w:val="24"/>
                <w:highlight w:val="none"/>
                <w:lang w:eastAsia="en-US"/>
              </w:rPr>
              <w:t>招标文件规定的时限内全额提</w:t>
            </w:r>
            <w:r>
              <w:rPr>
                <w:rFonts w:hint="eastAsia" w:ascii="宋体" w:hAnsi="宋体" w:eastAsia="宋体" w:cs="宋体"/>
                <w:snapToGrid w:val="0"/>
                <w:color w:val="auto"/>
                <w:spacing w:val="6"/>
                <w:kern w:val="0"/>
                <w:sz w:val="24"/>
                <w:szCs w:val="24"/>
                <w:highlight w:val="none"/>
                <w:lang w:eastAsia="en-US"/>
              </w:rPr>
              <w:t>交履约保证。</w:t>
            </w:r>
          </w:p>
        </w:tc>
        <w:tc>
          <w:tcPr>
            <w:tcW w:w="4272" w:type="dxa"/>
            <w:vAlign w:val="top"/>
          </w:tcPr>
          <w:p w14:paraId="3692D171">
            <w:pPr>
              <w:keepNext w:val="0"/>
              <w:keepLines w:val="0"/>
              <w:pageBreakBefore w:val="0"/>
              <w:widowControl/>
              <w:shd w:val="clear"/>
              <w:kinsoku w:val="0"/>
              <w:wordWrap/>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9"/>
                <w:kern w:val="0"/>
                <w:sz w:val="24"/>
                <w:szCs w:val="24"/>
                <w:highlight w:val="none"/>
                <w:lang w:eastAsia="en-US"/>
              </w:rPr>
              <w:t>如果我方未在招标文件规定的时限内全</w:t>
            </w:r>
            <w:r>
              <w:rPr>
                <w:rFonts w:hint="eastAsia" w:ascii="宋体" w:hAnsi="宋体" w:eastAsia="宋体" w:cs="宋体"/>
                <w:snapToGrid w:val="0"/>
                <w:color w:val="auto"/>
                <w:spacing w:val="3"/>
                <w:kern w:val="0"/>
                <w:sz w:val="24"/>
                <w:szCs w:val="24"/>
                <w:highlight w:val="none"/>
                <w:lang w:eastAsia="en-US"/>
              </w:rPr>
              <w:t xml:space="preserve"> </w:t>
            </w:r>
            <w:r>
              <w:rPr>
                <w:rFonts w:hint="eastAsia" w:ascii="宋体" w:hAnsi="宋体" w:eastAsia="宋体" w:cs="宋体"/>
                <w:snapToGrid w:val="0"/>
                <w:color w:val="auto"/>
                <w:spacing w:val="9"/>
                <w:kern w:val="0"/>
                <w:sz w:val="24"/>
                <w:szCs w:val="24"/>
                <w:highlight w:val="none"/>
                <w:lang w:eastAsia="en-US"/>
              </w:rPr>
              <w:t>额提交履约保证，我方接受招标人依据招标文件作出的相应处理以及有关监督部门作出的行政处罚，并承担由此引起的一切法律后</w:t>
            </w:r>
            <w:r>
              <w:rPr>
                <w:rFonts w:hint="eastAsia" w:ascii="宋体" w:hAnsi="宋体" w:eastAsia="宋体" w:cs="宋体"/>
                <w:snapToGrid w:val="0"/>
                <w:color w:val="auto"/>
                <w:spacing w:val="8"/>
                <w:kern w:val="0"/>
                <w:sz w:val="24"/>
                <w:szCs w:val="24"/>
                <w:highlight w:val="none"/>
                <w:lang w:eastAsia="en-US"/>
              </w:rPr>
              <w:t xml:space="preserve"> </w:t>
            </w:r>
            <w:r>
              <w:rPr>
                <w:rFonts w:hint="eastAsia" w:ascii="宋体" w:hAnsi="宋体" w:eastAsia="宋体" w:cs="宋体"/>
                <w:snapToGrid w:val="0"/>
                <w:color w:val="auto"/>
                <w:kern w:val="0"/>
                <w:sz w:val="24"/>
                <w:szCs w:val="24"/>
                <w:highlight w:val="none"/>
                <w:lang w:eastAsia="en-US"/>
              </w:rPr>
              <w:t>果。</w:t>
            </w:r>
          </w:p>
        </w:tc>
      </w:tr>
      <w:tr w14:paraId="74C60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521" w:type="dxa"/>
            <w:vAlign w:val="top"/>
          </w:tcPr>
          <w:p w14:paraId="3E367FFE">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78DF9063">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3DA3973A">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55C85BFE">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4FF0AAD4">
            <w:pPr>
              <w:keepNext w:val="0"/>
              <w:keepLines w:val="0"/>
              <w:pageBreakBefore w:val="0"/>
              <w:widowControl/>
              <w:shd w:val="clear"/>
              <w:kinsoku w:val="0"/>
              <w:wordWrap/>
              <w:overflowPunct/>
              <w:topLinePunct w:val="0"/>
              <w:autoSpaceDE w:val="0"/>
              <w:autoSpaceDN w:val="0"/>
              <w:bidi w:val="0"/>
              <w:adjustRightInd w:val="0"/>
              <w:snapToGrid w:val="0"/>
              <w:spacing w:before="58" w:line="288" w:lineRule="auto"/>
              <w:ind w:left="312"/>
              <w:jc w:val="left"/>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kern w:val="0"/>
                <w:sz w:val="24"/>
                <w:szCs w:val="24"/>
                <w:highlight w:val="none"/>
                <w:lang w:eastAsia="en-US"/>
              </w:rPr>
              <w:t>9</w:t>
            </w:r>
          </w:p>
        </w:tc>
        <w:tc>
          <w:tcPr>
            <w:tcW w:w="1530" w:type="dxa"/>
            <w:vAlign w:val="top"/>
          </w:tcPr>
          <w:p w14:paraId="3B242BDD">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5134DB4D">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68E5D5CA">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1AC24955">
            <w:pPr>
              <w:keepNext w:val="0"/>
              <w:keepLines w:val="0"/>
              <w:pageBreakBefore w:val="0"/>
              <w:widowControl/>
              <w:shd w:val="clear"/>
              <w:kinsoku w:val="0"/>
              <w:wordWrap/>
              <w:overflowPunct/>
              <w:topLinePunct w:val="0"/>
              <w:autoSpaceDE w:val="0"/>
              <w:autoSpaceDN w:val="0"/>
              <w:bidi w:val="0"/>
              <w:adjustRightInd w:val="0"/>
              <w:snapToGrid w:val="0"/>
              <w:spacing w:line="288" w:lineRule="auto"/>
              <w:ind w:left="0" w:right="0" w:firstLine="0"/>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7"/>
                <w:kern w:val="0"/>
                <w:sz w:val="24"/>
                <w:szCs w:val="24"/>
                <w:highlight w:val="none"/>
                <w:lang w:eastAsia="en-US"/>
              </w:rPr>
              <w:t>按时签订合同</w:t>
            </w:r>
            <w:r>
              <w:rPr>
                <w:rFonts w:hint="eastAsia" w:ascii="宋体" w:hAnsi="宋体" w:eastAsia="宋体" w:cs="宋体"/>
                <w:snapToGrid w:val="0"/>
                <w:color w:val="auto"/>
                <w:spacing w:val="1"/>
                <w:kern w:val="0"/>
                <w:sz w:val="24"/>
                <w:szCs w:val="24"/>
                <w:highlight w:val="none"/>
                <w:lang w:eastAsia="en-US"/>
              </w:rPr>
              <w:t>的承诺</w:t>
            </w:r>
          </w:p>
        </w:tc>
        <w:tc>
          <w:tcPr>
            <w:tcW w:w="3495" w:type="dxa"/>
            <w:vAlign w:val="top"/>
          </w:tcPr>
          <w:p w14:paraId="5FF6A740">
            <w:pPr>
              <w:keepNext w:val="0"/>
              <w:keepLines w:val="0"/>
              <w:pageBreakBefore w:val="0"/>
              <w:widowControl/>
              <w:shd w:val="clear"/>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napToGrid w:val="0"/>
                <w:color w:val="auto"/>
                <w:sz w:val="24"/>
                <w:szCs w:val="24"/>
                <w:highlight w:val="none"/>
                <w:lang w:val="en-US" w:eastAsia="en-US" w:bidi="ar-SA"/>
              </w:rPr>
            </w:pPr>
          </w:p>
          <w:p w14:paraId="4883EC77">
            <w:pPr>
              <w:keepNext w:val="0"/>
              <w:keepLines w:val="0"/>
              <w:pageBreakBefore w:val="0"/>
              <w:widowControl/>
              <w:shd w:val="clear"/>
              <w:kinsoku w:val="0"/>
              <w:wordWrap/>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6"/>
                <w:kern w:val="0"/>
                <w:sz w:val="24"/>
                <w:szCs w:val="24"/>
                <w:highlight w:val="none"/>
                <w:lang w:eastAsia="en-US"/>
              </w:rPr>
              <w:t>如果我方中标，我方保证在</w:t>
            </w:r>
            <w:r>
              <w:rPr>
                <w:rFonts w:hint="eastAsia" w:ascii="宋体" w:hAnsi="宋体" w:eastAsia="宋体" w:cs="宋体"/>
                <w:snapToGrid w:val="0"/>
                <w:color w:val="auto"/>
                <w:spacing w:val="23"/>
                <w:kern w:val="0"/>
                <w:sz w:val="24"/>
                <w:szCs w:val="24"/>
                <w:highlight w:val="none"/>
                <w:lang w:eastAsia="en-US"/>
              </w:rPr>
              <w:t>招标文件规定的时限内与招标</w:t>
            </w:r>
            <w:r>
              <w:rPr>
                <w:rFonts w:hint="eastAsia" w:ascii="宋体" w:hAnsi="宋体" w:eastAsia="宋体" w:cs="宋体"/>
                <w:snapToGrid w:val="0"/>
                <w:color w:val="auto"/>
                <w:spacing w:val="7"/>
                <w:kern w:val="0"/>
                <w:sz w:val="24"/>
                <w:szCs w:val="24"/>
                <w:highlight w:val="none"/>
                <w:lang w:eastAsia="en-US"/>
              </w:rPr>
              <w:t>人签订合同，不提出违背或超出</w:t>
            </w:r>
            <w:r>
              <w:rPr>
                <w:rFonts w:hint="eastAsia" w:ascii="宋体" w:hAnsi="宋体" w:eastAsia="宋体" w:cs="宋体"/>
                <w:snapToGrid w:val="0"/>
                <w:color w:val="auto"/>
                <w:spacing w:val="8"/>
                <w:kern w:val="0"/>
                <w:sz w:val="24"/>
                <w:szCs w:val="24"/>
                <w:highlight w:val="none"/>
                <w:lang w:eastAsia="en-US"/>
              </w:rPr>
              <w:t>招标文件、中标文件的要求。</w:t>
            </w:r>
          </w:p>
        </w:tc>
        <w:tc>
          <w:tcPr>
            <w:tcW w:w="4272" w:type="dxa"/>
            <w:vAlign w:val="top"/>
          </w:tcPr>
          <w:p w14:paraId="40F7661E">
            <w:pPr>
              <w:keepNext w:val="0"/>
              <w:keepLines w:val="0"/>
              <w:pageBreakBefore w:val="0"/>
              <w:widowControl/>
              <w:shd w:val="clear"/>
              <w:kinsoku w:val="0"/>
              <w:wordWrap/>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spacing w:val="7"/>
                <w:kern w:val="0"/>
                <w:sz w:val="24"/>
                <w:szCs w:val="24"/>
                <w:highlight w:val="none"/>
                <w:lang w:eastAsia="en-US"/>
              </w:rPr>
              <w:t>如果我方未在招标文件规定的时限内与招标人签订合同，或我方在签订合同过程中</w:t>
            </w:r>
            <w:r>
              <w:rPr>
                <w:rFonts w:hint="eastAsia" w:ascii="宋体" w:hAnsi="宋体" w:eastAsia="宋体" w:cs="宋体"/>
                <w:snapToGrid w:val="0"/>
                <w:color w:val="auto"/>
                <w:kern w:val="0"/>
                <w:sz w:val="24"/>
                <w:szCs w:val="24"/>
                <w:highlight w:val="none"/>
                <w:lang w:eastAsia="en-US"/>
              </w:rPr>
              <w:t>提出违背或超出招标文件、中标文件的要求。</w:t>
            </w:r>
            <w:r>
              <w:rPr>
                <w:rFonts w:hint="eastAsia" w:ascii="宋体" w:hAnsi="宋体" w:eastAsia="宋体" w:cs="宋体"/>
                <w:snapToGrid w:val="0"/>
                <w:color w:val="auto"/>
                <w:spacing w:val="2"/>
                <w:kern w:val="0"/>
                <w:sz w:val="24"/>
                <w:szCs w:val="24"/>
                <w:highlight w:val="none"/>
                <w:lang w:eastAsia="en-US"/>
              </w:rPr>
              <w:t xml:space="preserve"> </w:t>
            </w:r>
            <w:r>
              <w:rPr>
                <w:rFonts w:hint="eastAsia" w:ascii="宋体" w:hAnsi="宋体" w:eastAsia="宋体" w:cs="宋体"/>
                <w:snapToGrid w:val="0"/>
                <w:color w:val="auto"/>
                <w:spacing w:val="7"/>
                <w:kern w:val="0"/>
                <w:sz w:val="24"/>
                <w:szCs w:val="24"/>
                <w:highlight w:val="none"/>
                <w:lang w:eastAsia="en-US"/>
              </w:rPr>
              <w:t>我方接受招标人依据招标文件作出的相应处</w:t>
            </w:r>
            <w:r>
              <w:rPr>
                <w:rFonts w:hint="eastAsia" w:ascii="宋体" w:hAnsi="宋体" w:eastAsia="宋体" w:cs="宋体"/>
                <w:snapToGrid w:val="0"/>
                <w:color w:val="auto"/>
                <w:spacing w:val="1"/>
                <w:kern w:val="0"/>
                <w:sz w:val="24"/>
                <w:szCs w:val="24"/>
                <w:highlight w:val="none"/>
                <w:lang w:eastAsia="en-US"/>
              </w:rPr>
              <w:t xml:space="preserve"> </w:t>
            </w:r>
            <w:r>
              <w:rPr>
                <w:rFonts w:hint="eastAsia" w:ascii="宋体" w:hAnsi="宋体" w:eastAsia="宋体" w:cs="宋体"/>
                <w:snapToGrid w:val="0"/>
                <w:color w:val="auto"/>
                <w:spacing w:val="7"/>
                <w:kern w:val="0"/>
                <w:sz w:val="24"/>
                <w:szCs w:val="24"/>
                <w:highlight w:val="none"/>
                <w:lang w:eastAsia="en-US"/>
              </w:rPr>
              <w:t>理以及有关监督部门作出的行政处罚，并承</w:t>
            </w:r>
            <w:r>
              <w:rPr>
                <w:rFonts w:hint="eastAsia" w:ascii="宋体" w:hAnsi="宋体" w:eastAsia="宋体" w:cs="宋体"/>
                <w:snapToGrid w:val="0"/>
                <w:color w:val="auto"/>
                <w:spacing w:val="5"/>
                <w:kern w:val="0"/>
                <w:sz w:val="24"/>
                <w:szCs w:val="24"/>
                <w:highlight w:val="none"/>
                <w:lang w:eastAsia="en-US"/>
              </w:rPr>
              <w:t>担由此引起的一切法律后果。</w:t>
            </w:r>
          </w:p>
        </w:tc>
      </w:tr>
    </w:tbl>
    <w:p w14:paraId="2C920D07">
      <w:pPr>
        <w:pStyle w:val="10"/>
        <w:wordWrap w:val="0"/>
        <w:adjustRightInd w:val="0"/>
        <w:snapToGrid w:val="0"/>
        <w:spacing w:line="420" w:lineRule="exact"/>
        <w:ind w:firstLine="480" w:firstLineChars="200"/>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（盖单位章）</w:t>
      </w:r>
    </w:p>
    <w:p w14:paraId="3662C430">
      <w:pPr>
        <w:pStyle w:val="10"/>
        <w:wordWrap w:val="0"/>
        <w:adjustRightInd w:val="0"/>
        <w:snapToGrid w:val="0"/>
        <w:spacing w:line="420" w:lineRule="exact"/>
        <w:ind w:firstLine="480" w:firstLineChars="200"/>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法定代表人或其委托代理人：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（签字或盖章）</w:t>
      </w:r>
    </w:p>
    <w:p w14:paraId="17ACD68A">
      <w:pPr>
        <w:pStyle w:val="10"/>
        <w:wordWrap w:val="0"/>
        <w:adjustRightInd w:val="0"/>
        <w:snapToGrid w:val="0"/>
        <w:spacing w:line="420" w:lineRule="exact"/>
        <w:ind w:firstLine="480" w:firstLineChars="200"/>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469C4950">
      <w:pPr>
        <w:wordWrap w:val="0"/>
        <w:adjustRightInd w:val="0"/>
        <w:snapToGrid w:val="0"/>
        <w:spacing w:line="420" w:lineRule="exact"/>
        <w:jc w:val="left"/>
        <w:outlineLvl w:val="2"/>
        <w:rPr>
          <w:rFonts w:hint="eastAsia" w:ascii="宋体" w:hAnsi="宋体" w:eastAsia="宋体" w:cs="宋体"/>
          <w:b/>
          <w:snapToGrid w:val="0"/>
          <w:color w:val="auto"/>
          <w:kern w:val="0"/>
          <w:highlight w:val="none"/>
        </w:rPr>
        <w:sectPr>
          <w:endnotePr>
            <w:numFmt w:val="decimal"/>
          </w:endnotePr>
          <w:pgSz w:w="11906" w:h="16838"/>
          <w:pgMar w:top="1701" w:right="1531" w:bottom="1417" w:left="1531" w:header="850" w:footer="992" w:gutter="0"/>
          <w:cols w:space="720" w:num="1"/>
          <w:docGrid w:linePitch="327" w:charSpace="0"/>
        </w:sectPr>
      </w:pPr>
    </w:p>
    <w:p w14:paraId="3954148F">
      <w:pPr>
        <w:pStyle w:val="49"/>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28" w:name="_Toc4663"/>
      <w:bookmarkStart w:id="429" w:name="_Toc12795"/>
      <w:bookmarkStart w:id="430" w:name="_Toc25154"/>
      <w:bookmarkStart w:id="431" w:name="_Toc30144"/>
      <w:bookmarkStart w:id="432" w:name="_Toc4092"/>
      <w:bookmarkStart w:id="433" w:name="_Toc22"/>
      <w:r>
        <w:rPr>
          <w:rStyle w:val="22"/>
          <w:rFonts w:hint="eastAsia" w:ascii="宋体" w:hAnsi="宋体" w:eastAsia="宋体" w:cs="宋体"/>
          <w:b/>
          <w:bCs/>
          <w:color w:val="auto"/>
          <w:sz w:val="21"/>
          <w:szCs w:val="21"/>
          <w:highlight w:val="none"/>
        </w:rPr>
        <w:t>格式四 授权委托书</w:t>
      </w:r>
      <w:bookmarkEnd w:id="423"/>
      <w:bookmarkEnd w:id="424"/>
      <w:bookmarkEnd w:id="425"/>
      <w:bookmarkEnd w:id="426"/>
      <w:bookmarkEnd w:id="428"/>
      <w:bookmarkEnd w:id="429"/>
      <w:bookmarkEnd w:id="430"/>
      <w:bookmarkEnd w:id="431"/>
      <w:bookmarkEnd w:id="432"/>
      <w:bookmarkEnd w:id="433"/>
    </w:p>
    <w:p w14:paraId="4ED2C6C1">
      <w:pPr>
        <w:snapToGrid w:val="0"/>
        <w:spacing w:line="440" w:lineRule="exact"/>
        <w:rPr>
          <w:rStyle w:val="22"/>
          <w:rFonts w:hint="eastAsia" w:ascii="宋体" w:hAnsi="宋体" w:eastAsia="宋体" w:cs="宋体"/>
          <w:b/>
          <w:bCs/>
          <w:color w:val="auto"/>
          <w:kern w:val="0"/>
          <w:highlight w:val="none"/>
        </w:rPr>
      </w:pPr>
    </w:p>
    <w:p w14:paraId="78F6409A">
      <w:pPr>
        <w:snapToGrid w:val="0"/>
        <w:spacing w:before="260" w:after="260" w:line="440" w:lineRule="exact"/>
        <w:jc w:val="center"/>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sz w:val="30"/>
          <w:szCs w:val="30"/>
          <w:highlight w:val="none"/>
        </w:rPr>
        <w:t>授权委托书</w:t>
      </w:r>
    </w:p>
    <w:p w14:paraId="54B7F890">
      <w:pPr>
        <w:snapToGrid w:val="0"/>
        <w:spacing w:line="440" w:lineRule="exact"/>
        <w:rPr>
          <w:rStyle w:val="22"/>
          <w:rFonts w:hint="eastAsia" w:ascii="宋体" w:hAnsi="宋体" w:eastAsia="宋体" w:cs="宋体"/>
          <w:color w:val="auto"/>
          <w:kern w:val="0"/>
          <w:highlight w:val="none"/>
        </w:rPr>
      </w:pPr>
    </w:p>
    <w:p w14:paraId="21D98018">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本人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（姓名）系</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（投标人名称）的法定代表人，现委托</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（姓名）为我方代理人。代理人根据授权，以我方名义签署、澄清、说明、补正、递交、撤回、修改</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（工程名称）投标文件、签订合同和处理有关事宜，其法律后果由我方承担。</w:t>
      </w:r>
    </w:p>
    <w:p w14:paraId="553888EF">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委托期限：</w:t>
      </w:r>
      <w:r>
        <w:rPr>
          <w:rFonts w:hint="eastAsia" w:ascii="宋体" w:hAnsi="宋体" w:eastAsia="宋体" w:cs="宋体"/>
          <w:snapToGrid w:val="0"/>
          <w:color w:val="auto"/>
          <w:kern w:val="0"/>
          <w:szCs w:val="21"/>
          <w:highlight w:val="none"/>
          <w:u w:val="single"/>
        </w:rPr>
        <w:t>至投标有效期的期满之日止</w:t>
      </w:r>
      <w:r>
        <w:rPr>
          <w:rStyle w:val="22"/>
          <w:rFonts w:hint="eastAsia" w:ascii="宋体" w:hAnsi="宋体" w:eastAsia="宋体" w:cs="宋体"/>
          <w:color w:val="auto"/>
          <w:kern w:val="0"/>
          <w:highlight w:val="none"/>
        </w:rPr>
        <w:t>。</w:t>
      </w:r>
    </w:p>
    <w:p w14:paraId="1B774FAE">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代理人无转委托权。</w:t>
      </w:r>
    </w:p>
    <w:p w14:paraId="6C23F4C2">
      <w:pPr>
        <w:snapToGrid w:val="0"/>
        <w:spacing w:line="440" w:lineRule="exact"/>
        <w:ind w:firstLine="480" w:firstLineChars="200"/>
        <w:rPr>
          <w:rStyle w:val="22"/>
          <w:rFonts w:hint="eastAsia" w:ascii="宋体" w:hAnsi="宋体" w:eastAsia="宋体" w:cs="宋体"/>
          <w:color w:val="auto"/>
          <w:kern w:val="0"/>
          <w:highlight w:val="none"/>
        </w:rPr>
      </w:pPr>
    </w:p>
    <w:p w14:paraId="75393601">
      <w:pPr>
        <w:snapToGrid w:val="0"/>
        <w:spacing w:line="440" w:lineRule="exact"/>
        <w:ind w:firstLine="480" w:firstLineChars="200"/>
        <w:rPr>
          <w:rStyle w:val="22"/>
          <w:rFonts w:hint="eastAsia" w:ascii="宋体" w:hAnsi="宋体" w:eastAsia="宋体" w:cs="宋体"/>
          <w:color w:val="auto"/>
          <w:kern w:val="0"/>
          <w:highlight w:val="none"/>
        </w:rPr>
      </w:pPr>
    </w:p>
    <w:p w14:paraId="44E8B34F">
      <w:pPr>
        <w:snapToGrid w:val="0"/>
        <w:spacing w:line="440" w:lineRule="exact"/>
        <w:ind w:firstLine="480" w:firstLineChars="200"/>
        <w:rPr>
          <w:rStyle w:val="22"/>
          <w:rFonts w:hint="eastAsia" w:ascii="宋体" w:hAnsi="宋体" w:eastAsia="宋体" w:cs="宋体"/>
          <w:color w:val="auto"/>
          <w:kern w:val="0"/>
          <w:highlight w:val="none"/>
        </w:rPr>
      </w:pPr>
    </w:p>
    <w:p w14:paraId="668EB3C5">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投  标  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（盖单位章）</w:t>
      </w:r>
    </w:p>
    <w:p w14:paraId="50D79FD3">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w:t>
      </w:r>
    </w:p>
    <w:p w14:paraId="57558332">
      <w:pPr>
        <w:snapToGrid w:val="0"/>
        <w:spacing w:line="440" w:lineRule="exact"/>
        <w:ind w:firstLine="480" w:firstLineChars="200"/>
        <w:rPr>
          <w:rStyle w:val="22"/>
          <w:rFonts w:hint="eastAsia" w:ascii="宋体" w:hAnsi="宋体" w:eastAsia="宋体" w:cs="宋体"/>
          <w:color w:val="auto"/>
          <w:kern w:val="0"/>
          <w:highlight w:val="none"/>
        </w:rPr>
      </w:pPr>
    </w:p>
    <w:p w14:paraId="3AF3168E">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法定代表人：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（签字或盖章）</w:t>
      </w:r>
    </w:p>
    <w:p w14:paraId="3FDA6835">
      <w:pPr>
        <w:snapToGrid w:val="0"/>
        <w:spacing w:line="440" w:lineRule="exact"/>
        <w:ind w:firstLine="480" w:firstLineChars="200"/>
        <w:rPr>
          <w:rStyle w:val="22"/>
          <w:rFonts w:hint="eastAsia" w:ascii="宋体" w:hAnsi="宋体" w:eastAsia="宋体" w:cs="宋体"/>
          <w:color w:val="auto"/>
          <w:kern w:val="0"/>
          <w:highlight w:val="none"/>
        </w:rPr>
      </w:pPr>
    </w:p>
    <w:p w14:paraId="622C4AF1">
      <w:pPr>
        <w:snapToGrid w:val="0"/>
        <w:spacing w:line="440" w:lineRule="exact"/>
        <w:ind w:left="2640" w:leftChars="200" w:hanging="2160" w:hangingChars="9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委托代理人：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（签字或盖章）</w:t>
      </w:r>
    </w:p>
    <w:p w14:paraId="49F4FA9A">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w:t>
      </w:r>
    </w:p>
    <w:p w14:paraId="0FD1FB8D">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日</w:t>
      </w:r>
    </w:p>
    <w:p w14:paraId="67E9A2F5">
      <w:pPr>
        <w:snapToGrid w:val="0"/>
        <w:spacing w:line="440" w:lineRule="exact"/>
        <w:ind w:firstLine="480" w:firstLineChars="200"/>
        <w:rPr>
          <w:rStyle w:val="22"/>
          <w:rFonts w:hint="eastAsia" w:ascii="宋体" w:hAnsi="宋体" w:eastAsia="宋体" w:cs="宋体"/>
          <w:color w:val="auto"/>
          <w:kern w:val="0"/>
          <w:highlight w:val="none"/>
        </w:rPr>
      </w:pPr>
    </w:p>
    <w:p w14:paraId="72C66C62">
      <w:pPr>
        <w:snapToGrid w:val="0"/>
        <w:ind w:firstLine="5520" w:firstLineChars="2300"/>
        <w:rPr>
          <w:rStyle w:val="22"/>
          <w:rFonts w:hint="eastAsia" w:ascii="宋体" w:hAnsi="宋体" w:eastAsia="宋体" w:cs="宋体"/>
          <w:color w:val="auto"/>
          <w:kern w:val="0"/>
          <w:highlight w:val="none"/>
        </w:rPr>
      </w:pPr>
      <w:r>
        <w:rPr>
          <w:rFonts w:hint="eastAsia" w:ascii="宋体" w:hAnsi="宋体" w:eastAsia="宋体" w:cs="宋体"/>
          <w:color w:val="auto"/>
          <w:highlight w:val="none"/>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 name="流程图: 可选过程 2" hidden="1"/>
                <wp:cNvGraphicFramePr/>
                <a:graphic xmlns:a="http://schemas.openxmlformats.org/drawingml/2006/main">
                  <a:graphicData uri="http://schemas.microsoft.com/office/word/2010/wordprocessingShape">
                    <wps:wsp>
                      <wps:cNvSpPr/>
                      <wps:spPr>
                        <a:xfrm>
                          <a:off x="0" y="0"/>
                          <a:ext cx="635000" cy="63500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B9AF8DA">
                            <w:pPr>
                              <w:rPr>
                                <w:rFonts w:cs="Times New Roman"/>
                              </w:rPr>
                            </w:pPr>
                          </w:p>
                        </w:txbxContent>
                      </wps:txbx>
                      <wps:bodyPr upright="1"/>
                    </wps:wsp>
                  </a:graphicData>
                </a:graphic>
              </wp:anchor>
            </w:drawing>
          </mc:Choice>
          <mc:Fallback>
            <w:pict>
              <v:shape id="_x0000_s1026" o:spid="_x0000_s1026" o:spt="176" type="#_x0000_t176" style="position:absolute;left:0pt;margin-left:0pt;margin-top:0pt;height:50pt;width:50pt;visibility:hidden;z-index:251659264;mso-width-relative:page;mso-height-relative:page;" fillcolor="#FFFFFF" filled="t" stroked="t" coordsize="21600,21600" o:gfxdata="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bZ&#10;PMLRAAAABQEAAA8AAAAAAAAAAQAgAAAAIgAAAGRycy9kb3ducmV2LnhtbFBLAQIUABQAAAAIAIdO&#10;4kB+QdsTKgIAAFkEAAAOAAAAAAAAAAEAIAAAACABAABkcnMvZTJvRG9jLnhtbFBLBQYAAAAABgAG&#10;AFkBAAC8BQAAAAA=&#10;">
                <v:fill on="t" focussize="0,0"/>
                <v:stroke color="#000000" joinstyle="miter"/>
                <v:imagedata o:title=""/>
                <o:lock v:ext="edit" aspectratio="f"/>
                <v:textbox>
                  <w:txbxContent>
                    <w:p w14:paraId="0B9AF8DA">
                      <w:pPr>
                        <w:rPr>
                          <w:rFonts w:cs="Times New Roman"/>
                        </w:rPr>
                      </w:pPr>
                    </w:p>
                  </w:txbxContent>
                </v:textbox>
              </v:shape>
            </w:pict>
          </mc:Fallback>
        </mc:AlternateContent>
      </w:r>
      <w:r>
        <w:rPr>
          <w:rFonts w:hint="eastAsia" w:ascii="宋体" w:hAnsi="宋体" w:eastAsia="宋体" w:cs="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3" name="流程图: 可选过程 3"/>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0055C93">
                            <w:pPr>
                              <w:jc w:val="center"/>
                              <w:rPr>
                                <w:rStyle w:val="22"/>
                                <w:rFonts w:cs="Times New Roman"/>
                              </w:rPr>
                            </w:pPr>
                          </w:p>
                          <w:p w14:paraId="632C69CD">
                            <w:pPr>
                              <w:jc w:val="center"/>
                              <w:rPr>
                                <w:rStyle w:val="22"/>
                                <w:rFonts w:cs="Times New Roman"/>
                              </w:rPr>
                            </w:pPr>
                          </w:p>
                          <w:p w14:paraId="20D34E49">
                            <w:pPr>
                              <w:jc w:val="center"/>
                              <w:rPr>
                                <w:rStyle w:val="22"/>
                                <w:rFonts w:cs="Times New Roman"/>
                              </w:rPr>
                            </w:pPr>
                            <w:r>
                              <w:rPr>
                                <w:rStyle w:val="22"/>
                                <w:rFonts w:hint="eastAsia"/>
                              </w:rPr>
                              <w:t>委托代理人身份证</w:t>
                            </w:r>
                            <w:r>
                              <w:rPr>
                                <w:rStyle w:val="22"/>
                                <w:rFonts w:hint="eastAsia"/>
                                <w:lang w:val="en-US" w:eastAsia="zh-CN"/>
                              </w:rPr>
                              <w:t>扫描件</w:t>
                            </w:r>
                            <w:r>
                              <w:rPr>
                                <w:rStyle w:val="22"/>
                                <w:rFonts w:hint="eastAsia"/>
                              </w:rPr>
                              <w:t>正、反面</w:t>
                            </w:r>
                          </w:p>
                          <w:p w14:paraId="533728C1">
                            <w:pPr>
                              <w:rPr>
                                <w:rStyle w:val="22"/>
                                <w:rFonts w:cs="Times New Roman"/>
                              </w:rPr>
                            </w:pPr>
                          </w:p>
                        </w:txbxContent>
                      </wps:txbx>
                      <wps:bodyPr upright="1"/>
                    </wps:wsp>
                  </a:graphicData>
                </a:graphic>
              </wp:anchor>
            </w:drawing>
          </mc:Choice>
          <mc:Fallback>
            <w:pict>
              <v:shape id="_x0000_s1026" o:spid="_x0000_s1026" o:spt="176" type="#_x0000_t176" style="position:absolute;left:0pt;margin-left:115.5pt;margin-top:2.6pt;height:124.75pt;width:251.25pt;z-index:251660288;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rJ9Os2AAAAAkBAAAPAAAAAAAAAAEAIAAAACIAAABkcnMvZG93bnJldi54bWxQSwECFAAU&#10;AAAACACHTuJAnUgI/yoCAABQBAAADgAAAAAAAAABACAAAAAnAQAAZHJzL2Uyb0RvYy54bWxQSwUG&#10;AAAAAAYABgBZAQAAwwUAAAAA&#10;">
                <v:fill on="t" focussize="0,0"/>
                <v:stroke color="#000000" joinstyle="miter"/>
                <v:imagedata o:title=""/>
                <o:lock v:ext="edit" aspectratio="f"/>
                <v:textbox>
                  <w:txbxContent>
                    <w:p w14:paraId="70055C93">
                      <w:pPr>
                        <w:jc w:val="center"/>
                        <w:rPr>
                          <w:rStyle w:val="22"/>
                          <w:rFonts w:cs="Times New Roman"/>
                        </w:rPr>
                      </w:pPr>
                    </w:p>
                    <w:p w14:paraId="632C69CD">
                      <w:pPr>
                        <w:jc w:val="center"/>
                        <w:rPr>
                          <w:rStyle w:val="22"/>
                          <w:rFonts w:cs="Times New Roman"/>
                        </w:rPr>
                      </w:pPr>
                    </w:p>
                    <w:p w14:paraId="20D34E49">
                      <w:pPr>
                        <w:jc w:val="center"/>
                        <w:rPr>
                          <w:rStyle w:val="22"/>
                          <w:rFonts w:cs="Times New Roman"/>
                        </w:rPr>
                      </w:pPr>
                      <w:r>
                        <w:rPr>
                          <w:rStyle w:val="22"/>
                          <w:rFonts w:hint="eastAsia"/>
                        </w:rPr>
                        <w:t>委托代理人身份证</w:t>
                      </w:r>
                      <w:r>
                        <w:rPr>
                          <w:rStyle w:val="22"/>
                          <w:rFonts w:hint="eastAsia"/>
                          <w:lang w:val="en-US" w:eastAsia="zh-CN"/>
                        </w:rPr>
                        <w:t>扫描件</w:t>
                      </w:r>
                      <w:r>
                        <w:rPr>
                          <w:rStyle w:val="22"/>
                          <w:rFonts w:hint="eastAsia"/>
                        </w:rPr>
                        <w:t>正、反面</w:t>
                      </w:r>
                    </w:p>
                    <w:p w14:paraId="533728C1">
                      <w:pPr>
                        <w:rPr>
                          <w:rStyle w:val="22"/>
                          <w:rFonts w:cs="Times New Roman"/>
                        </w:rPr>
                      </w:pPr>
                    </w:p>
                  </w:txbxContent>
                </v:textbox>
              </v:shape>
            </w:pict>
          </mc:Fallback>
        </mc:AlternateContent>
      </w:r>
    </w:p>
    <w:p w14:paraId="52E9D28B">
      <w:pPr>
        <w:pStyle w:val="55"/>
        <w:snapToGrid w:val="0"/>
        <w:rPr>
          <w:rStyle w:val="22"/>
          <w:rFonts w:hint="eastAsia" w:ascii="宋体" w:hAnsi="宋体" w:eastAsia="宋体" w:cs="宋体"/>
          <w:color w:val="auto"/>
          <w:kern w:val="0"/>
          <w:highlight w:val="none"/>
        </w:rPr>
      </w:pPr>
    </w:p>
    <w:p w14:paraId="66C007E3">
      <w:pPr>
        <w:pStyle w:val="48"/>
        <w:snapToGrid w:val="0"/>
        <w:rPr>
          <w:rStyle w:val="22"/>
          <w:rFonts w:hint="eastAsia" w:ascii="宋体" w:hAnsi="宋体" w:eastAsia="宋体" w:cs="宋体"/>
          <w:color w:val="auto"/>
          <w:highlight w:val="none"/>
        </w:rPr>
      </w:pPr>
    </w:p>
    <w:p w14:paraId="4A4D27B9">
      <w:pPr>
        <w:pStyle w:val="49"/>
        <w:snapToGrid w:val="0"/>
        <w:rPr>
          <w:rStyle w:val="22"/>
          <w:rFonts w:hint="eastAsia" w:ascii="宋体" w:hAnsi="宋体" w:eastAsia="宋体" w:cs="宋体"/>
          <w:color w:val="auto"/>
          <w:highlight w:val="none"/>
        </w:rPr>
        <w:sectPr>
          <w:endnotePr>
            <w:numFmt w:val="decimal"/>
          </w:endnotePr>
          <w:pgSz w:w="11906" w:h="16838"/>
          <w:pgMar w:top="1701" w:right="1531" w:bottom="1417" w:left="1531" w:header="850" w:footer="992" w:gutter="0"/>
          <w:cols w:space="720" w:num="1"/>
          <w:docGrid w:linePitch="327" w:charSpace="0"/>
        </w:sectPr>
      </w:pPr>
    </w:p>
    <w:p w14:paraId="0998C3C8">
      <w:pPr>
        <w:pStyle w:val="49"/>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34" w:name="_Toc17587"/>
      <w:bookmarkStart w:id="435" w:name="_Toc25505"/>
      <w:bookmarkStart w:id="436" w:name="_Toc3305"/>
      <w:bookmarkStart w:id="437" w:name="_Toc2433"/>
      <w:bookmarkStart w:id="438" w:name="_Toc31156"/>
      <w:bookmarkStart w:id="439" w:name="_Toc27116"/>
      <w:bookmarkStart w:id="440" w:name="_Toc1326"/>
      <w:bookmarkStart w:id="441" w:name="_Toc19982"/>
      <w:bookmarkStart w:id="442" w:name="_Toc2417"/>
      <w:bookmarkStart w:id="443" w:name="_Toc11066"/>
      <w:r>
        <w:rPr>
          <w:rStyle w:val="22"/>
          <w:rFonts w:hint="eastAsia" w:ascii="宋体" w:hAnsi="宋体" w:eastAsia="宋体" w:cs="宋体"/>
          <w:b/>
          <w:bCs/>
          <w:color w:val="auto"/>
          <w:sz w:val="21"/>
          <w:szCs w:val="21"/>
          <w:highlight w:val="none"/>
        </w:rPr>
        <w:t>格式五 法定代表人身份证明</w:t>
      </w:r>
      <w:bookmarkEnd w:id="434"/>
      <w:bookmarkEnd w:id="435"/>
      <w:bookmarkEnd w:id="436"/>
      <w:bookmarkEnd w:id="437"/>
      <w:bookmarkEnd w:id="438"/>
      <w:bookmarkEnd w:id="439"/>
      <w:bookmarkEnd w:id="440"/>
      <w:bookmarkEnd w:id="441"/>
      <w:bookmarkEnd w:id="442"/>
      <w:bookmarkEnd w:id="443"/>
    </w:p>
    <w:p w14:paraId="076BB4A0">
      <w:pPr>
        <w:snapToGrid w:val="0"/>
        <w:spacing w:line="440" w:lineRule="exact"/>
        <w:rPr>
          <w:rStyle w:val="22"/>
          <w:rFonts w:hint="eastAsia" w:ascii="宋体" w:hAnsi="宋体" w:eastAsia="宋体" w:cs="宋体"/>
          <w:b/>
          <w:bCs/>
          <w:color w:val="auto"/>
          <w:kern w:val="0"/>
          <w:highlight w:val="none"/>
        </w:rPr>
      </w:pPr>
    </w:p>
    <w:p w14:paraId="439D4FCA">
      <w:pPr>
        <w:snapToGrid w:val="0"/>
        <w:spacing w:before="260" w:after="260" w:line="440" w:lineRule="exact"/>
        <w:jc w:val="center"/>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sz w:val="30"/>
          <w:szCs w:val="30"/>
          <w:highlight w:val="none"/>
        </w:rPr>
        <w:t>法定代表人身份证明</w:t>
      </w:r>
    </w:p>
    <w:p w14:paraId="695EB84A">
      <w:pPr>
        <w:snapToGrid w:val="0"/>
        <w:spacing w:line="440" w:lineRule="exact"/>
        <w:rPr>
          <w:rStyle w:val="22"/>
          <w:rFonts w:hint="eastAsia" w:ascii="宋体" w:hAnsi="宋体" w:eastAsia="宋体" w:cs="宋体"/>
          <w:color w:val="auto"/>
          <w:kern w:val="0"/>
          <w:highlight w:val="none"/>
        </w:rPr>
      </w:pPr>
    </w:p>
    <w:p w14:paraId="7BD00A60">
      <w:pPr>
        <w:snapToGrid w:val="0"/>
        <w:spacing w:line="440" w:lineRule="exact"/>
        <w:rPr>
          <w:rStyle w:val="22"/>
          <w:rFonts w:hint="eastAsia" w:ascii="宋体" w:hAnsi="宋体" w:eastAsia="宋体" w:cs="宋体"/>
          <w:color w:val="auto"/>
          <w:kern w:val="0"/>
          <w:highlight w:val="none"/>
          <w:u w:val="single"/>
        </w:rPr>
      </w:pPr>
      <w:r>
        <w:rPr>
          <w:rStyle w:val="22"/>
          <w:rFonts w:hint="eastAsia" w:ascii="宋体" w:hAnsi="宋体" w:eastAsia="宋体" w:cs="宋体"/>
          <w:color w:val="auto"/>
          <w:kern w:val="0"/>
          <w:highlight w:val="none"/>
        </w:rPr>
        <w:t>投标人名称：</w:t>
      </w:r>
      <w:r>
        <w:rPr>
          <w:rStyle w:val="22"/>
          <w:rFonts w:hint="eastAsia" w:ascii="宋体" w:hAnsi="宋体" w:eastAsia="宋体" w:cs="宋体"/>
          <w:color w:val="auto"/>
          <w:kern w:val="0"/>
          <w:highlight w:val="none"/>
          <w:u w:val="single"/>
        </w:rPr>
        <w:t xml:space="preserve">                  </w:t>
      </w:r>
    </w:p>
    <w:p w14:paraId="3359563A">
      <w:pPr>
        <w:snapToGrid w:val="0"/>
        <w:spacing w:line="440" w:lineRule="exact"/>
        <w:rPr>
          <w:rStyle w:val="22"/>
          <w:rFonts w:hint="eastAsia" w:ascii="宋体" w:hAnsi="宋体" w:eastAsia="宋体" w:cs="宋体"/>
          <w:color w:val="auto"/>
          <w:kern w:val="0"/>
          <w:highlight w:val="none"/>
          <w:u w:val="single"/>
        </w:rPr>
      </w:pPr>
      <w:r>
        <w:rPr>
          <w:rStyle w:val="22"/>
          <w:rFonts w:hint="eastAsia" w:ascii="宋体" w:hAnsi="宋体" w:eastAsia="宋体" w:cs="宋体"/>
          <w:color w:val="auto"/>
          <w:kern w:val="0"/>
          <w:highlight w:val="none"/>
        </w:rPr>
        <w:t>姓名：</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性别：</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年龄：</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职务：</w:t>
      </w:r>
      <w:r>
        <w:rPr>
          <w:rStyle w:val="22"/>
          <w:rFonts w:hint="eastAsia" w:ascii="宋体" w:hAnsi="宋体" w:eastAsia="宋体" w:cs="宋体"/>
          <w:color w:val="auto"/>
          <w:kern w:val="0"/>
          <w:highlight w:val="none"/>
          <w:u w:val="single"/>
        </w:rPr>
        <w:t xml:space="preserve">           </w:t>
      </w:r>
    </w:p>
    <w:p w14:paraId="54387729">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系</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（投标人名称）的法定代表人。</w:t>
      </w:r>
    </w:p>
    <w:p w14:paraId="257B5EA4">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特此证明。</w:t>
      </w:r>
    </w:p>
    <w:p w14:paraId="0ACE223C">
      <w:pPr>
        <w:snapToGrid w:val="0"/>
        <w:spacing w:line="440" w:lineRule="exact"/>
        <w:rPr>
          <w:rStyle w:val="22"/>
          <w:rFonts w:hint="eastAsia" w:ascii="宋体" w:hAnsi="宋体" w:eastAsia="宋体" w:cs="宋体"/>
          <w:color w:val="auto"/>
          <w:kern w:val="0"/>
          <w:highlight w:val="none"/>
        </w:rPr>
      </w:pPr>
    </w:p>
    <w:p w14:paraId="218012F9">
      <w:pPr>
        <w:snapToGrid w:val="0"/>
        <w:spacing w:line="440" w:lineRule="exact"/>
        <w:rPr>
          <w:rStyle w:val="22"/>
          <w:rFonts w:hint="eastAsia" w:ascii="宋体" w:hAnsi="宋体" w:eastAsia="宋体" w:cs="宋体"/>
          <w:color w:val="auto"/>
          <w:kern w:val="0"/>
          <w:highlight w:val="none"/>
        </w:rPr>
      </w:pPr>
    </w:p>
    <w:p w14:paraId="0EFD74EF">
      <w:pPr>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投标人：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（盖单位章）</w:t>
      </w:r>
    </w:p>
    <w:p w14:paraId="674A2105">
      <w:pPr>
        <w:snapToGrid w:val="0"/>
        <w:spacing w:line="440" w:lineRule="exact"/>
        <w:jc w:val="right"/>
        <w:rPr>
          <w:rStyle w:val="22"/>
          <w:rFonts w:hint="eastAsia" w:ascii="宋体" w:hAnsi="宋体" w:eastAsia="宋体" w:cs="宋体"/>
          <w:color w:val="auto"/>
          <w:kern w:val="0"/>
          <w:highlight w:val="none"/>
        </w:rPr>
      </w:pPr>
    </w:p>
    <w:p w14:paraId="337FCB95">
      <w:pPr>
        <w:snapToGrid w:val="0"/>
        <w:spacing w:line="440" w:lineRule="exact"/>
        <w:jc w:val="right"/>
        <w:rPr>
          <w:rStyle w:val="22"/>
          <w:rFonts w:hint="eastAsia" w:ascii="宋体" w:hAnsi="宋体" w:eastAsia="宋体" w:cs="宋体"/>
          <w:color w:val="auto"/>
          <w:kern w:val="0"/>
          <w:highlight w:val="none"/>
        </w:rPr>
      </w:pPr>
    </w:p>
    <w:p w14:paraId="71C35AC0">
      <w:pPr>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法定代表人：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（签字或盖章）</w:t>
      </w:r>
    </w:p>
    <w:p w14:paraId="39F4F216">
      <w:pPr>
        <w:snapToGrid w:val="0"/>
        <w:spacing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p>
    <w:p w14:paraId="486E85BC">
      <w:pPr>
        <w:snapToGrid w:val="0"/>
        <w:spacing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 xml:space="preserve">日       </w:t>
      </w:r>
    </w:p>
    <w:p w14:paraId="3467C467">
      <w:pPr>
        <w:snapToGrid w:val="0"/>
        <w:spacing w:line="440" w:lineRule="exact"/>
        <w:ind w:firstLine="240" w:firstLineChars="1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p>
    <w:p w14:paraId="177B79CC">
      <w:pPr>
        <w:snapToGrid w:val="0"/>
        <w:spacing w:line="440" w:lineRule="exact"/>
        <w:ind w:firstLine="720" w:firstLineChars="300"/>
        <w:rPr>
          <w:rStyle w:val="22"/>
          <w:rFonts w:hint="eastAsia" w:ascii="宋体" w:hAnsi="宋体" w:eastAsia="宋体" w:cs="宋体"/>
          <w:i/>
          <w:iCs/>
          <w:color w:val="auto"/>
          <w:kern w:val="0"/>
          <w:highlight w:val="none"/>
        </w:r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i/>
          <w:iCs/>
          <w:color w:val="auto"/>
          <w:kern w:val="0"/>
          <w:highlight w:val="none"/>
        </w:rPr>
        <w:t xml:space="preserve"> </w:t>
      </w:r>
    </w:p>
    <w:p w14:paraId="20750283">
      <w:pPr>
        <w:snapToGrid w:val="0"/>
        <w:spacing w:line="440" w:lineRule="exact"/>
        <w:ind w:firstLine="720" w:firstLineChars="300"/>
        <w:rPr>
          <w:rStyle w:val="22"/>
          <w:rFonts w:hint="eastAsia" w:ascii="宋体" w:hAnsi="宋体" w:eastAsia="宋体" w:cs="宋体"/>
          <w:i/>
          <w:iCs/>
          <w:color w:val="auto"/>
          <w:kern w:val="0"/>
          <w:highlight w:val="none"/>
        </w:rPr>
      </w:pPr>
    </w:p>
    <w:p w14:paraId="27613D43">
      <w:pPr>
        <w:snapToGrid w:val="0"/>
        <w:spacing w:line="440" w:lineRule="exact"/>
        <w:ind w:firstLine="720" w:firstLineChars="300"/>
        <w:rPr>
          <w:rStyle w:val="22"/>
          <w:rFonts w:hint="eastAsia" w:ascii="宋体" w:hAnsi="宋体" w:eastAsia="宋体" w:cs="宋体"/>
          <w:i/>
          <w:iCs/>
          <w:color w:val="auto"/>
          <w:kern w:val="0"/>
          <w:highlight w:val="none"/>
        </w:rPr>
      </w:pPr>
    </w:p>
    <w:p w14:paraId="5F2B511F">
      <w:pPr>
        <w:snapToGrid w:val="0"/>
        <w:rPr>
          <w:rStyle w:val="22"/>
          <w:rFonts w:hint="eastAsia" w:ascii="宋体" w:hAnsi="宋体" w:eastAsia="宋体" w:cs="宋体"/>
          <w:b/>
          <w:bCs/>
          <w:color w:val="auto"/>
          <w:kern w:val="0"/>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4" name="流程图: 可选过程 4"/>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8967268">
                            <w:pPr>
                              <w:jc w:val="center"/>
                              <w:rPr>
                                <w:rStyle w:val="22"/>
                                <w:rFonts w:cs="Times New Roman"/>
                              </w:rPr>
                            </w:pPr>
                          </w:p>
                          <w:p w14:paraId="2CD90221">
                            <w:pPr>
                              <w:jc w:val="center"/>
                              <w:rPr>
                                <w:rStyle w:val="22"/>
                                <w:rFonts w:cs="Times New Roman"/>
                              </w:rPr>
                            </w:pPr>
                          </w:p>
                          <w:p w14:paraId="5B4B2348">
                            <w:pPr>
                              <w:jc w:val="center"/>
                              <w:rPr>
                                <w:rStyle w:val="22"/>
                                <w:rFonts w:cs="Times New Roman"/>
                              </w:rPr>
                            </w:pPr>
                            <w:r>
                              <w:rPr>
                                <w:rStyle w:val="22"/>
                                <w:rFonts w:hint="eastAsia"/>
                              </w:rPr>
                              <w:t>法定代表人身份证</w:t>
                            </w:r>
                            <w:r>
                              <w:rPr>
                                <w:rStyle w:val="22"/>
                                <w:rFonts w:hint="eastAsia"/>
                                <w:lang w:val="en-US" w:eastAsia="zh-CN"/>
                              </w:rPr>
                              <w:t>扫描件</w:t>
                            </w:r>
                            <w:r>
                              <w:rPr>
                                <w:rStyle w:val="22"/>
                                <w:rFonts w:hint="eastAsia"/>
                              </w:rPr>
                              <w:t>正、反面</w:t>
                            </w:r>
                          </w:p>
                          <w:p w14:paraId="0E5BF479">
                            <w:pPr>
                              <w:rPr>
                                <w:rStyle w:val="22"/>
                                <w:rFonts w:cs="Times New Roman"/>
                              </w:rPr>
                            </w:pPr>
                          </w:p>
                        </w:txbxContent>
                      </wps:txbx>
                      <wps:bodyPr upright="1"/>
                    </wps:wsp>
                  </a:graphicData>
                </a:graphic>
              </wp:anchor>
            </w:drawing>
          </mc:Choice>
          <mc:Fallback>
            <w:pict>
              <v:shape id="_x0000_s1026" o:spid="_x0000_s1026" o:spt="176" type="#_x0000_t176" style="position:absolute;left:0pt;margin-left:127.5pt;margin-top:1.6pt;height:124.75pt;width:222.45pt;z-index:251661312;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B4V1KbYAAAACQEAAA8AAAAAAAAAAQAgAAAAIgAAAGRycy9kb3ducmV2LnhtbFBLAQIUABQA&#10;AAAIAIdO4kCep3LuKQIAAFAEAAAOAAAAAAAAAAEAIAAAACcBAABkcnMvZTJvRG9jLnhtbFBLBQYA&#10;AAAABgAGAFkBAADCBQAAAAA=&#10;">
                <v:fill on="t" focussize="0,0"/>
                <v:stroke color="#000000" joinstyle="miter"/>
                <v:imagedata o:title=""/>
                <o:lock v:ext="edit" aspectratio="f"/>
                <v:textbox>
                  <w:txbxContent>
                    <w:p w14:paraId="28967268">
                      <w:pPr>
                        <w:jc w:val="center"/>
                        <w:rPr>
                          <w:rStyle w:val="22"/>
                          <w:rFonts w:cs="Times New Roman"/>
                        </w:rPr>
                      </w:pPr>
                    </w:p>
                    <w:p w14:paraId="2CD90221">
                      <w:pPr>
                        <w:jc w:val="center"/>
                        <w:rPr>
                          <w:rStyle w:val="22"/>
                          <w:rFonts w:cs="Times New Roman"/>
                        </w:rPr>
                      </w:pPr>
                    </w:p>
                    <w:p w14:paraId="5B4B2348">
                      <w:pPr>
                        <w:jc w:val="center"/>
                        <w:rPr>
                          <w:rStyle w:val="22"/>
                          <w:rFonts w:cs="Times New Roman"/>
                        </w:rPr>
                      </w:pPr>
                      <w:r>
                        <w:rPr>
                          <w:rStyle w:val="22"/>
                          <w:rFonts w:hint="eastAsia"/>
                        </w:rPr>
                        <w:t>法定代表人身份证</w:t>
                      </w:r>
                      <w:r>
                        <w:rPr>
                          <w:rStyle w:val="22"/>
                          <w:rFonts w:hint="eastAsia"/>
                          <w:lang w:val="en-US" w:eastAsia="zh-CN"/>
                        </w:rPr>
                        <w:t>扫描件</w:t>
                      </w:r>
                      <w:r>
                        <w:rPr>
                          <w:rStyle w:val="22"/>
                          <w:rFonts w:hint="eastAsia"/>
                        </w:rPr>
                        <w:t>正、反面</w:t>
                      </w:r>
                    </w:p>
                    <w:p w14:paraId="0E5BF479">
                      <w:pPr>
                        <w:rPr>
                          <w:rStyle w:val="22"/>
                          <w:rFonts w:cs="Times New Roman"/>
                        </w:rPr>
                      </w:pPr>
                    </w:p>
                  </w:txbxContent>
                </v:textbox>
              </v:shape>
            </w:pict>
          </mc:Fallback>
        </mc:AlternateContent>
      </w:r>
    </w:p>
    <w:p w14:paraId="085B8C92">
      <w:pPr>
        <w:tabs>
          <w:tab w:val="left" w:pos="654"/>
          <w:tab w:val="left" w:pos="1734"/>
          <w:tab w:val="left" w:pos="2814"/>
          <w:tab w:val="left" w:pos="3894"/>
          <w:tab w:val="left" w:pos="5334"/>
          <w:tab w:val="left" w:pos="6414"/>
          <w:tab w:val="left" w:pos="7254"/>
          <w:tab w:val="left" w:pos="8574"/>
          <w:tab w:val="left" w:pos="9654"/>
        </w:tabs>
        <w:snapToGrid w:val="0"/>
        <w:rPr>
          <w:rStyle w:val="22"/>
          <w:rFonts w:hint="eastAsia" w:ascii="宋体" w:hAnsi="宋体" w:eastAsia="宋体" w:cs="宋体"/>
          <w:color w:val="auto"/>
          <w:kern w:val="0"/>
          <w:sz w:val="28"/>
          <w:szCs w:val="28"/>
          <w:highlight w:val="none"/>
        </w:rPr>
      </w:pPr>
    </w:p>
    <w:p w14:paraId="6E57FA9D">
      <w:pPr>
        <w:snapToGrid w:val="0"/>
        <w:spacing w:line="480" w:lineRule="exact"/>
        <w:jc w:val="center"/>
        <w:rPr>
          <w:rStyle w:val="22"/>
          <w:rFonts w:hint="eastAsia" w:ascii="宋体" w:hAnsi="宋体" w:eastAsia="宋体" w:cs="宋体"/>
          <w:b/>
          <w:bCs/>
          <w:color w:val="auto"/>
          <w:kern w:val="0"/>
          <w:sz w:val="28"/>
          <w:szCs w:val="28"/>
          <w:highlight w:val="none"/>
        </w:rPr>
      </w:pPr>
    </w:p>
    <w:p w14:paraId="53ECE10A">
      <w:pPr>
        <w:snapToGrid w:val="0"/>
        <w:spacing w:line="480" w:lineRule="exact"/>
        <w:jc w:val="center"/>
        <w:rPr>
          <w:rStyle w:val="22"/>
          <w:rFonts w:hint="eastAsia" w:ascii="宋体" w:hAnsi="宋体" w:eastAsia="宋体" w:cs="宋体"/>
          <w:b/>
          <w:bCs/>
          <w:color w:val="auto"/>
          <w:kern w:val="0"/>
          <w:sz w:val="28"/>
          <w:szCs w:val="28"/>
          <w:highlight w:val="none"/>
        </w:rPr>
      </w:pPr>
    </w:p>
    <w:p w14:paraId="145122E3">
      <w:pPr>
        <w:snapToGrid w:val="0"/>
        <w:spacing w:line="480" w:lineRule="exact"/>
        <w:jc w:val="center"/>
        <w:rPr>
          <w:rStyle w:val="22"/>
          <w:rFonts w:hint="eastAsia" w:ascii="宋体" w:hAnsi="宋体" w:eastAsia="宋体" w:cs="宋体"/>
          <w:b/>
          <w:bCs/>
          <w:color w:val="auto"/>
          <w:kern w:val="0"/>
          <w:sz w:val="28"/>
          <w:szCs w:val="28"/>
          <w:highlight w:val="none"/>
        </w:rPr>
        <w:sectPr>
          <w:endnotePr>
            <w:numFmt w:val="decimal"/>
          </w:endnotePr>
          <w:pgSz w:w="11906" w:h="16838"/>
          <w:pgMar w:top="1701" w:right="1531" w:bottom="1417" w:left="1531" w:header="850" w:footer="992" w:gutter="0"/>
          <w:cols w:space="720" w:num="1"/>
          <w:docGrid w:linePitch="327" w:charSpace="0"/>
        </w:sectPr>
      </w:pPr>
    </w:p>
    <w:p w14:paraId="300EB320">
      <w:pPr>
        <w:pStyle w:val="50"/>
        <w:snapToGrid w:val="0"/>
        <w:spacing w:line="440" w:lineRule="exact"/>
        <w:ind w:left="0" w:leftChars="0" w:firstLine="0" w:firstLineChars="0"/>
        <w:outlineLvl w:val="1"/>
        <w:rPr>
          <w:rStyle w:val="22"/>
          <w:rFonts w:hint="eastAsia" w:hAnsi="宋体" w:eastAsia="宋体"/>
          <w:b/>
          <w:bCs/>
          <w:color w:val="auto"/>
          <w:sz w:val="21"/>
          <w:szCs w:val="21"/>
          <w:highlight w:val="none"/>
          <w:lang w:eastAsia="zh-CN"/>
        </w:rPr>
      </w:pPr>
      <w:bookmarkStart w:id="444" w:name="_Toc1073"/>
      <w:bookmarkStart w:id="445" w:name="_Toc24831"/>
      <w:bookmarkStart w:id="446" w:name="_Toc537"/>
      <w:bookmarkStart w:id="447" w:name="_Toc8052"/>
      <w:bookmarkStart w:id="448" w:name="_Toc9529"/>
      <w:bookmarkStart w:id="449" w:name="_Toc10399"/>
      <w:bookmarkStart w:id="450" w:name="_Toc15149"/>
      <w:bookmarkStart w:id="451" w:name="_Toc17406"/>
      <w:bookmarkStart w:id="452" w:name="_Toc5331"/>
      <w:bookmarkStart w:id="453" w:name="_Toc29920"/>
      <w:r>
        <w:rPr>
          <w:rStyle w:val="22"/>
          <w:rFonts w:ascii="Times New Roman" w:hAnsi="宋体" w:eastAsia="宋体" w:cs="Times New Roman"/>
          <w:b/>
          <w:bCs/>
          <w:color w:val="auto"/>
          <w:sz w:val="21"/>
          <w:szCs w:val="21"/>
          <w:highlight w:val="none"/>
        </w:rPr>
        <w:t>格式</w:t>
      </w:r>
      <w:r>
        <w:rPr>
          <w:rStyle w:val="22"/>
          <w:rFonts w:hint="eastAsia" w:ascii="Times New Roman" w:hAnsi="宋体" w:eastAsia="宋体" w:cs="Times New Roman"/>
          <w:b/>
          <w:bCs/>
          <w:color w:val="auto"/>
          <w:sz w:val="21"/>
          <w:szCs w:val="21"/>
          <w:highlight w:val="none"/>
          <w:lang w:eastAsia="zh-CN"/>
        </w:rPr>
        <w:t>六</w:t>
      </w:r>
      <w:r>
        <w:rPr>
          <w:rStyle w:val="22"/>
          <w:rFonts w:ascii="Times New Roman" w:hAnsi="宋体" w:eastAsia="宋体" w:cs="Times New Roman"/>
          <w:b/>
          <w:bCs/>
          <w:color w:val="auto"/>
          <w:sz w:val="21"/>
          <w:szCs w:val="21"/>
          <w:highlight w:val="none"/>
        </w:rPr>
        <w:t xml:space="preserve"> </w:t>
      </w:r>
      <w:r>
        <w:rPr>
          <w:rStyle w:val="22"/>
          <w:rFonts w:hint="eastAsia" w:ascii="Times New Roman" w:hAnsi="宋体" w:eastAsia="宋体" w:cs="Times New Roman"/>
          <w:b/>
          <w:bCs/>
          <w:color w:val="auto"/>
          <w:sz w:val="21"/>
          <w:szCs w:val="21"/>
          <w:highlight w:val="none"/>
        </w:rPr>
        <w:t>联合体协议书</w:t>
      </w:r>
      <w:bookmarkEnd w:id="444"/>
      <w:bookmarkEnd w:id="445"/>
    </w:p>
    <w:p w14:paraId="1F42FD3F">
      <w:pPr>
        <w:pStyle w:val="45"/>
        <w:widowControl w:val="0"/>
        <w:wordWrap w:val="0"/>
        <w:adjustRightInd w:val="0"/>
        <w:snapToGrid w:val="0"/>
        <w:spacing w:before="240" w:after="240" w:line="440" w:lineRule="exact"/>
        <w:ind w:firstLine="0"/>
        <w:jc w:val="center"/>
        <w:rPr>
          <w:rFonts w:hint="eastAsia" w:ascii="宋体" w:hAnsi="宋体" w:eastAsia="宋体" w:cs="宋体"/>
          <w:snapToGrid w:val="0"/>
          <w:color w:val="auto"/>
          <w:sz w:val="24"/>
          <w:szCs w:val="24"/>
          <w:highlight w:val="none"/>
        </w:rPr>
      </w:pPr>
      <w:r>
        <w:rPr>
          <w:rFonts w:hint="eastAsia" w:ascii="宋体" w:hAnsi="宋体" w:eastAsia="宋体" w:cs="宋体"/>
          <w:b/>
          <w:snapToGrid w:val="0"/>
          <w:color w:val="auto"/>
          <w:sz w:val="24"/>
          <w:szCs w:val="24"/>
          <w:highlight w:val="none"/>
        </w:rPr>
        <w:t>联合体协议书</w:t>
      </w:r>
    </w:p>
    <w:p w14:paraId="042A7EFA">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牵头人名称：</w:t>
      </w:r>
      <w:r>
        <w:rPr>
          <w:rFonts w:hint="eastAsia" w:ascii="宋体" w:hAnsi="宋体" w:eastAsia="宋体" w:cs="宋体"/>
          <w:snapToGrid w:val="0"/>
          <w:color w:val="auto"/>
          <w:sz w:val="24"/>
          <w:szCs w:val="24"/>
          <w:highlight w:val="none"/>
          <w:u w:val="single"/>
        </w:rPr>
        <w:t xml:space="preserve">                                                  </w:t>
      </w:r>
    </w:p>
    <w:p w14:paraId="2B6262B5">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572B27CF">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4FB7EE83">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39555065">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成员二名称：</w:t>
      </w:r>
      <w:r>
        <w:rPr>
          <w:rFonts w:hint="eastAsia" w:ascii="宋体" w:hAnsi="宋体" w:eastAsia="宋体" w:cs="宋体"/>
          <w:snapToGrid w:val="0"/>
          <w:color w:val="auto"/>
          <w:sz w:val="24"/>
          <w:szCs w:val="24"/>
          <w:highlight w:val="none"/>
          <w:u w:val="single"/>
        </w:rPr>
        <w:t xml:space="preserve">                                                  </w:t>
      </w:r>
    </w:p>
    <w:p w14:paraId="32688690">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4C2FF00F">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5EB14821">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w:t>
      </w:r>
    </w:p>
    <w:p w14:paraId="31E463A4">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上述各成员单位经过友好协商，自愿组成联合体，共同参加</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w:t>
      </w:r>
      <w:r>
        <w:rPr>
          <w:rFonts w:hint="eastAsia" w:ascii="宋体" w:hAnsi="宋体" w:cs="宋体"/>
          <w:snapToGrid w:val="0"/>
          <w:color w:val="auto"/>
          <w:sz w:val="24"/>
          <w:szCs w:val="24"/>
          <w:highlight w:val="none"/>
          <w:lang w:eastAsia="zh-CN"/>
        </w:rPr>
        <w:t>工程名称</w:t>
      </w:r>
      <w:r>
        <w:rPr>
          <w:rFonts w:hint="eastAsia" w:ascii="宋体" w:hAnsi="宋体" w:eastAsia="宋体" w:cs="宋体"/>
          <w:snapToGrid w:val="0"/>
          <w:color w:val="auto"/>
          <w:sz w:val="24"/>
          <w:szCs w:val="24"/>
          <w:highlight w:val="none"/>
        </w:rPr>
        <w:t>）（以下简称“本项目”）的施工投标并争取赢得本项目施工承包合同（以下简称合同）。现就联合体投标事宜订立如下协议：</w:t>
      </w:r>
    </w:p>
    <w:p w14:paraId="2C1DF849">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1．</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（某成员单位名称）为联合体牵头人。</w:t>
      </w:r>
    </w:p>
    <w:p w14:paraId="77C588B5">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5E0F0806">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46839ECB">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4．联合体各成员单位内部的职责分工如下：</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。按照本条上述分工，联合体成员单位各自所承担的合同工作量比例如下：</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w:t>
      </w:r>
    </w:p>
    <w:p w14:paraId="323F155E">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5．投标工作和联合体在中标后工程实施过程中的有关费用按各自承担的工作量分摊。</w:t>
      </w:r>
    </w:p>
    <w:p w14:paraId="2B9C8F9E">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6．联合体中标后，本联合体协议是合同的附件，对联合体各成员单位有合同约束力。</w:t>
      </w:r>
    </w:p>
    <w:p w14:paraId="42DF9E6B">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7．本协议书自签署之日起生效，联合体未中标或者中标时合同履行完毕后自动失效。</w:t>
      </w:r>
    </w:p>
    <w:p w14:paraId="6E222B82">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8．本协议书一式</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份，联合体成员和招标人各执一份。</w:t>
      </w:r>
    </w:p>
    <w:p w14:paraId="3DCF9FD0">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05DD61D3">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牵头人名称：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1EA63ED7">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49444781">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0EF50B64">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54079554">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16AE7C6C">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成员二名称：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7A018943">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01463C48">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70ACDC9E">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1F3BA459">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2EAA4231">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60B7920E">
      <w:pPr>
        <w:pStyle w:val="45"/>
        <w:widowControl w:val="0"/>
        <w:wordWrap w:val="0"/>
        <w:adjustRightInd w:val="0"/>
        <w:snapToGrid w:val="0"/>
        <w:spacing w:line="440" w:lineRule="exact"/>
        <w:jc w:val="center"/>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年</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月</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日</w:t>
      </w:r>
    </w:p>
    <w:p w14:paraId="77A42E25">
      <w:pPr>
        <w:pStyle w:val="45"/>
        <w:widowControl w:val="0"/>
        <w:wordWrap w:val="0"/>
        <w:adjustRightInd w:val="0"/>
        <w:snapToGrid w:val="0"/>
        <w:spacing w:line="440" w:lineRule="exact"/>
        <w:jc w:val="center"/>
        <w:rPr>
          <w:rFonts w:hint="eastAsia" w:ascii="宋体" w:hAnsi="宋体" w:eastAsia="宋体" w:cs="宋体"/>
          <w:snapToGrid w:val="0"/>
          <w:color w:val="auto"/>
          <w:sz w:val="24"/>
          <w:szCs w:val="24"/>
          <w:highlight w:val="none"/>
        </w:rPr>
      </w:pPr>
    </w:p>
    <w:p w14:paraId="4E0082A2">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说明：《联合体协议书》由委托代理人签字或盖章的，应附法定代表人签字或盖章的授权委托书。</w:t>
      </w:r>
    </w:p>
    <w:p w14:paraId="4451087D">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sectPr>
          <w:endnotePr>
            <w:numFmt w:val="decimal"/>
          </w:endnotePr>
          <w:pgSz w:w="11906" w:h="16838"/>
          <w:pgMar w:top="1247" w:right="1304" w:bottom="1247" w:left="1304" w:header="850" w:footer="544" w:gutter="0"/>
          <w:pgBorders>
            <w:top w:val="none" w:sz="0" w:space="0"/>
            <w:left w:val="none" w:sz="0" w:space="0"/>
            <w:bottom w:val="none" w:sz="0" w:space="0"/>
            <w:right w:val="none" w:sz="0" w:space="0"/>
          </w:pgBorders>
          <w:pgNumType w:fmt="decimal"/>
          <w:cols w:space="720" w:num="1"/>
          <w:rtlGutter w:val="0"/>
          <w:docGrid w:linePitch="327" w:charSpace="0"/>
        </w:sectPr>
      </w:pPr>
    </w:p>
    <w:p w14:paraId="44EB9321">
      <w:pPr>
        <w:pStyle w:val="50"/>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54" w:name="_Toc19459"/>
      <w:r>
        <w:rPr>
          <w:rStyle w:val="22"/>
          <w:rFonts w:hint="eastAsia" w:ascii="宋体" w:hAnsi="宋体" w:eastAsia="宋体" w:cs="宋体"/>
          <w:b/>
          <w:bCs/>
          <w:color w:val="auto"/>
          <w:sz w:val="21"/>
          <w:szCs w:val="21"/>
          <w:highlight w:val="none"/>
        </w:rPr>
        <w:t>格式</w:t>
      </w:r>
      <w:r>
        <w:rPr>
          <w:rStyle w:val="22"/>
          <w:rFonts w:hint="eastAsia" w:hAnsi="宋体" w:cs="宋体"/>
          <w:b/>
          <w:bCs/>
          <w:color w:val="auto"/>
          <w:sz w:val="21"/>
          <w:szCs w:val="21"/>
          <w:highlight w:val="none"/>
          <w:lang w:val="en-US" w:eastAsia="zh-CN"/>
        </w:rPr>
        <w:t>七</w:t>
      </w:r>
      <w:r>
        <w:rPr>
          <w:rStyle w:val="22"/>
          <w:rFonts w:hint="eastAsia" w:ascii="宋体" w:hAnsi="宋体" w:eastAsia="宋体" w:cs="宋体"/>
          <w:b/>
          <w:bCs/>
          <w:color w:val="auto"/>
          <w:sz w:val="21"/>
          <w:szCs w:val="21"/>
          <w:highlight w:val="none"/>
        </w:rPr>
        <w:t xml:space="preserve"> </w:t>
      </w:r>
      <w:bookmarkStart w:id="455" w:name="_Toc31066"/>
      <w:r>
        <w:rPr>
          <w:rStyle w:val="22"/>
          <w:rFonts w:hint="eastAsia" w:ascii="宋体" w:hAnsi="宋体" w:eastAsia="宋体" w:cs="宋体"/>
          <w:b/>
          <w:bCs/>
          <w:color w:val="auto"/>
          <w:sz w:val="21"/>
          <w:szCs w:val="21"/>
          <w:highlight w:val="none"/>
        </w:rPr>
        <w:t>投标人基本情况表</w:t>
      </w:r>
      <w:bookmarkEnd w:id="446"/>
      <w:bookmarkEnd w:id="447"/>
      <w:bookmarkEnd w:id="448"/>
      <w:bookmarkEnd w:id="449"/>
      <w:bookmarkEnd w:id="450"/>
      <w:bookmarkEnd w:id="451"/>
      <w:bookmarkEnd w:id="452"/>
      <w:bookmarkEnd w:id="453"/>
      <w:bookmarkEnd w:id="454"/>
      <w:bookmarkEnd w:id="455"/>
    </w:p>
    <w:p w14:paraId="14EF2B0F">
      <w:pPr>
        <w:pStyle w:val="50"/>
        <w:snapToGrid w:val="0"/>
        <w:spacing w:before="260" w:after="260" w:line="400" w:lineRule="exact"/>
        <w:ind w:firstLine="0"/>
        <w:jc w:val="center"/>
        <w:rPr>
          <w:rStyle w:val="22"/>
          <w:rFonts w:hint="eastAsia" w:ascii="宋体" w:hAnsi="宋体" w:eastAsia="宋体" w:cs="宋体"/>
          <w:b/>
          <w:bCs/>
          <w:color w:val="auto"/>
          <w:sz w:val="30"/>
          <w:szCs w:val="30"/>
          <w:highlight w:val="none"/>
        </w:rPr>
      </w:pPr>
      <w:r>
        <w:rPr>
          <w:rStyle w:val="22"/>
          <w:rFonts w:hint="eastAsia" w:ascii="宋体" w:hAnsi="宋体" w:eastAsia="宋体" w:cs="宋体"/>
          <w:b/>
          <w:bCs/>
          <w:color w:val="auto"/>
          <w:sz w:val="30"/>
          <w:szCs w:val="30"/>
          <w:highlight w:val="none"/>
        </w:rPr>
        <w:t>投标人基本情况表</w:t>
      </w:r>
    </w:p>
    <w:tbl>
      <w:tblPr>
        <w:tblStyle w:val="18"/>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85"/>
        <w:gridCol w:w="897"/>
        <w:gridCol w:w="1689"/>
        <w:gridCol w:w="803"/>
        <w:gridCol w:w="286"/>
        <w:gridCol w:w="960"/>
        <w:gridCol w:w="260"/>
        <w:gridCol w:w="709"/>
        <w:gridCol w:w="1416"/>
      </w:tblGrid>
      <w:tr w14:paraId="054F7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485" w:type="dxa"/>
            <w:noWrap w:val="0"/>
            <w:vAlign w:val="center"/>
          </w:tcPr>
          <w:p w14:paraId="50A9817A">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投标人名称</w:t>
            </w:r>
          </w:p>
        </w:tc>
        <w:tc>
          <w:tcPr>
            <w:tcW w:w="7020" w:type="dxa"/>
            <w:gridSpan w:val="8"/>
            <w:noWrap w:val="0"/>
            <w:vAlign w:val="center"/>
          </w:tcPr>
          <w:p w14:paraId="6D3CDA99">
            <w:pPr>
              <w:pStyle w:val="56"/>
              <w:snapToGrid w:val="0"/>
              <w:jc w:val="center"/>
              <w:rPr>
                <w:rStyle w:val="22"/>
                <w:rFonts w:hint="eastAsia" w:ascii="宋体" w:hAnsi="宋体" w:eastAsia="宋体" w:cs="宋体"/>
                <w:color w:val="auto"/>
                <w:kern w:val="0"/>
                <w:highlight w:val="none"/>
              </w:rPr>
            </w:pPr>
          </w:p>
        </w:tc>
      </w:tr>
      <w:tr w14:paraId="650DF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exact"/>
          <w:jc w:val="center"/>
        </w:trPr>
        <w:tc>
          <w:tcPr>
            <w:tcW w:w="1485" w:type="dxa"/>
            <w:noWrap w:val="0"/>
            <w:vAlign w:val="center"/>
          </w:tcPr>
          <w:p w14:paraId="48DED9D1">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注册地址</w:t>
            </w:r>
          </w:p>
        </w:tc>
        <w:tc>
          <w:tcPr>
            <w:tcW w:w="3389" w:type="dxa"/>
            <w:gridSpan w:val="3"/>
            <w:noWrap w:val="0"/>
            <w:vAlign w:val="center"/>
          </w:tcPr>
          <w:p w14:paraId="0C72A210">
            <w:pPr>
              <w:pStyle w:val="56"/>
              <w:snapToGrid w:val="0"/>
              <w:jc w:val="center"/>
              <w:rPr>
                <w:rStyle w:val="22"/>
                <w:rFonts w:hint="eastAsia" w:ascii="宋体" w:hAnsi="宋体" w:eastAsia="宋体" w:cs="宋体"/>
                <w:color w:val="auto"/>
                <w:kern w:val="0"/>
                <w:highlight w:val="none"/>
              </w:rPr>
            </w:pPr>
          </w:p>
        </w:tc>
        <w:tc>
          <w:tcPr>
            <w:tcW w:w="1246" w:type="dxa"/>
            <w:gridSpan w:val="2"/>
            <w:noWrap w:val="0"/>
            <w:vAlign w:val="center"/>
          </w:tcPr>
          <w:p w14:paraId="14A6B0F2">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邮政编码</w:t>
            </w:r>
          </w:p>
        </w:tc>
        <w:tc>
          <w:tcPr>
            <w:tcW w:w="2385" w:type="dxa"/>
            <w:gridSpan w:val="3"/>
            <w:noWrap w:val="0"/>
            <w:vAlign w:val="center"/>
          </w:tcPr>
          <w:p w14:paraId="2CF1B6C0">
            <w:pPr>
              <w:pStyle w:val="56"/>
              <w:snapToGrid w:val="0"/>
              <w:jc w:val="center"/>
              <w:rPr>
                <w:rStyle w:val="22"/>
                <w:rFonts w:hint="eastAsia" w:ascii="宋体" w:hAnsi="宋体" w:eastAsia="宋体" w:cs="宋体"/>
                <w:color w:val="auto"/>
                <w:kern w:val="0"/>
                <w:highlight w:val="none"/>
              </w:rPr>
            </w:pPr>
          </w:p>
        </w:tc>
      </w:tr>
      <w:tr w14:paraId="1F414C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exact"/>
          <w:jc w:val="center"/>
        </w:trPr>
        <w:tc>
          <w:tcPr>
            <w:tcW w:w="1485" w:type="dxa"/>
            <w:vMerge w:val="restart"/>
            <w:noWrap w:val="0"/>
            <w:vAlign w:val="center"/>
          </w:tcPr>
          <w:p w14:paraId="06F66BC6">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联系方式</w:t>
            </w:r>
          </w:p>
        </w:tc>
        <w:tc>
          <w:tcPr>
            <w:tcW w:w="897" w:type="dxa"/>
            <w:noWrap w:val="0"/>
            <w:vAlign w:val="center"/>
          </w:tcPr>
          <w:p w14:paraId="57E55C55">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联系人</w:t>
            </w:r>
          </w:p>
        </w:tc>
        <w:tc>
          <w:tcPr>
            <w:tcW w:w="2492" w:type="dxa"/>
            <w:gridSpan w:val="2"/>
            <w:noWrap w:val="0"/>
            <w:vAlign w:val="center"/>
          </w:tcPr>
          <w:p w14:paraId="18C6E24A">
            <w:pPr>
              <w:pStyle w:val="56"/>
              <w:snapToGrid w:val="0"/>
              <w:jc w:val="center"/>
              <w:rPr>
                <w:rStyle w:val="22"/>
                <w:rFonts w:hint="eastAsia" w:ascii="宋体" w:hAnsi="宋体" w:eastAsia="宋体" w:cs="宋体"/>
                <w:color w:val="auto"/>
                <w:kern w:val="0"/>
                <w:highlight w:val="none"/>
              </w:rPr>
            </w:pPr>
          </w:p>
        </w:tc>
        <w:tc>
          <w:tcPr>
            <w:tcW w:w="1246" w:type="dxa"/>
            <w:gridSpan w:val="2"/>
            <w:noWrap w:val="0"/>
            <w:vAlign w:val="center"/>
          </w:tcPr>
          <w:p w14:paraId="45BDCBFB">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电  话</w:t>
            </w:r>
          </w:p>
        </w:tc>
        <w:tc>
          <w:tcPr>
            <w:tcW w:w="2385" w:type="dxa"/>
            <w:gridSpan w:val="3"/>
            <w:noWrap w:val="0"/>
            <w:vAlign w:val="center"/>
          </w:tcPr>
          <w:p w14:paraId="26BA1704">
            <w:pPr>
              <w:pStyle w:val="56"/>
              <w:snapToGrid w:val="0"/>
              <w:jc w:val="center"/>
              <w:rPr>
                <w:rStyle w:val="22"/>
                <w:rFonts w:hint="eastAsia" w:ascii="宋体" w:hAnsi="宋体" w:eastAsia="宋体" w:cs="宋体"/>
                <w:color w:val="auto"/>
                <w:kern w:val="0"/>
                <w:highlight w:val="none"/>
              </w:rPr>
            </w:pPr>
          </w:p>
        </w:tc>
      </w:tr>
      <w:tr w14:paraId="2B344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exact"/>
          <w:jc w:val="center"/>
        </w:trPr>
        <w:tc>
          <w:tcPr>
            <w:tcW w:w="1485" w:type="dxa"/>
            <w:vMerge w:val="continue"/>
            <w:noWrap w:val="0"/>
            <w:vAlign w:val="center"/>
          </w:tcPr>
          <w:p w14:paraId="06871826">
            <w:pPr>
              <w:pStyle w:val="56"/>
              <w:snapToGrid w:val="0"/>
              <w:jc w:val="center"/>
              <w:rPr>
                <w:rStyle w:val="22"/>
                <w:rFonts w:hint="eastAsia" w:ascii="宋体" w:hAnsi="宋体" w:eastAsia="宋体" w:cs="宋体"/>
                <w:color w:val="auto"/>
                <w:kern w:val="0"/>
                <w:highlight w:val="none"/>
              </w:rPr>
            </w:pPr>
          </w:p>
        </w:tc>
        <w:tc>
          <w:tcPr>
            <w:tcW w:w="897" w:type="dxa"/>
            <w:noWrap w:val="0"/>
            <w:vAlign w:val="center"/>
          </w:tcPr>
          <w:p w14:paraId="01BE862A">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传  真</w:t>
            </w:r>
          </w:p>
        </w:tc>
        <w:tc>
          <w:tcPr>
            <w:tcW w:w="2492" w:type="dxa"/>
            <w:gridSpan w:val="2"/>
            <w:noWrap w:val="0"/>
            <w:vAlign w:val="center"/>
          </w:tcPr>
          <w:p w14:paraId="7B3FBD01">
            <w:pPr>
              <w:pStyle w:val="56"/>
              <w:snapToGrid w:val="0"/>
              <w:jc w:val="center"/>
              <w:rPr>
                <w:rStyle w:val="22"/>
                <w:rFonts w:hint="eastAsia" w:ascii="宋体" w:hAnsi="宋体" w:eastAsia="宋体" w:cs="宋体"/>
                <w:color w:val="auto"/>
                <w:kern w:val="0"/>
                <w:highlight w:val="none"/>
              </w:rPr>
            </w:pPr>
          </w:p>
        </w:tc>
        <w:tc>
          <w:tcPr>
            <w:tcW w:w="1246" w:type="dxa"/>
            <w:gridSpan w:val="2"/>
            <w:noWrap w:val="0"/>
            <w:vAlign w:val="center"/>
          </w:tcPr>
          <w:p w14:paraId="11DF8871">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电子邮箱</w:t>
            </w:r>
          </w:p>
        </w:tc>
        <w:tc>
          <w:tcPr>
            <w:tcW w:w="2385" w:type="dxa"/>
            <w:gridSpan w:val="3"/>
            <w:noWrap w:val="0"/>
            <w:vAlign w:val="center"/>
          </w:tcPr>
          <w:p w14:paraId="5E3D5CE2">
            <w:pPr>
              <w:pStyle w:val="56"/>
              <w:snapToGrid w:val="0"/>
              <w:jc w:val="center"/>
              <w:rPr>
                <w:rStyle w:val="22"/>
                <w:rFonts w:hint="eastAsia" w:ascii="宋体" w:hAnsi="宋体" w:eastAsia="宋体" w:cs="宋体"/>
                <w:color w:val="auto"/>
                <w:kern w:val="0"/>
                <w:highlight w:val="none"/>
              </w:rPr>
            </w:pPr>
          </w:p>
        </w:tc>
      </w:tr>
      <w:tr w14:paraId="16A8B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exact"/>
          <w:jc w:val="center"/>
        </w:trPr>
        <w:tc>
          <w:tcPr>
            <w:tcW w:w="1485" w:type="dxa"/>
            <w:noWrap w:val="0"/>
            <w:vAlign w:val="center"/>
          </w:tcPr>
          <w:p w14:paraId="21320B85">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单位性质</w:t>
            </w:r>
          </w:p>
        </w:tc>
        <w:tc>
          <w:tcPr>
            <w:tcW w:w="7020" w:type="dxa"/>
            <w:gridSpan w:val="8"/>
            <w:noWrap w:val="0"/>
            <w:vAlign w:val="center"/>
          </w:tcPr>
          <w:p w14:paraId="21AC0BF2">
            <w:pPr>
              <w:pStyle w:val="56"/>
              <w:snapToGrid w:val="0"/>
              <w:jc w:val="center"/>
              <w:rPr>
                <w:rStyle w:val="22"/>
                <w:rFonts w:hint="eastAsia" w:ascii="宋体" w:hAnsi="宋体" w:eastAsia="宋体" w:cs="宋体"/>
                <w:color w:val="auto"/>
                <w:kern w:val="0"/>
                <w:highlight w:val="none"/>
              </w:rPr>
            </w:pPr>
          </w:p>
        </w:tc>
      </w:tr>
      <w:tr w14:paraId="78C91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exact"/>
          <w:jc w:val="center"/>
        </w:trPr>
        <w:tc>
          <w:tcPr>
            <w:tcW w:w="1485" w:type="dxa"/>
            <w:noWrap w:val="0"/>
            <w:vAlign w:val="center"/>
          </w:tcPr>
          <w:p w14:paraId="3BCFCA62">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法定代表人</w:t>
            </w:r>
          </w:p>
        </w:tc>
        <w:tc>
          <w:tcPr>
            <w:tcW w:w="897" w:type="dxa"/>
            <w:noWrap w:val="0"/>
            <w:vAlign w:val="center"/>
          </w:tcPr>
          <w:p w14:paraId="71830ADB">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姓名</w:t>
            </w:r>
          </w:p>
        </w:tc>
        <w:tc>
          <w:tcPr>
            <w:tcW w:w="1689" w:type="dxa"/>
            <w:noWrap w:val="0"/>
            <w:vAlign w:val="center"/>
          </w:tcPr>
          <w:p w14:paraId="7F1C2A1F">
            <w:pPr>
              <w:pStyle w:val="56"/>
              <w:snapToGrid w:val="0"/>
              <w:jc w:val="center"/>
              <w:rPr>
                <w:rStyle w:val="22"/>
                <w:rFonts w:hint="eastAsia" w:ascii="宋体" w:hAnsi="宋体" w:eastAsia="宋体" w:cs="宋体"/>
                <w:color w:val="auto"/>
                <w:kern w:val="0"/>
                <w:highlight w:val="none"/>
              </w:rPr>
            </w:pPr>
          </w:p>
        </w:tc>
        <w:tc>
          <w:tcPr>
            <w:tcW w:w="1089" w:type="dxa"/>
            <w:gridSpan w:val="2"/>
            <w:noWrap w:val="0"/>
            <w:vAlign w:val="center"/>
          </w:tcPr>
          <w:p w14:paraId="063D29D8">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技术职称</w:t>
            </w:r>
          </w:p>
        </w:tc>
        <w:tc>
          <w:tcPr>
            <w:tcW w:w="1220" w:type="dxa"/>
            <w:gridSpan w:val="2"/>
            <w:noWrap w:val="0"/>
            <w:vAlign w:val="center"/>
          </w:tcPr>
          <w:p w14:paraId="6A3686FD">
            <w:pPr>
              <w:pStyle w:val="56"/>
              <w:snapToGrid w:val="0"/>
              <w:jc w:val="center"/>
              <w:rPr>
                <w:rStyle w:val="22"/>
                <w:rFonts w:hint="eastAsia" w:ascii="宋体" w:hAnsi="宋体" w:eastAsia="宋体" w:cs="宋体"/>
                <w:color w:val="auto"/>
                <w:kern w:val="0"/>
                <w:highlight w:val="none"/>
              </w:rPr>
            </w:pPr>
          </w:p>
        </w:tc>
        <w:tc>
          <w:tcPr>
            <w:tcW w:w="709" w:type="dxa"/>
            <w:noWrap w:val="0"/>
            <w:vAlign w:val="center"/>
          </w:tcPr>
          <w:p w14:paraId="278A4444">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电话</w:t>
            </w:r>
          </w:p>
        </w:tc>
        <w:tc>
          <w:tcPr>
            <w:tcW w:w="1416" w:type="dxa"/>
            <w:noWrap w:val="0"/>
            <w:vAlign w:val="center"/>
          </w:tcPr>
          <w:p w14:paraId="4E660BE2">
            <w:pPr>
              <w:pStyle w:val="56"/>
              <w:snapToGrid w:val="0"/>
              <w:jc w:val="center"/>
              <w:rPr>
                <w:rStyle w:val="22"/>
                <w:rFonts w:hint="eastAsia" w:ascii="宋体" w:hAnsi="宋体" w:eastAsia="宋体" w:cs="宋体"/>
                <w:color w:val="auto"/>
                <w:kern w:val="0"/>
                <w:highlight w:val="none"/>
              </w:rPr>
            </w:pPr>
          </w:p>
        </w:tc>
      </w:tr>
      <w:tr w14:paraId="6939D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485" w:type="dxa"/>
            <w:noWrap w:val="0"/>
            <w:vAlign w:val="center"/>
          </w:tcPr>
          <w:p w14:paraId="4CDA5EE2">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成立时间</w:t>
            </w:r>
          </w:p>
        </w:tc>
        <w:tc>
          <w:tcPr>
            <w:tcW w:w="2586" w:type="dxa"/>
            <w:gridSpan w:val="2"/>
            <w:noWrap w:val="0"/>
            <w:vAlign w:val="center"/>
          </w:tcPr>
          <w:p w14:paraId="6CBE74EC">
            <w:pPr>
              <w:pStyle w:val="56"/>
              <w:snapToGrid w:val="0"/>
              <w:jc w:val="center"/>
              <w:rPr>
                <w:rStyle w:val="22"/>
                <w:rFonts w:hint="eastAsia" w:ascii="宋体" w:hAnsi="宋体" w:eastAsia="宋体" w:cs="宋体"/>
                <w:color w:val="auto"/>
                <w:kern w:val="0"/>
                <w:highlight w:val="none"/>
              </w:rPr>
            </w:pPr>
          </w:p>
        </w:tc>
        <w:tc>
          <w:tcPr>
            <w:tcW w:w="4434" w:type="dxa"/>
            <w:gridSpan w:val="6"/>
            <w:noWrap w:val="0"/>
            <w:vAlign w:val="center"/>
          </w:tcPr>
          <w:p w14:paraId="2A0E8109">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员工总人数（个）：</w:t>
            </w:r>
          </w:p>
        </w:tc>
      </w:tr>
      <w:tr w14:paraId="6FFC9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exact"/>
          <w:jc w:val="center"/>
        </w:trPr>
        <w:tc>
          <w:tcPr>
            <w:tcW w:w="1485" w:type="dxa"/>
            <w:noWrap w:val="0"/>
            <w:vAlign w:val="center"/>
          </w:tcPr>
          <w:p w14:paraId="15674512">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企业资质等级</w:t>
            </w:r>
          </w:p>
        </w:tc>
        <w:tc>
          <w:tcPr>
            <w:tcW w:w="2586" w:type="dxa"/>
            <w:gridSpan w:val="2"/>
            <w:noWrap w:val="0"/>
            <w:vAlign w:val="center"/>
          </w:tcPr>
          <w:p w14:paraId="0D559FB7">
            <w:pPr>
              <w:pStyle w:val="56"/>
              <w:snapToGrid w:val="0"/>
              <w:jc w:val="center"/>
              <w:rPr>
                <w:rStyle w:val="22"/>
                <w:rFonts w:hint="eastAsia" w:ascii="宋体" w:hAnsi="宋体" w:eastAsia="宋体" w:cs="宋体"/>
                <w:color w:val="auto"/>
                <w:kern w:val="0"/>
                <w:highlight w:val="none"/>
              </w:rPr>
            </w:pPr>
          </w:p>
        </w:tc>
        <w:tc>
          <w:tcPr>
            <w:tcW w:w="1089" w:type="dxa"/>
            <w:gridSpan w:val="2"/>
            <w:vMerge w:val="restart"/>
            <w:noWrap w:val="0"/>
            <w:vAlign w:val="center"/>
          </w:tcPr>
          <w:p w14:paraId="0715BD44">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其中</w:t>
            </w:r>
          </w:p>
        </w:tc>
        <w:tc>
          <w:tcPr>
            <w:tcW w:w="1929" w:type="dxa"/>
            <w:gridSpan w:val="3"/>
            <w:noWrap w:val="0"/>
            <w:vAlign w:val="center"/>
          </w:tcPr>
          <w:p w14:paraId="0F47985D">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项目经理</w:t>
            </w:r>
          </w:p>
        </w:tc>
        <w:tc>
          <w:tcPr>
            <w:tcW w:w="1416" w:type="dxa"/>
            <w:noWrap w:val="0"/>
            <w:vAlign w:val="center"/>
          </w:tcPr>
          <w:p w14:paraId="4D58EF0E">
            <w:pPr>
              <w:pStyle w:val="56"/>
              <w:snapToGrid w:val="0"/>
              <w:jc w:val="center"/>
              <w:rPr>
                <w:rStyle w:val="22"/>
                <w:rFonts w:hint="eastAsia" w:ascii="宋体" w:hAnsi="宋体" w:eastAsia="宋体" w:cs="宋体"/>
                <w:color w:val="auto"/>
                <w:kern w:val="0"/>
                <w:highlight w:val="none"/>
              </w:rPr>
            </w:pPr>
          </w:p>
        </w:tc>
      </w:tr>
      <w:tr w14:paraId="61212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exact"/>
          <w:jc w:val="center"/>
        </w:trPr>
        <w:tc>
          <w:tcPr>
            <w:tcW w:w="1485" w:type="dxa"/>
            <w:noWrap w:val="0"/>
            <w:vAlign w:val="center"/>
          </w:tcPr>
          <w:p w14:paraId="1F79DC7E">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营业执照号</w:t>
            </w:r>
          </w:p>
        </w:tc>
        <w:tc>
          <w:tcPr>
            <w:tcW w:w="2586" w:type="dxa"/>
            <w:gridSpan w:val="2"/>
            <w:noWrap w:val="0"/>
            <w:vAlign w:val="center"/>
          </w:tcPr>
          <w:p w14:paraId="589A50CA">
            <w:pPr>
              <w:pStyle w:val="56"/>
              <w:snapToGrid w:val="0"/>
              <w:jc w:val="center"/>
              <w:rPr>
                <w:rStyle w:val="22"/>
                <w:rFonts w:hint="eastAsia" w:ascii="宋体" w:hAnsi="宋体" w:eastAsia="宋体" w:cs="宋体"/>
                <w:color w:val="auto"/>
                <w:kern w:val="0"/>
                <w:highlight w:val="none"/>
              </w:rPr>
            </w:pPr>
          </w:p>
        </w:tc>
        <w:tc>
          <w:tcPr>
            <w:tcW w:w="1089" w:type="dxa"/>
            <w:gridSpan w:val="2"/>
            <w:vMerge w:val="continue"/>
            <w:noWrap w:val="0"/>
            <w:vAlign w:val="center"/>
          </w:tcPr>
          <w:p w14:paraId="562642C8">
            <w:pPr>
              <w:pStyle w:val="56"/>
              <w:snapToGrid w:val="0"/>
              <w:jc w:val="center"/>
              <w:rPr>
                <w:rStyle w:val="22"/>
                <w:rFonts w:hint="eastAsia" w:ascii="宋体" w:hAnsi="宋体" w:eastAsia="宋体" w:cs="宋体"/>
                <w:color w:val="auto"/>
                <w:kern w:val="0"/>
                <w:highlight w:val="none"/>
              </w:rPr>
            </w:pPr>
          </w:p>
        </w:tc>
        <w:tc>
          <w:tcPr>
            <w:tcW w:w="1929" w:type="dxa"/>
            <w:gridSpan w:val="3"/>
            <w:noWrap w:val="0"/>
            <w:vAlign w:val="center"/>
          </w:tcPr>
          <w:p w14:paraId="0901873F">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高级职称人员</w:t>
            </w:r>
          </w:p>
        </w:tc>
        <w:tc>
          <w:tcPr>
            <w:tcW w:w="1416" w:type="dxa"/>
            <w:noWrap w:val="0"/>
            <w:vAlign w:val="center"/>
          </w:tcPr>
          <w:p w14:paraId="7437B386">
            <w:pPr>
              <w:pStyle w:val="56"/>
              <w:snapToGrid w:val="0"/>
              <w:jc w:val="center"/>
              <w:rPr>
                <w:rStyle w:val="22"/>
                <w:rFonts w:hint="eastAsia" w:ascii="宋体" w:hAnsi="宋体" w:eastAsia="宋体" w:cs="宋体"/>
                <w:color w:val="auto"/>
                <w:kern w:val="0"/>
                <w:highlight w:val="none"/>
              </w:rPr>
            </w:pPr>
          </w:p>
        </w:tc>
      </w:tr>
      <w:tr w14:paraId="016FE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exact"/>
          <w:jc w:val="center"/>
        </w:trPr>
        <w:tc>
          <w:tcPr>
            <w:tcW w:w="1485" w:type="dxa"/>
            <w:noWrap w:val="0"/>
            <w:vAlign w:val="center"/>
          </w:tcPr>
          <w:p w14:paraId="6F6B9EC2">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注册资金</w:t>
            </w:r>
          </w:p>
        </w:tc>
        <w:tc>
          <w:tcPr>
            <w:tcW w:w="2586" w:type="dxa"/>
            <w:gridSpan w:val="2"/>
            <w:noWrap w:val="0"/>
            <w:vAlign w:val="center"/>
          </w:tcPr>
          <w:p w14:paraId="19CFCCC8">
            <w:pPr>
              <w:pStyle w:val="56"/>
              <w:snapToGrid w:val="0"/>
              <w:jc w:val="center"/>
              <w:rPr>
                <w:rStyle w:val="22"/>
                <w:rFonts w:hint="eastAsia" w:ascii="宋体" w:hAnsi="宋体" w:eastAsia="宋体" w:cs="宋体"/>
                <w:color w:val="auto"/>
                <w:kern w:val="0"/>
                <w:highlight w:val="none"/>
              </w:rPr>
            </w:pPr>
          </w:p>
        </w:tc>
        <w:tc>
          <w:tcPr>
            <w:tcW w:w="1089" w:type="dxa"/>
            <w:gridSpan w:val="2"/>
            <w:vMerge w:val="continue"/>
            <w:noWrap w:val="0"/>
            <w:vAlign w:val="center"/>
          </w:tcPr>
          <w:p w14:paraId="69A3F6BB">
            <w:pPr>
              <w:pStyle w:val="56"/>
              <w:snapToGrid w:val="0"/>
              <w:jc w:val="center"/>
              <w:rPr>
                <w:rStyle w:val="22"/>
                <w:rFonts w:hint="eastAsia" w:ascii="宋体" w:hAnsi="宋体" w:eastAsia="宋体" w:cs="宋体"/>
                <w:color w:val="auto"/>
                <w:kern w:val="0"/>
                <w:highlight w:val="none"/>
              </w:rPr>
            </w:pPr>
          </w:p>
        </w:tc>
        <w:tc>
          <w:tcPr>
            <w:tcW w:w="1929" w:type="dxa"/>
            <w:gridSpan w:val="3"/>
            <w:noWrap w:val="0"/>
            <w:vAlign w:val="center"/>
          </w:tcPr>
          <w:p w14:paraId="0680DE10">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中级职称人员</w:t>
            </w:r>
          </w:p>
        </w:tc>
        <w:tc>
          <w:tcPr>
            <w:tcW w:w="1416" w:type="dxa"/>
            <w:noWrap w:val="0"/>
            <w:vAlign w:val="center"/>
          </w:tcPr>
          <w:p w14:paraId="7E1740E1">
            <w:pPr>
              <w:pStyle w:val="56"/>
              <w:snapToGrid w:val="0"/>
              <w:jc w:val="center"/>
              <w:rPr>
                <w:rStyle w:val="22"/>
                <w:rFonts w:hint="eastAsia" w:ascii="宋体" w:hAnsi="宋体" w:eastAsia="宋体" w:cs="宋体"/>
                <w:color w:val="auto"/>
                <w:kern w:val="0"/>
                <w:highlight w:val="none"/>
              </w:rPr>
            </w:pPr>
          </w:p>
        </w:tc>
      </w:tr>
      <w:tr w14:paraId="5BDDB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exact"/>
          <w:jc w:val="center"/>
        </w:trPr>
        <w:tc>
          <w:tcPr>
            <w:tcW w:w="1485" w:type="dxa"/>
            <w:noWrap w:val="0"/>
            <w:vAlign w:val="center"/>
          </w:tcPr>
          <w:p w14:paraId="3DE5868F">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开户银行</w:t>
            </w:r>
          </w:p>
        </w:tc>
        <w:tc>
          <w:tcPr>
            <w:tcW w:w="2586" w:type="dxa"/>
            <w:gridSpan w:val="2"/>
            <w:noWrap w:val="0"/>
            <w:vAlign w:val="center"/>
          </w:tcPr>
          <w:p w14:paraId="4FB5FF74">
            <w:pPr>
              <w:pStyle w:val="56"/>
              <w:snapToGrid w:val="0"/>
              <w:jc w:val="center"/>
              <w:rPr>
                <w:rStyle w:val="22"/>
                <w:rFonts w:hint="eastAsia" w:ascii="宋体" w:hAnsi="宋体" w:eastAsia="宋体" w:cs="宋体"/>
                <w:color w:val="auto"/>
                <w:kern w:val="0"/>
                <w:highlight w:val="none"/>
              </w:rPr>
            </w:pPr>
          </w:p>
        </w:tc>
        <w:tc>
          <w:tcPr>
            <w:tcW w:w="1089" w:type="dxa"/>
            <w:gridSpan w:val="2"/>
            <w:vMerge w:val="continue"/>
            <w:noWrap w:val="0"/>
            <w:vAlign w:val="center"/>
          </w:tcPr>
          <w:p w14:paraId="273A2A5A">
            <w:pPr>
              <w:pStyle w:val="56"/>
              <w:snapToGrid w:val="0"/>
              <w:jc w:val="center"/>
              <w:rPr>
                <w:rStyle w:val="22"/>
                <w:rFonts w:hint="eastAsia" w:ascii="宋体" w:hAnsi="宋体" w:eastAsia="宋体" w:cs="宋体"/>
                <w:color w:val="auto"/>
                <w:kern w:val="0"/>
                <w:highlight w:val="none"/>
              </w:rPr>
            </w:pPr>
          </w:p>
        </w:tc>
        <w:tc>
          <w:tcPr>
            <w:tcW w:w="1929" w:type="dxa"/>
            <w:gridSpan w:val="3"/>
            <w:noWrap w:val="0"/>
            <w:vAlign w:val="center"/>
          </w:tcPr>
          <w:p w14:paraId="2D43F702">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初级职称人员</w:t>
            </w:r>
          </w:p>
        </w:tc>
        <w:tc>
          <w:tcPr>
            <w:tcW w:w="1416" w:type="dxa"/>
            <w:noWrap w:val="0"/>
            <w:vAlign w:val="center"/>
          </w:tcPr>
          <w:p w14:paraId="0EFA22ED">
            <w:pPr>
              <w:pStyle w:val="56"/>
              <w:snapToGrid w:val="0"/>
              <w:jc w:val="center"/>
              <w:rPr>
                <w:rStyle w:val="22"/>
                <w:rFonts w:hint="eastAsia" w:ascii="宋体" w:hAnsi="宋体" w:eastAsia="宋体" w:cs="宋体"/>
                <w:color w:val="auto"/>
                <w:kern w:val="0"/>
                <w:highlight w:val="none"/>
              </w:rPr>
            </w:pPr>
          </w:p>
        </w:tc>
      </w:tr>
      <w:tr w14:paraId="123F3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exact"/>
          <w:jc w:val="center"/>
        </w:trPr>
        <w:tc>
          <w:tcPr>
            <w:tcW w:w="1485" w:type="dxa"/>
            <w:noWrap w:val="0"/>
            <w:vAlign w:val="center"/>
          </w:tcPr>
          <w:p w14:paraId="09003E91">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账号</w:t>
            </w:r>
          </w:p>
        </w:tc>
        <w:tc>
          <w:tcPr>
            <w:tcW w:w="2586" w:type="dxa"/>
            <w:gridSpan w:val="2"/>
            <w:noWrap w:val="0"/>
            <w:vAlign w:val="center"/>
          </w:tcPr>
          <w:p w14:paraId="6668B31B">
            <w:pPr>
              <w:pStyle w:val="56"/>
              <w:snapToGrid w:val="0"/>
              <w:jc w:val="center"/>
              <w:rPr>
                <w:rStyle w:val="22"/>
                <w:rFonts w:hint="eastAsia" w:ascii="宋体" w:hAnsi="宋体" w:eastAsia="宋体" w:cs="宋体"/>
                <w:color w:val="auto"/>
                <w:kern w:val="0"/>
                <w:highlight w:val="none"/>
              </w:rPr>
            </w:pPr>
          </w:p>
        </w:tc>
        <w:tc>
          <w:tcPr>
            <w:tcW w:w="1089" w:type="dxa"/>
            <w:gridSpan w:val="2"/>
            <w:vMerge w:val="continue"/>
            <w:noWrap w:val="0"/>
            <w:vAlign w:val="center"/>
          </w:tcPr>
          <w:p w14:paraId="6A202FB1">
            <w:pPr>
              <w:pStyle w:val="56"/>
              <w:snapToGrid w:val="0"/>
              <w:jc w:val="center"/>
              <w:rPr>
                <w:rStyle w:val="22"/>
                <w:rFonts w:hint="eastAsia" w:ascii="宋体" w:hAnsi="宋体" w:eastAsia="宋体" w:cs="宋体"/>
                <w:color w:val="auto"/>
                <w:kern w:val="0"/>
                <w:highlight w:val="none"/>
              </w:rPr>
            </w:pPr>
          </w:p>
        </w:tc>
        <w:tc>
          <w:tcPr>
            <w:tcW w:w="1929" w:type="dxa"/>
            <w:gridSpan w:val="3"/>
            <w:noWrap w:val="0"/>
            <w:vAlign w:val="center"/>
          </w:tcPr>
          <w:p w14:paraId="7C5D4647">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技术员</w:t>
            </w:r>
          </w:p>
        </w:tc>
        <w:tc>
          <w:tcPr>
            <w:tcW w:w="1416" w:type="dxa"/>
            <w:noWrap w:val="0"/>
            <w:vAlign w:val="center"/>
          </w:tcPr>
          <w:p w14:paraId="6B98B592">
            <w:pPr>
              <w:pStyle w:val="56"/>
              <w:snapToGrid w:val="0"/>
              <w:jc w:val="center"/>
              <w:rPr>
                <w:rStyle w:val="22"/>
                <w:rFonts w:hint="eastAsia" w:ascii="宋体" w:hAnsi="宋体" w:eastAsia="宋体" w:cs="宋体"/>
                <w:color w:val="auto"/>
                <w:kern w:val="0"/>
                <w:highlight w:val="none"/>
              </w:rPr>
            </w:pPr>
          </w:p>
        </w:tc>
      </w:tr>
      <w:tr w14:paraId="1BAF8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exact"/>
          <w:jc w:val="center"/>
        </w:trPr>
        <w:tc>
          <w:tcPr>
            <w:tcW w:w="1485" w:type="dxa"/>
            <w:noWrap w:val="0"/>
            <w:vAlign w:val="center"/>
          </w:tcPr>
          <w:p w14:paraId="0711E084">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经营范围</w:t>
            </w:r>
          </w:p>
        </w:tc>
        <w:tc>
          <w:tcPr>
            <w:tcW w:w="7020" w:type="dxa"/>
            <w:gridSpan w:val="8"/>
            <w:noWrap w:val="0"/>
            <w:vAlign w:val="center"/>
          </w:tcPr>
          <w:p w14:paraId="17A886BB">
            <w:pPr>
              <w:pStyle w:val="56"/>
              <w:snapToGrid w:val="0"/>
              <w:jc w:val="center"/>
              <w:rPr>
                <w:rStyle w:val="22"/>
                <w:rFonts w:hint="eastAsia" w:ascii="宋体" w:hAnsi="宋体" w:eastAsia="宋体" w:cs="宋体"/>
                <w:color w:val="auto"/>
                <w:kern w:val="0"/>
                <w:highlight w:val="none"/>
              </w:rPr>
            </w:pPr>
          </w:p>
        </w:tc>
      </w:tr>
      <w:tr w14:paraId="369A8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5" w:hRule="exact"/>
          <w:jc w:val="center"/>
        </w:trPr>
        <w:tc>
          <w:tcPr>
            <w:tcW w:w="1485" w:type="dxa"/>
            <w:noWrap w:val="0"/>
            <w:vAlign w:val="center"/>
          </w:tcPr>
          <w:p w14:paraId="6EB6FF84">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关联企业情况</w:t>
            </w:r>
          </w:p>
        </w:tc>
        <w:tc>
          <w:tcPr>
            <w:tcW w:w="7020" w:type="dxa"/>
            <w:gridSpan w:val="8"/>
            <w:noWrap w:val="0"/>
            <w:vAlign w:val="center"/>
          </w:tcPr>
          <w:p w14:paraId="66589EBF">
            <w:pPr>
              <w:pStyle w:val="56"/>
              <w:snapToGrid w:val="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包括但不限于与投标人存在以下关系的不同单位：</w:t>
            </w:r>
          </w:p>
          <w:p w14:paraId="45C268ED">
            <w:pPr>
              <w:pStyle w:val="56"/>
              <w:snapToGrid w:val="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1．法定代表人为同一人的。</w:t>
            </w:r>
          </w:p>
          <w:p w14:paraId="06589003">
            <w:pPr>
              <w:pStyle w:val="56"/>
              <w:snapToGrid w:val="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2．存在控股、管理关系的。</w:t>
            </w:r>
          </w:p>
          <w:p w14:paraId="52D0030D">
            <w:pPr>
              <w:pStyle w:val="56"/>
              <w:snapToGrid w:val="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3．主要人员相互任职的。</w:t>
            </w:r>
          </w:p>
        </w:tc>
      </w:tr>
      <w:tr w14:paraId="72134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exact"/>
          <w:jc w:val="center"/>
        </w:trPr>
        <w:tc>
          <w:tcPr>
            <w:tcW w:w="1485" w:type="dxa"/>
            <w:noWrap w:val="0"/>
            <w:vAlign w:val="center"/>
          </w:tcPr>
          <w:p w14:paraId="47246030">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备注</w:t>
            </w:r>
          </w:p>
        </w:tc>
        <w:tc>
          <w:tcPr>
            <w:tcW w:w="7020" w:type="dxa"/>
            <w:gridSpan w:val="8"/>
            <w:noWrap w:val="0"/>
            <w:vAlign w:val="center"/>
          </w:tcPr>
          <w:p w14:paraId="5528298D">
            <w:pPr>
              <w:pStyle w:val="56"/>
              <w:snapToGrid w:val="0"/>
              <w:jc w:val="center"/>
              <w:rPr>
                <w:rStyle w:val="22"/>
                <w:rFonts w:hint="eastAsia" w:ascii="宋体" w:hAnsi="宋体" w:eastAsia="宋体" w:cs="宋体"/>
                <w:color w:val="auto"/>
                <w:kern w:val="0"/>
                <w:highlight w:val="none"/>
              </w:rPr>
            </w:pPr>
          </w:p>
        </w:tc>
      </w:tr>
    </w:tbl>
    <w:p w14:paraId="67AEDC2C">
      <w:pPr>
        <w:pStyle w:val="56"/>
        <w:snapToGrid w:val="0"/>
        <w:spacing w:line="400" w:lineRule="exact"/>
        <w:ind w:firstLine="42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说明：</w:t>
      </w:r>
    </w:p>
    <w:p w14:paraId="676B1B0C">
      <w:pPr>
        <w:pStyle w:val="50"/>
        <w:snapToGrid w:val="0"/>
        <w:ind w:firstLine="210" w:firstLineChars="100"/>
        <w:rPr>
          <w:rStyle w:val="22"/>
          <w:rFonts w:hint="eastAsia" w:ascii="宋体" w:hAnsi="宋体" w:eastAsia="宋体" w:cs="宋体"/>
          <w:color w:val="auto"/>
          <w:sz w:val="21"/>
          <w:szCs w:val="21"/>
          <w:highlight w:val="none"/>
        </w:rPr>
      </w:pPr>
      <w:r>
        <w:rPr>
          <w:rStyle w:val="22"/>
          <w:rFonts w:hint="eastAsia" w:ascii="宋体" w:hAnsi="宋体" w:eastAsia="宋体" w:cs="宋体"/>
          <w:color w:val="auto"/>
          <w:sz w:val="21"/>
          <w:szCs w:val="21"/>
          <w:highlight w:val="none"/>
        </w:rPr>
        <w:t>《投标人基本情况表》后应附以下资料：</w:t>
      </w:r>
    </w:p>
    <w:p w14:paraId="728F2B77">
      <w:pPr>
        <w:pStyle w:val="50"/>
        <w:snapToGrid w:val="0"/>
        <w:ind w:firstLine="210" w:firstLineChars="100"/>
        <w:rPr>
          <w:rStyle w:val="22"/>
          <w:rFonts w:hint="eastAsia" w:ascii="宋体" w:hAnsi="宋体" w:eastAsia="宋体" w:cs="宋体"/>
          <w:color w:val="auto"/>
          <w:sz w:val="21"/>
          <w:szCs w:val="21"/>
          <w:highlight w:val="none"/>
        </w:rPr>
      </w:pPr>
      <w:r>
        <w:rPr>
          <w:rStyle w:val="22"/>
          <w:rFonts w:hint="eastAsia" w:ascii="宋体" w:hAnsi="宋体" w:eastAsia="宋体" w:cs="宋体"/>
          <w:color w:val="auto"/>
          <w:sz w:val="21"/>
          <w:szCs w:val="21"/>
          <w:highlight w:val="none"/>
        </w:rPr>
        <w:t>（1）企业营业执照、资质证书、安全生产许可证的彩色扫描件（或打印件）。</w:t>
      </w:r>
      <w:r>
        <w:rPr>
          <w:rStyle w:val="22"/>
          <w:rFonts w:hint="eastAsia" w:ascii="宋体" w:hAnsi="宋体" w:eastAsia="宋体" w:cs="宋体"/>
          <w:b/>
          <w:bCs/>
          <w:color w:val="auto"/>
          <w:sz w:val="21"/>
          <w:szCs w:val="21"/>
          <w:highlight w:val="none"/>
        </w:rPr>
        <w:t>（因推行电子证照，企业的营业执照、资质证书等可以提供电子证照。为实时掌握项目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14:paraId="40A816FC">
      <w:pPr>
        <w:pStyle w:val="57"/>
        <w:wordWrap w:val="0"/>
        <w:adjustRightInd w:val="0"/>
        <w:snapToGrid w:val="0"/>
        <w:spacing w:line="360" w:lineRule="auto"/>
        <w:ind w:firstLine="210" w:firstLineChars="100"/>
        <w:rPr>
          <w:rFonts w:hint="eastAsia" w:ascii="宋体" w:hAnsi="宋体" w:eastAsia="宋体" w:cs="宋体"/>
          <w:snapToGrid w:val="0"/>
          <w:color w:val="auto"/>
          <w:kern w:val="0"/>
          <w:highlight w:val="none"/>
        </w:rPr>
      </w:pPr>
      <w:bookmarkStart w:id="456" w:name="_Toc32195"/>
      <w:bookmarkStart w:id="457" w:name="_Toc31837"/>
      <w:bookmarkStart w:id="458" w:name="_Toc18314"/>
      <w:bookmarkStart w:id="459" w:name="_Toc2633"/>
      <w:r>
        <w:rPr>
          <w:rFonts w:hint="eastAsia" w:ascii="宋体" w:hAnsi="宋体" w:eastAsia="宋体" w:cs="宋体"/>
          <w:snapToGrid w:val="0"/>
          <w:color w:val="auto"/>
          <w:kern w:val="0"/>
          <w:szCs w:val="21"/>
          <w:highlight w:val="none"/>
        </w:rPr>
        <w:t>（2）</w:t>
      </w:r>
      <w:r>
        <w:rPr>
          <w:rFonts w:hint="eastAsia" w:ascii="宋体" w:hAnsi="宋体" w:eastAsia="宋体" w:cs="宋体"/>
          <w:snapToGrid w:val="0"/>
          <w:color w:val="auto"/>
          <w:kern w:val="0"/>
          <w:highlight w:val="none"/>
        </w:rPr>
        <w:t>“进粤企业和人员诚信信息登记平台”企业信息情况打印页或网页截图。（适用于省外建筑企业）</w:t>
      </w:r>
    </w:p>
    <w:p w14:paraId="6B7B244D">
      <w:pPr>
        <w:pStyle w:val="57"/>
        <w:wordWrap w:val="0"/>
        <w:adjustRightInd w:val="0"/>
        <w:snapToGrid w:val="0"/>
        <w:spacing w:line="360" w:lineRule="auto"/>
        <w:ind w:firstLine="210" w:firstLineChars="1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1"/>
          <w:highlight w:val="none"/>
        </w:rPr>
        <w:t>（3）</w:t>
      </w:r>
      <w:r>
        <w:rPr>
          <w:rFonts w:hint="eastAsia" w:ascii="宋体" w:hAnsi="宋体" w:eastAsia="宋体" w:cs="宋体"/>
          <w:snapToGrid w:val="0"/>
          <w:color w:val="auto"/>
          <w:kern w:val="0"/>
          <w:highlight w:val="none"/>
        </w:rPr>
        <w:t>《法人和非法人组织公共信用信息报告》（在“信用中国”网站企业查询界面中下载）。</w:t>
      </w:r>
    </w:p>
    <w:p w14:paraId="19CE7A3F">
      <w:pPr>
        <w:pStyle w:val="50"/>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60" w:name="_Toc6145"/>
      <w:bookmarkStart w:id="461" w:name="_Toc5097"/>
      <w:bookmarkStart w:id="462" w:name="_Toc16429"/>
      <w:bookmarkStart w:id="463" w:name="_Toc18643"/>
      <w:bookmarkStart w:id="464" w:name="_Toc15973"/>
    </w:p>
    <w:p w14:paraId="05C26402">
      <w:pPr>
        <w:pStyle w:val="50"/>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65" w:name="_Toc21362"/>
      <w:r>
        <w:rPr>
          <w:rStyle w:val="22"/>
          <w:rFonts w:hint="eastAsia" w:ascii="宋体" w:hAnsi="宋体" w:eastAsia="宋体" w:cs="宋体"/>
          <w:b/>
          <w:bCs/>
          <w:color w:val="auto"/>
          <w:sz w:val="21"/>
          <w:szCs w:val="21"/>
          <w:highlight w:val="none"/>
        </w:rPr>
        <w:t>格式</w:t>
      </w:r>
      <w:r>
        <w:rPr>
          <w:rStyle w:val="22"/>
          <w:rFonts w:hint="eastAsia" w:hAnsi="宋体" w:cs="宋体"/>
          <w:b/>
          <w:bCs/>
          <w:color w:val="auto"/>
          <w:sz w:val="21"/>
          <w:szCs w:val="21"/>
          <w:highlight w:val="none"/>
          <w:lang w:val="en-US" w:eastAsia="zh-CN"/>
        </w:rPr>
        <w:t>八</w:t>
      </w:r>
      <w:r>
        <w:rPr>
          <w:rStyle w:val="22"/>
          <w:rFonts w:hint="eastAsia" w:ascii="宋体" w:hAnsi="宋体" w:eastAsia="宋体" w:cs="宋体"/>
          <w:b/>
          <w:bCs/>
          <w:color w:val="auto"/>
          <w:sz w:val="21"/>
          <w:szCs w:val="21"/>
          <w:highlight w:val="none"/>
        </w:rPr>
        <w:t xml:space="preserve"> 项目经理简历表</w:t>
      </w:r>
      <w:bookmarkEnd w:id="456"/>
      <w:bookmarkEnd w:id="457"/>
      <w:bookmarkEnd w:id="458"/>
      <w:bookmarkEnd w:id="459"/>
      <w:bookmarkEnd w:id="460"/>
      <w:bookmarkEnd w:id="461"/>
      <w:bookmarkEnd w:id="462"/>
      <w:bookmarkEnd w:id="463"/>
      <w:bookmarkEnd w:id="464"/>
      <w:bookmarkEnd w:id="465"/>
    </w:p>
    <w:p w14:paraId="3C0BA4DB">
      <w:pPr>
        <w:snapToGrid w:val="0"/>
        <w:spacing w:line="440" w:lineRule="exact"/>
        <w:jc w:val="left"/>
        <w:rPr>
          <w:rStyle w:val="22"/>
          <w:rFonts w:hint="eastAsia" w:ascii="宋体" w:hAnsi="宋体" w:eastAsia="宋体" w:cs="宋体"/>
          <w:b/>
          <w:bCs/>
          <w:color w:val="auto"/>
          <w:kern w:val="0"/>
          <w:highlight w:val="none"/>
        </w:rPr>
      </w:pPr>
    </w:p>
    <w:tbl>
      <w:tblPr>
        <w:tblStyle w:val="18"/>
        <w:tblpPr w:leftFromText="180" w:rightFromText="180" w:vertAnchor="text" w:horzAnchor="page" w:tblpX="1490" w:tblpY="692"/>
        <w:tblOverlap w:val="never"/>
        <w:tblW w:w="9270" w:type="dxa"/>
        <w:tblInd w:w="-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75"/>
        <w:gridCol w:w="963"/>
        <w:gridCol w:w="584"/>
        <w:gridCol w:w="648"/>
        <w:gridCol w:w="1294"/>
        <w:gridCol w:w="1946"/>
        <w:gridCol w:w="27"/>
        <w:gridCol w:w="1706"/>
        <w:gridCol w:w="1327"/>
      </w:tblGrid>
      <w:tr w14:paraId="3C4F8FC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7DCA7341">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姓   名</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14:paraId="16099AE5">
            <w:pPr>
              <w:snapToGrid w:val="0"/>
              <w:spacing w:line="240" w:lineRule="auto"/>
              <w:jc w:val="center"/>
              <w:rPr>
                <w:rStyle w:val="22"/>
                <w:rFonts w:hint="eastAsia" w:ascii="宋体" w:hAnsi="宋体" w:eastAsia="宋体" w:cs="宋体"/>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14:paraId="0BF6013D">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性  别</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14:paraId="0E092C0E">
            <w:pPr>
              <w:snapToGrid w:val="0"/>
              <w:spacing w:line="240" w:lineRule="auto"/>
              <w:jc w:val="center"/>
              <w:rPr>
                <w:rStyle w:val="22"/>
                <w:rFonts w:hint="eastAsia" w:ascii="宋体" w:hAnsi="宋体" w:eastAsia="宋体" w:cs="宋体"/>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14:paraId="3304C7AF">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年   龄</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52F8CC76">
            <w:pPr>
              <w:snapToGrid w:val="0"/>
              <w:spacing w:line="240" w:lineRule="auto"/>
              <w:jc w:val="center"/>
              <w:rPr>
                <w:rStyle w:val="22"/>
                <w:rFonts w:hint="eastAsia" w:ascii="宋体" w:hAnsi="宋体" w:eastAsia="宋体" w:cs="宋体"/>
                <w:color w:val="auto"/>
                <w:kern w:val="0"/>
                <w:sz w:val="21"/>
                <w:szCs w:val="21"/>
                <w:highlight w:val="none"/>
              </w:rPr>
            </w:pPr>
          </w:p>
        </w:tc>
      </w:tr>
      <w:tr w14:paraId="7719EF1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7C38E279">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   务</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14:paraId="31F938B7">
            <w:pPr>
              <w:snapToGrid w:val="0"/>
              <w:spacing w:line="240" w:lineRule="auto"/>
              <w:jc w:val="center"/>
              <w:rPr>
                <w:rStyle w:val="22"/>
                <w:rFonts w:hint="eastAsia" w:ascii="宋体" w:hAnsi="宋体" w:eastAsia="宋体" w:cs="宋体"/>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14:paraId="7AFB16DA">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  称</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14:paraId="31C58F23">
            <w:pPr>
              <w:snapToGrid w:val="0"/>
              <w:spacing w:line="240" w:lineRule="auto"/>
              <w:jc w:val="center"/>
              <w:rPr>
                <w:rStyle w:val="22"/>
                <w:rFonts w:hint="eastAsia" w:ascii="宋体" w:hAnsi="宋体" w:eastAsia="宋体" w:cs="宋体"/>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14:paraId="79A71335">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学   历</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15AD7960">
            <w:pPr>
              <w:snapToGrid w:val="0"/>
              <w:spacing w:line="240" w:lineRule="auto"/>
              <w:jc w:val="center"/>
              <w:rPr>
                <w:rStyle w:val="22"/>
                <w:rFonts w:hint="eastAsia" w:ascii="宋体" w:hAnsi="宋体" w:eastAsia="宋体" w:cs="宋体"/>
                <w:color w:val="auto"/>
                <w:kern w:val="0"/>
                <w:sz w:val="21"/>
                <w:szCs w:val="21"/>
                <w:highlight w:val="none"/>
              </w:rPr>
            </w:pPr>
          </w:p>
        </w:tc>
      </w:tr>
      <w:tr w14:paraId="737B00B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0C6F24B1">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参加工作时间</w:t>
            </w:r>
          </w:p>
        </w:tc>
        <w:tc>
          <w:tcPr>
            <w:tcW w:w="2526" w:type="dxa"/>
            <w:gridSpan w:val="3"/>
            <w:tcBorders>
              <w:top w:val="single" w:color="000000" w:sz="6" w:space="0"/>
              <w:left w:val="single" w:color="000000" w:sz="6" w:space="0"/>
              <w:bottom w:val="single" w:color="000000" w:sz="6" w:space="0"/>
              <w:right w:val="single" w:color="000000" w:sz="6" w:space="0"/>
            </w:tcBorders>
            <w:noWrap w:val="0"/>
            <w:vAlign w:val="center"/>
          </w:tcPr>
          <w:p w14:paraId="70170BCE">
            <w:pPr>
              <w:snapToGrid w:val="0"/>
              <w:spacing w:line="240" w:lineRule="auto"/>
              <w:jc w:val="center"/>
              <w:rPr>
                <w:rStyle w:val="22"/>
                <w:rFonts w:hint="eastAsia" w:ascii="宋体" w:hAnsi="宋体" w:eastAsia="宋体" w:cs="宋体"/>
                <w:color w:val="auto"/>
                <w:kern w:val="0"/>
                <w:sz w:val="21"/>
                <w:szCs w:val="21"/>
                <w:highlight w:val="none"/>
              </w:rPr>
            </w:pPr>
          </w:p>
        </w:tc>
        <w:tc>
          <w:tcPr>
            <w:tcW w:w="3679" w:type="dxa"/>
            <w:gridSpan w:val="3"/>
            <w:tcBorders>
              <w:top w:val="single" w:color="000000" w:sz="6" w:space="0"/>
              <w:left w:val="single" w:color="000000" w:sz="6" w:space="0"/>
              <w:bottom w:val="single" w:color="000000" w:sz="6" w:space="0"/>
              <w:right w:val="single" w:color="000000" w:sz="6" w:space="0"/>
            </w:tcBorders>
            <w:noWrap w:val="0"/>
            <w:vAlign w:val="center"/>
          </w:tcPr>
          <w:p w14:paraId="26EE4C4E">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从事工程建设项目管理工作年限</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6F7B02EC">
            <w:pPr>
              <w:snapToGrid w:val="0"/>
              <w:spacing w:line="240" w:lineRule="auto"/>
              <w:jc w:val="center"/>
              <w:rPr>
                <w:rStyle w:val="22"/>
                <w:rFonts w:hint="eastAsia" w:ascii="宋体" w:hAnsi="宋体" w:eastAsia="宋体" w:cs="宋体"/>
                <w:color w:val="auto"/>
                <w:kern w:val="0"/>
                <w:sz w:val="21"/>
                <w:szCs w:val="21"/>
                <w:highlight w:val="none"/>
              </w:rPr>
            </w:pPr>
          </w:p>
        </w:tc>
      </w:tr>
      <w:tr w14:paraId="7B6AFA6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9270" w:type="dxa"/>
            <w:gridSpan w:val="9"/>
            <w:tcBorders>
              <w:top w:val="single" w:color="000000" w:sz="6" w:space="0"/>
              <w:left w:val="single" w:color="000000" w:sz="6" w:space="0"/>
              <w:bottom w:val="single" w:color="000000" w:sz="6" w:space="0"/>
              <w:right w:val="single" w:color="000000" w:sz="6" w:space="0"/>
            </w:tcBorders>
            <w:noWrap w:val="0"/>
            <w:vAlign w:val="center"/>
          </w:tcPr>
          <w:p w14:paraId="722D9214">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以项目经理身份参与过的主要业绩（已完工项目）</w:t>
            </w:r>
          </w:p>
        </w:tc>
      </w:tr>
      <w:tr w14:paraId="4527A0B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60FFE870">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序号</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554DA905">
            <w:pPr>
              <w:snapToGrid w:val="0"/>
              <w:spacing w:line="240" w:lineRule="auto"/>
              <w:jc w:val="center"/>
              <w:rPr>
                <w:rStyle w:val="22"/>
                <w:rFonts w:hint="eastAsia" w:ascii="宋体" w:hAnsi="宋体" w:eastAsia="宋体" w:cs="宋体"/>
                <w:color w:val="auto"/>
                <w:kern w:val="0"/>
                <w:sz w:val="21"/>
                <w:szCs w:val="21"/>
                <w:highlight w:val="none"/>
                <w:lang w:eastAsia="zh-CN"/>
              </w:rPr>
            </w:pPr>
            <w:r>
              <w:rPr>
                <w:rStyle w:val="22"/>
                <w:rFonts w:hint="eastAsia" w:hAnsi="宋体" w:cs="宋体"/>
                <w:color w:val="auto"/>
                <w:kern w:val="0"/>
                <w:sz w:val="21"/>
                <w:szCs w:val="21"/>
                <w:highlight w:val="none"/>
                <w:lang w:eastAsia="zh-CN"/>
              </w:rPr>
              <w:t>工程名称</w:t>
            </w: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0667AEC5">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建设单位</w:t>
            </w: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11C9BD3B">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建设内容和规模</w:t>
            </w: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0F7CE99C">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开、竣工日期</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146A72A0">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质量等级</w:t>
            </w:r>
          </w:p>
        </w:tc>
      </w:tr>
      <w:tr w14:paraId="6461882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5075FF3A">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1</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7C594651">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164962AF">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0D5B8216">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2260087D">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32B7ACD2">
            <w:pPr>
              <w:snapToGrid w:val="0"/>
              <w:spacing w:line="240" w:lineRule="auto"/>
              <w:jc w:val="center"/>
              <w:rPr>
                <w:rStyle w:val="22"/>
                <w:rFonts w:hint="eastAsia" w:ascii="宋体" w:hAnsi="宋体" w:eastAsia="宋体" w:cs="宋体"/>
                <w:color w:val="auto"/>
                <w:kern w:val="0"/>
                <w:sz w:val="21"/>
                <w:szCs w:val="21"/>
                <w:highlight w:val="none"/>
              </w:rPr>
            </w:pPr>
          </w:p>
        </w:tc>
      </w:tr>
      <w:tr w14:paraId="6594590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40BFE98F">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2</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7E1E0BA0">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4DB13061">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58405EE2">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163897E0">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6287907C">
            <w:pPr>
              <w:snapToGrid w:val="0"/>
              <w:spacing w:line="240" w:lineRule="auto"/>
              <w:jc w:val="center"/>
              <w:rPr>
                <w:rStyle w:val="22"/>
                <w:rFonts w:hint="eastAsia" w:ascii="宋体" w:hAnsi="宋体" w:eastAsia="宋体" w:cs="宋体"/>
                <w:color w:val="auto"/>
                <w:kern w:val="0"/>
                <w:sz w:val="21"/>
                <w:szCs w:val="21"/>
                <w:highlight w:val="none"/>
              </w:rPr>
            </w:pPr>
          </w:p>
        </w:tc>
      </w:tr>
      <w:tr w14:paraId="7734986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2962E15A">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3</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19AE129B">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2A04E60C">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6D649029">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229C55EC">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2456B2AB">
            <w:pPr>
              <w:snapToGrid w:val="0"/>
              <w:spacing w:line="240" w:lineRule="auto"/>
              <w:jc w:val="center"/>
              <w:rPr>
                <w:rStyle w:val="22"/>
                <w:rFonts w:hint="eastAsia" w:ascii="宋体" w:hAnsi="宋体" w:eastAsia="宋体" w:cs="宋体"/>
                <w:color w:val="auto"/>
                <w:kern w:val="0"/>
                <w:sz w:val="21"/>
                <w:szCs w:val="21"/>
                <w:highlight w:val="none"/>
              </w:rPr>
            </w:pPr>
          </w:p>
        </w:tc>
      </w:tr>
      <w:tr w14:paraId="69B8CED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7D4C907B">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39425076">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6608BD43">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7BAEEA18">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79BB6A9E">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1749BABE">
            <w:pPr>
              <w:snapToGrid w:val="0"/>
              <w:spacing w:line="240" w:lineRule="auto"/>
              <w:jc w:val="center"/>
              <w:rPr>
                <w:rStyle w:val="22"/>
                <w:rFonts w:hint="eastAsia" w:ascii="宋体" w:hAnsi="宋体" w:eastAsia="宋体" w:cs="宋体"/>
                <w:color w:val="auto"/>
                <w:kern w:val="0"/>
                <w:sz w:val="21"/>
                <w:szCs w:val="21"/>
                <w:highlight w:val="none"/>
              </w:rPr>
            </w:pPr>
          </w:p>
        </w:tc>
      </w:tr>
    </w:tbl>
    <w:p w14:paraId="24A1D579">
      <w:pPr>
        <w:snapToGrid w:val="0"/>
        <w:spacing w:line="440" w:lineRule="exact"/>
        <w:jc w:val="center"/>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sz w:val="30"/>
          <w:szCs w:val="30"/>
          <w:highlight w:val="none"/>
        </w:rPr>
        <w:t>项目经理简历表</w:t>
      </w:r>
    </w:p>
    <w:p w14:paraId="7C7BA861">
      <w:pPr>
        <w:snapToGrid w:val="0"/>
        <w:spacing w:line="440" w:lineRule="exact"/>
        <w:ind w:firstLine="570"/>
        <w:rPr>
          <w:rStyle w:val="22"/>
          <w:rFonts w:hint="eastAsia" w:ascii="宋体" w:hAnsi="宋体" w:eastAsia="宋体" w:cs="宋体"/>
          <w:color w:val="auto"/>
          <w:kern w:val="0"/>
          <w:highlight w:val="none"/>
        </w:rPr>
      </w:pPr>
    </w:p>
    <w:p w14:paraId="3CF17C8C">
      <w:pPr>
        <w:pStyle w:val="51"/>
        <w:snapToGrid w:val="0"/>
        <w:spacing w:line="440" w:lineRule="exact"/>
        <w:jc w:val="right"/>
        <w:rPr>
          <w:rStyle w:val="22"/>
          <w:rFonts w:hint="eastAsia" w:ascii="宋体" w:hAnsi="宋体" w:eastAsia="宋体" w:cs="宋体"/>
          <w:color w:val="auto"/>
          <w:kern w:val="0"/>
          <w:highlight w:val="none"/>
        </w:rPr>
      </w:pPr>
    </w:p>
    <w:p w14:paraId="5AB77FA0">
      <w:pPr>
        <w:pStyle w:val="51"/>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项目经理：</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w:t>
      </w:r>
    </w:p>
    <w:p w14:paraId="4327BBF8">
      <w:pPr>
        <w:pStyle w:val="51"/>
        <w:snapToGrid w:val="0"/>
        <w:spacing w:line="440" w:lineRule="exact"/>
        <w:jc w:val="right"/>
        <w:rPr>
          <w:rStyle w:val="22"/>
          <w:rFonts w:hint="eastAsia" w:ascii="宋体" w:hAnsi="宋体" w:eastAsia="宋体" w:cs="宋体"/>
          <w:color w:val="auto"/>
          <w:kern w:val="0"/>
          <w:highlight w:val="none"/>
        </w:rPr>
      </w:pPr>
    </w:p>
    <w:p w14:paraId="3EC25562">
      <w:pPr>
        <w:pStyle w:val="51"/>
        <w:snapToGrid w:val="0"/>
        <w:spacing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日</w:t>
      </w:r>
    </w:p>
    <w:p w14:paraId="0F2CD818">
      <w:pPr>
        <w:snapToGrid w:val="0"/>
        <w:spacing w:line="400" w:lineRule="exact"/>
        <w:rPr>
          <w:rStyle w:val="22"/>
          <w:rFonts w:hint="eastAsia" w:ascii="宋体" w:hAnsi="宋体" w:eastAsia="宋体" w:cs="宋体"/>
          <w:color w:val="auto"/>
          <w:kern w:val="0"/>
          <w:sz w:val="21"/>
          <w:szCs w:val="21"/>
          <w:highlight w:val="none"/>
        </w:rPr>
      </w:pPr>
    </w:p>
    <w:p w14:paraId="748CA456">
      <w:pPr>
        <w:snapToGrid w:val="0"/>
        <w:spacing w:line="400" w:lineRule="exact"/>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 xml:space="preserve"> 说明：《项目经理简历表》后应附拟派项目经理以下资料：</w:t>
      </w:r>
    </w:p>
    <w:p w14:paraId="7D6594B3">
      <w:pPr>
        <w:snapToGrid w:val="0"/>
        <w:spacing w:line="400" w:lineRule="exact"/>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 xml:space="preserve">    1．身份证</w:t>
      </w:r>
      <w:r>
        <w:rPr>
          <w:rFonts w:hint="eastAsia" w:ascii="宋体" w:hAnsi="宋体" w:eastAsia="宋体" w:cs="宋体"/>
          <w:snapToGrid w:val="0"/>
          <w:color w:val="auto"/>
          <w:kern w:val="0"/>
          <w:sz w:val="21"/>
          <w:szCs w:val="28"/>
          <w:highlight w:val="none"/>
        </w:rPr>
        <w:t>彩色扫描件</w:t>
      </w:r>
      <w:r>
        <w:rPr>
          <w:rStyle w:val="22"/>
          <w:rFonts w:hint="eastAsia" w:ascii="宋体" w:hAnsi="宋体" w:eastAsia="宋体" w:cs="宋体"/>
          <w:color w:val="auto"/>
          <w:kern w:val="0"/>
          <w:sz w:val="21"/>
          <w:szCs w:val="21"/>
          <w:highlight w:val="none"/>
        </w:rPr>
        <w:t>；</w:t>
      </w:r>
    </w:p>
    <w:p w14:paraId="282857C3">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Style w:val="22"/>
          <w:rFonts w:hint="eastAsia" w:ascii="宋体" w:hAnsi="宋体" w:eastAsia="宋体" w:cs="宋体"/>
          <w:color w:val="auto"/>
          <w:kern w:val="0"/>
          <w:sz w:val="21"/>
          <w:szCs w:val="21"/>
          <w:highlight w:val="none"/>
        </w:rPr>
        <w:t xml:space="preserve">    2．</w:t>
      </w:r>
      <w:r>
        <w:rPr>
          <w:rFonts w:hint="eastAsia" w:ascii="宋体" w:hAnsi="宋体" w:eastAsia="宋体" w:cs="宋体"/>
          <w:snapToGrid w:val="0"/>
          <w:color w:val="auto"/>
          <w:kern w:val="0"/>
          <w:sz w:val="21"/>
          <w:szCs w:val="21"/>
          <w:highlight w:val="none"/>
        </w:rPr>
        <w:t>建造师电子注册证书（在使用有效期内的有效电子证书）彩色扫描件</w:t>
      </w:r>
      <w:r>
        <w:rPr>
          <w:rFonts w:hint="eastAsia" w:ascii="宋体" w:hAnsi="宋体" w:eastAsia="宋体" w:cs="宋体"/>
          <w:snapToGrid w:val="0"/>
          <w:color w:val="auto"/>
          <w:kern w:val="0"/>
          <w:sz w:val="21"/>
          <w:szCs w:val="28"/>
          <w:highlight w:val="none"/>
        </w:rPr>
        <w:t>；</w:t>
      </w:r>
    </w:p>
    <w:p w14:paraId="1A9D6CBF">
      <w:pPr>
        <w:wordWrap w:val="0"/>
        <w:adjustRightInd w:val="0"/>
        <w:snapToGrid w:val="0"/>
        <w:spacing w:line="400" w:lineRule="exact"/>
        <w:rPr>
          <w:rStyle w:val="22"/>
          <w:rFonts w:hint="eastAsia" w:ascii="宋体" w:hAnsi="宋体" w:eastAsia="宋体" w:cs="宋体"/>
          <w:color w:val="auto"/>
          <w:kern w:val="0"/>
          <w:sz w:val="21"/>
          <w:szCs w:val="21"/>
          <w:highlight w:val="none"/>
        </w:rPr>
      </w:pPr>
      <w:r>
        <w:rPr>
          <w:rFonts w:hint="eastAsia" w:ascii="宋体" w:hAnsi="宋体" w:eastAsia="宋体" w:cs="宋体"/>
          <w:snapToGrid w:val="0"/>
          <w:color w:val="auto"/>
          <w:kern w:val="0"/>
          <w:sz w:val="21"/>
          <w:szCs w:val="28"/>
          <w:highlight w:val="none"/>
        </w:rPr>
        <w:t xml:space="preserve">    3．B类安全生产考核合格证书</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或广东省建筑施工企业管理人员安全生产考核系统考核合格信息彩色扫描件；</w:t>
      </w:r>
    </w:p>
    <w:p w14:paraId="7CD37BFF">
      <w:pPr>
        <w:snapToGrid w:val="0"/>
        <w:spacing w:line="400" w:lineRule="exact"/>
        <w:ind w:firstLine="420" w:firstLineChars="200"/>
        <w:rPr>
          <w:rStyle w:val="22"/>
          <w:rFonts w:hint="eastAsia" w:ascii="宋体" w:hAnsi="宋体" w:eastAsia="宋体" w:cs="宋体"/>
          <w:color w:val="auto"/>
          <w:kern w:val="0"/>
          <w:sz w:val="21"/>
          <w:szCs w:val="21"/>
          <w:highlight w:val="none"/>
        </w:rPr>
      </w:pPr>
      <w:bookmarkStart w:id="466" w:name="_Toc23777"/>
      <w:r>
        <w:rPr>
          <w:rStyle w:val="22"/>
          <w:rFonts w:hint="eastAsia" w:ascii="宋体" w:hAnsi="宋体" w:eastAsia="宋体" w:cs="宋体"/>
          <w:color w:val="auto"/>
          <w:kern w:val="0"/>
          <w:sz w:val="21"/>
          <w:szCs w:val="21"/>
          <w:highlight w:val="none"/>
        </w:rPr>
        <w:t>4．在本单位缴纳社保的证明（</w:t>
      </w:r>
      <w:r>
        <w:rPr>
          <w:rStyle w:val="22"/>
          <w:rFonts w:hint="eastAsia" w:hAnsi="宋体" w:cs="宋体"/>
          <w:color w:val="auto"/>
          <w:kern w:val="0"/>
          <w:sz w:val="21"/>
          <w:szCs w:val="21"/>
          <w:highlight w:val="none"/>
          <w:lang w:eastAsia="zh-CN"/>
        </w:rPr>
        <w:t>至少一个月</w:t>
      </w:r>
      <w:r>
        <w:rPr>
          <w:rStyle w:val="22"/>
          <w:rFonts w:hint="eastAsia" w:ascii="宋体" w:hAnsi="宋体" w:eastAsia="宋体" w:cs="宋体"/>
          <w:color w:val="auto"/>
          <w:kern w:val="0"/>
          <w:sz w:val="21"/>
          <w:szCs w:val="21"/>
          <w:highlight w:val="none"/>
        </w:rPr>
        <w:t>，</w:t>
      </w:r>
      <w:r>
        <w:rPr>
          <w:rStyle w:val="22"/>
          <w:rFonts w:hint="eastAsia" w:hAnsi="宋体" w:cs="宋体"/>
          <w:color w:val="auto"/>
          <w:kern w:val="0"/>
          <w:sz w:val="21"/>
          <w:szCs w:val="21"/>
          <w:highlight w:val="none"/>
          <w:lang w:eastAsia="zh-CN"/>
        </w:rPr>
        <w:t>其中必须有2026年9月</w:t>
      </w:r>
      <w:r>
        <w:rPr>
          <w:rStyle w:val="22"/>
          <w:rFonts w:hint="eastAsia" w:ascii="宋体" w:hAnsi="宋体" w:eastAsia="宋体" w:cs="宋体"/>
          <w:color w:val="auto"/>
          <w:kern w:val="0"/>
          <w:sz w:val="21"/>
          <w:szCs w:val="21"/>
          <w:highlight w:val="none"/>
        </w:rPr>
        <w:t>）彩色扫描件；拟派项目经理为退休返聘人员无法提供社保证明的，提供退休证和劳动合同彩色扫描件。</w:t>
      </w:r>
    </w:p>
    <w:p w14:paraId="43BBBE01">
      <w:pPr>
        <w:snapToGrid w:val="0"/>
        <w:spacing w:line="400" w:lineRule="exact"/>
        <w:ind w:firstLine="420" w:firstLineChars="200"/>
        <w:rPr>
          <w:rFonts w:hint="eastAsia"/>
          <w:color w:val="auto"/>
          <w:highlight w:val="none"/>
        </w:rPr>
      </w:pPr>
      <w:r>
        <w:rPr>
          <w:rStyle w:val="22"/>
          <w:rFonts w:hint="eastAsia" w:ascii="宋体" w:hAnsi="宋体" w:eastAsia="宋体" w:cs="宋体"/>
          <w:color w:val="auto"/>
          <w:kern w:val="0"/>
          <w:sz w:val="21"/>
          <w:szCs w:val="21"/>
          <w:highlight w:val="none"/>
          <w:lang w:val="en-US" w:eastAsia="zh-CN"/>
        </w:rPr>
        <w:t>5</w:t>
      </w:r>
      <w:r>
        <w:rPr>
          <w:rStyle w:val="22"/>
          <w:rFonts w:hint="eastAsia" w:ascii="宋体" w:hAnsi="宋体" w:eastAsia="宋体" w:cs="宋体"/>
          <w:color w:val="auto"/>
          <w:kern w:val="0"/>
          <w:sz w:val="21"/>
          <w:szCs w:val="21"/>
          <w:highlight w:val="none"/>
        </w:rPr>
        <w:t>．“进粤企业和人员诚信信息登记平台”个人信息情况截图。（适用于省外建筑企业）</w:t>
      </w:r>
      <w:r>
        <w:rPr>
          <w:rStyle w:val="22"/>
          <w:rFonts w:hint="eastAsia" w:ascii="宋体" w:hAnsi="宋体" w:eastAsia="宋体" w:cs="宋体"/>
          <w:color w:val="auto"/>
          <w:kern w:val="0"/>
          <w:sz w:val="21"/>
          <w:szCs w:val="21"/>
          <w:highlight w:val="none"/>
          <w:lang w:eastAsia="zh-CN"/>
        </w:rPr>
        <w:t>。</w:t>
      </w:r>
      <w:bookmarkEnd w:id="466"/>
      <w:bookmarkStart w:id="467" w:name="_Toc1272"/>
    </w:p>
    <w:p w14:paraId="712CFF40">
      <w:pPr>
        <w:snapToGrid w:val="0"/>
        <w:spacing w:line="400" w:lineRule="exact"/>
        <w:rPr>
          <w:rStyle w:val="22"/>
          <w:rFonts w:hint="eastAsia" w:ascii="宋体" w:hAnsi="宋体" w:eastAsia="宋体" w:cs="宋体"/>
          <w:b/>
          <w:bCs/>
          <w:color w:val="auto"/>
          <w:kern w:val="0"/>
          <w:szCs w:val="36"/>
          <w:highlight w:val="none"/>
        </w:rPr>
      </w:pPr>
    </w:p>
    <w:p w14:paraId="66C34405">
      <w:pPr>
        <w:snapToGrid w:val="0"/>
        <w:spacing w:line="400" w:lineRule="exact"/>
        <w:rPr>
          <w:rStyle w:val="22"/>
          <w:rFonts w:hint="eastAsia" w:ascii="宋体" w:hAnsi="宋体" w:eastAsia="宋体" w:cs="宋体"/>
          <w:b/>
          <w:bCs/>
          <w:color w:val="auto"/>
          <w:kern w:val="0"/>
          <w:szCs w:val="36"/>
          <w:highlight w:val="none"/>
        </w:rPr>
      </w:pPr>
    </w:p>
    <w:p w14:paraId="50D02FDB">
      <w:pPr>
        <w:snapToGrid w:val="0"/>
        <w:spacing w:line="400" w:lineRule="exact"/>
        <w:rPr>
          <w:rStyle w:val="22"/>
          <w:rFonts w:hint="eastAsia" w:ascii="宋体" w:hAnsi="宋体" w:eastAsia="宋体" w:cs="宋体"/>
          <w:b/>
          <w:bCs/>
          <w:color w:val="auto"/>
          <w:kern w:val="0"/>
          <w:szCs w:val="36"/>
          <w:highlight w:val="none"/>
        </w:rPr>
      </w:pPr>
    </w:p>
    <w:p w14:paraId="37697DCD">
      <w:pPr>
        <w:pStyle w:val="50"/>
        <w:snapToGrid w:val="0"/>
        <w:spacing w:line="440" w:lineRule="exact"/>
        <w:ind w:left="0" w:leftChars="0" w:firstLine="0" w:firstLineChars="0"/>
        <w:outlineLvl w:val="1"/>
        <w:rPr>
          <w:rStyle w:val="22"/>
          <w:rFonts w:hint="eastAsia" w:ascii="宋体" w:hAnsi="宋体" w:eastAsia="宋体" w:cs="宋体"/>
          <w:b/>
          <w:bCs/>
          <w:color w:val="auto"/>
          <w:kern w:val="0"/>
          <w:sz w:val="21"/>
          <w:szCs w:val="21"/>
          <w:highlight w:val="none"/>
        </w:rPr>
      </w:pPr>
      <w:bookmarkStart w:id="468" w:name="_Toc30757"/>
      <w:r>
        <w:rPr>
          <w:rStyle w:val="22"/>
          <w:rFonts w:hint="eastAsia" w:ascii="宋体" w:hAnsi="宋体" w:eastAsia="宋体" w:cs="宋体"/>
          <w:b/>
          <w:bCs/>
          <w:color w:val="auto"/>
          <w:kern w:val="0"/>
          <w:sz w:val="21"/>
          <w:szCs w:val="21"/>
          <w:highlight w:val="none"/>
        </w:rPr>
        <w:t>格式</w:t>
      </w:r>
      <w:r>
        <w:rPr>
          <w:rStyle w:val="22"/>
          <w:rFonts w:hint="eastAsia" w:hAnsi="宋体" w:cs="宋体"/>
          <w:b/>
          <w:bCs/>
          <w:color w:val="auto"/>
          <w:kern w:val="0"/>
          <w:sz w:val="21"/>
          <w:szCs w:val="21"/>
          <w:highlight w:val="none"/>
          <w:lang w:val="en-US" w:eastAsia="zh-CN"/>
        </w:rPr>
        <w:t>九</w:t>
      </w:r>
      <w:r>
        <w:rPr>
          <w:rStyle w:val="22"/>
          <w:rFonts w:hint="eastAsia" w:ascii="宋体" w:hAnsi="宋体" w:eastAsia="宋体" w:cs="宋体"/>
          <w:b/>
          <w:bCs/>
          <w:color w:val="auto"/>
          <w:kern w:val="0"/>
          <w:sz w:val="21"/>
          <w:szCs w:val="21"/>
          <w:highlight w:val="none"/>
        </w:rPr>
        <w:t xml:space="preserve"> 项目经理任职声明</w:t>
      </w:r>
      <w:bookmarkEnd w:id="467"/>
      <w:bookmarkEnd w:id="468"/>
    </w:p>
    <w:p w14:paraId="52C834F0">
      <w:pPr>
        <w:snapToGrid w:val="0"/>
        <w:spacing w:line="440" w:lineRule="exact"/>
        <w:jc w:val="left"/>
        <w:rPr>
          <w:rStyle w:val="22"/>
          <w:rFonts w:hint="eastAsia" w:ascii="宋体" w:hAnsi="宋体" w:eastAsia="宋体" w:cs="宋体"/>
          <w:b/>
          <w:bCs/>
          <w:color w:val="auto"/>
          <w:kern w:val="0"/>
          <w:highlight w:val="none"/>
        </w:rPr>
      </w:pPr>
    </w:p>
    <w:p w14:paraId="5340D659">
      <w:pPr>
        <w:snapToGrid w:val="0"/>
        <w:spacing w:before="260" w:after="260"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sz w:val="30"/>
          <w:szCs w:val="30"/>
          <w:highlight w:val="none"/>
        </w:rPr>
        <w:t>项目经理任职声明</w:t>
      </w:r>
    </w:p>
    <w:p w14:paraId="4199FD40">
      <w:pPr>
        <w:snapToGrid w:val="0"/>
        <w:spacing w:line="440" w:lineRule="exact"/>
        <w:jc w:val="center"/>
        <w:rPr>
          <w:rStyle w:val="22"/>
          <w:rFonts w:hint="eastAsia" w:ascii="宋体" w:hAnsi="宋体" w:eastAsia="宋体" w:cs="宋体"/>
          <w:color w:val="auto"/>
          <w:kern w:val="0"/>
          <w:highlight w:val="none"/>
        </w:rPr>
      </w:pPr>
    </w:p>
    <w:p w14:paraId="5C12C8E6">
      <w:pPr>
        <w:snapToGrid w:val="0"/>
        <w:spacing w:line="360" w:lineRule="auto"/>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（招标人名称）：</w:t>
      </w:r>
    </w:p>
    <w:p w14:paraId="4F350CFF">
      <w:pPr>
        <w:snapToGrid w:val="0"/>
        <w:spacing w:line="360" w:lineRule="auto"/>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我方在此声明，我方拟派往</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（工程名称）的项目经理</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（项目经理姓名）现阶段没有担任任何在施</w:t>
      </w:r>
      <w:r>
        <w:rPr>
          <w:rFonts w:hint="eastAsia" w:hAnsi="宋体" w:eastAsia="宋体" w:cs="宋体"/>
          <w:color w:val="auto"/>
          <w:highlight w:val="none"/>
          <w:lang w:eastAsia="zh-CN"/>
        </w:rPr>
        <w:t>（包括已中标未开工、已开工未竣工）</w:t>
      </w:r>
      <w:r>
        <w:rPr>
          <w:rStyle w:val="22"/>
          <w:rFonts w:hint="eastAsia" w:ascii="宋体" w:hAnsi="宋体" w:eastAsia="宋体" w:cs="宋体"/>
          <w:color w:val="auto"/>
          <w:kern w:val="0"/>
          <w:highlight w:val="none"/>
        </w:rPr>
        <w:t>建设工程项目的项目经理。</w:t>
      </w:r>
    </w:p>
    <w:p w14:paraId="0563F65E">
      <w:pPr>
        <w:snapToGrid w:val="0"/>
        <w:spacing w:line="360" w:lineRule="auto"/>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我方保证上述信息的真实和准确，并愿意承担因我方就此弄虚作假所引起的一切法律后果。</w:t>
      </w:r>
    </w:p>
    <w:p w14:paraId="394C054A">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w:t>
      </w:r>
    </w:p>
    <w:p w14:paraId="16A18D47">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特此承诺　　</w:t>
      </w:r>
    </w:p>
    <w:p w14:paraId="79758F8A">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w:t>
      </w:r>
    </w:p>
    <w:p w14:paraId="1991B950">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w:t>
      </w:r>
    </w:p>
    <w:p w14:paraId="0A4D77F4">
      <w:pPr>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投标人：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（盖单位章）</w:t>
      </w:r>
    </w:p>
    <w:p w14:paraId="5642C192">
      <w:pPr>
        <w:snapToGrid w:val="0"/>
        <w:spacing w:line="440" w:lineRule="exact"/>
        <w:jc w:val="right"/>
        <w:rPr>
          <w:rStyle w:val="22"/>
          <w:rFonts w:hint="eastAsia" w:ascii="宋体" w:hAnsi="宋体" w:eastAsia="宋体" w:cs="宋体"/>
          <w:color w:val="auto"/>
          <w:kern w:val="0"/>
          <w:highlight w:val="none"/>
        </w:rPr>
      </w:pPr>
    </w:p>
    <w:p w14:paraId="6F251669">
      <w:pPr>
        <w:snapToGrid w:val="0"/>
        <w:spacing w:line="440" w:lineRule="exact"/>
        <w:jc w:val="right"/>
        <w:rPr>
          <w:rStyle w:val="22"/>
          <w:rFonts w:hint="eastAsia" w:ascii="宋体" w:hAnsi="宋体" w:eastAsia="宋体" w:cs="宋体"/>
          <w:color w:val="auto"/>
          <w:kern w:val="0"/>
          <w:highlight w:val="none"/>
        </w:rPr>
      </w:pPr>
    </w:p>
    <w:p w14:paraId="483BC807">
      <w:pPr>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法定代表人或其委托代理人：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（签字或盖章）</w:t>
      </w:r>
    </w:p>
    <w:p w14:paraId="3D32B1E9">
      <w:pPr>
        <w:snapToGrid w:val="0"/>
        <w:spacing w:line="440" w:lineRule="exact"/>
        <w:jc w:val="right"/>
        <w:rPr>
          <w:rStyle w:val="22"/>
          <w:rFonts w:hint="eastAsia" w:ascii="宋体" w:hAnsi="宋体" w:eastAsia="宋体" w:cs="宋体"/>
          <w:color w:val="auto"/>
          <w:kern w:val="0"/>
          <w:highlight w:val="none"/>
        </w:rPr>
      </w:pPr>
    </w:p>
    <w:p w14:paraId="312CD383">
      <w:pPr>
        <w:snapToGrid w:val="0"/>
        <w:spacing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日</w:t>
      </w:r>
    </w:p>
    <w:p w14:paraId="0CE2736A">
      <w:pPr>
        <w:snapToGrid w:val="0"/>
        <w:spacing w:line="440" w:lineRule="exact"/>
        <w:rPr>
          <w:rStyle w:val="22"/>
          <w:rFonts w:hint="eastAsia" w:ascii="宋体" w:hAnsi="宋体" w:eastAsia="宋体" w:cs="宋体"/>
          <w:color w:val="auto"/>
          <w:kern w:val="0"/>
          <w:highlight w:val="none"/>
        </w:rPr>
        <w:sectPr>
          <w:endnotePr>
            <w:numFmt w:val="decimal"/>
          </w:endnotePr>
          <w:pgSz w:w="11906" w:h="16838"/>
          <w:pgMar w:top="1701" w:right="1531" w:bottom="1417" w:left="1531" w:header="850" w:footer="992" w:gutter="0"/>
          <w:cols w:space="720" w:num="1"/>
          <w:docGrid w:linePitch="327" w:charSpace="0"/>
        </w:sectPr>
      </w:pPr>
    </w:p>
    <w:p w14:paraId="5639BACC">
      <w:pPr>
        <w:pStyle w:val="50"/>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69" w:name="_Toc13202"/>
      <w:bookmarkStart w:id="470" w:name="_Toc11605"/>
      <w:bookmarkStart w:id="471" w:name="_Toc22848"/>
      <w:bookmarkStart w:id="472" w:name="_Toc3726"/>
      <w:bookmarkStart w:id="473" w:name="_Toc17422"/>
      <w:bookmarkStart w:id="474" w:name="_Toc23480"/>
      <w:bookmarkStart w:id="475" w:name="_Toc13967"/>
      <w:bookmarkStart w:id="476" w:name="_Toc4071"/>
      <w:bookmarkStart w:id="477" w:name="_Toc2497"/>
      <w:bookmarkStart w:id="478" w:name="_Toc31193"/>
      <w:r>
        <w:rPr>
          <w:rStyle w:val="22"/>
          <w:rFonts w:hint="eastAsia" w:ascii="宋体" w:hAnsi="宋体" w:eastAsia="宋体" w:cs="宋体"/>
          <w:b/>
          <w:bCs/>
          <w:color w:val="auto"/>
          <w:sz w:val="21"/>
          <w:szCs w:val="21"/>
          <w:highlight w:val="none"/>
        </w:rPr>
        <w:t>格式</w:t>
      </w:r>
      <w:r>
        <w:rPr>
          <w:rStyle w:val="22"/>
          <w:rFonts w:hint="eastAsia" w:hAnsi="宋体" w:cs="宋体"/>
          <w:b/>
          <w:bCs/>
          <w:color w:val="auto"/>
          <w:sz w:val="21"/>
          <w:szCs w:val="21"/>
          <w:highlight w:val="none"/>
          <w:lang w:val="en-US" w:eastAsia="zh-CN"/>
        </w:rPr>
        <w:t>十</w:t>
      </w:r>
      <w:r>
        <w:rPr>
          <w:rStyle w:val="22"/>
          <w:rFonts w:hint="eastAsia" w:ascii="宋体" w:hAnsi="宋体" w:eastAsia="宋体" w:cs="宋体"/>
          <w:b/>
          <w:bCs/>
          <w:color w:val="auto"/>
          <w:sz w:val="21"/>
          <w:szCs w:val="21"/>
          <w:highlight w:val="none"/>
        </w:rPr>
        <w:t xml:space="preserve"> 项目技术负责人简历表</w:t>
      </w:r>
      <w:bookmarkEnd w:id="469"/>
      <w:bookmarkEnd w:id="470"/>
      <w:bookmarkEnd w:id="471"/>
      <w:bookmarkEnd w:id="472"/>
      <w:bookmarkEnd w:id="473"/>
      <w:bookmarkEnd w:id="474"/>
      <w:bookmarkEnd w:id="475"/>
      <w:bookmarkEnd w:id="476"/>
      <w:bookmarkEnd w:id="477"/>
      <w:bookmarkEnd w:id="478"/>
    </w:p>
    <w:p w14:paraId="0FE6654B">
      <w:pPr>
        <w:snapToGrid w:val="0"/>
        <w:spacing w:line="440" w:lineRule="exact"/>
        <w:jc w:val="left"/>
        <w:rPr>
          <w:rStyle w:val="22"/>
          <w:rFonts w:hint="eastAsia" w:ascii="宋体" w:hAnsi="宋体" w:eastAsia="宋体" w:cs="宋体"/>
          <w:b/>
          <w:bCs/>
          <w:color w:val="auto"/>
          <w:kern w:val="0"/>
          <w:highlight w:val="none"/>
        </w:rPr>
      </w:pPr>
    </w:p>
    <w:tbl>
      <w:tblPr>
        <w:tblStyle w:val="18"/>
        <w:tblpPr w:leftFromText="180" w:rightFromText="180" w:vertAnchor="text" w:horzAnchor="page" w:tblpX="1490" w:tblpY="692"/>
        <w:tblOverlap w:val="never"/>
        <w:tblW w:w="9270" w:type="dxa"/>
        <w:tblInd w:w="-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75"/>
        <w:gridCol w:w="963"/>
        <w:gridCol w:w="584"/>
        <w:gridCol w:w="648"/>
        <w:gridCol w:w="1294"/>
        <w:gridCol w:w="1946"/>
        <w:gridCol w:w="27"/>
        <w:gridCol w:w="1706"/>
        <w:gridCol w:w="1327"/>
      </w:tblGrid>
      <w:tr w14:paraId="32AD0D2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41AE8109">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姓   名</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14:paraId="0E0F10D7">
            <w:pPr>
              <w:snapToGrid w:val="0"/>
              <w:spacing w:line="240" w:lineRule="auto"/>
              <w:jc w:val="center"/>
              <w:rPr>
                <w:rStyle w:val="22"/>
                <w:rFonts w:hint="eastAsia" w:ascii="宋体" w:hAnsi="宋体" w:eastAsia="宋体" w:cs="宋体"/>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14:paraId="65D93E45">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性  别</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14:paraId="129FD560">
            <w:pPr>
              <w:snapToGrid w:val="0"/>
              <w:spacing w:line="240" w:lineRule="auto"/>
              <w:jc w:val="center"/>
              <w:rPr>
                <w:rStyle w:val="22"/>
                <w:rFonts w:hint="eastAsia" w:ascii="宋体" w:hAnsi="宋体" w:eastAsia="宋体" w:cs="宋体"/>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14:paraId="5AF2FF09">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年   龄</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6E081044">
            <w:pPr>
              <w:snapToGrid w:val="0"/>
              <w:spacing w:line="240" w:lineRule="auto"/>
              <w:jc w:val="center"/>
              <w:rPr>
                <w:rStyle w:val="22"/>
                <w:rFonts w:hint="eastAsia" w:ascii="宋体" w:hAnsi="宋体" w:eastAsia="宋体" w:cs="宋体"/>
                <w:color w:val="auto"/>
                <w:kern w:val="0"/>
                <w:sz w:val="21"/>
                <w:szCs w:val="21"/>
                <w:highlight w:val="none"/>
              </w:rPr>
            </w:pPr>
          </w:p>
        </w:tc>
      </w:tr>
      <w:tr w14:paraId="4459AE1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2298C348">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   务</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14:paraId="7D5C4343">
            <w:pPr>
              <w:snapToGrid w:val="0"/>
              <w:spacing w:line="240" w:lineRule="auto"/>
              <w:jc w:val="center"/>
              <w:rPr>
                <w:rStyle w:val="22"/>
                <w:rFonts w:hint="eastAsia" w:ascii="宋体" w:hAnsi="宋体" w:eastAsia="宋体" w:cs="宋体"/>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14:paraId="61AF4726">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  称</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14:paraId="11881F96">
            <w:pPr>
              <w:snapToGrid w:val="0"/>
              <w:spacing w:line="240" w:lineRule="auto"/>
              <w:jc w:val="center"/>
              <w:rPr>
                <w:rStyle w:val="22"/>
                <w:rFonts w:hint="eastAsia" w:ascii="宋体" w:hAnsi="宋体" w:eastAsia="宋体" w:cs="宋体"/>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14:paraId="63DA1D6C">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学   历</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586881AE">
            <w:pPr>
              <w:snapToGrid w:val="0"/>
              <w:spacing w:line="240" w:lineRule="auto"/>
              <w:jc w:val="center"/>
              <w:rPr>
                <w:rStyle w:val="22"/>
                <w:rFonts w:hint="eastAsia" w:ascii="宋体" w:hAnsi="宋体" w:eastAsia="宋体" w:cs="宋体"/>
                <w:color w:val="auto"/>
                <w:kern w:val="0"/>
                <w:sz w:val="21"/>
                <w:szCs w:val="21"/>
                <w:highlight w:val="none"/>
              </w:rPr>
            </w:pPr>
          </w:p>
        </w:tc>
      </w:tr>
      <w:tr w14:paraId="2EDE6B6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6DD56D17">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参加工作时间</w:t>
            </w:r>
          </w:p>
        </w:tc>
        <w:tc>
          <w:tcPr>
            <w:tcW w:w="2526" w:type="dxa"/>
            <w:gridSpan w:val="3"/>
            <w:tcBorders>
              <w:top w:val="single" w:color="000000" w:sz="6" w:space="0"/>
              <w:left w:val="single" w:color="000000" w:sz="6" w:space="0"/>
              <w:bottom w:val="single" w:color="000000" w:sz="6" w:space="0"/>
              <w:right w:val="single" w:color="000000" w:sz="6" w:space="0"/>
            </w:tcBorders>
            <w:noWrap w:val="0"/>
            <w:vAlign w:val="center"/>
          </w:tcPr>
          <w:p w14:paraId="776AA890">
            <w:pPr>
              <w:snapToGrid w:val="0"/>
              <w:spacing w:line="240" w:lineRule="auto"/>
              <w:jc w:val="center"/>
              <w:rPr>
                <w:rStyle w:val="22"/>
                <w:rFonts w:hint="eastAsia" w:ascii="宋体" w:hAnsi="宋体" w:eastAsia="宋体" w:cs="宋体"/>
                <w:color w:val="auto"/>
                <w:kern w:val="0"/>
                <w:sz w:val="21"/>
                <w:szCs w:val="21"/>
                <w:highlight w:val="none"/>
              </w:rPr>
            </w:pPr>
          </w:p>
        </w:tc>
        <w:tc>
          <w:tcPr>
            <w:tcW w:w="3679" w:type="dxa"/>
            <w:gridSpan w:val="3"/>
            <w:tcBorders>
              <w:top w:val="single" w:color="000000" w:sz="6" w:space="0"/>
              <w:left w:val="single" w:color="000000" w:sz="6" w:space="0"/>
              <w:bottom w:val="single" w:color="000000" w:sz="6" w:space="0"/>
              <w:right w:val="single" w:color="000000" w:sz="6" w:space="0"/>
            </w:tcBorders>
            <w:noWrap w:val="0"/>
            <w:vAlign w:val="center"/>
          </w:tcPr>
          <w:p w14:paraId="71424532">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从事工程建设项目管理工作年限</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71EDC9FB">
            <w:pPr>
              <w:snapToGrid w:val="0"/>
              <w:spacing w:line="240" w:lineRule="auto"/>
              <w:jc w:val="center"/>
              <w:rPr>
                <w:rStyle w:val="22"/>
                <w:rFonts w:hint="eastAsia" w:ascii="宋体" w:hAnsi="宋体" w:eastAsia="宋体" w:cs="宋体"/>
                <w:color w:val="auto"/>
                <w:kern w:val="0"/>
                <w:sz w:val="21"/>
                <w:szCs w:val="21"/>
                <w:highlight w:val="none"/>
              </w:rPr>
            </w:pPr>
          </w:p>
        </w:tc>
      </w:tr>
      <w:tr w14:paraId="1219973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9270" w:type="dxa"/>
            <w:gridSpan w:val="9"/>
            <w:tcBorders>
              <w:top w:val="single" w:color="000000" w:sz="6" w:space="0"/>
              <w:left w:val="single" w:color="000000" w:sz="6" w:space="0"/>
              <w:bottom w:val="single" w:color="000000" w:sz="6" w:space="0"/>
              <w:right w:val="single" w:color="000000" w:sz="6" w:space="0"/>
            </w:tcBorders>
            <w:noWrap w:val="0"/>
            <w:vAlign w:val="center"/>
          </w:tcPr>
          <w:p w14:paraId="63475A8F">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以项目技术负责人身份参与过的主要业绩（已完工项目）</w:t>
            </w:r>
          </w:p>
        </w:tc>
      </w:tr>
      <w:tr w14:paraId="39CA10B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639AD43C">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序号</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4F5EA9A2">
            <w:pPr>
              <w:snapToGrid w:val="0"/>
              <w:spacing w:line="240" w:lineRule="auto"/>
              <w:jc w:val="center"/>
              <w:rPr>
                <w:rStyle w:val="22"/>
                <w:rFonts w:hint="eastAsia" w:ascii="宋体" w:hAnsi="宋体" w:eastAsia="宋体" w:cs="宋体"/>
                <w:color w:val="auto"/>
                <w:kern w:val="0"/>
                <w:sz w:val="21"/>
                <w:szCs w:val="21"/>
                <w:highlight w:val="none"/>
                <w:lang w:eastAsia="zh-CN"/>
              </w:rPr>
            </w:pPr>
            <w:r>
              <w:rPr>
                <w:rStyle w:val="22"/>
                <w:rFonts w:hint="eastAsia" w:hAnsi="宋体" w:cs="宋体"/>
                <w:color w:val="auto"/>
                <w:kern w:val="0"/>
                <w:sz w:val="21"/>
                <w:szCs w:val="21"/>
                <w:highlight w:val="none"/>
                <w:lang w:eastAsia="zh-CN"/>
              </w:rPr>
              <w:t>工程名称</w:t>
            </w: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099DC129">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建设单位</w:t>
            </w: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2B6349D6">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建设内容和规模</w:t>
            </w: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4A7816A7">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开、竣工日期</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7B845031">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质量等级</w:t>
            </w:r>
          </w:p>
        </w:tc>
      </w:tr>
      <w:tr w14:paraId="58B2A9F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33321B98">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1</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59BAAB5C">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53736F5A">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64103FDE">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3BC85CC2">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738B2B7C">
            <w:pPr>
              <w:snapToGrid w:val="0"/>
              <w:spacing w:line="240" w:lineRule="auto"/>
              <w:jc w:val="center"/>
              <w:rPr>
                <w:rStyle w:val="22"/>
                <w:rFonts w:hint="eastAsia" w:ascii="宋体" w:hAnsi="宋体" w:eastAsia="宋体" w:cs="宋体"/>
                <w:color w:val="auto"/>
                <w:kern w:val="0"/>
                <w:sz w:val="21"/>
                <w:szCs w:val="21"/>
                <w:highlight w:val="none"/>
              </w:rPr>
            </w:pPr>
          </w:p>
        </w:tc>
      </w:tr>
      <w:tr w14:paraId="1F0498F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3650C16C">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2</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70C64817">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7ECEF61B">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38257EC8">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6F442A20">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72AF693A">
            <w:pPr>
              <w:snapToGrid w:val="0"/>
              <w:spacing w:line="240" w:lineRule="auto"/>
              <w:jc w:val="center"/>
              <w:rPr>
                <w:rStyle w:val="22"/>
                <w:rFonts w:hint="eastAsia" w:ascii="宋体" w:hAnsi="宋体" w:eastAsia="宋体" w:cs="宋体"/>
                <w:color w:val="auto"/>
                <w:kern w:val="0"/>
                <w:sz w:val="21"/>
                <w:szCs w:val="21"/>
                <w:highlight w:val="none"/>
              </w:rPr>
            </w:pPr>
          </w:p>
        </w:tc>
      </w:tr>
      <w:tr w14:paraId="3FA7159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0241CDB4">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270A0150">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34FB6718">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68CD0701">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58E54DA9">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2B5BBB06">
            <w:pPr>
              <w:snapToGrid w:val="0"/>
              <w:spacing w:line="240" w:lineRule="auto"/>
              <w:jc w:val="center"/>
              <w:rPr>
                <w:rStyle w:val="22"/>
                <w:rFonts w:hint="eastAsia" w:ascii="宋体" w:hAnsi="宋体" w:eastAsia="宋体" w:cs="宋体"/>
                <w:color w:val="auto"/>
                <w:kern w:val="0"/>
                <w:sz w:val="21"/>
                <w:szCs w:val="21"/>
                <w:highlight w:val="none"/>
              </w:rPr>
            </w:pPr>
          </w:p>
        </w:tc>
      </w:tr>
      <w:tr w14:paraId="4C84AF0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2350565C">
            <w:pPr>
              <w:snapToGrid w:val="0"/>
              <w:spacing w:line="240" w:lineRule="auto"/>
              <w:jc w:val="center"/>
              <w:rPr>
                <w:rStyle w:val="22"/>
                <w:rFonts w:hint="eastAsia" w:ascii="宋体" w:hAnsi="宋体" w:eastAsia="宋体" w:cs="宋体"/>
                <w:color w:val="auto"/>
                <w:kern w:val="0"/>
                <w:sz w:val="21"/>
                <w:szCs w:val="21"/>
                <w:highlight w:val="none"/>
              </w:rPr>
            </w:pP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1965EABF">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366C7DAE">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5136E986">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7A978F40">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3A71A788">
            <w:pPr>
              <w:snapToGrid w:val="0"/>
              <w:spacing w:line="240" w:lineRule="auto"/>
              <w:jc w:val="center"/>
              <w:rPr>
                <w:rStyle w:val="22"/>
                <w:rFonts w:hint="eastAsia" w:ascii="宋体" w:hAnsi="宋体" w:eastAsia="宋体" w:cs="宋体"/>
                <w:color w:val="auto"/>
                <w:kern w:val="0"/>
                <w:sz w:val="21"/>
                <w:szCs w:val="21"/>
                <w:highlight w:val="none"/>
              </w:rPr>
            </w:pPr>
          </w:p>
        </w:tc>
      </w:tr>
      <w:tr w14:paraId="60758F2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40E6066E">
            <w:pPr>
              <w:snapToGrid w:val="0"/>
              <w:spacing w:line="240" w:lineRule="auto"/>
              <w:jc w:val="center"/>
              <w:rPr>
                <w:rStyle w:val="22"/>
                <w:rFonts w:hint="eastAsia" w:ascii="宋体" w:hAnsi="宋体" w:eastAsia="宋体" w:cs="宋体"/>
                <w:color w:val="auto"/>
                <w:kern w:val="0"/>
                <w:sz w:val="21"/>
                <w:szCs w:val="21"/>
                <w:highlight w:val="none"/>
              </w:rPr>
            </w:pP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387669E4">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19DDF976">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3DBF1825">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6B7A7009">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6FFF41F9">
            <w:pPr>
              <w:snapToGrid w:val="0"/>
              <w:spacing w:line="240" w:lineRule="auto"/>
              <w:jc w:val="center"/>
              <w:rPr>
                <w:rStyle w:val="22"/>
                <w:rFonts w:hint="eastAsia" w:ascii="宋体" w:hAnsi="宋体" w:eastAsia="宋体" w:cs="宋体"/>
                <w:color w:val="auto"/>
                <w:kern w:val="0"/>
                <w:sz w:val="21"/>
                <w:szCs w:val="21"/>
                <w:highlight w:val="none"/>
              </w:rPr>
            </w:pPr>
          </w:p>
        </w:tc>
      </w:tr>
    </w:tbl>
    <w:p w14:paraId="1F613CDE">
      <w:pPr>
        <w:snapToGrid w:val="0"/>
        <w:spacing w:line="440" w:lineRule="exact"/>
        <w:jc w:val="center"/>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sz w:val="30"/>
          <w:szCs w:val="30"/>
          <w:highlight w:val="none"/>
        </w:rPr>
        <w:t>项目技术负责人简历表</w:t>
      </w:r>
    </w:p>
    <w:p w14:paraId="386CC1EA">
      <w:pPr>
        <w:snapToGrid w:val="0"/>
        <w:spacing w:line="440" w:lineRule="exact"/>
        <w:ind w:firstLine="570"/>
        <w:rPr>
          <w:rStyle w:val="22"/>
          <w:rFonts w:hint="eastAsia" w:ascii="宋体" w:hAnsi="宋体" w:eastAsia="宋体" w:cs="宋体"/>
          <w:color w:val="auto"/>
          <w:kern w:val="0"/>
          <w:highlight w:val="none"/>
        </w:rPr>
      </w:pPr>
    </w:p>
    <w:p w14:paraId="194726FF">
      <w:pPr>
        <w:pStyle w:val="51"/>
        <w:snapToGrid w:val="0"/>
        <w:spacing w:line="440" w:lineRule="exact"/>
        <w:jc w:val="right"/>
        <w:rPr>
          <w:rStyle w:val="22"/>
          <w:rFonts w:hint="eastAsia" w:ascii="宋体" w:hAnsi="宋体" w:eastAsia="宋体" w:cs="宋体"/>
          <w:color w:val="auto"/>
          <w:kern w:val="0"/>
          <w:highlight w:val="none"/>
        </w:rPr>
      </w:pPr>
    </w:p>
    <w:p w14:paraId="0C6A3152">
      <w:pPr>
        <w:pStyle w:val="51"/>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项目技术负责人：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w:t>
      </w:r>
    </w:p>
    <w:p w14:paraId="205E89B5">
      <w:pPr>
        <w:pStyle w:val="51"/>
        <w:snapToGrid w:val="0"/>
        <w:spacing w:line="440" w:lineRule="exact"/>
        <w:jc w:val="right"/>
        <w:rPr>
          <w:rStyle w:val="22"/>
          <w:rFonts w:hint="eastAsia" w:ascii="宋体" w:hAnsi="宋体" w:eastAsia="宋体" w:cs="宋体"/>
          <w:color w:val="auto"/>
          <w:kern w:val="0"/>
          <w:highlight w:val="none"/>
        </w:rPr>
      </w:pPr>
    </w:p>
    <w:p w14:paraId="586367B1">
      <w:pPr>
        <w:pStyle w:val="51"/>
        <w:snapToGrid w:val="0"/>
        <w:spacing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日</w:t>
      </w:r>
    </w:p>
    <w:p w14:paraId="0D332C71">
      <w:pPr>
        <w:snapToGrid w:val="0"/>
        <w:ind w:firstLine="570"/>
        <w:rPr>
          <w:rStyle w:val="22"/>
          <w:rFonts w:hint="eastAsia" w:ascii="宋体" w:hAnsi="宋体" w:eastAsia="宋体" w:cs="宋体"/>
          <w:color w:val="auto"/>
          <w:kern w:val="0"/>
          <w:highlight w:val="none"/>
        </w:rPr>
      </w:pPr>
    </w:p>
    <w:p w14:paraId="59163250">
      <w:pPr>
        <w:snapToGrid w:val="0"/>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 xml:space="preserve">    说明：《项目技术负责人简历表》后应附拟派项目技术负责人以下资料：</w:t>
      </w:r>
    </w:p>
    <w:p w14:paraId="68B497A3">
      <w:pPr>
        <w:wordWrap w:val="0"/>
        <w:adjustRightInd w:val="0"/>
        <w:snapToGrid w:val="0"/>
        <w:rPr>
          <w:rFonts w:hint="eastAsia" w:ascii="宋体" w:hAnsi="宋体" w:eastAsia="宋体" w:cs="宋体"/>
          <w:snapToGrid w:val="0"/>
          <w:color w:val="auto"/>
          <w:kern w:val="0"/>
          <w:sz w:val="21"/>
          <w:szCs w:val="28"/>
          <w:highlight w:val="none"/>
        </w:rPr>
      </w:pPr>
      <w:r>
        <w:rPr>
          <w:rStyle w:val="22"/>
          <w:rFonts w:hint="eastAsia" w:ascii="宋体" w:hAnsi="宋体" w:eastAsia="宋体" w:cs="宋体"/>
          <w:color w:val="auto"/>
          <w:kern w:val="0"/>
          <w:sz w:val="21"/>
          <w:szCs w:val="21"/>
          <w:highlight w:val="none"/>
        </w:rPr>
        <w:t xml:space="preserve">    1．</w:t>
      </w:r>
      <w:r>
        <w:rPr>
          <w:rFonts w:hint="eastAsia" w:ascii="宋体" w:hAnsi="宋体" w:eastAsia="宋体" w:cs="宋体"/>
          <w:snapToGrid w:val="0"/>
          <w:color w:val="auto"/>
          <w:kern w:val="0"/>
          <w:sz w:val="21"/>
          <w:szCs w:val="28"/>
          <w:highlight w:val="none"/>
        </w:rPr>
        <w:t>身份证</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2A44C2FA">
      <w:pPr>
        <w:snapToGrid w:val="0"/>
        <w:rPr>
          <w:rStyle w:val="22"/>
          <w:rFonts w:hint="eastAsia" w:ascii="宋体" w:hAnsi="宋体" w:eastAsia="宋体" w:cs="宋体"/>
          <w:color w:val="auto"/>
          <w:kern w:val="0"/>
          <w:sz w:val="21"/>
          <w:szCs w:val="21"/>
          <w:highlight w:val="none"/>
        </w:rPr>
      </w:pPr>
      <w:r>
        <w:rPr>
          <w:rFonts w:hint="eastAsia" w:ascii="宋体" w:hAnsi="宋体" w:eastAsia="宋体" w:cs="宋体"/>
          <w:snapToGrid w:val="0"/>
          <w:color w:val="auto"/>
          <w:kern w:val="0"/>
          <w:sz w:val="21"/>
          <w:szCs w:val="28"/>
          <w:highlight w:val="none"/>
        </w:rPr>
        <w:t xml:space="preserve">    2．职称证</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1C43C8FE">
      <w:pPr>
        <w:wordWrap w:val="0"/>
        <w:adjustRightInd w:val="0"/>
        <w:snapToGrid w:val="0"/>
        <w:spacing w:line="400" w:lineRule="exact"/>
        <w:ind w:firstLine="420" w:firstLineChars="200"/>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3．在本单位缴纳社保的证明（</w:t>
      </w:r>
      <w:r>
        <w:rPr>
          <w:rStyle w:val="22"/>
          <w:rFonts w:hint="eastAsia" w:hAnsi="宋体" w:cs="宋体"/>
          <w:color w:val="auto"/>
          <w:kern w:val="0"/>
          <w:sz w:val="21"/>
          <w:szCs w:val="21"/>
          <w:highlight w:val="none"/>
          <w:lang w:eastAsia="zh-CN"/>
        </w:rPr>
        <w:t>至少一个月</w:t>
      </w:r>
      <w:r>
        <w:rPr>
          <w:rStyle w:val="22"/>
          <w:rFonts w:hint="eastAsia" w:ascii="宋体" w:hAnsi="宋体" w:eastAsia="宋体" w:cs="宋体"/>
          <w:color w:val="auto"/>
          <w:kern w:val="0"/>
          <w:sz w:val="21"/>
          <w:szCs w:val="21"/>
          <w:highlight w:val="none"/>
        </w:rPr>
        <w:t>，</w:t>
      </w:r>
      <w:r>
        <w:rPr>
          <w:rStyle w:val="22"/>
          <w:rFonts w:hint="eastAsia" w:hAnsi="宋体" w:cs="宋体"/>
          <w:color w:val="auto"/>
          <w:kern w:val="0"/>
          <w:sz w:val="21"/>
          <w:szCs w:val="21"/>
          <w:highlight w:val="none"/>
          <w:lang w:eastAsia="zh-CN"/>
        </w:rPr>
        <w:t>其中必须有2026年9月</w:t>
      </w:r>
      <w:r>
        <w:rPr>
          <w:rStyle w:val="22"/>
          <w:rFonts w:hint="eastAsia" w:ascii="宋体" w:hAnsi="宋体" w:eastAsia="宋体" w:cs="宋体"/>
          <w:color w:val="auto"/>
          <w:kern w:val="0"/>
          <w:sz w:val="21"/>
          <w:szCs w:val="21"/>
          <w:highlight w:val="none"/>
        </w:rPr>
        <w:t>）彩</w:t>
      </w:r>
      <w:r>
        <w:rPr>
          <w:rFonts w:hint="eastAsia" w:ascii="宋体" w:hAnsi="宋体" w:eastAsia="宋体" w:cs="宋体"/>
          <w:snapToGrid w:val="0"/>
          <w:color w:val="auto"/>
          <w:kern w:val="0"/>
          <w:sz w:val="21"/>
          <w:szCs w:val="21"/>
          <w:highlight w:val="none"/>
        </w:rPr>
        <w:t>色扫描件</w:t>
      </w:r>
      <w:r>
        <w:rPr>
          <w:rStyle w:val="22"/>
          <w:rFonts w:hint="eastAsia" w:ascii="宋体" w:hAnsi="宋体" w:eastAsia="宋体" w:cs="宋体"/>
          <w:color w:val="auto"/>
          <w:kern w:val="0"/>
          <w:sz w:val="21"/>
          <w:szCs w:val="21"/>
          <w:highlight w:val="none"/>
        </w:rPr>
        <w:t>；拟派技术负责人为退休返聘人员无法提供社保证明的，提供退休证和劳动合同</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w:t>
      </w:r>
    </w:p>
    <w:p w14:paraId="4B9A86AA">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4．“进粤企业和人员诚信信息登记平台”个人信息情况截图。（适用于省外建筑企业）</w:t>
      </w:r>
    </w:p>
    <w:p w14:paraId="72AE8C17">
      <w:pPr>
        <w:wordWrap w:val="0"/>
        <w:adjustRightInd w:val="0"/>
        <w:snapToGrid w:val="0"/>
        <w:ind w:firstLine="420" w:firstLineChars="200"/>
        <w:rPr>
          <w:rStyle w:val="22"/>
          <w:rFonts w:hint="eastAsia" w:ascii="宋体" w:hAnsi="宋体" w:eastAsia="宋体" w:cs="宋体"/>
          <w:color w:val="auto"/>
          <w:kern w:val="0"/>
          <w:sz w:val="21"/>
          <w:szCs w:val="21"/>
          <w:highlight w:val="none"/>
        </w:rPr>
      </w:pPr>
    </w:p>
    <w:p w14:paraId="037FBB67">
      <w:pPr>
        <w:snapToGrid w:val="0"/>
        <w:spacing w:line="400" w:lineRule="exact"/>
        <w:ind w:firstLine="420" w:firstLineChars="200"/>
        <w:rPr>
          <w:rStyle w:val="22"/>
          <w:rFonts w:hint="eastAsia" w:ascii="宋体" w:hAnsi="宋体" w:eastAsia="宋体" w:cs="宋体"/>
          <w:color w:val="auto"/>
          <w:kern w:val="0"/>
          <w:sz w:val="21"/>
          <w:szCs w:val="21"/>
          <w:highlight w:val="none"/>
        </w:rPr>
      </w:pPr>
    </w:p>
    <w:p w14:paraId="349ED00C">
      <w:pPr>
        <w:pStyle w:val="50"/>
        <w:snapToGrid w:val="0"/>
        <w:spacing w:line="400" w:lineRule="exact"/>
        <w:rPr>
          <w:rStyle w:val="22"/>
          <w:rFonts w:hint="eastAsia" w:ascii="宋体" w:hAnsi="宋体" w:eastAsia="宋体" w:cs="宋体"/>
          <w:color w:val="auto"/>
          <w:sz w:val="21"/>
          <w:szCs w:val="21"/>
          <w:highlight w:val="none"/>
        </w:rPr>
        <w:sectPr>
          <w:endnotePr>
            <w:numFmt w:val="decimal"/>
          </w:endnotePr>
          <w:pgSz w:w="11906" w:h="16838"/>
          <w:pgMar w:top="1701" w:right="1531" w:bottom="1417" w:left="1531" w:header="850" w:footer="992" w:gutter="0"/>
          <w:cols w:space="720" w:num="1"/>
          <w:docGrid w:linePitch="327" w:charSpace="0"/>
        </w:sectPr>
      </w:pPr>
    </w:p>
    <w:p w14:paraId="0320E86E">
      <w:pPr>
        <w:pStyle w:val="50"/>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79" w:name="_Toc30703"/>
      <w:bookmarkStart w:id="480" w:name="_Toc19909"/>
      <w:bookmarkStart w:id="481" w:name="_Toc14097"/>
      <w:bookmarkStart w:id="482" w:name="_Toc29673"/>
      <w:bookmarkStart w:id="483" w:name="_Toc17998"/>
      <w:bookmarkStart w:id="484" w:name="_Toc12596"/>
      <w:bookmarkStart w:id="485" w:name="_Toc32297"/>
      <w:bookmarkStart w:id="486" w:name="_Toc2397"/>
      <w:bookmarkStart w:id="487" w:name="_Toc21596"/>
      <w:bookmarkStart w:id="488" w:name="_Toc7992"/>
      <w:r>
        <w:rPr>
          <w:rStyle w:val="22"/>
          <w:rFonts w:hint="eastAsia" w:ascii="宋体" w:hAnsi="宋体" w:eastAsia="宋体" w:cs="宋体"/>
          <w:b/>
          <w:bCs/>
          <w:color w:val="auto"/>
          <w:sz w:val="21"/>
          <w:szCs w:val="21"/>
          <w:highlight w:val="none"/>
        </w:rPr>
        <w:t>格式十</w:t>
      </w:r>
      <w:r>
        <w:rPr>
          <w:rStyle w:val="22"/>
          <w:rFonts w:hint="eastAsia" w:hAnsi="宋体" w:cs="宋体"/>
          <w:b/>
          <w:bCs/>
          <w:color w:val="auto"/>
          <w:sz w:val="21"/>
          <w:szCs w:val="21"/>
          <w:highlight w:val="none"/>
          <w:lang w:val="en-US" w:eastAsia="zh-CN"/>
        </w:rPr>
        <w:t>一</w:t>
      </w:r>
      <w:r>
        <w:rPr>
          <w:rStyle w:val="22"/>
          <w:rFonts w:hint="eastAsia" w:ascii="宋体" w:hAnsi="宋体" w:eastAsia="宋体" w:cs="宋体"/>
          <w:b/>
          <w:bCs/>
          <w:color w:val="auto"/>
          <w:sz w:val="21"/>
          <w:szCs w:val="21"/>
          <w:highlight w:val="none"/>
        </w:rPr>
        <w:t xml:space="preserve"> 专职安全员简历表</w:t>
      </w:r>
      <w:bookmarkEnd w:id="479"/>
      <w:bookmarkEnd w:id="480"/>
      <w:bookmarkEnd w:id="481"/>
      <w:bookmarkEnd w:id="482"/>
      <w:bookmarkEnd w:id="483"/>
      <w:bookmarkEnd w:id="484"/>
      <w:bookmarkEnd w:id="485"/>
      <w:bookmarkEnd w:id="486"/>
      <w:bookmarkEnd w:id="487"/>
      <w:bookmarkEnd w:id="488"/>
    </w:p>
    <w:p w14:paraId="0A32C286">
      <w:pPr>
        <w:snapToGrid w:val="0"/>
        <w:spacing w:line="440" w:lineRule="exact"/>
        <w:jc w:val="left"/>
        <w:rPr>
          <w:rStyle w:val="22"/>
          <w:rFonts w:hint="eastAsia" w:ascii="宋体" w:hAnsi="宋体" w:eastAsia="宋体" w:cs="宋体"/>
          <w:b/>
          <w:bCs/>
          <w:color w:val="auto"/>
          <w:kern w:val="0"/>
          <w:highlight w:val="none"/>
        </w:rPr>
      </w:pPr>
    </w:p>
    <w:tbl>
      <w:tblPr>
        <w:tblStyle w:val="18"/>
        <w:tblpPr w:leftFromText="180" w:rightFromText="180" w:vertAnchor="text" w:horzAnchor="page" w:tblpX="1490" w:tblpY="692"/>
        <w:tblOverlap w:val="never"/>
        <w:tblW w:w="9270" w:type="dxa"/>
        <w:tblInd w:w="-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75"/>
        <w:gridCol w:w="963"/>
        <w:gridCol w:w="584"/>
        <w:gridCol w:w="648"/>
        <w:gridCol w:w="1294"/>
        <w:gridCol w:w="1946"/>
        <w:gridCol w:w="27"/>
        <w:gridCol w:w="1706"/>
        <w:gridCol w:w="1327"/>
      </w:tblGrid>
      <w:tr w14:paraId="42B3853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781210C6">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姓   名</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14:paraId="0EDF15D5">
            <w:pPr>
              <w:snapToGrid w:val="0"/>
              <w:spacing w:line="240" w:lineRule="auto"/>
              <w:jc w:val="center"/>
              <w:rPr>
                <w:rStyle w:val="22"/>
                <w:rFonts w:hint="eastAsia" w:ascii="宋体" w:hAnsi="宋体" w:eastAsia="宋体" w:cs="宋体"/>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14:paraId="0A17FC8A">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性  别</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14:paraId="79FB3BDA">
            <w:pPr>
              <w:snapToGrid w:val="0"/>
              <w:spacing w:line="240" w:lineRule="auto"/>
              <w:jc w:val="center"/>
              <w:rPr>
                <w:rStyle w:val="22"/>
                <w:rFonts w:hint="eastAsia" w:ascii="宋体" w:hAnsi="宋体" w:eastAsia="宋体" w:cs="宋体"/>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14:paraId="6F8F9EFB">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年   龄</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3F15B42A">
            <w:pPr>
              <w:snapToGrid w:val="0"/>
              <w:spacing w:line="240" w:lineRule="auto"/>
              <w:jc w:val="center"/>
              <w:rPr>
                <w:rStyle w:val="22"/>
                <w:rFonts w:hint="eastAsia" w:ascii="宋体" w:hAnsi="宋体" w:eastAsia="宋体" w:cs="宋体"/>
                <w:color w:val="auto"/>
                <w:kern w:val="0"/>
                <w:sz w:val="21"/>
                <w:szCs w:val="21"/>
                <w:highlight w:val="none"/>
              </w:rPr>
            </w:pPr>
          </w:p>
        </w:tc>
      </w:tr>
      <w:tr w14:paraId="1EEC52A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5089CCDE">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   务</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14:paraId="7B9B05BD">
            <w:pPr>
              <w:snapToGrid w:val="0"/>
              <w:spacing w:line="240" w:lineRule="auto"/>
              <w:jc w:val="center"/>
              <w:rPr>
                <w:rStyle w:val="22"/>
                <w:rFonts w:hint="eastAsia" w:ascii="宋体" w:hAnsi="宋体" w:eastAsia="宋体" w:cs="宋体"/>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14:paraId="16C16F8F">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  称</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14:paraId="3E836B39">
            <w:pPr>
              <w:snapToGrid w:val="0"/>
              <w:spacing w:line="240" w:lineRule="auto"/>
              <w:jc w:val="center"/>
              <w:rPr>
                <w:rStyle w:val="22"/>
                <w:rFonts w:hint="eastAsia" w:ascii="宋体" w:hAnsi="宋体" w:eastAsia="宋体" w:cs="宋体"/>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14:paraId="27ABBA2C">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学   历</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3F3FD425">
            <w:pPr>
              <w:snapToGrid w:val="0"/>
              <w:spacing w:line="240" w:lineRule="auto"/>
              <w:jc w:val="center"/>
              <w:rPr>
                <w:rStyle w:val="22"/>
                <w:rFonts w:hint="eastAsia" w:ascii="宋体" w:hAnsi="宋体" w:eastAsia="宋体" w:cs="宋体"/>
                <w:color w:val="auto"/>
                <w:kern w:val="0"/>
                <w:sz w:val="21"/>
                <w:szCs w:val="21"/>
                <w:highlight w:val="none"/>
              </w:rPr>
            </w:pPr>
          </w:p>
        </w:tc>
      </w:tr>
      <w:tr w14:paraId="1F9D439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2A3F01CF">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参加工作时间</w:t>
            </w:r>
          </w:p>
        </w:tc>
        <w:tc>
          <w:tcPr>
            <w:tcW w:w="2526" w:type="dxa"/>
            <w:gridSpan w:val="3"/>
            <w:tcBorders>
              <w:top w:val="single" w:color="000000" w:sz="6" w:space="0"/>
              <w:left w:val="single" w:color="000000" w:sz="6" w:space="0"/>
              <w:bottom w:val="single" w:color="000000" w:sz="6" w:space="0"/>
              <w:right w:val="single" w:color="000000" w:sz="6" w:space="0"/>
            </w:tcBorders>
            <w:noWrap w:val="0"/>
            <w:vAlign w:val="center"/>
          </w:tcPr>
          <w:p w14:paraId="1F1F0C32">
            <w:pPr>
              <w:snapToGrid w:val="0"/>
              <w:spacing w:line="240" w:lineRule="auto"/>
              <w:jc w:val="center"/>
              <w:rPr>
                <w:rStyle w:val="22"/>
                <w:rFonts w:hint="eastAsia" w:ascii="宋体" w:hAnsi="宋体" w:eastAsia="宋体" w:cs="宋体"/>
                <w:color w:val="auto"/>
                <w:kern w:val="0"/>
                <w:sz w:val="21"/>
                <w:szCs w:val="21"/>
                <w:highlight w:val="none"/>
              </w:rPr>
            </w:pPr>
          </w:p>
        </w:tc>
        <w:tc>
          <w:tcPr>
            <w:tcW w:w="3679" w:type="dxa"/>
            <w:gridSpan w:val="3"/>
            <w:tcBorders>
              <w:top w:val="single" w:color="000000" w:sz="6" w:space="0"/>
              <w:left w:val="single" w:color="000000" w:sz="6" w:space="0"/>
              <w:bottom w:val="single" w:color="000000" w:sz="6" w:space="0"/>
              <w:right w:val="single" w:color="000000" w:sz="6" w:space="0"/>
            </w:tcBorders>
            <w:noWrap w:val="0"/>
            <w:vAlign w:val="center"/>
          </w:tcPr>
          <w:p w14:paraId="7A4E3016">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从事工程建设项目管理工作年限</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1E83CC5B">
            <w:pPr>
              <w:snapToGrid w:val="0"/>
              <w:spacing w:line="240" w:lineRule="auto"/>
              <w:jc w:val="center"/>
              <w:rPr>
                <w:rStyle w:val="22"/>
                <w:rFonts w:hint="eastAsia" w:ascii="宋体" w:hAnsi="宋体" w:eastAsia="宋体" w:cs="宋体"/>
                <w:color w:val="auto"/>
                <w:kern w:val="0"/>
                <w:sz w:val="21"/>
                <w:szCs w:val="21"/>
                <w:highlight w:val="none"/>
              </w:rPr>
            </w:pPr>
          </w:p>
        </w:tc>
      </w:tr>
      <w:tr w14:paraId="6FF86F1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9270" w:type="dxa"/>
            <w:gridSpan w:val="9"/>
            <w:tcBorders>
              <w:top w:val="single" w:color="000000" w:sz="6" w:space="0"/>
              <w:left w:val="single" w:color="000000" w:sz="6" w:space="0"/>
              <w:bottom w:val="single" w:color="000000" w:sz="6" w:space="0"/>
              <w:right w:val="single" w:color="000000" w:sz="6" w:space="0"/>
            </w:tcBorders>
            <w:noWrap w:val="0"/>
            <w:vAlign w:val="center"/>
          </w:tcPr>
          <w:p w14:paraId="2D6BBFAA">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以专职安全员身份参与过的主要业绩（已完工项目）</w:t>
            </w:r>
          </w:p>
        </w:tc>
      </w:tr>
      <w:tr w14:paraId="63479C6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61611369">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序号</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0FFBF022">
            <w:pPr>
              <w:snapToGrid w:val="0"/>
              <w:spacing w:line="240" w:lineRule="auto"/>
              <w:jc w:val="center"/>
              <w:rPr>
                <w:rStyle w:val="22"/>
                <w:rFonts w:hint="eastAsia" w:ascii="宋体" w:hAnsi="宋体" w:eastAsia="宋体" w:cs="宋体"/>
                <w:color w:val="auto"/>
                <w:kern w:val="0"/>
                <w:sz w:val="21"/>
                <w:szCs w:val="21"/>
                <w:highlight w:val="none"/>
                <w:lang w:eastAsia="zh-CN"/>
              </w:rPr>
            </w:pPr>
            <w:r>
              <w:rPr>
                <w:rStyle w:val="22"/>
                <w:rFonts w:hint="eastAsia" w:hAnsi="宋体" w:cs="宋体"/>
                <w:color w:val="auto"/>
                <w:kern w:val="0"/>
                <w:sz w:val="21"/>
                <w:szCs w:val="21"/>
                <w:highlight w:val="none"/>
                <w:lang w:eastAsia="zh-CN"/>
              </w:rPr>
              <w:t>工程名称</w:t>
            </w: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1AC6859B">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建设单位</w:t>
            </w: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5CE3CE8C">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建设内容和规模</w:t>
            </w: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602BB1D2">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开、竣工日期</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030FF9F9">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质量等级</w:t>
            </w:r>
          </w:p>
        </w:tc>
      </w:tr>
      <w:tr w14:paraId="093BBF2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656B461A">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1</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02707051">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0A53108F">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31112CEF">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4F168563">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2C32CD71">
            <w:pPr>
              <w:snapToGrid w:val="0"/>
              <w:spacing w:line="240" w:lineRule="auto"/>
              <w:jc w:val="center"/>
              <w:rPr>
                <w:rStyle w:val="22"/>
                <w:rFonts w:hint="eastAsia" w:ascii="宋体" w:hAnsi="宋体" w:eastAsia="宋体" w:cs="宋体"/>
                <w:color w:val="auto"/>
                <w:kern w:val="0"/>
                <w:sz w:val="21"/>
                <w:szCs w:val="21"/>
                <w:highlight w:val="none"/>
              </w:rPr>
            </w:pPr>
          </w:p>
        </w:tc>
      </w:tr>
      <w:tr w14:paraId="6BA5A72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25CF3235">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2</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110B8B26">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69794538">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417575DC">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36AB6D30">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1787FBEF">
            <w:pPr>
              <w:snapToGrid w:val="0"/>
              <w:spacing w:line="240" w:lineRule="auto"/>
              <w:jc w:val="center"/>
              <w:rPr>
                <w:rStyle w:val="22"/>
                <w:rFonts w:hint="eastAsia" w:ascii="宋体" w:hAnsi="宋体" w:eastAsia="宋体" w:cs="宋体"/>
                <w:color w:val="auto"/>
                <w:kern w:val="0"/>
                <w:sz w:val="21"/>
                <w:szCs w:val="21"/>
                <w:highlight w:val="none"/>
              </w:rPr>
            </w:pPr>
          </w:p>
        </w:tc>
      </w:tr>
      <w:tr w14:paraId="0D8DA3E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05A3C3DF">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5EDADABD">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529A8E4B">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21718E08">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02A8BEEF">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214B3C99">
            <w:pPr>
              <w:snapToGrid w:val="0"/>
              <w:spacing w:line="240" w:lineRule="auto"/>
              <w:jc w:val="center"/>
              <w:rPr>
                <w:rStyle w:val="22"/>
                <w:rFonts w:hint="eastAsia" w:ascii="宋体" w:hAnsi="宋体" w:eastAsia="宋体" w:cs="宋体"/>
                <w:color w:val="auto"/>
                <w:kern w:val="0"/>
                <w:sz w:val="21"/>
                <w:szCs w:val="21"/>
                <w:highlight w:val="none"/>
              </w:rPr>
            </w:pPr>
          </w:p>
        </w:tc>
      </w:tr>
      <w:tr w14:paraId="770FA5D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4C5E6675">
            <w:pPr>
              <w:snapToGrid w:val="0"/>
              <w:spacing w:line="240" w:lineRule="auto"/>
              <w:jc w:val="center"/>
              <w:rPr>
                <w:rStyle w:val="22"/>
                <w:rFonts w:hint="eastAsia" w:ascii="宋体" w:hAnsi="宋体" w:eastAsia="宋体" w:cs="宋体"/>
                <w:color w:val="auto"/>
                <w:kern w:val="0"/>
                <w:sz w:val="21"/>
                <w:szCs w:val="21"/>
                <w:highlight w:val="none"/>
              </w:rPr>
            </w:pP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60B55150">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6C9FECC3">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5E4E0751">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766FCFE1">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00A45344">
            <w:pPr>
              <w:snapToGrid w:val="0"/>
              <w:spacing w:line="240" w:lineRule="auto"/>
              <w:jc w:val="center"/>
              <w:rPr>
                <w:rStyle w:val="22"/>
                <w:rFonts w:hint="eastAsia" w:ascii="宋体" w:hAnsi="宋体" w:eastAsia="宋体" w:cs="宋体"/>
                <w:color w:val="auto"/>
                <w:kern w:val="0"/>
                <w:sz w:val="21"/>
                <w:szCs w:val="21"/>
                <w:highlight w:val="none"/>
              </w:rPr>
            </w:pPr>
          </w:p>
        </w:tc>
      </w:tr>
      <w:tr w14:paraId="1D2F26C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0AD6CA90">
            <w:pPr>
              <w:snapToGrid w:val="0"/>
              <w:spacing w:line="240" w:lineRule="auto"/>
              <w:jc w:val="center"/>
              <w:rPr>
                <w:rStyle w:val="22"/>
                <w:rFonts w:hint="eastAsia" w:ascii="宋体" w:hAnsi="宋体" w:eastAsia="宋体" w:cs="宋体"/>
                <w:color w:val="auto"/>
                <w:kern w:val="0"/>
                <w:sz w:val="21"/>
                <w:szCs w:val="21"/>
                <w:highlight w:val="none"/>
              </w:rPr>
            </w:pP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1A129B2A">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29EE9704">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5208C4FE">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0CFF1BAC">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72D16072">
            <w:pPr>
              <w:snapToGrid w:val="0"/>
              <w:spacing w:line="240" w:lineRule="auto"/>
              <w:jc w:val="center"/>
              <w:rPr>
                <w:rStyle w:val="22"/>
                <w:rFonts w:hint="eastAsia" w:ascii="宋体" w:hAnsi="宋体" w:eastAsia="宋体" w:cs="宋体"/>
                <w:color w:val="auto"/>
                <w:kern w:val="0"/>
                <w:sz w:val="21"/>
                <w:szCs w:val="21"/>
                <w:highlight w:val="none"/>
              </w:rPr>
            </w:pPr>
          </w:p>
        </w:tc>
      </w:tr>
    </w:tbl>
    <w:p w14:paraId="6F914441">
      <w:pPr>
        <w:snapToGrid w:val="0"/>
        <w:spacing w:line="440" w:lineRule="exact"/>
        <w:jc w:val="center"/>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sz w:val="30"/>
          <w:szCs w:val="30"/>
          <w:highlight w:val="none"/>
        </w:rPr>
        <w:t>专职安全员简历表</w:t>
      </w:r>
    </w:p>
    <w:p w14:paraId="7F9D5217">
      <w:pPr>
        <w:snapToGrid w:val="0"/>
        <w:spacing w:line="440" w:lineRule="exact"/>
        <w:ind w:firstLine="570"/>
        <w:rPr>
          <w:rStyle w:val="22"/>
          <w:rFonts w:hint="eastAsia" w:ascii="宋体" w:hAnsi="宋体" w:eastAsia="宋体" w:cs="宋体"/>
          <w:color w:val="auto"/>
          <w:kern w:val="0"/>
          <w:highlight w:val="none"/>
        </w:rPr>
      </w:pPr>
    </w:p>
    <w:p w14:paraId="2D8FF7A6">
      <w:pPr>
        <w:pStyle w:val="51"/>
        <w:snapToGrid w:val="0"/>
        <w:spacing w:line="440" w:lineRule="exact"/>
        <w:jc w:val="right"/>
        <w:rPr>
          <w:rStyle w:val="22"/>
          <w:rFonts w:hint="eastAsia" w:ascii="宋体" w:hAnsi="宋体" w:eastAsia="宋体" w:cs="宋体"/>
          <w:color w:val="auto"/>
          <w:kern w:val="0"/>
          <w:highlight w:val="none"/>
        </w:rPr>
      </w:pPr>
    </w:p>
    <w:p w14:paraId="5FAEA0CC">
      <w:pPr>
        <w:pStyle w:val="51"/>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专职安全员：</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w:t>
      </w:r>
    </w:p>
    <w:p w14:paraId="74A554A6">
      <w:pPr>
        <w:pStyle w:val="51"/>
        <w:snapToGrid w:val="0"/>
        <w:spacing w:line="440" w:lineRule="exact"/>
        <w:jc w:val="right"/>
        <w:rPr>
          <w:rStyle w:val="22"/>
          <w:rFonts w:hint="eastAsia" w:ascii="宋体" w:hAnsi="宋体" w:eastAsia="宋体" w:cs="宋体"/>
          <w:color w:val="auto"/>
          <w:kern w:val="0"/>
          <w:highlight w:val="none"/>
        </w:rPr>
      </w:pPr>
    </w:p>
    <w:p w14:paraId="184B5E1C">
      <w:pPr>
        <w:pStyle w:val="51"/>
        <w:snapToGrid w:val="0"/>
        <w:spacing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日</w:t>
      </w:r>
    </w:p>
    <w:p w14:paraId="5CAECAE2">
      <w:pPr>
        <w:snapToGrid w:val="0"/>
        <w:spacing w:line="400" w:lineRule="exact"/>
        <w:ind w:firstLine="570"/>
        <w:rPr>
          <w:rStyle w:val="22"/>
          <w:rFonts w:hint="eastAsia" w:ascii="宋体" w:hAnsi="宋体" w:eastAsia="宋体" w:cs="宋体"/>
          <w:color w:val="auto"/>
          <w:kern w:val="0"/>
          <w:highlight w:val="none"/>
        </w:rPr>
      </w:pPr>
    </w:p>
    <w:p w14:paraId="14B13809">
      <w:pPr>
        <w:snapToGrid w:val="0"/>
        <w:spacing w:line="400" w:lineRule="exact"/>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 xml:space="preserve">    说明：《专职安全员简历表》后应附拟派专职安全员以下资料：</w:t>
      </w:r>
    </w:p>
    <w:p w14:paraId="4FD5BD13">
      <w:pPr>
        <w:snapToGrid w:val="0"/>
        <w:spacing w:line="400" w:lineRule="exact"/>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 xml:space="preserve">    1．身份证</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w:t>
      </w:r>
    </w:p>
    <w:p w14:paraId="32FD1572">
      <w:pPr>
        <w:snapToGrid w:val="0"/>
        <w:spacing w:line="400" w:lineRule="exact"/>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 xml:space="preserve">    2．C类安全生产考核合格证书</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（或打印件）或“广东省建筑施工企业管理人员安全生产考核信息系统”考核合格信息打印页；</w:t>
      </w:r>
    </w:p>
    <w:p w14:paraId="64C0C810">
      <w:pPr>
        <w:snapToGrid w:val="0"/>
        <w:spacing w:line="400" w:lineRule="exact"/>
        <w:ind w:firstLine="420" w:firstLineChars="200"/>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3．在本单位缴纳社保的证明（</w:t>
      </w:r>
      <w:r>
        <w:rPr>
          <w:rStyle w:val="22"/>
          <w:rFonts w:hint="eastAsia" w:hAnsi="宋体" w:cs="宋体"/>
          <w:color w:val="auto"/>
          <w:kern w:val="0"/>
          <w:sz w:val="21"/>
          <w:szCs w:val="21"/>
          <w:highlight w:val="none"/>
          <w:lang w:eastAsia="zh-CN"/>
        </w:rPr>
        <w:t>至少一个月</w:t>
      </w:r>
      <w:r>
        <w:rPr>
          <w:rStyle w:val="22"/>
          <w:rFonts w:hint="eastAsia" w:ascii="宋体" w:hAnsi="宋体" w:eastAsia="宋体" w:cs="宋体"/>
          <w:color w:val="auto"/>
          <w:kern w:val="0"/>
          <w:sz w:val="21"/>
          <w:szCs w:val="21"/>
          <w:highlight w:val="none"/>
        </w:rPr>
        <w:t>，</w:t>
      </w:r>
      <w:r>
        <w:rPr>
          <w:rStyle w:val="22"/>
          <w:rFonts w:hint="eastAsia" w:hAnsi="宋体" w:cs="宋体"/>
          <w:color w:val="auto"/>
          <w:kern w:val="0"/>
          <w:sz w:val="21"/>
          <w:szCs w:val="21"/>
          <w:highlight w:val="none"/>
          <w:lang w:eastAsia="zh-CN"/>
        </w:rPr>
        <w:t>其中必须有2026年9月</w:t>
      </w:r>
      <w:r>
        <w:rPr>
          <w:rStyle w:val="22"/>
          <w:rFonts w:hint="eastAsia" w:ascii="宋体" w:hAnsi="宋体" w:eastAsia="宋体" w:cs="宋体"/>
          <w:color w:val="auto"/>
          <w:kern w:val="0"/>
          <w:sz w:val="21"/>
          <w:szCs w:val="21"/>
          <w:highlight w:val="none"/>
        </w:rPr>
        <w:t>）</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。拟派专职安全员为退休返聘人员无法提供社保证明的，提供退休证和劳动合同</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w:t>
      </w:r>
    </w:p>
    <w:p w14:paraId="652F1FB0">
      <w:pPr>
        <w:snapToGrid w:val="0"/>
        <w:spacing w:line="400" w:lineRule="exact"/>
        <w:ind w:firstLine="420" w:firstLineChars="200"/>
        <w:rPr>
          <w:rStyle w:val="22"/>
          <w:rFonts w:hint="eastAsia" w:ascii="宋体" w:hAnsi="宋体" w:eastAsia="宋体" w:cs="宋体"/>
          <w:color w:val="auto"/>
          <w:kern w:val="0"/>
          <w:sz w:val="21"/>
          <w:szCs w:val="21"/>
          <w:highlight w:val="none"/>
        </w:rPr>
      </w:pPr>
    </w:p>
    <w:p w14:paraId="347D6BC3">
      <w:pPr>
        <w:pStyle w:val="50"/>
        <w:snapToGrid w:val="0"/>
        <w:spacing w:line="440" w:lineRule="exact"/>
        <w:ind w:left="2288" w:leftChars="15" w:hanging="2252" w:hangingChars="1068"/>
        <w:outlineLvl w:val="1"/>
        <w:rPr>
          <w:rStyle w:val="22"/>
          <w:rFonts w:hint="eastAsia" w:ascii="宋体" w:hAnsi="宋体" w:eastAsia="宋体" w:cs="宋体"/>
          <w:b/>
          <w:bCs/>
          <w:color w:val="auto"/>
          <w:sz w:val="21"/>
          <w:szCs w:val="21"/>
          <w:highlight w:val="none"/>
        </w:rPr>
      </w:pPr>
      <w:bookmarkStart w:id="489" w:name="_Toc27456"/>
      <w:bookmarkStart w:id="490" w:name="_Toc11123"/>
      <w:bookmarkStart w:id="491" w:name="_Toc13800"/>
      <w:bookmarkStart w:id="492" w:name="_Toc6214"/>
      <w:r>
        <w:rPr>
          <w:rStyle w:val="22"/>
          <w:rFonts w:hint="eastAsia" w:ascii="宋体" w:hAnsi="宋体" w:eastAsia="宋体" w:cs="宋体"/>
          <w:b/>
          <w:bCs/>
          <w:color w:val="auto"/>
          <w:sz w:val="21"/>
          <w:szCs w:val="21"/>
          <w:highlight w:val="none"/>
        </w:rPr>
        <w:br w:type="page"/>
      </w:r>
      <w:bookmarkStart w:id="493" w:name="_Toc31435"/>
      <w:bookmarkStart w:id="494" w:name="_Toc15266"/>
      <w:bookmarkStart w:id="495" w:name="_Toc14867"/>
      <w:bookmarkStart w:id="496" w:name="_Toc6877"/>
      <w:bookmarkStart w:id="497" w:name="_Toc22584"/>
      <w:bookmarkStart w:id="498" w:name="_Toc23260"/>
      <w:r>
        <w:rPr>
          <w:rStyle w:val="22"/>
          <w:rFonts w:hint="eastAsia" w:ascii="宋体" w:hAnsi="宋体" w:eastAsia="宋体" w:cs="宋体"/>
          <w:b/>
          <w:bCs/>
          <w:color w:val="auto"/>
          <w:sz w:val="21"/>
          <w:szCs w:val="21"/>
          <w:highlight w:val="none"/>
        </w:rPr>
        <w:t>格式十</w:t>
      </w:r>
      <w:r>
        <w:rPr>
          <w:rStyle w:val="22"/>
          <w:rFonts w:hint="eastAsia" w:hAnsi="宋体" w:cs="宋体"/>
          <w:b/>
          <w:bCs/>
          <w:color w:val="auto"/>
          <w:sz w:val="21"/>
          <w:szCs w:val="21"/>
          <w:highlight w:val="none"/>
          <w:lang w:val="en-US" w:eastAsia="zh-CN"/>
        </w:rPr>
        <w:t>二</w:t>
      </w:r>
      <w:r>
        <w:rPr>
          <w:rStyle w:val="22"/>
          <w:rFonts w:hint="eastAsia" w:ascii="宋体" w:hAnsi="宋体" w:eastAsia="宋体" w:cs="宋体"/>
          <w:b/>
          <w:bCs/>
          <w:color w:val="auto"/>
          <w:sz w:val="21"/>
          <w:szCs w:val="21"/>
          <w:highlight w:val="none"/>
        </w:rPr>
        <w:t xml:space="preserve"> 项目管理机构组成表</w:t>
      </w:r>
      <w:bookmarkEnd w:id="489"/>
      <w:bookmarkEnd w:id="490"/>
      <w:bookmarkEnd w:id="491"/>
      <w:bookmarkEnd w:id="492"/>
      <w:bookmarkEnd w:id="493"/>
      <w:bookmarkEnd w:id="494"/>
      <w:bookmarkEnd w:id="495"/>
      <w:bookmarkEnd w:id="496"/>
      <w:bookmarkEnd w:id="497"/>
      <w:bookmarkEnd w:id="498"/>
    </w:p>
    <w:p w14:paraId="569F1787">
      <w:pPr>
        <w:snapToGrid w:val="0"/>
        <w:spacing w:before="260" w:after="260" w:line="440" w:lineRule="exact"/>
        <w:jc w:val="center"/>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sz w:val="30"/>
          <w:szCs w:val="30"/>
          <w:highlight w:val="none"/>
        </w:rPr>
        <w:t>项目管理机构组成表</w:t>
      </w:r>
    </w:p>
    <w:tbl>
      <w:tblPr>
        <w:tblStyle w:val="18"/>
        <w:tblW w:w="8938" w:type="dxa"/>
        <w:tblInd w:w="2"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43"/>
        <w:gridCol w:w="1421"/>
        <w:gridCol w:w="1355"/>
        <w:gridCol w:w="900"/>
        <w:gridCol w:w="817"/>
        <w:gridCol w:w="1538"/>
        <w:gridCol w:w="2164"/>
      </w:tblGrid>
      <w:tr w14:paraId="1D46DF6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60" w:hRule="atLeast"/>
        </w:trPr>
        <w:tc>
          <w:tcPr>
            <w:tcW w:w="743" w:type="dxa"/>
            <w:tcBorders>
              <w:top w:val="single" w:color="000000" w:sz="6" w:space="0"/>
              <w:left w:val="single" w:color="000000" w:sz="6" w:space="0"/>
              <w:bottom w:val="single" w:color="000000" w:sz="6" w:space="0"/>
              <w:right w:val="single" w:color="000000" w:sz="6" w:space="0"/>
            </w:tcBorders>
            <w:noWrap w:val="0"/>
            <w:vAlign w:val="center"/>
          </w:tcPr>
          <w:p w14:paraId="62F0C01C">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序号</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42D3569F">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职务</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048B21FB">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姓名</w:t>
            </w: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12D301B4">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性别</w:t>
            </w: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578C6373">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年龄</w:t>
            </w: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30C2B6BE">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职称</w:t>
            </w: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7749E19C">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备注</w:t>
            </w:r>
          </w:p>
        </w:tc>
      </w:tr>
      <w:tr w14:paraId="128D5F8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85" w:hRule="exact"/>
        </w:trPr>
        <w:tc>
          <w:tcPr>
            <w:tcW w:w="743" w:type="dxa"/>
            <w:tcBorders>
              <w:top w:val="single" w:color="000000" w:sz="6" w:space="0"/>
              <w:left w:val="single" w:color="000000" w:sz="6" w:space="0"/>
              <w:bottom w:val="nil"/>
              <w:right w:val="single" w:color="000000" w:sz="6" w:space="0"/>
            </w:tcBorders>
            <w:noWrap w:val="0"/>
            <w:vAlign w:val="center"/>
          </w:tcPr>
          <w:p w14:paraId="39899941">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1</w:t>
            </w:r>
          </w:p>
        </w:tc>
        <w:tc>
          <w:tcPr>
            <w:tcW w:w="1421" w:type="dxa"/>
            <w:tcBorders>
              <w:top w:val="single" w:color="000000" w:sz="6" w:space="0"/>
              <w:left w:val="single" w:color="000000" w:sz="6" w:space="0"/>
              <w:bottom w:val="nil"/>
              <w:right w:val="single" w:color="000000" w:sz="6" w:space="0"/>
            </w:tcBorders>
            <w:noWrap w:val="0"/>
            <w:vAlign w:val="center"/>
          </w:tcPr>
          <w:p w14:paraId="0F9AB894">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项目经理</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11D32B00">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6651CC81">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7F68082D">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499D56ED">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2D2ABF19">
            <w:pPr>
              <w:snapToGrid w:val="0"/>
              <w:jc w:val="center"/>
              <w:rPr>
                <w:rStyle w:val="22"/>
                <w:rFonts w:hint="eastAsia" w:ascii="宋体" w:hAnsi="宋体" w:eastAsia="宋体" w:cs="宋体"/>
                <w:color w:val="auto"/>
                <w:kern w:val="0"/>
                <w:sz w:val="21"/>
                <w:szCs w:val="21"/>
                <w:highlight w:val="none"/>
              </w:rPr>
            </w:pPr>
          </w:p>
        </w:tc>
      </w:tr>
      <w:tr w14:paraId="6A48DC6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31" w:hRule="exact"/>
        </w:trPr>
        <w:tc>
          <w:tcPr>
            <w:tcW w:w="743" w:type="dxa"/>
            <w:tcBorders>
              <w:top w:val="single" w:color="000000" w:sz="6" w:space="0"/>
              <w:left w:val="single" w:color="000000" w:sz="6" w:space="0"/>
              <w:bottom w:val="nil"/>
              <w:right w:val="single" w:color="000000" w:sz="6" w:space="0"/>
            </w:tcBorders>
            <w:noWrap w:val="0"/>
            <w:vAlign w:val="center"/>
          </w:tcPr>
          <w:p w14:paraId="7DF1C8AC">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2</w:t>
            </w:r>
          </w:p>
        </w:tc>
        <w:tc>
          <w:tcPr>
            <w:tcW w:w="1421" w:type="dxa"/>
            <w:tcBorders>
              <w:top w:val="single" w:color="000000" w:sz="6" w:space="0"/>
              <w:left w:val="single" w:color="000000" w:sz="6" w:space="0"/>
              <w:bottom w:val="nil"/>
              <w:right w:val="single" w:color="000000" w:sz="6" w:space="0"/>
            </w:tcBorders>
            <w:noWrap w:val="0"/>
            <w:vAlign w:val="center"/>
          </w:tcPr>
          <w:p w14:paraId="24486297">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项目技术</w:t>
            </w:r>
          </w:p>
          <w:p w14:paraId="1A3E32FD">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负责人</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7EC50A8B">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14627EEB">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609F690D">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64A2700B">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7908F68C">
            <w:pPr>
              <w:snapToGrid w:val="0"/>
              <w:jc w:val="center"/>
              <w:rPr>
                <w:rStyle w:val="22"/>
                <w:rFonts w:hint="eastAsia" w:ascii="宋体" w:hAnsi="宋体" w:eastAsia="宋体" w:cs="宋体"/>
                <w:color w:val="auto"/>
                <w:kern w:val="0"/>
                <w:sz w:val="21"/>
                <w:szCs w:val="21"/>
                <w:highlight w:val="none"/>
              </w:rPr>
            </w:pPr>
          </w:p>
        </w:tc>
      </w:tr>
      <w:tr w14:paraId="01E3DE5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right w:val="single" w:color="000000" w:sz="6" w:space="0"/>
            </w:tcBorders>
            <w:noWrap w:val="0"/>
            <w:vAlign w:val="center"/>
          </w:tcPr>
          <w:p w14:paraId="06B626A0">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3</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7A8474AC">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专职安全员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4AA428A4">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15108270">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0BF294A9">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177A3181">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0DAD4157">
            <w:pPr>
              <w:snapToGrid w:val="0"/>
              <w:jc w:val="center"/>
              <w:rPr>
                <w:rStyle w:val="22"/>
                <w:rFonts w:hint="eastAsia" w:ascii="宋体" w:hAnsi="宋体" w:eastAsia="宋体" w:cs="宋体"/>
                <w:color w:val="auto"/>
                <w:kern w:val="0"/>
                <w:sz w:val="21"/>
                <w:szCs w:val="21"/>
                <w:highlight w:val="none"/>
              </w:rPr>
            </w:pPr>
          </w:p>
        </w:tc>
      </w:tr>
      <w:tr w14:paraId="74D778D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14:paraId="35860608">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4</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14151DFC">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施工员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06E98BF5">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20C3F465">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71B8C456">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755F01D2">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42B75639">
            <w:pPr>
              <w:snapToGrid w:val="0"/>
              <w:jc w:val="center"/>
              <w:rPr>
                <w:rStyle w:val="22"/>
                <w:rFonts w:hint="eastAsia" w:ascii="宋体" w:hAnsi="宋体" w:eastAsia="宋体" w:cs="宋体"/>
                <w:color w:val="auto"/>
                <w:kern w:val="0"/>
                <w:sz w:val="21"/>
                <w:szCs w:val="21"/>
                <w:highlight w:val="none"/>
              </w:rPr>
            </w:pPr>
          </w:p>
        </w:tc>
      </w:tr>
      <w:tr w14:paraId="417EF18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14:paraId="3275F32D">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5</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3634577C">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质量员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7D61C13F">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19068055">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65727F96">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51C2D163">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6B51BFA8">
            <w:pPr>
              <w:snapToGrid w:val="0"/>
              <w:jc w:val="center"/>
              <w:rPr>
                <w:rStyle w:val="22"/>
                <w:rFonts w:hint="eastAsia" w:ascii="宋体" w:hAnsi="宋体" w:eastAsia="宋体" w:cs="宋体"/>
                <w:color w:val="auto"/>
                <w:kern w:val="0"/>
                <w:sz w:val="21"/>
                <w:szCs w:val="21"/>
                <w:highlight w:val="none"/>
              </w:rPr>
            </w:pPr>
          </w:p>
        </w:tc>
      </w:tr>
      <w:tr w14:paraId="5BBA256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14:paraId="67BD6736">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6</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369E4BE1">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材料员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27C7731E">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38B9971C">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63516C72">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4134D661">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59D89F97">
            <w:pPr>
              <w:snapToGrid w:val="0"/>
              <w:jc w:val="center"/>
              <w:rPr>
                <w:rStyle w:val="22"/>
                <w:rFonts w:hint="eastAsia" w:ascii="宋体" w:hAnsi="宋体" w:eastAsia="宋体" w:cs="宋体"/>
                <w:color w:val="auto"/>
                <w:kern w:val="0"/>
                <w:sz w:val="21"/>
                <w:szCs w:val="21"/>
                <w:highlight w:val="none"/>
              </w:rPr>
            </w:pPr>
          </w:p>
        </w:tc>
      </w:tr>
      <w:tr w14:paraId="1D84D09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14:paraId="0FF4D222">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7</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37816F1E">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资料员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0D78B8D1">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775C0585">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53764042">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7D53DEE5">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57783BEC">
            <w:pPr>
              <w:snapToGrid w:val="0"/>
              <w:jc w:val="center"/>
              <w:rPr>
                <w:rStyle w:val="22"/>
                <w:rFonts w:hint="eastAsia" w:ascii="宋体" w:hAnsi="宋体" w:eastAsia="宋体" w:cs="宋体"/>
                <w:color w:val="auto"/>
                <w:kern w:val="0"/>
                <w:sz w:val="21"/>
                <w:szCs w:val="21"/>
                <w:highlight w:val="none"/>
              </w:rPr>
            </w:pPr>
          </w:p>
        </w:tc>
      </w:tr>
      <w:tr w14:paraId="055665A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14:paraId="64583367">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3056A4D9">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077A7A94">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2457BD4E">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15C41D45">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77039C72">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56580C33">
            <w:pPr>
              <w:snapToGrid w:val="0"/>
              <w:jc w:val="center"/>
              <w:rPr>
                <w:rStyle w:val="22"/>
                <w:rFonts w:hint="eastAsia" w:ascii="宋体" w:hAnsi="宋体" w:eastAsia="宋体" w:cs="宋体"/>
                <w:color w:val="auto"/>
                <w:kern w:val="0"/>
                <w:sz w:val="21"/>
                <w:szCs w:val="21"/>
                <w:highlight w:val="none"/>
              </w:rPr>
            </w:pPr>
          </w:p>
        </w:tc>
      </w:tr>
    </w:tbl>
    <w:p w14:paraId="598976BE">
      <w:pPr>
        <w:pStyle w:val="50"/>
        <w:snapToGrid w:val="0"/>
        <w:spacing w:line="400" w:lineRule="exact"/>
        <w:rPr>
          <w:rStyle w:val="22"/>
          <w:rFonts w:hint="eastAsia" w:ascii="宋体" w:hAnsi="宋体" w:eastAsia="宋体" w:cs="宋体"/>
          <w:color w:val="auto"/>
          <w:sz w:val="21"/>
          <w:szCs w:val="21"/>
          <w:highlight w:val="none"/>
        </w:rPr>
      </w:pPr>
    </w:p>
    <w:p w14:paraId="0135F928">
      <w:pPr>
        <w:pStyle w:val="50"/>
        <w:snapToGrid w:val="0"/>
        <w:spacing w:line="400" w:lineRule="exact"/>
        <w:rPr>
          <w:rStyle w:val="22"/>
          <w:rFonts w:hint="eastAsia" w:ascii="宋体" w:hAnsi="宋体" w:eastAsia="宋体" w:cs="宋体"/>
          <w:color w:val="auto"/>
          <w:sz w:val="21"/>
          <w:szCs w:val="21"/>
          <w:highlight w:val="none"/>
        </w:rPr>
      </w:pPr>
      <w:r>
        <w:rPr>
          <w:rStyle w:val="22"/>
          <w:rFonts w:hint="eastAsia" w:ascii="宋体" w:hAnsi="宋体" w:eastAsia="宋体" w:cs="宋体"/>
          <w:color w:val="auto"/>
          <w:sz w:val="21"/>
          <w:szCs w:val="21"/>
          <w:highlight w:val="none"/>
        </w:rPr>
        <w:t>说明：</w:t>
      </w:r>
    </w:p>
    <w:p w14:paraId="7E5FCC4C">
      <w:pPr>
        <w:pStyle w:val="50"/>
        <w:snapToGrid w:val="0"/>
        <w:spacing w:line="400" w:lineRule="exact"/>
        <w:rPr>
          <w:rStyle w:val="22"/>
          <w:rFonts w:hint="eastAsia" w:ascii="宋体" w:hAnsi="宋体" w:eastAsia="宋体" w:cs="宋体"/>
          <w:color w:val="auto"/>
          <w:sz w:val="21"/>
          <w:szCs w:val="21"/>
          <w:highlight w:val="none"/>
        </w:rPr>
      </w:pPr>
      <w:r>
        <w:rPr>
          <w:rStyle w:val="22"/>
          <w:rFonts w:hint="eastAsia" w:ascii="宋体" w:hAnsi="宋体" w:eastAsia="宋体" w:cs="宋体"/>
          <w:color w:val="auto"/>
          <w:sz w:val="21"/>
          <w:szCs w:val="21"/>
          <w:highlight w:val="none"/>
        </w:rPr>
        <w:t>《项目管理机构组成表》后应附表中拟派人员（项目经理、项目技术负责人、专职安全员除外）以下资料：</w:t>
      </w:r>
    </w:p>
    <w:p w14:paraId="1042A75E">
      <w:pPr>
        <w:snapToGrid w:val="0"/>
        <w:spacing w:line="400" w:lineRule="exact"/>
        <w:ind w:firstLine="420" w:firstLineChars="200"/>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（1）身份证</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w:t>
      </w:r>
    </w:p>
    <w:p w14:paraId="753EEFC5">
      <w:pPr>
        <w:snapToGrid w:val="0"/>
        <w:spacing w:line="400" w:lineRule="exact"/>
        <w:ind w:firstLine="420" w:firstLineChars="200"/>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（2）执业注册证或职称证或岗位证</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w:t>
      </w:r>
    </w:p>
    <w:p w14:paraId="422E4A21">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rPr>
      </w:pPr>
      <w:r>
        <w:rPr>
          <w:rStyle w:val="22"/>
          <w:rFonts w:hint="eastAsia" w:ascii="宋体" w:hAnsi="宋体" w:eastAsia="宋体" w:cs="宋体"/>
          <w:color w:val="auto"/>
          <w:kern w:val="0"/>
          <w:sz w:val="21"/>
          <w:szCs w:val="21"/>
          <w:highlight w:val="none"/>
        </w:rPr>
        <w:t>（3）在本单位缴纳社保的证明（</w:t>
      </w:r>
      <w:r>
        <w:rPr>
          <w:rStyle w:val="22"/>
          <w:rFonts w:hint="eastAsia" w:hAnsi="宋体" w:cs="宋体"/>
          <w:color w:val="auto"/>
          <w:kern w:val="0"/>
          <w:sz w:val="21"/>
          <w:szCs w:val="21"/>
          <w:highlight w:val="none"/>
          <w:lang w:eastAsia="zh-CN"/>
        </w:rPr>
        <w:t>至少一个月</w:t>
      </w:r>
      <w:r>
        <w:rPr>
          <w:rStyle w:val="22"/>
          <w:rFonts w:hint="eastAsia" w:ascii="宋体" w:hAnsi="宋体" w:eastAsia="宋体" w:cs="宋体"/>
          <w:color w:val="auto"/>
          <w:kern w:val="0"/>
          <w:sz w:val="21"/>
          <w:szCs w:val="21"/>
          <w:highlight w:val="none"/>
        </w:rPr>
        <w:t>，</w:t>
      </w:r>
      <w:r>
        <w:rPr>
          <w:rStyle w:val="22"/>
          <w:rFonts w:hint="eastAsia" w:hAnsi="宋体" w:cs="宋体"/>
          <w:color w:val="auto"/>
          <w:kern w:val="0"/>
          <w:sz w:val="21"/>
          <w:szCs w:val="21"/>
          <w:highlight w:val="none"/>
          <w:lang w:eastAsia="zh-CN"/>
        </w:rPr>
        <w:t>其中必须有2026年9月</w:t>
      </w:r>
      <w:r>
        <w:rPr>
          <w:rFonts w:hint="eastAsia" w:ascii="宋体" w:hAnsi="宋体" w:eastAsia="宋体" w:cs="宋体"/>
          <w:snapToGrid w:val="0"/>
          <w:color w:val="auto"/>
          <w:kern w:val="0"/>
          <w:sz w:val="21"/>
          <w:szCs w:val="21"/>
          <w:highlight w:val="none"/>
        </w:rPr>
        <w:t xml:space="preserve">）彩色扫描件；拟派人员为退休返聘人员无法提供社保证明的，提供退休证和劳动合同彩色扫描件。 </w:t>
      </w:r>
    </w:p>
    <w:p w14:paraId="5205275C">
      <w:pPr>
        <w:snapToGrid w:val="0"/>
        <w:spacing w:line="400" w:lineRule="exact"/>
        <w:ind w:firstLine="420" w:firstLineChars="200"/>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（4）“进粤企业和人员诚信信息登记平台”个人信息情况截图。（适用于省外建筑企业）</w:t>
      </w:r>
    </w:p>
    <w:p w14:paraId="5219D970">
      <w:pPr>
        <w:snapToGrid w:val="0"/>
        <w:spacing w:line="400" w:lineRule="exact"/>
        <w:ind w:firstLine="420" w:firstLineChars="200"/>
        <w:rPr>
          <w:rStyle w:val="22"/>
          <w:rFonts w:hint="eastAsia" w:ascii="宋体" w:hAnsi="宋体" w:eastAsia="宋体" w:cs="宋体"/>
          <w:color w:val="auto"/>
          <w:kern w:val="0"/>
          <w:sz w:val="21"/>
          <w:szCs w:val="21"/>
          <w:highlight w:val="none"/>
        </w:rPr>
      </w:pPr>
    </w:p>
    <w:p w14:paraId="306EE1D6">
      <w:pPr>
        <w:pStyle w:val="4"/>
        <w:rPr>
          <w:rStyle w:val="22"/>
          <w:rFonts w:hint="eastAsia" w:ascii="宋体" w:hAnsi="宋体" w:eastAsia="宋体" w:cs="宋体"/>
          <w:bCs/>
          <w:color w:val="auto"/>
          <w:highlight w:val="none"/>
          <w:lang w:val="en-US" w:eastAsia="zh-CN"/>
        </w:rPr>
      </w:pPr>
      <w:r>
        <w:rPr>
          <w:rStyle w:val="22"/>
          <w:rFonts w:hint="eastAsia" w:ascii="宋体" w:hAnsi="宋体" w:eastAsia="宋体" w:cs="宋体"/>
          <w:color w:val="auto"/>
          <w:sz w:val="21"/>
          <w:szCs w:val="21"/>
          <w:highlight w:val="none"/>
        </w:rPr>
        <w:br w:type="page"/>
      </w:r>
      <w:bookmarkStart w:id="499" w:name="_Toc19125"/>
      <w:bookmarkStart w:id="500" w:name="_Toc6024"/>
      <w:bookmarkStart w:id="501" w:name="_Toc9476"/>
      <w:bookmarkStart w:id="502" w:name="_Toc31072"/>
      <w:bookmarkStart w:id="503" w:name="_Toc29544"/>
      <w:bookmarkStart w:id="504" w:name="_Toc28355"/>
      <w:bookmarkStart w:id="505" w:name="_Toc11642"/>
      <w:bookmarkStart w:id="506" w:name="_Toc8959"/>
      <w:bookmarkStart w:id="507" w:name="_Toc4370"/>
      <w:bookmarkStart w:id="508" w:name="_Toc13261"/>
      <w:bookmarkStart w:id="509" w:name="_Toc28465"/>
      <w:r>
        <w:rPr>
          <w:rStyle w:val="58"/>
          <w:rFonts w:hint="eastAsia" w:ascii="宋体" w:hAnsi="宋体" w:eastAsia="宋体" w:cs="宋体"/>
          <w:b/>
          <w:bCs/>
          <w:color w:val="auto"/>
          <w:sz w:val="21"/>
          <w:szCs w:val="21"/>
          <w:highlight w:val="none"/>
          <w:lang w:val="en-US" w:eastAsia="zh-CN"/>
        </w:rPr>
        <w:t>格式十</w:t>
      </w:r>
      <w:r>
        <w:rPr>
          <w:rStyle w:val="58"/>
          <w:rFonts w:hint="eastAsia" w:ascii="宋体" w:hAnsi="宋体" w:cs="宋体"/>
          <w:b/>
          <w:bCs/>
          <w:color w:val="auto"/>
          <w:sz w:val="21"/>
          <w:szCs w:val="21"/>
          <w:highlight w:val="none"/>
          <w:lang w:val="en-US" w:eastAsia="zh-CN"/>
        </w:rPr>
        <w:t>三</w:t>
      </w:r>
      <w:r>
        <w:rPr>
          <w:rStyle w:val="58"/>
          <w:rFonts w:hint="eastAsia" w:ascii="宋体" w:hAnsi="宋体" w:eastAsia="宋体" w:cs="宋体"/>
          <w:b/>
          <w:bCs/>
          <w:color w:val="auto"/>
          <w:sz w:val="21"/>
          <w:szCs w:val="21"/>
          <w:highlight w:val="none"/>
          <w:lang w:val="en-US" w:eastAsia="zh-CN"/>
        </w:rPr>
        <w:t xml:space="preserve"> 建造师查询页（有效期+建造师签字）</w:t>
      </w:r>
      <w:bookmarkEnd w:id="499"/>
      <w:bookmarkEnd w:id="500"/>
      <w:bookmarkEnd w:id="501"/>
      <w:bookmarkEnd w:id="502"/>
      <w:bookmarkEnd w:id="503"/>
      <w:bookmarkEnd w:id="504"/>
      <w:bookmarkEnd w:id="505"/>
      <w:bookmarkEnd w:id="506"/>
      <w:bookmarkEnd w:id="507"/>
      <w:bookmarkEnd w:id="508"/>
      <w:bookmarkEnd w:id="509"/>
    </w:p>
    <w:p w14:paraId="0AF6BC15">
      <w:pPr>
        <w:pStyle w:val="44"/>
        <w:jc w:val="both"/>
        <w:rPr>
          <w:rFonts w:hint="eastAsia" w:ascii="宋体" w:hAnsi="宋体" w:eastAsia="宋体" w:cs="宋体"/>
          <w:b/>
          <w:bCs/>
          <w:snapToGrid w:val="0"/>
          <w:color w:val="auto"/>
          <w:szCs w:val="24"/>
          <w:highlight w:val="none"/>
        </w:rPr>
      </w:pPr>
      <w:r>
        <w:rPr>
          <w:rFonts w:ascii="Times New Roman"/>
          <w:snapToGrid w:val="0"/>
          <w:color w:val="auto"/>
          <w:sz w:val="21"/>
          <w:highlight w:val="none"/>
        </w:rPr>
        <w:drawing>
          <wp:inline distT="0" distB="0" distL="114300" distR="114300">
            <wp:extent cx="5344160" cy="7471410"/>
            <wp:effectExtent l="0" t="0" r="8890" b="15240"/>
            <wp:docPr id="5" name="图片 13" descr="b7c3fa9a6b84aa75afaa6419d14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3" descr="b7c3fa9a6b84aa75afaa6419d149817"/>
                    <pic:cNvPicPr>
                      <a:picLocks noChangeAspect="1"/>
                    </pic:cNvPicPr>
                  </pic:nvPicPr>
                  <pic:blipFill>
                    <a:blip r:embed="rId34"/>
                    <a:stretch>
                      <a:fillRect/>
                    </a:stretch>
                  </pic:blipFill>
                  <pic:spPr>
                    <a:xfrm>
                      <a:off x="0" y="0"/>
                      <a:ext cx="5344160" cy="7471410"/>
                    </a:xfrm>
                    <a:prstGeom prst="rect">
                      <a:avLst/>
                    </a:prstGeom>
                    <a:noFill/>
                    <a:ln>
                      <a:noFill/>
                    </a:ln>
                  </pic:spPr>
                </pic:pic>
              </a:graphicData>
            </a:graphic>
          </wp:inline>
        </w:drawing>
      </w:r>
    </w:p>
    <w:p w14:paraId="42902B2D">
      <w:pPr>
        <w:pStyle w:val="45"/>
        <w:widowControl w:val="0"/>
        <w:wordWrap w:val="0"/>
        <w:adjustRightInd w:val="0"/>
        <w:snapToGrid w:val="0"/>
        <w:spacing w:line="240" w:lineRule="auto"/>
        <w:ind w:left="240" w:leftChars="100" w:firstLine="241" w:firstLineChars="100"/>
        <w:rPr>
          <w:rFonts w:hint="eastAsia" w:ascii="宋体" w:hAnsi="宋体" w:eastAsia="宋体" w:cs="宋体"/>
          <w:b/>
          <w:bCs/>
          <w:snapToGrid w:val="0"/>
          <w:color w:val="auto"/>
          <w:sz w:val="24"/>
          <w:szCs w:val="24"/>
          <w:highlight w:val="none"/>
        </w:rPr>
      </w:pPr>
    </w:p>
    <w:p w14:paraId="0CAB3250">
      <w:pPr>
        <w:pStyle w:val="44"/>
        <w:keepNext w:val="0"/>
        <w:keepLines w:val="0"/>
        <w:widowControl w:val="0"/>
        <w:wordWrap w:val="0"/>
        <w:adjustRightInd w:val="0"/>
        <w:snapToGrid w:val="0"/>
        <w:spacing w:before="0" w:after="0" w:line="240" w:lineRule="auto"/>
        <w:ind w:left="3177" w:leftChars="15" w:hanging="3141" w:hangingChars="1496"/>
        <w:outlineLvl w:val="9"/>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 xml:space="preserve">     </w:t>
      </w:r>
      <w:bookmarkStart w:id="510" w:name="_附件二十一：土建工程、电气工程、给排水工程工程清单项目费汇总表"/>
      <w:bookmarkEnd w:id="510"/>
      <w:bookmarkStart w:id="511" w:name="_Hlt87783244"/>
      <w:bookmarkEnd w:id="511"/>
      <w:bookmarkStart w:id="512" w:name="_附件十六：措施项目清单计价表"/>
      <w:bookmarkEnd w:id="512"/>
      <w:bookmarkStart w:id="513" w:name="_Hlt87793582"/>
      <w:bookmarkEnd w:id="513"/>
    </w:p>
    <w:p w14:paraId="0CC2E47B">
      <w:pPr>
        <w:pStyle w:val="4"/>
        <w:rPr>
          <w:rStyle w:val="58"/>
          <w:rFonts w:hint="eastAsia" w:ascii="宋体" w:hAnsi="宋体" w:eastAsia="宋体" w:cs="宋体"/>
          <w:b/>
          <w:bCs/>
          <w:color w:val="auto"/>
          <w:sz w:val="21"/>
          <w:szCs w:val="21"/>
          <w:highlight w:val="none"/>
          <w:lang w:val="en-US" w:eastAsia="zh-CN"/>
        </w:rPr>
      </w:pPr>
      <w:bookmarkStart w:id="514" w:name="_Toc29671"/>
      <w:bookmarkStart w:id="515" w:name="_Toc36804690"/>
      <w:bookmarkStart w:id="516" w:name="_Toc6379"/>
      <w:bookmarkStart w:id="517" w:name="_Toc23831"/>
      <w:bookmarkStart w:id="518" w:name="_Toc18504"/>
      <w:bookmarkStart w:id="519" w:name="_Toc26904"/>
      <w:bookmarkStart w:id="520" w:name="_Toc28494"/>
      <w:bookmarkStart w:id="521" w:name="_Toc14143"/>
      <w:bookmarkStart w:id="522" w:name="_Toc30931"/>
      <w:bookmarkStart w:id="523" w:name="_Toc18297"/>
      <w:bookmarkStart w:id="524" w:name="_Toc9224"/>
      <w:bookmarkStart w:id="525" w:name="_Toc20623"/>
      <w:r>
        <w:rPr>
          <w:rStyle w:val="58"/>
          <w:rFonts w:hint="eastAsia" w:ascii="宋体" w:hAnsi="宋体" w:eastAsia="宋体" w:cs="宋体"/>
          <w:b/>
          <w:bCs/>
          <w:color w:val="auto"/>
          <w:sz w:val="21"/>
          <w:szCs w:val="21"/>
          <w:highlight w:val="none"/>
          <w:lang w:val="en-US" w:eastAsia="zh-CN"/>
        </w:rPr>
        <w:t xml:space="preserve">格式十四 </w:t>
      </w:r>
      <w:bookmarkEnd w:id="514"/>
      <w:bookmarkEnd w:id="515"/>
      <w:bookmarkEnd w:id="516"/>
      <w:bookmarkEnd w:id="517"/>
      <w:bookmarkEnd w:id="518"/>
      <w:bookmarkEnd w:id="519"/>
      <w:bookmarkEnd w:id="520"/>
      <w:bookmarkEnd w:id="521"/>
      <w:bookmarkEnd w:id="522"/>
      <w:bookmarkEnd w:id="523"/>
      <w:bookmarkEnd w:id="524"/>
      <w:bookmarkStart w:id="526" w:name="_Toc10203"/>
      <w:r>
        <w:rPr>
          <w:rStyle w:val="58"/>
          <w:rFonts w:hint="eastAsia" w:ascii="宋体" w:hAnsi="宋体" w:eastAsia="宋体" w:cs="宋体"/>
          <w:b/>
          <w:bCs/>
          <w:color w:val="auto"/>
          <w:sz w:val="21"/>
          <w:szCs w:val="21"/>
          <w:highlight w:val="none"/>
          <w:lang w:val="en-US" w:eastAsia="zh-CN"/>
        </w:rPr>
        <w:t>危险性较大的分部分项工程清单及超过一定规模的危险性较大的分部分项工程清单</w:t>
      </w:r>
    </w:p>
    <w:bookmarkEnd w:id="525"/>
    <w:p w14:paraId="567040AF">
      <w:pPr>
        <w:pStyle w:val="6"/>
        <w:keepNext w:val="0"/>
        <w:keepLines w:val="0"/>
        <w:pageBreakBefore w:val="0"/>
        <w:widowControl/>
        <w:kinsoku/>
        <w:wordWrap/>
        <w:overflowPunct/>
        <w:topLinePunct w:val="0"/>
        <w:autoSpaceDE/>
        <w:autoSpaceDN/>
        <w:bidi w:val="0"/>
        <w:adjustRightInd/>
        <w:snapToGrid/>
        <w:spacing w:line="360" w:lineRule="auto"/>
        <w:ind w:left="5" w:firstLine="49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1、根据中华人民共和国住房和城乡建设部令第37号《危险性较大的分部分项工程</w:t>
      </w:r>
      <w:r>
        <w:rPr>
          <w:rFonts w:hint="eastAsia" w:ascii="宋体" w:hAnsi="宋体" w:eastAsia="宋体" w:cs="宋体"/>
          <w:color w:val="auto"/>
          <w:spacing w:val="-2"/>
          <w:sz w:val="21"/>
          <w:szCs w:val="21"/>
          <w:highlight w:val="none"/>
        </w:rPr>
        <w:t>安全管理规定》（以下简称“37号文”</w:t>
      </w:r>
      <w:r>
        <w:rPr>
          <w:rFonts w:hint="eastAsia" w:ascii="宋体" w:hAnsi="宋体" w:eastAsia="宋体" w:cs="宋体"/>
          <w:color w:val="auto"/>
          <w:spacing w:val="-11"/>
          <w:sz w:val="21"/>
          <w:szCs w:val="21"/>
          <w:highlight w:val="none"/>
        </w:rPr>
        <w:t>），</w:t>
      </w:r>
      <w:r>
        <w:rPr>
          <w:rFonts w:hint="eastAsia" w:ascii="宋体" w:hAnsi="宋体" w:eastAsia="宋体" w:cs="宋体"/>
          <w:color w:val="auto"/>
          <w:spacing w:val="-2"/>
          <w:sz w:val="21"/>
          <w:szCs w:val="21"/>
          <w:highlight w:val="none"/>
        </w:rPr>
        <w:t>投标人在投标时须补充完善危大工程清单并明确相应的安全管理措施。</w:t>
      </w:r>
    </w:p>
    <w:p w14:paraId="2557CF97">
      <w:pPr>
        <w:pStyle w:val="6"/>
        <w:keepNext w:val="0"/>
        <w:keepLines w:val="0"/>
        <w:pageBreakBefore w:val="0"/>
        <w:widowControl/>
        <w:kinsoku/>
        <w:wordWrap/>
        <w:overflowPunct/>
        <w:topLinePunct w:val="0"/>
        <w:autoSpaceDE/>
        <w:autoSpaceDN/>
        <w:bidi w:val="0"/>
        <w:adjustRightInd/>
        <w:snapToGrid/>
        <w:spacing w:line="360" w:lineRule="auto"/>
        <w:ind w:left="1" w:firstLine="481"/>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2、招标人根据设计文件的要求及37号文、粤建规范〔2019〕2号文的规定列出“危险性较大的分部分项工程清单及超过一定规模的危</w:t>
      </w:r>
      <w:r>
        <w:rPr>
          <w:rFonts w:hint="eastAsia" w:ascii="宋体" w:hAnsi="宋体" w:eastAsia="宋体" w:cs="宋体"/>
          <w:color w:val="auto"/>
          <w:spacing w:val="-3"/>
          <w:sz w:val="21"/>
          <w:szCs w:val="21"/>
          <w:highlight w:val="none"/>
        </w:rPr>
        <w:t>险性较大的分部分项工程清单”中与</w:t>
      </w:r>
      <w:r>
        <w:rPr>
          <w:rFonts w:hint="eastAsia" w:ascii="宋体" w:hAnsi="宋体" w:eastAsia="宋体" w:cs="宋体"/>
          <w:color w:val="auto"/>
          <w:spacing w:val="-5"/>
          <w:sz w:val="21"/>
          <w:szCs w:val="21"/>
          <w:highlight w:val="none"/>
        </w:rPr>
        <w:t>本招标项目相关的清单项，具体详见第5点“打√”标识。</w:t>
      </w:r>
    </w:p>
    <w:p w14:paraId="22BF4D54">
      <w:pPr>
        <w:pStyle w:val="6"/>
        <w:keepNext w:val="0"/>
        <w:keepLines w:val="0"/>
        <w:pageBreakBefore w:val="0"/>
        <w:widowControl/>
        <w:kinsoku/>
        <w:wordWrap/>
        <w:overflowPunct/>
        <w:topLinePunct w:val="0"/>
        <w:autoSpaceDE/>
        <w:autoSpaceDN/>
        <w:bidi w:val="0"/>
        <w:adjustRightInd/>
        <w:snapToGrid/>
        <w:spacing w:line="360" w:lineRule="auto"/>
        <w:ind w:left="3" w:right="72" w:firstLine="488"/>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（1）投标单位同意建设单位在清单中标识的该</w:t>
      </w:r>
      <w:r>
        <w:rPr>
          <w:rFonts w:hint="eastAsia" w:ascii="宋体" w:hAnsi="宋体" w:eastAsia="宋体" w:cs="宋体"/>
          <w:color w:val="auto"/>
          <w:spacing w:val="-4"/>
          <w:sz w:val="21"/>
          <w:szCs w:val="21"/>
          <w:highlight w:val="none"/>
        </w:rPr>
        <w:t>项请在对应项打“√”标识，并与</w:t>
      </w:r>
      <w:r>
        <w:rPr>
          <w:rFonts w:hint="eastAsia" w:ascii="宋体" w:hAnsi="宋体" w:eastAsia="宋体" w:cs="宋体"/>
          <w:color w:val="auto"/>
          <w:spacing w:val="-1"/>
          <w:sz w:val="21"/>
          <w:szCs w:val="21"/>
          <w:highlight w:val="none"/>
        </w:rPr>
        <w:t>投标文件中提供相应的安全管理措施。</w:t>
      </w:r>
    </w:p>
    <w:p w14:paraId="36E17546">
      <w:pPr>
        <w:pStyle w:val="6"/>
        <w:keepNext w:val="0"/>
        <w:keepLines w:val="0"/>
        <w:pageBreakBefore w:val="0"/>
        <w:widowControl/>
        <w:kinsoku/>
        <w:wordWrap/>
        <w:overflowPunct/>
        <w:topLinePunct w:val="0"/>
        <w:autoSpaceDE/>
        <w:autoSpaceDN/>
        <w:bidi w:val="0"/>
        <w:adjustRightInd/>
        <w:snapToGrid/>
        <w:spacing w:line="360" w:lineRule="auto"/>
        <w:ind w:left="2" w:right="72" w:firstLine="489"/>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（2）投标单位对清单中认为需要补充的该项请</w:t>
      </w:r>
      <w:r>
        <w:rPr>
          <w:rFonts w:hint="eastAsia" w:ascii="宋体" w:hAnsi="宋体" w:eastAsia="宋体" w:cs="宋体"/>
          <w:color w:val="auto"/>
          <w:spacing w:val="-4"/>
          <w:sz w:val="21"/>
          <w:szCs w:val="21"/>
          <w:highlight w:val="none"/>
        </w:rPr>
        <w:t>在对应项打“√”标识，并与投标</w:t>
      </w:r>
      <w:r>
        <w:rPr>
          <w:rFonts w:hint="eastAsia" w:ascii="宋体" w:hAnsi="宋体" w:eastAsia="宋体" w:cs="宋体"/>
          <w:color w:val="auto"/>
          <w:spacing w:val="-1"/>
          <w:sz w:val="21"/>
          <w:szCs w:val="21"/>
          <w:highlight w:val="none"/>
        </w:rPr>
        <w:t>文件中提供相应的安全管理措施。</w:t>
      </w:r>
    </w:p>
    <w:p w14:paraId="5E2E8BFB">
      <w:pPr>
        <w:pStyle w:val="6"/>
        <w:keepNext w:val="0"/>
        <w:keepLines w:val="0"/>
        <w:pageBreakBefore w:val="0"/>
        <w:widowControl/>
        <w:kinsoku/>
        <w:wordWrap/>
        <w:overflowPunct/>
        <w:topLinePunct w:val="0"/>
        <w:autoSpaceDE/>
        <w:autoSpaceDN/>
        <w:bidi w:val="0"/>
        <w:adjustRightInd/>
        <w:snapToGrid/>
        <w:spacing w:line="360" w:lineRule="auto"/>
        <w:ind w:right="72" w:firstLine="49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（3）投标单位不同意建设单位在清单中标识的该项请在对应项打“×”标识，并</w:t>
      </w:r>
      <w:r>
        <w:rPr>
          <w:rFonts w:hint="eastAsia" w:ascii="宋体" w:hAnsi="宋体" w:eastAsia="宋体" w:cs="宋体"/>
          <w:color w:val="auto"/>
          <w:spacing w:val="-1"/>
          <w:sz w:val="21"/>
          <w:szCs w:val="21"/>
          <w:highlight w:val="none"/>
        </w:rPr>
        <w:t>在备注栏填上相关说明。</w:t>
      </w:r>
    </w:p>
    <w:p w14:paraId="5C67A488">
      <w:pPr>
        <w:pStyle w:val="6"/>
        <w:keepNext w:val="0"/>
        <w:keepLines w:val="0"/>
        <w:pageBreakBefore w:val="0"/>
        <w:widowControl/>
        <w:kinsoku/>
        <w:wordWrap/>
        <w:overflowPunct/>
        <w:topLinePunct w:val="0"/>
        <w:autoSpaceDE/>
        <w:autoSpaceDN/>
        <w:bidi w:val="0"/>
        <w:adjustRightInd/>
        <w:snapToGrid/>
        <w:spacing w:line="360" w:lineRule="auto"/>
        <w:ind w:firstLine="484"/>
        <w:jc w:val="both"/>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u w:val="single" w:color="auto"/>
        </w:rPr>
        <w:t>3、投标单位应当在投标时根据招标人提供的下述第5点清单，</w:t>
      </w:r>
      <w:r>
        <w:rPr>
          <w:rFonts w:hint="eastAsia" w:ascii="宋体" w:hAnsi="宋体" w:eastAsia="宋体" w:cs="宋体"/>
          <w:b/>
          <w:bCs/>
          <w:color w:val="auto"/>
          <w:spacing w:val="-5"/>
          <w:sz w:val="21"/>
          <w:szCs w:val="21"/>
          <w:highlight w:val="none"/>
          <w:u w:val="single" w:color="auto"/>
        </w:rPr>
        <w:t>在投标施工组织中回</w:t>
      </w:r>
      <w:r>
        <w:rPr>
          <w:rFonts w:hint="eastAsia" w:ascii="宋体" w:hAnsi="宋体" w:eastAsia="宋体" w:cs="宋体"/>
          <w:b/>
          <w:bCs/>
          <w:color w:val="auto"/>
          <w:spacing w:val="-4"/>
          <w:sz w:val="21"/>
          <w:szCs w:val="21"/>
          <w:highlight w:val="none"/>
          <w:u w:val="single" w:color="auto"/>
        </w:rPr>
        <w:t>应建设单位提供的危大工程清单，补充相应的安全管理措施。（为减轻标书编制</w:t>
      </w:r>
      <w:r>
        <w:rPr>
          <w:rFonts w:hint="eastAsia" w:ascii="宋体" w:hAnsi="宋体" w:eastAsia="宋体" w:cs="宋体"/>
          <w:b/>
          <w:bCs/>
          <w:color w:val="auto"/>
          <w:spacing w:val="-5"/>
          <w:sz w:val="21"/>
          <w:szCs w:val="21"/>
          <w:highlight w:val="none"/>
          <w:u w:val="single" w:color="auto"/>
        </w:rPr>
        <w:t>的工作</w:t>
      </w:r>
      <w:r>
        <w:rPr>
          <w:rFonts w:hint="eastAsia" w:ascii="宋体" w:hAnsi="宋体" w:eastAsia="宋体" w:cs="宋体"/>
          <w:b/>
          <w:bCs/>
          <w:color w:val="auto"/>
          <w:spacing w:val="-2"/>
          <w:sz w:val="21"/>
          <w:szCs w:val="21"/>
          <w:highlight w:val="none"/>
          <w:u w:val="single" w:color="auto"/>
        </w:rPr>
        <w:t>量，投标单位回应的危大工程清单该部分的页数应控制在3页内）</w:t>
      </w:r>
    </w:p>
    <w:p w14:paraId="45B0C819">
      <w:pPr>
        <w:pStyle w:val="6"/>
        <w:keepNext w:val="0"/>
        <w:keepLines w:val="0"/>
        <w:pageBreakBefore w:val="0"/>
        <w:widowControl/>
        <w:kinsoku/>
        <w:wordWrap/>
        <w:overflowPunct/>
        <w:topLinePunct w:val="0"/>
        <w:autoSpaceDE/>
        <w:autoSpaceDN/>
        <w:bidi w:val="0"/>
        <w:adjustRightInd/>
        <w:snapToGrid/>
        <w:spacing w:line="360" w:lineRule="auto"/>
        <w:ind w:left="1" w:firstLine="478"/>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4、对于超过一定规模的危大工程，中标单位应当组织召开</w:t>
      </w:r>
      <w:r>
        <w:rPr>
          <w:rFonts w:hint="eastAsia" w:ascii="宋体" w:hAnsi="宋体" w:eastAsia="宋体" w:cs="宋体"/>
          <w:color w:val="auto"/>
          <w:spacing w:val="-1"/>
          <w:sz w:val="21"/>
          <w:szCs w:val="21"/>
          <w:highlight w:val="none"/>
        </w:rPr>
        <w:t>专家论证会对专项施工</w:t>
      </w:r>
      <w:r>
        <w:rPr>
          <w:rFonts w:hint="eastAsia" w:ascii="宋体" w:hAnsi="宋体" w:eastAsia="宋体" w:cs="宋体"/>
          <w:color w:val="auto"/>
          <w:spacing w:val="-2"/>
          <w:sz w:val="21"/>
          <w:szCs w:val="21"/>
          <w:highlight w:val="none"/>
        </w:rPr>
        <w:t>方案进行论证。实行施工总承包的，由施工总承包单位组织召开专家论证会。专家论证</w:t>
      </w:r>
      <w:r>
        <w:rPr>
          <w:rFonts w:hint="eastAsia" w:ascii="宋体" w:hAnsi="宋体" w:eastAsia="宋体" w:cs="宋体"/>
          <w:color w:val="auto"/>
          <w:spacing w:val="-1"/>
          <w:sz w:val="21"/>
          <w:szCs w:val="21"/>
          <w:highlight w:val="none"/>
        </w:rPr>
        <w:t>前专项施工方案应当通过施工总承包单位审核和总监理工程师审查。</w:t>
      </w:r>
    </w:p>
    <w:p w14:paraId="6423B128">
      <w:pPr>
        <w:pStyle w:val="6"/>
        <w:keepNext w:val="0"/>
        <w:keepLines w:val="0"/>
        <w:pageBreakBefore w:val="0"/>
        <w:widowControl/>
        <w:kinsoku/>
        <w:wordWrap/>
        <w:overflowPunct/>
        <w:topLinePunct w:val="0"/>
        <w:autoSpaceDE/>
        <w:autoSpaceDN/>
        <w:bidi w:val="0"/>
        <w:adjustRightInd/>
        <w:snapToGrid/>
        <w:spacing w:line="360" w:lineRule="auto"/>
        <w:ind w:firstLine="484"/>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5、危险性较大的分部分项工程清单及超过一</w:t>
      </w:r>
      <w:r>
        <w:rPr>
          <w:rFonts w:hint="eastAsia" w:ascii="宋体" w:hAnsi="宋体" w:eastAsia="宋体" w:cs="宋体"/>
          <w:color w:val="auto"/>
          <w:spacing w:val="1"/>
          <w:sz w:val="21"/>
          <w:szCs w:val="21"/>
          <w:highlight w:val="none"/>
        </w:rPr>
        <w:t>定规模的危险性较大的分部分项工程</w:t>
      </w:r>
      <w:r>
        <w:rPr>
          <w:rFonts w:hint="eastAsia" w:ascii="宋体" w:hAnsi="宋体" w:eastAsia="宋体" w:cs="宋体"/>
          <w:color w:val="auto"/>
          <w:spacing w:val="-4"/>
          <w:sz w:val="21"/>
          <w:szCs w:val="21"/>
          <w:highlight w:val="none"/>
        </w:rPr>
        <w:t>清单：</w:t>
      </w:r>
    </w:p>
    <w:p w14:paraId="2B88572B">
      <w:pPr>
        <w:spacing w:line="79" w:lineRule="exact"/>
        <w:rPr>
          <w:rFonts w:hint="eastAsia" w:ascii="宋体" w:hAnsi="宋体" w:eastAsia="宋体" w:cs="宋体"/>
          <w:color w:val="auto"/>
          <w:sz w:val="21"/>
          <w:szCs w:val="21"/>
          <w:highlight w:val="none"/>
        </w:rPr>
      </w:pPr>
    </w:p>
    <w:tbl>
      <w:tblPr>
        <w:tblStyle w:val="63"/>
        <w:tblW w:w="512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56"/>
        <w:gridCol w:w="1273"/>
        <w:gridCol w:w="1316"/>
        <w:gridCol w:w="1006"/>
        <w:gridCol w:w="24"/>
      </w:tblGrid>
      <w:tr w14:paraId="278FC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jc w:val="center"/>
        </w:trPr>
        <w:tc>
          <w:tcPr>
            <w:tcW w:w="3005" w:type="pct"/>
            <w:noWrap w:val="0"/>
            <w:vAlign w:val="top"/>
          </w:tcPr>
          <w:p w14:paraId="30730CF8">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一、危险性较大的分部分项工程清单</w:t>
            </w:r>
          </w:p>
        </w:tc>
        <w:tc>
          <w:tcPr>
            <w:tcW w:w="701" w:type="pct"/>
            <w:noWrap w:val="0"/>
            <w:vAlign w:val="center"/>
          </w:tcPr>
          <w:p w14:paraId="6632B820">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建设单位</w:t>
            </w:r>
          </w:p>
        </w:tc>
        <w:tc>
          <w:tcPr>
            <w:tcW w:w="725" w:type="pct"/>
            <w:noWrap w:val="0"/>
            <w:vAlign w:val="center"/>
          </w:tcPr>
          <w:p w14:paraId="6ED495A1">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投标单位</w:t>
            </w:r>
          </w:p>
        </w:tc>
        <w:tc>
          <w:tcPr>
            <w:tcW w:w="567" w:type="pct"/>
            <w:gridSpan w:val="2"/>
            <w:noWrap w:val="0"/>
            <w:vAlign w:val="top"/>
          </w:tcPr>
          <w:p w14:paraId="3F796F11">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备注</w:t>
            </w:r>
          </w:p>
        </w:tc>
      </w:tr>
      <w:tr w14:paraId="57A64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jc w:val="center"/>
        </w:trPr>
        <w:tc>
          <w:tcPr>
            <w:tcW w:w="3005" w:type="pct"/>
            <w:noWrap w:val="0"/>
            <w:vAlign w:val="top"/>
          </w:tcPr>
          <w:p w14:paraId="1DE28895">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一、基坑支护</w:t>
            </w:r>
          </w:p>
        </w:tc>
        <w:tc>
          <w:tcPr>
            <w:tcW w:w="701" w:type="pct"/>
            <w:noWrap w:val="0"/>
            <w:vAlign w:val="center"/>
          </w:tcPr>
          <w:p w14:paraId="44B43581">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xml:space="preserve">( </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 )</w:t>
            </w:r>
          </w:p>
        </w:tc>
        <w:tc>
          <w:tcPr>
            <w:tcW w:w="725" w:type="pct"/>
            <w:noWrap w:val="0"/>
            <w:vAlign w:val="center"/>
          </w:tcPr>
          <w:p w14:paraId="57FD588E">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67" w:type="pct"/>
            <w:gridSpan w:val="2"/>
            <w:noWrap w:val="0"/>
            <w:vAlign w:val="top"/>
          </w:tcPr>
          <w:p w14:paraId="2B551CBF">
            <w:pPr>
              <w:rPr>
                <w:rFonts w:hint="eastAsia" w:ascii="宋体" w:hAnsi="Times New Roman" w:eastAsia="宋体" w:cs="宋体"/>
                <w:color w:val="auto"/>
                <w:sz w:val="21"/>
                <w:szCs w:val="21"/>
                <w:highlight w:val="none"/>
              </w:rPr>
            </w:pPr>
          </w:p>
        </w:tc>
      </w:tr>
      <w:tr w14:paraId="2E43D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jc w:val="center"/>
        </w:trPr>
        <w:tc>
          <w:tcPr>
            <w:tcW w:w="3005" w:type="pct"/>
            <w:noWrap w:val="0"/>
            <w:vAlign w:val="top"/>
          </w:tcPr>
          <w:p w14:paraId="0B729F98">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（一）开挖深度超过 3m（含 3m）的基坑（槽）的土方开挖、支护、降水工程。</w:t>
            </w:r>
          </w:p>
        </w:tc>
        <w:tc>
          <w:tcPr>
            <w:tcW w:w="701" w:type="pct"/>
            <w:noWrap w:val="0"/>
            <w:vAlign w:val="center"/>
          </w:tcPr>
          <w:p w14:paraId="0051528F">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xml:space="preserve">( </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 xml:space="preserve"> )</w:t>
            </w:r>
          </w:p>
        </w:tc>
        <w:tc>
          <w:tcPr>
            <w:tcW w:w="725" w:type="pct"/>
            <w:noWrap w:val="0"/>
            <w:vAlign w:val="center"/>
          </w:tcPr>
          <w:p w14:paraId="406B21AD">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67" w:type="pct"/>
            <w:gridSpan w:val="2"/>
            <w:noWrap w:val="0"/>
            <w:vAlign w:val="top"/>
          </w:tcPr>
          <w:p w14:paraId="0B699929">
            <w:pPr>
              <w:rPr>
                <w:rFonts w:hint="eastAsia" w:ascii="宋体" w:hAnsi="Times New Roman" w:eastAsia="宋体" w:cs="宋体"/>
                <w:color w:val="auto"/>
                <w:sz w:val="21"/>
                <w:szCs w:val="21"/>
                <w:highlight w:val="none"/>
              </w:rPr>
            </w:pPr>
          </w:p>
        </w:tc>
      </w:tr>
      <w:tr w14:paraId="716F00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jc w:val="center"/>
        </w:trPr>
        <w:tc>
          <w:tcPr>
            <w:tcW w:w="3005" w:type="pct"/>
            <w:noWrap w:val="0"/>
            <w:vAlign w:val="top"/>
          </w:tcPr>
          <w:p w14:paraId="1AEA9C2B">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（二）开挖深度虽未超过3m，但地质条件、周围环境和地下管线复杂，或影响毗邻建、构筑物安全的基坑（槽）的土方开挖、支护、降水工程。</w:t>
            </w:r>
          </w:p>
        </w:tc>
        <w:tc>
          <w:tcPr>
            <w:tcW w:w="701" w:type="pct"/>
            <w:noWrap w:val="0"/>
            <w:vAlign w:val="center"/>
          </w:tcPr>
          <w:p w14:paraId="17C581AF">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xml:space="preserve">( </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 xml:space="preserve"> )</w:t>
            </w:r>
          </w:p>
        </w:tc>
        <w:tc>
          <w:tcPr>
            <w:tcW w:w="725" w:type="pct"/>
            <w:noWrap w:val="0"/>
            <w:vAlign w:val="center"/>
          </w:tcPr>
          <w:p w14:paraId="3A733B00">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67" w:type="pct"/>
            <w:gridSpan w:val="2"/>
            <w:noWrap w:val="0"/>
            <w:vAlign w:val="top"/>
          </w:tcPr>
          <w:p w14:paraId="2FD57A80">
            <w:pPr>
              <w:rPr>
                <w:rFonts w:hint="eastAsia" w:ascii="宋体" w:hAnsi="Times New Roman" w:eastAsia="宋体" w:cs="宋体"/>
                <w:color w:val="auto"/>
                <w:sz w:val="21"/>
                <w:szCs w:val="21"/>
                <w:highlight w:val="none"/>
              </w:rPr>
            </w:pPr>
          </w:p>
        </w:tc>
      </w:tr>
      <w:tr w14:paraId="3AFB5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noWrap w:val="0"/>
            <w:vAlign w:val="top"/>
          </w:tcPr>
          <w:p w14:paraId="446644C6">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二、模板工程及支撑体系</w:t>
            </w:r>
          </w:p>
        </w:tc>
        <w:tc>
          <w:tcPr>
            <w:tcW w:w="701" w:type="pct"/>
            <w:noWrap w:val="0"/>
            <w:vAlign w:val="center"/>
          </w:tcPr>
          <w:p w14:paraId="15A8E49E">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  )</w:t>
            </w:r>
          </w:p>
        </w:tc>
        <w:tc>
          <w:tcPr>
            <w:tcW w:w="725" w:type="pct"/>
            <w:noWrap w:val="0"/>
            <w:vAlign w:val="center"/>
          </w:tcPr>
          <w:p w14:paraId="06DD82C6">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30FB1DB7">
            <w:pPr>
              <w:rPr>
                <w:rFonts w:hint="eastAsia" w:ascii="宋体" w:hAnsi="Times New Roman" w:eastAsia="宋体" w:cs="宋体"/>
                <w:color w:val="auto"/>
                <w:sz w:val="21"/>
                <w:szCs w:val="21"/>
                <w:highlight w:val="none"/>
              </w:rPr>
            </w:pPr>
          </w:p>
        </w:tc>
      </w:tr>
      <w:tr w14:paraId="1152E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91" w:hRule="atLeast"/>
          <w:jc w:val="center"/>
        </w:trPr>
        <w:tc>
          <w:tcPr>
            <w:tcW w:w="3005" w:type="pct"/>
            <w:noWrap w:val="0"/>
            <w:vAlign w:val="top"/>
          </w:tcPr>
          <w:p w14:paraId="27DA14FE">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（一）各类工具式模板工程：包括滑模、爬模、飞模、隧道模等工程。</w:t>
            </w:r>
          </w:p>
        </w:tc>
        <w:tc>
          <w:tcPr>
            <w:tcW w:w="701" w:type="pct"/>
            <w:noWrap w:val="0"/>
            <w:vAlign w:val="center"/>
          </w:tcPr>
          <w:p w14:paraId="25C6D797">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xml:space="preserve">( </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 xml:space="preserve">  )</w:t>
            </w:r>
          </w:p>
        </w:tc>
        <w:tc>
          <w:tcPr>
            <w:tcW w:w="725" w:type="pct"/>
            <w:noWrap w:val="0"/>
            <w:vAlign w:val="center"/>
          </w:tcPr>
          <w:p w14:paraId="6EDCAD80">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158718C4">
            <w:pPr>
              <w:rPr>
                <w:rFonts w:hint="eastAsia" w:ascii="宋体" w:hAnsi="Times New Roman" w:eastAsia="宋体" w:cs="宋体"/>
                <w:color w:val="auto"/>
                <w:sz w:val="21"/>
                <w:szCs w:val="21"/>
                <w:highlight w:val="none"/>
              </w:rPr>
            </w:pPr>
          </w:p>
        </w:tc>
      </w:tr>
      <w:tr w14:paraId="3C200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2285" w:hRule="atLeast"/>
          <w:jc w:val="center"/>
        </w:trPr>
        <w:tc>
          <w:tcPr>
            <w:tcW w:w="3005" w:type="pct"/>
            <w:noWrap w:val="0"/>
            <w:vAlign w:val="top"/>
          </w:tcPr>
          <w:p w14:paraId="1DF06F49">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二）混凝土模板支撑工程：搭设高度5m及以上，或搭设跨度10m及以上，或施工总荷载（荷载效应基本组合的设计值，以下简称设计值）10kN/m2及以上，或集中线荷载（设计值）15kN/m及以上，或高度大于支撑水平投影宽度且相对独立无联系构件的混凝土模板支撑工程。</w:t>
            </w:r>
          </w:p>
        </w:tc>
        <w:tc>
          <w:tcPr>
            <w:tcW w:w="701" w:type="pct"/>
            <w:noWrap w:val="0"/>
            <w:vAlign w:val="center"/>
          </w:tcPr>
          <w:p w14:paraId="22E34BE7">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xml:space="preserve">( </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 xml:space="preserve"> )</w:t>
            </w:r>
          </w:p>
        </w:tc>
        <w:tc>
          <w:tcPr>
            <w:tcW w:w="725" w:type="pct"/>
            <w:noWrap w:val="0"/>
            <w:vAlign w:val="center"/>
          </w:tcPr>
          <w:p w14:paraId="6595BE14">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3E7AC388">
            <w:pPr>
              <w:rPr>
                <w:rFonts w:hint="eastAsia" w:ascii="宋体" w:hAnsi="Times New Roman" w:eastAsia="宋体" w:cs="宋体"/>
                <w:color w:val="auto"/>
                <w:sz w:val="21"/>
                <w:szCs w:val="21"/>
                <w:highlight w:val="none"/>
              </w:rPr>
            </w:pPr>
          </w:p>
        </w:tc>
      </w:tr>
      <w:tr w14:paraId="0B2AE1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717" w:hRule="atLeast"/>
          <w:jc w:val="center"/>
        </w:trPr>
        <w:tc>
          <w:tcPr>
            <w:tcW w:w="3005" w:type="pct"/>
            <w:noWrap w:val="0"/>
            <w:vAlign w:val="top"/>
          </w:tcPr>
          <w:p w14:paraId="48536DEF">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（三）承重支撑体系：用于钢结构安装等满堂支撑体系。</w:t>
            </w:r>
          </w:p>
        </w:tc>
        <w:tc>
          <w:tcPr>
            <w:tcW w:w="701" w:type="pct"/>
            <w:noWrap w:val="0"/>
            <w:vAlign w:val="center"/>
          </w:tcPr>
          <w:p w14:paraId="586EAB67">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383162D6">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700FC615">
            <w:pPr>
              <w:rPr>
                <w:rFonts w:hint="eastAsia" w:ascii="宋体" w:hAnsi="Times New Roman" w:eastAsia="宋体" w:cs="宋体"/>
                <w:color w:val="auto"/>
                <w:sz w:val="21"/>
                <w:szCs w:val="21"/>
                <w:highlight w:val="none"/>
              </w:rPr>
            </w:pPr>
          </w:p>
        </w:tc>
      </w:tr>
      <w:tr w14:paraId="7F159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noWrap w:val="0"/>
            <w:vAlign w:val="top"/>
          </w:tcPr>
          <w:p w14:paraId="7D07B7BD">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三、起重吊装及起重机械安装拆卸工程</w:t>
            </w:r>
          </w:p>
        </w:tc>
        <w:tc>
          <w:tcPr>
            <w:tcW w:w="701" w:type="pct"/>
            <w:noWrap w:val="0"/>
            <w:vAlign w:val="center"/>
          </w:tcPr>
          <w:p w14:paraId="4CFDCF53">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607F9D73">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2FA0C5F1">
            <w:pPr>
              <w:rPr>
                <w:rFonts w:hint="eastAsia" w:ascii="宋体" w:hAnsi="Times New Roman" w:eastAsia="宋体" w:cs="宋体"/>
                <w:color w:val="auto"/>
                <w:sz w:val="21"/>
                <w:szCs w:val="21"/>
                <w:highlight w:val="none"/>
              </w:rPr>
            </w:pPr>
          </w:p>
        </w:tc>
      </w:tr>
      <w:tr w14:paraId="200F30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91" w:hRule="atLeast"/>
          <w:jc w:val="center"/>
        </w:trPr>
        <w:tc>
          <w:tcPr>
            <w:tcW w:w="3005" w:type="pct"/>
            <w:noWrap w:val="0"/>
            <w:vAlign w:val="top"/>
          </w:tcPr>
          <w:p w14:paraId="6F923750">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（一）采用非常规起重设备、方法，且单件起吊重量在10kN及以上的起重吊装工程。</w:t>
            </w:r>
          </w:p>
        </w:tc>
        <w:tc>
          <w:tcPr>
            <w:tcW w:w="701" w:type="pct"/>
            <w:noWrap w:val="0"/>
            <w:vAlign w:val="center"/>
          </w:tcPr>
          <w:p w14:paraId="1CE6F532">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2880679F">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19CF7101">
            <w:pPr>
              <w:rPr>
                <w:rFonts w:hint="eastAsia" w:ascii="宋体" w:hAnsi="Times New Roman" w:eastAsia="宋体" w:cs="宋体"/>
                <w:color w:val="auto"/>
                <w:sz w:val="21"/>
                <w:szCs w:val="21"/>
                <w:highlight w:val="none"/>
              </w:rPr>
            </w:pPr>
          </w:p>
        </w:tc>
      </w:tr>
      <w:tr w14:paraId="317A6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noWrap w:val="0"/>
            <w:vAlign w:val="top"/>
          </w:tcPr>
          <w:p w14:paraId="09241EC5">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（二）采用起重机械进行安装的工程。</w:t>
            </w:r>
          </w:p>
        </w:tc>
        <w:tc>
          <w:tcPr>
            <w:tcW w:w="701" w:type="pct"/>
            <w:noWrap w:val="0"/>
            <w:vAlign w:val="center"/>
          </w:tcPr>
          <w:p w14:paraId="4D0583F5">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15F60322">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4B977FD6">
            <w:pPr>
              <w:rPr>
                <w:rFonts w:hint="eastAsia" w:ascii="宋体" w:hAnsi="Times New Roman" w:eastAsia="宋体" w:cs="宋体"/>
                <w:color w:val="auto"/>
                <w:sz w:val="21"/>
                <w:szCs w:val="21"/>
                <w:highlight w:val="none"/>
              </w:rPr>
            </w:pPr>
          </w:p>
        </w:tc>
      </w:tr>
      <w:tr w14:paraId="60440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noWrap w:val="0"/>
            <w:vAlign w:val="top"/>
          </w:tcPr>
          <w:p w14:paraId="1B4C9948">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（三）起重机械安装和拆卸工程。</w:t>
            </w:r>
          </w:p>
        </w:tc>
        <w:tc>
          <w:tcPr>
            <w:tcW w:w="701" w:type="pct"/>
            <w:noWrap w:val="0"/>
            <w:vAlign w:val="center"/>
          </w:tcPr>
          <w:p w14:paraId="34FA4F64">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27111F33">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1EA85724">
            <w:pPr>
              <w:rPr>
                <w:rFonts w:hint="eastAsia" w:ascii="宋体" w:hAnsi="Times New Roman" w:eastAsia="宋体" w:cs="宋体"/>
                <w:color w:val="auto"/>
                <w:sz w:val="21"/>
                <w:szCs w:val="21"/>
                <w:highlight w:val="none"/>
              </w:rPr>
            </w:pPr>
          </w:p>
        </w:tc>
      </w:tr>
      <w:tr w14:paraId="3A211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noWrap w:val="0"/>
            <w:vAlign w:val="top"/>
          </w:tcPr>
          <w:p w14:paraId="2B90DE1C">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四、脚手架工程</w:t>
            </w:r>
          </w:p>
        </w:tc>
        <w:tc>
          <w:tcPr>
            <w:tcW w:w="701" w:type="pct"/>
            <w:noWrap w:val="0"/>
            <w:vAlign w:val="center"/>
          </w:tcPr>
          <w:p w14:paraId="263EB7B1">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  )</w:t>
            </w:r>
          </w:p>
        </w:tc>
        <w:tc>
          <w:tcPr>
            <w:tcW w:w="725" w:type="pct"/>
            <w:noWrap w:val="0"/>
            <w:vAlign w:val="center"/>
          </w:tcPr>
          <w:p w14:paraId="57A3D3E8">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58072B2B">
            <w:pPr>
              <w:rPr>
                <w:rFonts w:hint="eastAsia" w:ascii="宋体" w:hAnsi="Times New Roman" w:eastAsia="宋体" w:cs="宋体"/>
                <w:color w:val="auto"/>
                <w:sz w:val="21"/>
                <w:szCs w:val="21"/>
                <w:highlight w:val="none"/>
              </w:rPr>
            </w:pPr>
          </w:p>
        </w:tc>
      </w:tr>
      <w:tr w14:paraId="7DC74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91" w:hRule="atLeast"/>
          <w:jc w:val="center"/>
        </w:trPr>
        <w:tc>
          <w:tcPr>
            <w:tcW w:w="3005" w:type="pct"/>
            <w:noWrap w:val="0"/>
            <w:vAlign w:val="top"/>
          </w:tcPr>
          <w:p w14:paraId="5E9C9AD2">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（一）搭设高度24m及以上的落地式钢管脚手架工程（包括采光井、电梯井脚手架）。</w:t>
            </w:r>
          </w:p>
        </w:tc>
        <w:tc>
          <w:tcPr>
            <w:tcW w:w="701" w:type="pct"/>
            <w:noWrap w:val="0"/>
            <w:vAlign w:val="center"/>
          </w:tcPr>
          <w:p w14:paraId="7BD088A3">
            <w:pPr>
              <w:jc w:val="center"/>
              <w:rPr>
                <w:rFonts w:hint="eastAsia" w:ascii="宋体" w:hAnsi="Times New Roman" w:eastAsia="宋体" w:cs="宋体"/>
                <w:color w:val="auto"/>
                <w:sz w:val="21"/>
                <w:szCs w:val="21"/>
                <w:highlight w:val="none"/>
                <w:lang w:val="en-US" w:eastAsia="zh-CN"/>
              </w:rPr>
            </w:pPr>
            <w:r>
              <w:rPr>
                <w:rFonts w:hint="eastAsia" w:ascii="宋体" w:hAnsi="Times New Roman" w:eastAsia="宋体" w:cs="宋体"/>
                <w:color w:val="auto"/>
                <w:sz w:val="21"/>
                <w:szCs w:val="21"/>
                <w:highlight w:val="none"/>
              </w:rPr>
              <w:t xml:space="preserve">( </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 xml:space="preserve"> )</w:t>
            </w:r>
          </w:p>
        </w:tc>
        <w:tc>
          <w:tcPr>
            <w:tcW w:w="725" w:type="pct"/>
            <w:noWrap w:val="0"/>
            <w:vAlign w:val="center"/>
          </w:tcPr>
          <w:p w14:paraId="4FC31E7F">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21E15618">
            <w:pPr>
              <w:rPr>
                <w:rFonts w:hint="eastAsia" w:ascii="宋体" w:hAnsi="Times New Roman" w:eastAsia="宋体" w:cs="宋体"/>
                <w:color w:val="auto"/>
                <w:sz w:val="21"/>
                <w:szCs w:val="21"/>
                <w:highlight w:val="none"/>
              </w:rPr>
            </w:pPr>
          </w:p>
        </w:tc>
      </w:tr>
      <w:tr w14:paraId="13327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noWrap w:val="0"/>
            <w:vAlign w:val="top"/>
          </w:tcPr>
          <w:p w14:paraId="6A69C1BF">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（二）附着式升降脚手架工程。</w:t>
            </w:r>
          </w:p>
        </w:tc>
        <w:tc>
          <w:tcPr>
            <w:tcW w:w="701" w:type="pct"/>
            <w:noWrap w:val="0"/>
            <w:vAlign w:val="center"/>
          </w:tcPr>
          <w:p w14:paraId="6DBDD493">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1E6F5813">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4B98FEEA">
            <w:pPr>
              <w:rPr>
                <w:rFonts w:hint="eastAsia" w:ascii="宋体" w:hAnsi="Times New Roman" w:eastAsia="宋体" w:cs="宋体"/>
                <w:color w:val="auto"/>
                <w:sz w:val="21"/>
                <w:szCs w:val="21"/>
                <w:highlight w:val="none"/>
              </w:rPr>
            </w:pPr>
          </w:p>
        </w:tc>
      </w:tr>
      <w:tr w14:paraId="2BCDA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noWrap w:val="0"/>
            <w:vAlign w:val="top"/>
          </w:tcPr>
          <w:p w14:paraId="7607DBFF">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（三）悬挑式脚手架工程。</w:t>
            </w:r>
          </w:p>
        </w:tc>
        <w:tc>
          <w:tcPr>
            <w:tcW w:w="701" w:type="pct"/>
            <w:noWrap w:val="0"/>
            <w:vAlign w:val="center"/>
          </w:tcPr>
          <w:p w14:paraId="0306CAA9">
            <w:pPr>
              <w:jc w:val="center"/>
              <w:rPr>
                <w:rFonts w:hint="eastAsia" w:ascii="宋体" w:hAnsi="Times New Roman" w:eastAsia="宋体" w:cs="宋体"/>
                <w:color w:val="auto"/>
                <w:sz w:val="21"/>
                <w:szCs w:val="21"/>
                <w:highlight w:val="none"/>
                <w:lang w:val="en-US" w:eastAsia="zh-CN"/>
              </w:rPr>
            </w:pPr>
            <w:r>
              <w:rPr>
                <w:rFonts w:hint="eastAsia" w:ascii="宋体" w:hAnsi="Times New Roman" w:eastAsia="宋体" w:cs="宋体"/>
                <w:color w:val="auto"/>
                <w:sz w:val="21"/>
                <w:szCs w:val="21"/>
                <w:highlight w:val="none"/>
              </w:rPr>
              <w:t xml:space="preserve">( </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 xml:space="preserve"> )</w:t>
            </w:r>
          </w:p>
        </w:tc>
        <w:tc>
          <w:tcPr>
            <w:tcW w:w="725" w:type="pct"/>
            <w:noWrap w:val="0"/>
            <w:vAlign w:val="center"/>
          </w:tcPr>
          <w:p w14:paraId="4D6DE936">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220DEB9B">
            <w:pPr>
              <w:rPr>
                <w:rFonts w:hint="eastAsia" w:ascii="宋体" w:hAnsi="Times New Roman" w:eastAsia="宋体" w:cs="宋体"/>
                <w:color w:val="auto"/>
                <w:sz w:val="21"/>
                <w:szCs w:val="21"/>
                <w:highlight w:val="none"/>
              </w:rPr>
            </w:pPr>
          </w:p>
        </w:tc>
      </w:tr>
      <w:tr w14:paraId="20900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noWrap w:val="0"/>
            <w:vAlign w:val="top"/>
          </w:tcPr>
          <w:p w14:paraId="2A2DB680">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（四）高处作业吊篮。</w:t>
            </w:r>
          </w:p>
        </w:tc>
        <w:tc>
          <w:tcPr>
            <w:tcW w:w="701" w:type="pct"/>
            <w:noWrap w:val="0"/>
            <w:vAlign w:val="center"/>
          </w:tcPr>
          <w:p w14:paraId="611AC566">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0B0C76C3">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7BB2EA0D">
            <w:pPr>
              <w:rPr>
                <w:rFonts w:hint="eastAsia" w:ascii="宋体" w:hAnsi="Times New Roman" w:eastAsia="宋体" w:cs="宋体"/>
                <w:color w:val="auto"/>
                <w:sz w:val="21"/>
                <w:szCs w:val="21"/>
                <w:highlight w:val="none"/>
              </w:rPr>
            </w:pPr>
          </w:p>
        </w:tc>
      </w:tr>
      <w:tr w14:paraId="49D9E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noWrap w:val="0"/>
            <w:vAlign w:val="top"/>
          </w:tcPr>
          <w:p w14:paraId="1E58A90C">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（五）卸料平台、操作平台工程。</w:t>
            </w:r>
          </w:p>
        </w:tc>
        <w:tc>
          <w:tcPr>
            <w:tcW w:w="701" w:type="pct"/>
            <w:noWrap w:val="0"/>
            <w:vAlign w:val="center"/>
          </w:tcPr>
          <w:p w14:paraId="4E567C61">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687E11E3">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0169D04E">
            <w:pPr>
              <w:rPr>
                <w:rFonts w:hint="eastAsia" w:ascii="宋体" w:hAnsi="Times New Roman" w:eastAsia="宋体" w:cs="宋体"/>
                <w:color w:val="auto"/>
                <w:sz w:val="21"/>
                <w:szCs w:val="21"/>
                <w:highlight w:val="none"/>
              </w:rPr>
            </w:pPr>
          </w:p>
        </w:tc>
      </w:tr>
      <w:tr w14:paraId="5DB81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noWrap w:val="0"/>
            <w:vAlign w:val="top"/>
          </w:tcPr>
          <w:p w14:paraId="707F1F03">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（六）异型脚手架工程。</w:t>
            </w:r>
          </w:p>
        </w:tc>
        <w:tc>
          <w:tcPr>
            <w:tcW w:w="701" w:type="pct"/>
            <w:noWrap w:val="0"/>
            <w:vAlign w:val="center"/>
          </w:tcPr>
          <w:p w14:paraId="3172FA37">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4EC255D1">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4309EFFF">
            <w:pPr>
              <w:rPr>
                <w:rFonts w:hint="eastAsia" w:ascii="宋体" w:hAnsi="Times New Roman" w:eastAsia="宋体" w:cs="宋体"/>
                <w:color w:val="auto"/>
                <w:sz w:val="21"/>
                <w:szCs w:val="21"/>
                <w:highlight w:val="none"/>
              </w:rPr>
            </w:pPr>
          </w:p>
        </w:tc>
      </w:tr>
      <w:tr w14:paraId="6436F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500" w:hRule="atLeast"/>
          <w:jc w:val="center"/>
        </w:trPr>
        <w:tc>
          <w:tcPr>
            <w:tcW w:w="3005" w:type="pct"/>
            <w:noWrap w:val="0"/>
            <w:vAlign w:val="top"/>
          </w:tcPr>
          <w:p w14:paraId="0B8F1AC6">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五、拆除工程</w:t>
            </w:r>
          </w:p>
        </w:tc>
        <w:tc>
          <w:tcPr>
            <w:tcW w:w="701" w:type="pct"/>
            <w:noWrap w:val="0"/>
            <w:vAlign w:val="center"/>
          </w:tcPr>
          <w:p w14:paraId="12D9AE70">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737A12DF">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72C3A7EB">
            <w:pPr>
              <w:rPr>
                <w:rFonts w:hint="eastAsia" w:ascii="宋体" w:hAnsi="Times New Roman" w:eastAsia="宋体" w:cs="宋体"/>
                <w:color w:val="auto"/>
                <w:sz w:val="21"/>
                <w:szCs w:val="21"/>
                <w:highlight w:val="none"/>
              </w:rPr>
            </w:pPr>
          </w:p>
        </w:tc>
      </w:tr>
      <w:tr w14:paraId="5888F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500" w:hRule="atLeast"/>
          <w:jc w:val="center"/>
        </w:trPr>
        <w:tc>
          <w:tcPr>
            <w:tcW w:w="3005" w:type="pct"/>
            <w:noWrap w:val="0"/>
            <w:vAlign w:val="top"/>
          </w:tcPr>
          <w:p w14:paraId="2DAC7A60">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lang w:eastAsia="zh-CN"/>
              </w:rPr>
              <w:t>可能影响行人、交通、电力设施、通讯设施或其它建、构筑物安全的拆除工程。</w:t>
            </w:r>
          </w:p>
        </w:tc>
        <w:tc>
          <w:tcPr>
            <w:tcW w:w="701" w:type="pct"/>
            <w:noWrap w:val="0"/>
            <w:vAlign w:val="center"/>
          </w:tcPr>
          <w:p w14:paraId="54A94611">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283D735A">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422827D4">
            <w:pPr>
              <w:rPr>
                <w:rFonts w:hint="eastAsia" w:ascii="宋体" w:hAnsi="Times New Roman" w:eastAsia="宋体" w:cs="宋体"/>
                <w:color w:val="auto"/>
                <w:sz w:val="21"/>
                <w:szCs w:val="21"/>
                <w:highlight w:val="none"/>
              </w:rPr>
            </w:pPr>
          </w:p>
        </w:tc>
      </w:tr>
      <w:tr w14:paraId="3D6D7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500" w:hRule="atLeast"/>
          <w:jc w:val="center"/>
        </w:trPr>
        <w:tc>
          <w:tcPr>
            <w:tcW w:w="3005" w:type="pct"/>
            <w:noWrap w:val="0"/>
            <w:vAlign w:val="top"/>
          </w:tcPr>
          <w:p w14:paraId="66F615D8">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rPr>
              <w:t>六、暗挖工程</w:t>
            </w:r>
          </w:p>
        </w:tc>
        <w:tc>
          <w:tcPr>
            <w:tcW w:w="701" w:type="pct"/>
            <w:noWrap w:val="0"/>
            <w:vAlign w:val="center"/>
          </w:tcPr>
          <w:p w14:paraId="18210EC7">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724A3881">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791534E2">
            <w:pPr>
              <w:rPr>
                <w:rFonts w:hint="eastAsia" w:ascii="宋体" w:hAnsi="Times New Roman" w:eastAsia="宋体" w:cs="宋体"/>
                <w:color w:val="auto"/>
                <w:sz w:val="21"/>
                <w:szCs w:val="21"/>
                <w:highlight w:val="none"/>
              </w:rPr>
            </w:pPr>
          </w:p>
        </w:tc>
      </w:tr>
      <w:tr w14:paraId="43D88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4" w:hRule="atLeast"/>
          <w:jc w:val="center"/>
        </w:trPr>
        <w:tc>
          <w:tcPr>
            <w:tcW w:w="3005" w:type="pct"/>
            <w:noWrap w:val="0"/>
            <w:vAlign w:val="top"/>
          </w:tcPr>
          <w:p w14:paraId="57BBBADE">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采用矿山法、盾构法、顶管法施工的隧道、洞室工程。</w:t>
            </w:r>
          </w:p>
        </w:tc>
        <w:tc>
          <w:tcPr>
            <w:tcW w:w="701" w:type="pct"/>
            <w:noWrap w:val="0"/>
            <w:vAlign w:val="center"/>
          </w:tcPr>
          <w:p w14:paraId="401FDBF5">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4227D299">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520ED0C0">
            <w:pPr>
              <w:rPr>
                <w:rFonts w:hint="eastAsia" w:ascii="宋体" w:hAnsi="Times New Roman" w:eastAsia="宋体" w:cs="宋体"/>
                <w:color w:val="auto"/>
                <w:sz w:val="21"/>
                <w:szCs w:val="21"/>
                <w:highlight w:val="none"/>
              </w:rPr>
            </w:pPr>
          </w:p>
        </w:tc>
      </w:tr>
      <w:tr w14:paraId="41E7A2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14:paraId="022C229E">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七、其它</w:t>
            </w:r>
          </w:p>
        </w:tc>
        <w:tc>
          <w:tcPr>
            <w:tcW w:w="701" w:type="pct"/>
            <w:noWrap w:val="0"/>
            <w:vAlign w:val="center"/>
          </w:tcPr>
          <w:p w14:paraId="749FFE3F">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7C1918AC">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4DDAAF9C">
            <w:pPr>
              <w:rPr>
                <w:rFonts w:hint="eastAsia" w:ascii="宋体" w:hAnsi="Times New Roman" w:eastAsia="宋体" w:cs="宋体"/>
                <w:color w:val="auto"/>
                <w:sz w:val="21"/>
                <w:szCs w:val="21"/>
                <w:highlight w:val="none"/>
              </w:rPr>
            </w:pPr>
          </w:p>
        </w:tc>
      </w:tr>
      <w:tr w14:paraId="07B3E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14:paraId="4D70D7B2">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（一）建筑幕墙安装工程。</w:t>
            </w:r>
          </w:p>
        </w:tc>
        <w:tc>
          <w:tcPr>
            <w:tcW w:w="701" w:type="pct"/>
            <w:noWrap w:val="0"/>
            <w:vAlign w:val="center"/>
          </w:tcPr>
          <w:p w14:paraId="01861AEC">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0447B4E2">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192F749C">
            <w:pPr>
              <w:rPr>
                <w:rFonts w:hint="eastAsia" w:ascii="宋体" w:hAnsi="Times New Roman" w:eastAsia="宋体" w:cs="宋体"/>
                <w:color w:val="auto"/>
                <w:sz w:val="21"/>
                <w:szCs w:val="21"/>
                <w:highlight w:val="none"/>
              </w:rPr>
            </w:pPr>
          </w:p>
        </w:tc>
      </w:tr>
      <w:tr w14:paraId="6B08D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14:paraId="3D52CA9D">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（二）钢结构、网架和索膜结构安装工程。</w:t>
            </w:r>
          </w:p>
        </w:tc>
        <w:tc>
          <w:tcPr>
            <w:tcW w:w="701" w:type="pct"/>
            <w:noWrap w:val="0"/>
            <w:vAlign w:val="center"/>
          </w:tcPr>
          <w:p w14:paraId="7E7EAD2E">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  )</w:t>
            </w:r>
          </w:p>
        </w:tc>
        <w:tc>
          <w:tcPr>
            <w:tcW w:w="725" w:type="pct"/>
            <w:noWrap w:val="0"/>
            <w:vAlign w:val="center"/>
          </w:tcPr>
          <w:p w14:paraId="2F84F038">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34C3F768">
            <w:pPr>
              <w:rPr>
                <w:rFonts w:hint="eastAsia" w:ascii="宋体" w:hAnsi="Times New Roman" w:eastAsia="宋体" w:cs="宋体"/>
                <w:color w:val="auto"/>
                <w:sz w:val="21"/>
                <w:szCs w:val="21"/>
                <w:highlight w:val="none"/>
              </w:rPr>
            </w:pPr>
          </w:p>
        </w:tc>
      </w:tr>
      <w:tr w14:paraId="3767F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14:paraId="4487237B">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（三）人工挖孔桩工程。</w:t>
            </w:r>
          </w:p>
        </w:tc>
        <w:tc>
          <w:tcPr>
            <w:tcW w:w="701" w:type="pct"/>
            <w:noWrap w:val="0"/>
            <w:vAlign w:val="center"/>
          </w:tcPr>
          <w:p w14:paraId="08008D78">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64C993DF">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28E39466">
            <w:pPr>
              <w:rPr>
                <w:rFonts w:hint="eastAsia" w:ascii="宋体" w:hAnsi="Times New Roman" w:eastAsia="宋体" w:cs="宋体"/>
                <w:color w:val="auto"/>
                <w:sz w:val="21"/>
                <w:szCs w:val="21"/>
                <w:highlight w:val="none"/>
              </w:rPr>
            </w:pPr>
          </w:p>
        </w:tc>
      </w:tr>
      <w:tr w14:paraId="472AB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14:paraId="33A1B051">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（四）水下作业工程。</w:t>
            </w:r>
          </w:p>
        </w:tc>
        <w:tc>
          <w:tcPr>
            <w:tcW w:w="701" w:type="pct"/>
            <w:noWrap w:val="0"/>
            <w:vAlign w:val="center"/>
          </w:tcPr>
          <w:p w14:paraId="578E9E6D">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5BFEF1F4">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7E0BA8C8">
            <w:pPr>
              <w:rPr>
                <w:rFonts w:hint="eastAsia" w:ascii="宋体" w:hAnsi="Times New Roman" w:eastAsia="宋体" w:cs="宋体"/>
                <w:color w:val="auto"/>
                <w:sz w:val="21"/>
                <w:szCs w:val="21"/>
                <w:highlight w:val="none"/>
              </w:rPr>
            </w:pPr>
          </w:p>
        </w:tc>
      </w:tr>
      <w:tr w14:paraId="08557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14:paraId="6D6B01AC">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（五）装配式建筑混凝土预制构件安装工程。</w:t>
            </w:r>
          </w:p>
        </w:tc>
        <w:tc>
          <w:tcPr>
            <w:tcW w:w="701" w:type="pct"/>
            <w:noWrap w:val="0"/>
            <w:vAlign w:val="center"/>
          </w:tcPr>
          <w:p w14:paraId="26C365B0">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4704D58A">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63A7F869">
            <w:pPr>
              <w:rPr>
                <w:rFonts w:hint="eastAsia" w:ascii="宋体" w:hAnsi="Times New Roman" w:eastAsia="宋体" w:cs="宋体"/>
                <w:color w:val="auto"/>
                <w:sz w:val="21"/>
                <w:szCs w:val="21"/>
                <w:highlight w:val="none"/>
              </w:rPr>
            </w:pPr>
          </w:p>
        </w:tc>
      </w:tr>
      <w:tr w14:paraId="70EB1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78" w:hRule="atLeast"/>
          <w:jc w:val="center"/>
        </w:trPr>
        <w:tc>
          <w:tcPr>
            <w:tcW w:w="3005" w:type="pct"/>
            <w:noWrap w:val="0"/>
            <w:vAlign w:val="top"/>
          </w:tcPr>
          <w:p w14:paraId="28F9827C">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（六）采用新技术、新工艺、新材料、新设备可能影响工程施工安全，尚无国家、行业及地方技术标准的分部分项工程。</w:t>
            </w:r>
          </w:p>
        </w:tc>
        <w:tc>
          <w:tcPr>
            <w:tcW w:w="701" w:type="pct"/>
            <w:noWrap w:val="0"/>
            <w:vAlign w:val="center"/>
          </w:tcPr>
          <w:p w14:paraId="17B925BE">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07AEA969">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48AD3F25">
            <w:pPr>
              <w:rPr>
                <w:rFonts w:hint="eastAsia" w:ascii="宋体" w:hAnsi="Times New Roman" w:eastAsia="宋体" w:cs="宋体"/>
                <w:color w:val="auto"/>
                <w:sz w:val="21"/>
                <w:szCs w:val="21"/>
                <w:highlight w:val="none"/>
              </w:rPr>
            </w:pPr>
          </w:p>
        </w:tc>
      </w:tr>
      <w:tr w14:paraId="42BDD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4" w:hRule="atLeast"/>
          <w:jc w:val="center"/>
        </w:trPr>
        <w:tc>
          <w:tcPr>
            <w:tcW w:w="3005" w:type="pct"/>
            <w:noWrap w:val="0"/>
            <w:vAlign w:val="top"/>
          </w:tcPr>
          <w:p w14:paraId="23A51135">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二、超过一定规模的危险性较大的分部分项工程清单</w:t>
            </w:r>
          </w:p>
        </w:tc>
        <w:tc>
          <w:tcPr>
            <w:tcW w:w="701" w:type="pct"/>
            <w:noWrap w:val="0"/>
            <w:vAlign w:val="center"/>
          </w:tcPr>
          <w:p w14:paraId="3F9985DE">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建设单位</w:t>
            </w:r>
          </w:p>
        </w:tc>
        <w:tc>
          <w:tcPr>
            <w:tcW w:w="725" w:type="pct"/>
            <w:noWrap w:val="0"/>
            <w:vAlign w:val="center"/>
          </w:tcPr>
          <w:p w14:paraId="052DD8F3">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投标单位</w:t>
            </w:r>
          </w:p>
        </w:tc>
        <w:tc>
          <w:tcPr>
            <w:tcW w:w="554" w:type="pct"/>
            <w:noWrap w:val="0"/>
            <w:vAlign w:val="top"/>
          </w:tcPr>
          <w:p w14:paraId="61B70155">
            <w:pPr>
              <w:rPr>
                <w:rFonts w:hint="eastAsia" w:ascii="宋体" w:hAnsi="Times New Roman" w:eastAsia="宋体" w:cs="宋体"/>
                <w:color w:val="auto"/>
                <w:sz w:val="21"/>
                <w:szCs w:val="21"/>
                <w:highlight w:val="none"/>
              </w:rPr>
            </w:pPr>
          </w:p>
          <w:p w14:paraId="324F5CF2">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备注</w:t>
            </w:r>
          </w:p>
        </w:tc>
      </w:tr>
      <w:tr w14:paraId="4B86E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14:paraId="7B4BAAF3">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一、深基坑工程</w:t>
            </w:r>
          </w:p>
        </w:tc>
        <w:tc>
          <w:tcPr>
            <w:tcW w:w="701" w:type="pct"/>
            <w:noWrap w:val="0"/>
            <w:vAlign w:val="center"/>
          </w:tcPr>
          <w:p w14:paraId="09EEE112">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xml:space="preserve">( </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 xml:space="preserve"> )</w:t>
            </w:r>
          </w:p>
        </w:tc>
        <w:tc>
          <w:tcPr>
            <w:tcW w:w="725" w:type="pct"/>
            <w:noWrap w:val="0"/>
            <w:vAlign w:val="center"/>
          </w:tcPr>
          <w:p w14:paraId="718F61D5">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2306248B">
            <w:pPr>
              <w:rPr>
                <w:rFonts w:hint="eastAsia" w:ascii="宋体" w:hAnsi="Times New Roman" w:eastAsia="宋体" w:cs="宋体"/>
                <w:color w:val="auto"/>
                <w:sz w:val="21"/>
                <w:szCs w:val="21"/>
                <w:highlight w:val="none"/>
              </w:rPr>
            </w:pPr>
          </w:p>
        </w:tc>
      </w:tr>
      <w:tr w14:paraId="55BCD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noWrap w:val="0"/>
            <w:vAlign w:val="top"/>
          </w:tcPr>
          <w:p w14:paraId="0F28458D">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开挖深度超过 5m（含5m）的基坑（槽）的土方开挖、支护、降水工程。</w:t>
            </w:r>
          </w:p>
        </w:tc>
        <w:tc>
          <w:tcPr>
            <w:tcW w:w="701" w:type="pct"/>
            <w:noWrap w:val="0"/>
            <w:vAlign w:val="center"/>
          </w:tcPr>
          <w:p w14:paraId="4FF9BF79">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xml:space="preserve">( </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 xml:space="preserve"> )</w:t>
            </w:r>
          </w:p>
        </w:tc>
        <w:tc>
          <w:tcPr>
            <w:tcW w:w="725" w:type="pct"/>
            <w:noWrap w:val="0"/>
            <w:vAlign w:val="center"/>
          </w:tcPr>
          <w:p w14:paraId="6D794154">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1F07AA9E">
            <w:pPr>
              <w:rPr>
                <w:rFonts w:hint="eastAsia" w:ascii="宋体" w:hAnsi="Times New Roman" w:eastAsia="宋体" w:cs="宋体"/>
                <w:color w:val="auto"/>
                <w:sz w:val="21"/>
                <w:szCs w:val="21"/>
                <w:highlight w:val="none"/>
              </w:rPr>
            </w:pPr>
          </w:p>
        </w:tc>
      </w:tr>
      <w:tr w14:paraId="0758B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14:paraId="0E50F2C0">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二、模板工程及支撑体系</w:t>
            </w:r>
          </w:p>
        </w:tc>
        <w:tc>
          <w:tcPr>
            <w:tcW w:w="701" w:type="pct"/>
            <w:noWrap w:val="0"/>
            <w:vAlign w:val="center"/>
          </w:tcPr>
          <w:p w14:paraId="6247FDB9">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xml:space="preserve">( </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 xml:space="preserve"> )</w:t>
            </w:r>
          </w:p>
        </w:tc>
        <w:tc>
          <w:tcPr>
            <w:tcW w:w="725" w:type="pct"/>
            <w:noWrap w:val="0"/>
            <w:vAlign w:val="center"/>
          </w:tcPr>
          <w:p w14:paraId="5CE11DE3">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5A79B9AD">
            <w:pPr>
              <w:rPr>
                <w:rFonts w:hint="eastAsia" w:ascii="宋体" w:hAnsi="Times New Roman" w:eastAsia="宋体" w:cs="宋体"/>
                <w:color w:val="auto"/>
                <w:sz w:val="21"/>
                <w:szCs w:val="21"/>
                <w:highlight w:val="none"/>
              </w:rPr>
            </w:pPr>
          </w:p>
        </w:tc>
      </w:tr>
      <w:tr w14:paraId="7D7D0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noWrap w:val="0"/>
            <w:vAlign w:val="top"/>
          </w:tcPr>
          <w:p w14:paraId="37240CA4">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（一）各类工具式模板工程：包括滑模、爬模、飞模、隧道模等工程。</w:t>
            </w:r>
          </w:p>
        </w:tc>
        <w:tc>
          <w:tcPr>
            <w:tcW w:w="701" w:type="pct"/>
            <w:noWrap w:val="0"/>
            <w:vAlign w:val="center"/>
          </w:tcPr>
          <w:p w14:paraId="65427C47">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01593A06">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7D70C0C2">
            <w:pPr>
              <w:rPr>
                <w:rFonts w:hint="eastAsia" w:ascii="宋体" w:hAnsi="Times New Roman" w:eastAsia="宋体" w:cs="宋体"/>
                <w:color w:val="auto"/>
                <w:sz w:val="21"/>
                <w:szCs w:val="21"/>
                <w:highlight w:val="none"/>
              </w:rPr>
            </w:pPr>
          </w:p>
        </w:tc>
      </w:tr>
      <w:tr w14:paraId="12A91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1302" w:hRule="atLeast"/>
          <w:jc w:val="center"/>
        </w:trPr>
        <w:tc>
          <w:tcPr>
            <w:tcW w:w="3005" w:type="pct"/>
            <w:noWrap w:val="0"/>
            <w:vAlign w:val="top"/>
          </w:tcPr>
          <w:p w14:paraId="281F870C">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（二）混凝土模板支撑工程：搭设高度8m及以上，或搭设跨度18m及以上，或施工总荷载（设计值）15kN/m2及以上，或集中线荷载（设计值）20kN/m及以上。</w:t>
            </w:r>
          </w:p>
        </w:tc>
        <w:tc>
          <w:tcPr>
            <w:tcW w:w="701" w:type="pct"/>
            <w:noWrap w:val="0"/>
            <w:vAlign w:val="center"/>
          </w:tcPr>
          <w:p w14:paraId="4BD55AA0">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xml:space="preserve">( </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 xml:space="preserve"> )</w:t>
            </w:r>
          </w:p>
        </w:tc>
        <w:tc>
          <w:tcPr>
            <w:tcW w:w="725" w:type="pct"/>
            <w:noWrap w:val="0"/>
            <w:vAlign w:val="center"/>
          </w:tcPr>
          <w:p w14:paraId="3EB1F7E8">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51CFC01D">
            <w:pPr>
              <w:rPr>
                <w:rFonts w:hint="eastAsia" w:ascii="宋体" w:hAnsi="Times New Roman" w:eastAsia="宋体" w:cs="宋体"/>
                <w:color w:val="auto"/>
                <w:sz w:val="21"/>
                <w:szCs w:val="21"/>
                <w:highlight w:val="none"/>
              </w:rPr>
            </w:pPr>
          </w:p>
        </w:tc>
      </w:tr>
      <w:tr w14:paraId="0CE09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6" w:hRule="atLeast"/>
          <w:jc w:val="center"/>
        </w:trPr>
        <w:tc>
          <w:tcPr>
            <w:tcW w:w="3005" w:type="pct"/>
            <w:noWrap w:val="0"/>
            <w:vAlign w:val="top"/>
          </w:tcPr>
          <w:p w14:paraId="3A264DBB">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（三）承重支撑体系：用于钢结构安装等满堂支撑体系，承受单点集中荷载7kN及以上。</w:t>
            </w:r>
          </w:p>
        </w:tc>
        <w:tc>
          <w:tcPr>
            <w:tcW w:w="701" w:type="pct"/>
            <w:noWrap w:val="0"/>
            <w:vAlign w:val="center"/>
          </w:tcPr>
          <w:p w14:paraId="2AD3F41C">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60848D6D">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1C12E2F7">
            <w:pPr>
              <w:rPr>
                <w:rFonts w:hint="eastAsia" w:ascii="宋体" w:hAnsi="Times New Roman" w:eastAsia="宋体" w:cs="宋体"/>
                <w:color w:val="auto"/>
                <w:sz w:val="21"/>
                <w:szCs w:val="21"/>
                <w:highlight w:val="none"/>
              </w:rPr>
            </w:pPr>
          </w:p>
        </w:tc>
      </w:tr>
      <w:tr w14:paraId="41142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4" w:hRule="atLeast"/>
          <w:jc w:val="center"/>
        </w:trPr>
        <w:tc>
          <w:tcPr>
            <w:tcW w:w="3005" w:type="pct"/>
            <w:noWrap w:val="0"/>
            <w:vAlign w:val="top"/>
          </w:tcPr>
          <w:p w14:paraId="7D89FE31">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三、起重吊装及起重机械安装拆卸工程</w:t>
            </w:r>
          </w:p>
        </w:tc>
        <w:tc>
          <w:tcPr>
            <w:tcW w:w="701" w:type="pct"/>
            <w:noWrap w:val="0"/>
            <w:vAlign w:val="center"/>
          </w:tcPr>
          <w:p w14:paraId="52ACBD80">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6B393B57">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7220D36F">
            <w:pPr>
              <w:rPr>
                <w:rFonts w:hint="eastAsia" w:ascii="宋体" w:hAnsi="Times New Roman" w:eastAsia="宋体" w:cs="宋体"/>
                <w:color w:val="auto"/>
                <w:sz w:val="21"/>
                <w:szCs w:val="21"/>
                <w:highlight w:val="none"/>
              </w:rPr>
            </w:pPr>
          </w:p>
        </w:tc>
      </w:tr>
      <w:tr w14:paraId="79FF1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noWrap w:val="0"/>
            <w:vAlign w:val="top"/>
          </w:tcPr>
          <w:p w14:paraId="59146349">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（一）采用非常规起重设备、方法，且单件起吊重量在100kN及以上的起重吊装工程。</w:t>
            </w:r>
          </w:p>
        </w:tc>
        <w:tc>
          <w:tcPr>
            <w:tcW w:w="701" w:type="pct"/>
            <w:noWrap w:val="0"/>
            <w:vAlign w:val="center"/>
          </w:tcPr>
          <w:p w14:paraId="72A47DBF">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5312F5B7">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3835CE63">
            <w:pPr>
              <w:rPr>
                <w:rFonts w:hint="eastAsia" w:ascii="宋体" w:hAnsi="Times New Roman" w:eastAsia="宋体" w:cs="宋体"/>
                <w:color w:val="auto"/>
                <w:sz w:val="21"/>
                <w:szCs w:val="21"/>
                <w:highlight w:val="none"/>
              </w:rPr>
            </w:pPr>
          </w:p>
        </w:tc>
      </w:tr>
      <w:tr w14:paraId="39E99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78" w:hRule="atLeast"/>
          <w:jc w:val="center"/>
        </w:trPr>
        <w:tc>
          <w:tcPr>
            <w:tcW w:w="3005" w:type="pct"/>
            <w:noWrap w:val="0"/>
            <w:vAlign w:val="top"/>
          </w:tcPr>
          <w:p w14:paraId="3DA50365">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（二）起重量300kN及以上，或搭设总高度200m及以上，或搭设基础标高在200m及以上的起重机械安装和拆卸工程。</w:t>
            </w:r>
          </w:p>
        </w:tc>
        <w:tc>
          <w:tcPr>
            <w:tcW w:w="701" w:type="pct"/>
            <w:noWrap w:val="0"/>
            <w:vAlign w:val="center"/>
          </w:tcPr>
          <w:p w14:paraId="2310E259">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6B49DDE2">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26744D3B">
            <w:pPr>
              <w:rPr>
                <w:rFonts w:hint="eastAsia" w:ascii="宋体" w:hAnsi="Times New Roman" w:eastAsia="宋体" w:cs="宋体"/>
                <w:color w:val="auto"/>
                <w:sz w:val="21"/>
                <w:szCs w:val="21"/>
                <w:highlight w:val="none"/>
              </w:rPr>
            </w:pPr>
          </w:p>
        </w:tc>
      </w:tr>
      <w:tr w14:paraId="50648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14:paraId="16694EA4">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四、脚手架工程</w:t>
            </w:r>
          </w:p>
        </w:tc>
        <w:tc>
          <w:tcPr>
            <w:tcW w:w="701" w:type="pct"/>
            <w:noWrap w:val="0"/>
            <w:vAlign w:val="center"/>
          </w:tcPr>
          <w:p w14:paraId="1F3AAA0C">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xml:space="preserve">( </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 xml:space="preserve"> )</w:t>
            </w:r>
          </w:p>
        </w:tc>
        <w:tc>
          <w:tcPr>
            <w:tcW w:w="725" w:type="pct"/>
            <w:noWrap w:val="0"/>
            <w:vAlign w:val="center"/>
          </w:tcPr>
          <w:p w14:paraId="04CAF5DC">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3DAC5122">
            <w:pPr>
              <w:rPr>
                <w:rFonts w:hint="eastAsia" w:ascii="宋体" w:hAnsi="Times New Roman" w:eastAsia="宋体" w:cs="宋体"/>
                <w:color w:val="auto"/>
                <w:sz w:val="21"/>
                <w:szCs w:val="21"/>
                <w:highlight w:val="none"/>
              </w:rPr>
            </w:pPr>
          </w:p>
        </w:tc>
      </w:tr>
      <w:tr w14:paraId="4906C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noWrap w:val="0"/>
            <w:vAlign w:val="top"/>
          </w:tcPr>
          <w:p w14:paraId="24609BA6">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（一）搭设高度50m及以上的落地式钢管脚手架工程。</w:t>
            </w:r>
          </w:p>
        </w:tc>
        <w:tc>
          <w:tcPr>
            <w:tcW w:w="701" w:type="pct"/>
            <w:noWrap w:val="0"/>
            <w:vAlign w:val="center"/>
          </w:tcPr>
          <w:p w14:paraId="5FD95703">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50B98F7F">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749138D7">
            <w:pPr>
              <w:rPr>
                <w:rFonts w:hint="eastAsia" w:ascii="宋体" w:hAnsi="Times New Roman" w:eastAsia="宋体" w:cs="宋体"/>
                <w:color w:val="auto"/>
                <w:sz w:val="21"/>
                <w:szCs w:val="21"/>
                <w:highlight w:val="none"/>
              </w:rPr>
            </w:pPr>
          </w:p>
        </w:tc>
      </w:tr>
      <w:tr w14:paraId="16CFD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noWrap w:val="0"/>
            <w:vAlign w:val="top"/>
          </w:tcPr>
          <w:p w14:paraId="441720A9">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（二）提升高度在150m及以上的附着式升降脚手架工程或附着式升降操作平台工程。</w:t>
            </w:r>
          </w:p>
        </w:tc>
        <w:tc>
          <w:tcPr>
            <w:tcW w:w="701" w:type="pct"/>
            <w:noWrap w:val="0"/>
            <w:vAlign w:val="center"/>
          </w:tcPr>
          <w:p w14:paraId="2B0C8903">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7483809C">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2A0C96AD">
            <w:pPr>
              <w:rPr>
                <w:rFonts w:hint="eastAsia" w:ascii="宋体" w:hAnsi="Times New Roman" w:eastAsia="宋体" w:cs="宋体"/>
                <w:color w:val="auto"/>
                <w:sz w:val="21"/>
                <w:szCs w:val="21"/>
                <w:highlight w:val="none"/>
              </w:rPr>
            </w:pPr>
          </w:p>
        </w:tc>
      </w:tr>
      <w:tr w14:paraId="4C649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noWrap w:val="0"/>
            <w:vAlign w:val="top"/>
          </w:tcPr>
          <w:p w14:paraId="01B5E2AB">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（三）分段架体搭设高度20m及以上的悬挑式脚手架工程。</w:t>
            </w:r>
          </w:p>
        </w:tc>
        <w:tc>
          <w:tcPr>
            <w:tcW w:w="701" w:type="pct"/>
            <w:noWrap w:val="0"/>
            <w:vAlign w:val="center"/>
          </w:tcPr>
          <w:p w14:paraId="3D6EE586">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xml:space="preserve">( </w:t>
            </w:r>
            <w:r>
              <w:rPr>
                <w:rFonts w:hint="eastAsia" w:ascii="宋体" w:hAnsi="Times New Roman" w:eastAsia="宋体" w:cs="宋体"/>
                <w:color w:val="auto"/>
                <w:sz w:val="21"/>
                <w:szCs w:val="21"/>
                <w:highlight w:val="none"/>
                <w:lang w:val="en-US" w:eastAsia="zh-CN"/>
              </w:rPr>
              <w:t xml:space="preserve">  </w:t>
            </w:r>
            <w:r>
              <w:rPr>
                <w:rFonts w:hint="eastAsia" w:ascii="宋体" w:hAnsi="Times New Roman" w:eastAsia="宋体" w:cs="宋体"/>
                <w:color w:val="auto"/>
                <w:sz w:val="21"/>
                <w:szCs w:val="21"/>
                <w:highlight w:val="none"/>
              </w:rPr>
              <w:t xml:space="preserve"> )</w:t>
            </w:r>
          </w:p>
        </w:tc>
        <w:tc>
          <w:tcPr>
            <w:tcW w:w="725" w:type="pct"/>
            <w:noWrap w:val="0"/>
            <w:vAlign w:val="center"/>
          </w:tcPr>
          <w:p w14:paraId="113858E1">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6F976942">
            <w:pPr>
              <w:rPr>
                <w:rFonts w:hint="eastAsia" w:ascii="宋体" w:hAnsi="Times New Roman" w:eastAsia="宋体" w:cs="宋体"/>
                <w:color w:val="auto"/>
                <w:sz w:val="21"/>
                <w:szCs w:val="21"/>
                <w:highlight w:val="none"/>
              </w:rPr>
            </w:pPr>
          </w:p>
        </w:tc>
      </w:tr>
      <w:tr w14:paraId="2E899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67" w:hRule="atLeast"/>
          <w:jc w:val="center"/>
        </w:trPr>
        <w:tc>
          <w:tcPr>
            <w:tcW w:w="3005" w:type="pct"/>
            <w:noWrap w:val="0"/>
            <w:vAlign w:val="top"/>
          </w:tcPr>
          <w:p w14:paraId="63057116">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五、拆除工程</w:t>
            </w:r>
          </w:p>
        </w:tc>
        <w:tc>
          <w:tcPr>
            <w:tcW w:w="701" w:type="pct"/>
            <w:noWrap w:val="0"/>
            <w:vAlign w:val="center"/>
          </w:tcPr>
          <w:p w14:paraId="7F76F1F0">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3F83C9E4">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0D3D4C5F">
            <w:pPr>
              <w:rPr>
                <w:rFonts w:hint="eastAsia" w:ascii="宋体" w:hAnsi="Times New Roman" w:eastAsia="宋体" w:cs="宋体"/>
                <w:color w:val="auto"/>
                <w:sz w:val="21"/>
                <w:szCs w:val="21"/>
                <w:highlight w:val="none"/>
              </w:rPr>
            </w:pPr>
          </w:p>
        </w:tc>
      </w:tr>
      <w:tr w14:paraId="32E42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91" w:hRule="atLeast"/>
          <w:jc w:val="center"/>
        </w:trPr>
        <w:tc>
          <w:tcPr>
            <w:tcW w:w="3005" w:type="pct"/>
            <w:noWrap w:val="0"/>
            <w:vAlign w:val="top"/>
          </w:tcPr>
          <w:p w14:paraId="4B5AB653">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（一）码头、桥梁、高架、烟囱、水塔或拆除中容易引起有毒有害气（液）体或粉尘扩散、易燃易爆事故发生的特殊建、构筑物的拆除工程。</w:t>
            </w:r>
          </w:p>
        </w:tc>
        <w:tc>
          <w:tcPr>
            <w:tcW w:w="701" w:type="pct"/>
            <w:noWrap w:val="0"/>
            <w:vAlign w:val="center"/>
          </w:tcPr>
          <w:p w14:paraId="15429DB6">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77FF32DC">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3A974C86">
            <w:pPr>
              <w:rPr>
                <w:rFonts w:hint="eastAsia" w:ascii="宋体" w:hAnsi="Times New Roman" w:eastAsia="宋体" w:cs="宋体"/>
                <w:color w:val="auto"/>
                <w:sz w:val="21"/>
                <w:szCs w:val="21"/>
                <w:highlight w:val="none"/>
              </w:rPr>
            </w:pPr>
          </w:p>
        </w:tc>
      </w:tr>
      <w:tr w14:paraId="19B1C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4" w:hRule="atLeast"/>
          <w:jc w:val="center"/>
        </w:trPr>
        <w:tc>
          <w:tcPr>
            <w:tcW w:w="3005" w:type="pct"/>
            <w:noWrap w:val="0"/>
            <w:vAlign w:val="top"/>
          </w:tcPr>
          <w:p w14:paraId="3A6CB8F4">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（二）文物保护建筑、优秀历史建筑或历史文化风貌区影响范围内的拆除工程。</w:t>
            </w:r>
          </w:p>
        </w:tc>
        <w:tc>
          <w:tcPr>
            <w:tcW w:w="701" w:type="pct"/>
            <w:noWrap w:val="0"/>
            <w:vAlign w:val="center"/>
          </w:tcPr>
          <w:p w14:paraId="5BE626EE">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74D8B8FE">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5D152844">
            <w:pPr>
              <w:rPr>
                <w:rFonts w:hint="eastAsia" w:ascii="宋体" w:hAnsi="Times New Roman" w:eastAsia="宋体" w:cs="宋体"/>
                <w:color w:val="auto"/>
                <w:sz w:val="21"/>
                <w:szCs w:val="21"/>
                <w:highlight w:val="none"/>
              </w:rPr>
            </w:pPr>
          </w:p>
        </w:tc>
      </w:tr>
      <w:tr w14:paraId="0B7EB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44" w:hRule="atLeast"/>
          <w:jc w:val="center"/>
        </w:trPr>
        <w:tc>
          <w:tcPr>
            <w:tcW w:w="3005" w:type="pct"/>
            <w:noWrap w:val="0"/>
            <w:vAlign w:val="top"/>
          </w:tcPr>
          <w:p w14:paraId="7E73A493">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六、暗挖工程</w:t>
            </w:r>
          </w:p>
        </w:tc>
        <w:tc>
          <w:tcPr>
            <w:tcW w:w="701" w:type="pct"/>
            <w:noWrap w:val="0"/>
            <w:vAlign w:val="center"/>
          </w:tcPr>
          <w:p w14:paraId="3DA385E1">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02DB002A">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555B4993">
            <w:pPr>
              <w:rPr>
                <w:rFonts w:hint="eastAsia" w:ascii="宋体" w:hAnsi="Times New Roman" w:eastAsia="宋体" w:cs="宋体"/>
                <w:color w:val="auto"/>
                <w:sz w:val="21"/>
                <w:szCs w:val="21"/>
                <w:highlight w:val="none"/>
              </w:rPr>
            </w:pPr>
          </w:p>
        </w:tc>
      </w:tr>
      <w:tr w14:paraId="67F63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4" w:hRule="atLeast"/>
          <w:jc w:val="center"/>
        </w:trPr>
        <w:tc>
          <w:tcPr>
            <w:tcW w:w="3005" w:type="pct"/>
            <w:noWrap w:val="0"/>
            <w:vAlign w:val="top"/>
          </w:tcPr>
          <w:p w14:paraId="491C9E0D">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采用矿山法、盾构法、顶管法施工的隧道、洞室工程。</w:t>
            </w:r>
          </w:p>
        </w:tc>
        <w:tc>
          <w:tcPr>
            <w:tcW w:w="701" w:type="pct"/>
            <w:noWrap w:val="0"/>
            <w:vAlign w:val="center"/>
          </w:tcPr>
          <w:p w14:paraId="0BDB6E55">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1EEE943E">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629952BF">
            <w:pPr>
              <w:rPr>
                <w:rFonts w:hint="eastAsia" w:ascii="宋体" w:hAnsi="Times New Roman" w:eastAsia="宋体" w:cs="宋体"/>
                <w:color w:val="auto"/>
                <w:sz w:val="21"/>
                <w:szCs w:val="21"/>
                <w:highlight w:val="none"/>
              </w:rPr>
            </w:pPr>
          </w:p>
        </w:tc>
      </w:tr>
      <w:tr w14:paraId="16C6E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253" w:hRule="atLeast"/>
          <w:jc w:val="center"/>
        </w:trPr>
        <w:tc>
          <w:tcPr>
            <w:tcW w:w="3005" w:type="pct"/>
            <w:noWrap w:val="0"/>
            <w:vAlign w:val="top"/>
          </w:tcPr>
          <w:p w14:paraId="5BDB7916">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七、其它</w:t>
            </w:r>
          </w:p>
        </w:tc>
        <w:tc>
          <w:tcPr>
            <w:tcW w:w="701" w:type="pct"/>
            <w:noWrap w:val="0"/>
            <w:vAlign w:val="center"/>
          </w:tcPr>
          <w:p w14:paraId="58DFD53A">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0CCFAEE4">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5EA12B5C">
            <w:pPr>
              <w:rPr>
                <w:rFonts w:hint="eastAsia" w:ascii="宋体" w:hAnsi="Times New Roman" w:eastAsia="宋体" w:cs="宋体"/>
                <w:color w:val="auto"/>
                <w:sz w:val="21"/>
                <w:szCs w:val="21"/>
                <w:highlight w:val="none"/>
              </w:rPr>
            </w:pPr>
          </w:p>
        </w:tc>
      </w:tr>
      <w:tr w14:paraId="44B6A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noWrap w:val="0"/>
            <w:vAlign w:val="top"/>
          </w:tcPr>
          <w:p w14:paraId="5CCCD25E">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（一）施工高度50m及以上的建筑幕墙安装工程。</w:t>
            </w:r>
          </w:p>
        </w:tc>
        <w:tc>
          <w:tcPr>
            <w:tcW w:w="701" w:type="pct"/>
            <w:noWrap w:val="0"/>
            <w:vAlign w:val="center"/>
          </w:tcPr>
          <w:p w14:paraId="46BFA709">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496220E5">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4019BCE5">
            <w:pPr>
              <w:rPr>
                <w:rFonts w:hint="eastAsia" w:ascii="宋体" w:hAnsi="Times New Roman" w:eastAsia="宋体" w:cs="宋体"/>
                <w:color w:val="auto"/>
                <w:sz w:val="21"/>
                <w:szCs w:val="21"/>
                <w:highlight w:val="none"/>
              </w:rPr>
            </w:pPr>
          </w:p>
        </w:tc>
      </w:tr>
      <w:tr w14:paraId="6B66C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9" w:hRule="atLeast"/>
          <w:jc w:val="center"/>
        </w:trPr>
        <w:tc>
          <w:tcPr>
            <w:tcW w:w="3005" w:type="pct"/>
            <w:noWrap w:val="0"/>
            <w:vAlign w:val="top"/>
          </w:tcPr>
          <w:p w14:paraId="370A288B">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（二）跨度 36m 及以上的钢结构安装工程，或跨度60m及以上的网架和索膜结构安装工程。</w:t>
            </w:r>
          </w:p>
        </w:tc>
        <w:tc>
          <w:tcPr>
            <w:tcW w:w="701" w:type="pct"/>
            <w:noWrap w:val="0"/>
            <w:vAlign w:val="center"/>
          </w:tcPr>
          <w:p w14:paraId="0F4D68A4">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2F82555B">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34F6C23B">
            <w:pPr>
              <w:rPr>
                <w:rFonts w:hint="eastAsia" w:ascii="宋体" w:hAnsi="Times New Roman" w:eastAsia="宋体" w:cs="宋体"/>
                <w:color w:val="auto"/>
                <w:sz w:val="21"/>
                <w:szCs w:val="21"/>
                <w:highlight w:val="none"/>
              </w:rPr>
            </w:pPr>
          </w:p>
        </w:tc>
      </w:tr>
      <w:tr w14:paraId="4E42E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268" w:hRule="atLeast"/>
          <w:jc w:val="center"/>
        </w:trPr>
        <w:tc>
          <w:tcPr>
            <w:tcW w:w="3005" w:type="pct"/>
            <w:noWrap w:val="0"/>
            <w:vAlign w:val="top"/>
          </w:tcPr>
          <w:p w14:paraId="0B187529">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（三）开挖深度16m及以上的人工挖孔桩工程。</w:t>
            </w:r>
          </w:p>
        </w:tc>
        <w:tc>
          <w:tcPr>
            <w:tcW w:w="701" w:type="pct"/>
            <w:noWrap w:val="0"/>
            <w:vAlign w:val="center"/>
          </w:tcPr>
          <w:p w14:paraId="330A7A92">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590367C5">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17E15F68">
            <w:pPr>
              <w:rPr>
                <w:rFonts w:hint="eastAsia" w:ascii="宋体" w:hAnsi="Times New Roman" w:eastAsia="宋体" w:cs="宋体"/>
                <w:color w:val="auto"/>
                <w:sz w:val="21"/>
                <w:szCs w:val="21"/>
                <w:highlight w:val="none"/>
              </w:rPr>
            </w:pPr>
          </w:p>
        </w:tc>
      </w:tr>
      <w:tr w14:paraId="6683B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268" w:hRule="atLeast"/>
          <w:jc w:val="center"/>
        </w:trPr>
        <w:tc>
          <w:tcPr>
            <w:tcW w:w="3005" w:type="pct"/>
            <w:noWrap w:val="0"/>
            <w:vAlign w:val="top"/>
          </w:tcPr>
          <w:p w14:paraId="35C7FE11">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（四）水下作业工程。</w:t>
            </w:r>
          </w:p>
        </w:tc>
        <w:tc>
          <w:tcPr>
            <w:tcW w:w="701" w:type="pct"/>
            <w:noWrap w:val="0"/>
            <w:vAlign w:val="center"/>
          </w:tcPr>
          <w:p w14:paraId="39CD330C">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64A757E5">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38F17C9E">
            <w:pPr>
              <w:rPr>
                <w:rFonts w:hint="eastAsia" w:ascii="宋体" w:hAnsi="Times New Roman" w:eastAsia="宋体" w:cs="宋体"/>
                <w:color w:val="auto"/>
                <w:sz w:val="21"/>
                <w:szCs w:val="21"/>
                <w:highlight w:val="none"/>
              </w:rPr>
            </w:pPr>
          </w:p>
        </w:tc>
      </w:tr>
      <w:tr w14:paraId="4DA1A5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559" w:hRule="atLeast"/>
          <w:jc w:val="center"/>
        </w:trPr>
        <w:tc>
          <w:tcPr>
            <w:tcW w:w="3005" w:type="pct"/>
            <w:noWrap w:val="0"/>
            <w:vAlign w:val="top"/>
          </w:tcPr>
          <w:p w14:paraId="091EB881">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（五）重量 1000kN及以上的大型结构整体顶升、平移、转体等施工工艺。</w:t>
            </w:r>
          </w:p>
        </w:tc>
        <w:tc>
          <w:tcPr>
            <w:tcW w:w="701" w:type="pct"/>
            <w:noWrap w:val="0"/>
            <w:vAlign w:val="center"/>
          </w:tcPr>
          <w:p w14:paraId="60626DF3">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15FEB58E">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4A8EF79E">
            <w:pPr>
              <w:rPr>
                <w:rFonts w:hint="eastAsia" w:ascii="宋体" w:hAnsi="Times New Roman" w:eastAsia="宋体" w:cs="宋体"/>
                <w:color w:val="auto"/>
                <w:sz w:val="21"/>
                <w:szCs w:val="21"/>
                <w:highlight w:val="none"/>
              </w:rPr>
            </w:pPr>
          </w:p>
        </w:tc>
      </w:tr>
      <w:tr w14:paraId="72031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845" w:hRule="atLeast"/>
          <w:jc w:val="center"/>
        </w:trPr>
        <w:tc>
          <w:tcPr>
            <w:tcW w:w="3005" w:type="pct"/>
            <w:noWrap w:val="0"/>
            <w:vAlign w:val="top"/>
          </w:tcPr>
          <w:p w14:paraId="62190D74">
            <w:pPr>
              <w:rPr>
                <w:rFonts w:hint="eastAsia" w:ascii="宋体" w:hAnsi="Times New Roman" w:eastAsia="宋体" w:cs="宋体"/>
                <w:color w:val="auto"/>
                <w:sz w:val="21"/>
                <w:szCs w:val="21"/>
                <w:highlight w:val="none"/>
                <w:lang w:eastAsia="zh-CN"/>
              </w:rPr>
            </w:pPr>
            <w:r>
              <w:rPr>
                <w:rFonts w:hint="eastAsia" w:ascii="宋体" w:hAnsi="Times New Roman" w:eastAsia="宋体" w:cs="宋体"/>
                <w:color w:val="auto"/>
                <w:sz w:val="21"/>
                <w:szCs w:val="21"/>
                <w:highlight w:val="none"/>
                <w:lang w:eastAsia="zh-CN"/>
              </w:rPr>
              <w:t>（六）采用新技术、新工艺、新材料、新设备可能影响工程施工安全，尚无国家、行业及地方技术标准的分部分项工程。</w:t>
            </w:r>
          </w:p>
        </w:tc>
        <w:tc>
          <w:tcPr>
            <w:tcW w:w="701" w:type="pct"/>
            <w:noWrap w:val="0"/>
            <w:vAlign w:val="center"/>
          </w:tcPr>
          <w:p w14:paraId="7718A9C7">
            <w:pPr>
              <w:jc w:val="cente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725" w:type="pct"/>
            <w:noWrap w:val="0"/>
            <w:vAlign w:val="center"/>
          </w:tcPr>
          <w:p w14:paraId="0F025C66">
            <w:pPr>
              <w:rPr>
                <w:rFonts w:hint="eastAsia" w:ascii="宋体" w:hAnsi="Times New Roman" w:eastAsia="宋体" w:cs="宋体"/>
                <w:color w:val="auto"/>
                <w:sz w:val="21"/>
                <w:szCs w:val="21"/>
                <w:highlight w:val="none"/>
              </w:rPr>
            </w:pPr>
            <w:r>
              <w:rPr>
                <w:rFonts w:hint="eastAsia" w:ascii="宋体" w:hAnsi="Times New Roman" w:eastAsia="宋体" w:cs="宋体"/>
                <w:color w:val="auto"/>
                <w:sz w:val="21"/>
                <w:szCs w:val="21"/>
                <w:highlight w:val="none"/>
              </w:rPr>
              <w:t>(    )</w:t>
            </w:r>
          </w:p>
        </w:tc>
        <w:tc>
          <w:tcPr>
            <w:tcW w:w="554" w:type="pct"/>
            <w:noWrap w:val="0"/>
            <w:vAlign w:val="top"/>
          </w:tcPr>
          <w:p w14:paraId="669B0F49">
            <w:pPr>
              <w:rPr>
                <w:rFonts w:hint="eastAsia" w:ascii="宋体" w:hAnsi="Times New Roman" w:eastAsia="宋体" w:cs="宋体"/>
                <w:color w:val="auto"/>
                <w:sz w:val="21"/>
                <w:szCs w:val="21"/>
                <w:highlight w:val="none"/>
              </w:rPr>
            </w:pPr>
          </w:p>
        </w:tc>
      </w:tr>
    </w:tbl>
    <w:p w14:paraId="697F19D5">
      <w:pPr>
        <w:spacing w:line="289" w:lineRule="auto"/>
        <w:rPr>
          <w:rFonts w:hint="eastAsia" w:ascii="宋体" w:hAnsi="宋体" w:eastAsia="宋体" w:cs="宋体"/>
          <w:color w:val="auto"/>
          <w:sz w:val="21"/>
          <w:highlight w:val="none"/>
        </w:rPr>
      </w:pPr>
    </w:p>
    <w:p w14:paraId="59C06E78">
      <w:pPr>
        <w:pStyle w:val="6"/>
        <w:pageBreakBefore w:val="0"/>
        <w:widowControl/>
        <w:kinsoku/>
        <w:wordWrap/>
        <w:overflowPunct/>
        <w:topLinePunct w:val="0"/>
        <w:autoSpaceDE/>
        <w:autoSpaceDN/>
        <w:bidi w:val="0"/>
        <w:adjustRightInd/>
        <w:snapToGrid/>
        <w:spacing w:line="360" w:lineRule="auto"/>
        <w:ind w:firstLine="13"/>
        <w:jc w:val="both"/>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0"/>
          <w:sz w:val="18"/>
          <w:szCs w:val="18"/>
          <w:highlight w:val="none"/>
        </w:rPr>
        <w:t>备注：1.根据《危险性较大的分部分项工程安全管理</w:t>
      </w:r>
      <w:r>
        <w:rPr>
          <w:rFonts w:hint="eastAsia" w:ascii="宋体" w:hAnsi="宋体" w:eastAsia="宋体" w:cs="宋体"/>
          <w:color w:val="auto"/>
          <w:spacing w:val="9"/>
          <w:sz w:val="18"/>
          <w:szCs w:val="18"/>
          <w:highlight w:val="none"/>
        </w:rPr>
        <w:t>规定》，该《危险性较大的分部分项工程清单及超过一定规模的危险性较大的分部分项工程清单》应由</w:t>
      </w:r>
      <w:r>
        <w:rPr>
          <w:rFonts w:hint="eastAsia" w:ascii="宋体" w:hAnsi="宋体" w:eastAsia="宋体" w:cs="宋体"/>
          <w:b/>
          <w:bCs/>
          <w:color w:val="auto"/>
          <w:spacing w:val="9"/>
          <w:sz w:val="18"/>
          <w:szCs w:val="18"/>
          <w:highlight w:val="none"/>
        </w:rPr>
        <w:t>建设单位</w:t>
      </w:r>
      <w:r>
        <w:rPr>
          <w:rFonts w:hint="eastAsia" w:ascii="宋体" w:hAnsi="宋体" w:eastAsia="宋体" w:cs="宋体"/>
          <w:color w:val="auto"/>
          <w:spacing w:val="9"/>
          <w:sz w:val="18"/>
          <w:szCs w:val="18"/>
          <w:highlight w:val="none"/>
        </w:rPr>
        <w:t>组织勘察、设计等单位</w:t>
      </w:r>
      <w:r>
        <w:rPr>
          <w:rFonts w:hint="eastAsia" w:ascii="宋体" w:hAnsi="宋体" w:eastAsia="宋体" w:cs="宋体"/>
          <w:b/>
          <w:bCs/>
          <w:color w:val="auto"/>
          <w:spacing w:val="9"/>
          <w:sz w:val="18"/>
          <w:szCs w:val="18"/>
          <w:highlight w:val="none"/>
        </w:rPr>
        <w:t>在招标文件</w:t>
      </w:r>
      <w:r>
        <w:rPr>
          <w:rFonts w:hint="eastAsia" w:ascii="宋体" w:hAnsi="宋体" w:eastAsia="宋体" w:cs="宋体"/>
          <w:color w:val="auto"/>
          <w:spacing w:val="8"/>
          <w:sz w:val="18"/>
          <w:szCs w:val="18"/>
          <w:highlight w:val="none"/>
        </w:rPr>
        <w:t>中先行</w:t>
      </w:r>
      <w:r>
        <w:rPr>
          <w:rFonts w:hint="eastAsia" w:ascii="宋体" w:hAnsi="宋体" w:eastAsia="宋体" w:cs="宋体"/>
          <w:color w:val="auto"/>
          <w:spacing w:val="5"/>
          <w:sz w:val="18"/>
          <w:szCs w:val="18"/>
          <w:highlight w:val="none"/>
        </w:rPr>
        <w:t>“勾选（对应项打“√”标识）”危险性较大的分部分项工程。</w:t>
      </w:r>
    </w:p>
    <w:p w14:paraId="732E5B06">
      <w:pPr>
        <w:pStyle w:val="6"/>
        <w:pageBreakBefore w:val="0"/>
        <w:widowControl/>
        <w:kinsoku/>
        <w:wordWrap/>
        <w:overflowPunct/>
        <w:topLinePunct w:val="0"/>
        <w:autoSpaceDE/>
        <w:autoSpaceDN/>
        <w:bidi w:val="0"/>
        <w:adjustRightInd/>
        <w:snapToGrid/>
        <w:spacing w:line="360" w:lineRule="auto"/>
        <w:ind w:left="11" w:firstLine="554"/>
        <w:jc w:val="both"/>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8"/>
          <w:sz w:val="18"/>
          <w:szCs w:val="18"/>
          <w:highlight w:val="none"/>
        </w:rPr>
        <w:t>2.该《危险性较大的分部分项工程清单及超过一定规模的危险性较</w:t>
      </w:r>
      <w:r>
        <w:rPr>
          <w:rFonts w:hint="eastAsia" w:ascii="宋体" w:hAnsi="宋体" w:eastAsia="宋体" w:cs="宋体"/>
          <w:color w:val="auto"/>
          <w:spacing w:val="7"/>
          <w:sz w:val="18"/>
          <w:szCs w:val="18"/>
          <w:highlight w:val="none"/>
        </w:rPr>
        <w:t>大的分部分项工程清单》在办理</w:t>
      </w:r>
      <w:r>
        <w:rPr>
          <w:rFonts w:hint="eastAsia" w:ascii="宋体" w:hAnsi="宋体" w:eastAsia="宋体" w:cs="宋体"/>
          <w:color w:val="auto"/>
          <w:spacing w:val="10"/>
          <w:sz w:val="18"/>
          <w:szCs w:val="18"/>
          <w:highlight w:val="none"/>
        </w:rPr>
        <w:t>建设项目施工许可时必须提供，且各地建设行政主管部门可按照《广东省建设工</w:t>
      </w:r>
      <w:r>
        <w:rPr>
          <w:rFonts w:hint="eastAsia" w:ascii="宋体" w:hAnsi="宋体" w:eastAsia="宋体" w:cs="宋体"/>
          <w:color w:val="auto"/>
          <w:spacing w:val="9"/>
          <w:sz w:val="18"/>
          <w:szCs w:val="18"/>
          <w:highlight w:val="none"/>
        </w:rPr>
        <w:t>程项目招标中标后监督</w:t>
      </w:r>
      <w:r>
        <w:rPr>
          <w:rFonts w:hint="eastAsia" w:ascii="宋体" w:hAnsi="宋体" w:eastAsia="宋体" w:cs="宋体"/>
          <w:color w:val="auto"/>
          <w:spacing w:val="8"/>
          <w:sz w:val="18"/>
          <w:szCs w:val="18"/>
          <w:highlight w:val="none"/>
        </w:rPr>
        <w:t>检查办法》相关规定开展检查。</w:t>
      </w:r>
    </w:p>
    <w:p w14:paraId="1AD407A6">
      <w:pPr>
        <w:pStyle w:val="2"/>
        <w:pageBreakBefore w:val="0"/>
        <w:widowControl/>
        <w:kinsoku/>
        <w:wordWrap/>
        <w:overflowPunct/>
        <w:topLinePunct w:val="0"/>
        <w:autoSpaceDE/>
        <w:autoSpaceDN/>
        <w:bidi w:val="0"/>
        <w:adjustRightInd/>
        <w:snapToGrid/>
        <w:spacing w:before="0" w:beforeLines="0" w:after="0" w:afterLines="0" w:line="360" w:lineRule="auto"/>
        <w:ind w:firstLine="594" w:firstLineChars="300"/>
        <w:textAlignment w:val="baseline"/>
        <w:rPr>
          <w:rFonts w:hint="eastAsia"/>
          <w:color w:val="auto"/>
          <w:highlight w:val="none"/>
        </w:rPr>
      </w:pPr>
      <w:bookmarkStart w:id="527" w:name="_Toc7813"/>
      <w:r>
        <w:rPr>
          <w:rFonts w:hint="eastAsia" w:ascii="宋体" w:hAnsi="宋体" w:eastAsia="宋体" w:cs="宋体"/>
          <w:color w:val="auto"/>
          <w:spacing w:val="9"/>
          <w:sz w:val="18"/>
          <w:szCs w:val="18"/>
          <w:highlight w:val="none"/>
        </w:rPr>
        <w:t>3.如果需要（如需要通过计算编制专项方案，或者需要专家论证</w:t>
      </w:r>
      <w:r>
        <w:rPr>
          <w:rFonts w:hint="eastAsia" w:ascii="宋体" w:hAnsi="宋体" w:eastAsia="宋体" w:cs="宋体"/>
          <w:color w:val="auto"/>
          <w:spacing w:val="15"/>
          <w:sz w:val="18"/>
          <w:szCs w:val="18"/>
          <w:highlight w:val="none"/>
        </w:rPr>
        <w:t>），</w:t>
      </w:r>
      <w:r>
        <w:rPr>
          <w:rFonts w:hint="eastAsia" w:ascii="宋体" w:hAnsi="宋体" w:eastAsia="宋体" w:cs="宋体"/>
          <w:color w:val="auto"/>
          <w:spacing w:val="9"/>
          <w:sz w:val="18"/>
          <w:szCs w:val="18"/>
          <w:highlight w:val="none"/>
        </w:rPr>
        <w:t>可中</w:t>
      </w:r>
      <w:r>
        <w:rPr>
          <w:rFonts w:hint="eastAsia" w:ascii="宋体" w:hAnsi="宋体" w:eastAsia="宋体" w:cs="宋体"/>
          <w:color w:val="auto"/>
          <w:spacing w:val="8"/>
          <w:sz w:val="18"/>
          <w:szCs w:val="18"/>
          <w:highlight w:val="none"/>
        </w:rPr>
        <w:t>标后提供详细版。</w:t>
      </w:r>
      <w:bookmarkEnd w:id="527"/>
    </w:p>
    <w:p w14:paraId="11E3E0F0">
      <w:pPr>
        <w:rPr>
          <w:rStyle w:val="22"/>
          <w:rFonts w:hint="eastAsia" w:ascii="Times New Roman" w:hAnsi="宋体" w:eastAsia="宋体" w:cs="Times New Roman"/>
          <w:b/>
          <w:bCs/>
          <w:color w:val="auto"/>
          <w:kern w:val="0"/>
          <w:sz w:val="21"/>
          <w:szCs w:val="21"/>
          <w:highlight w:val="none"/>
          <w:lang w:val="en-US" w:eastAsia="zh-CN" w:bidi="ar-SA"/>
        </w:rPr>
      </w:pPr>
      <w:bookmarkStart w:id="528" w:name="_Toc31994"/>
      <w:bookmarkStart w:id="529" w:name="_Toc3970"/>
      <w:r>
        <w:rPr>
          <w:rStyle w:val="22"/>
          <w:rFonts w:hint="eastAsia" w:ascii="Times New Roman" w:hAnsi="宋体" w:eastAsia="宋体" w:cs="Times New Roman"/>
          <w:b/>
          <w:bCs/>
          <w:color w:val="auto"/>
          <w:kern w:val="0"/>
          <w:sz w:val="21"/>
          <w:szCs w:val="21"/>
          <w:highlight w:val="none"/>
          <w:lang w:val="en-US" w:eastAsia="zh-CN" w:bidi="ar-SA"/>
        </w:rPr>
        <w:br w:type="page"/>
      </w:r>
    </w:p>
    <w:bookmarkEnd w:id="528"/>
    <w:bookmarkEnd w:id="529"/>
    <w:p w14:paraId="64B17262">
      <w:pPr>
        <w:pStyle w:val="4"/>
        <w:rPr>
          <w:rStyle w:val="58"/>
          <w:rFonts w:hint="eastAsia" w:ascii="宋体" w:hAnsi="宋体" w:eastAsia="宋体" w:cs="宋体"/>
          <w:b/>
          <w:bCs/>
          <w:color w:val="auto"/>
          <w:sz w:val="21"/>
          <w:szCs w:val="21"/>
          <w:highlight w:val="none"/>
          <w:lang w:val="en-US" w:eastAsia="zh-CN"/>
        </w:rPr>
      </w:pPr>
      <w:bookmarkStart w:id="530" w:name="_Toc26911"/>
      <w:bookmarkStart w:id="531" w:name="_Toc30092"/>
      <w:bookmarkStart w:id="532" w:name="_Toc4456"/>
      <w:bookmarkStart w:id="533" w:name="_Toc9141"/>
      <w:bookmarkStart w:id="534" w:name="_Toc23839"/>
      <w:bookmarkStart w:id="535" w:name="_Toc30888"/>
      <w:bookmarkStart w:id="536" w:name="_Toc27446"/>
      <w:bookmarkStart w:id="537" w:name="_Toc16478"/>
      <w:bookmarkStart w:id="538" w:name="_Toc14444"/>
      <w:bookmarkStart w:id="539" w:name="_Toc31153"/>
      <w:bookmarkStart w:id="540" w:name="_Toc9142"/>
      <w:bookmarkStart w:id="541" w:name="_Toc10942"/>
      <w:r>
        <w:rPr>
          <w:rStyle w:val="58"/>
          <w:rFonts w:hint="eastAsia" w:ascii="宋体" w:hAnsi="宋体" w:eastAsia="宋体" w:cs="宋体"/>
          <w:b/>
          <w:bCs/>
          <w:color w:val="auto"/>
          <w:sz w:val="21"/>
          <w:szCs w:val="21"/>
          <w:highlight w:val="none"/>
          <w:lang w:val="en-US" w:eastAsia="zh-CN"/>
        </w:rPr>
        <w:t>格式十五 定标文件封面</w:t>
      </w:r>
      <w:bookmarkEnd w:id="530"/>
      <w:bookmarkEnd w:id="531"/>
    </w:p>
    <w:bookmarkEnd w:id="532"/>
    <w:bookmarkEnd w:id="533"/>
    <w:p w14:paraId="0BB9CAE7">
      <w:pPr>
        <w:pStyle w:val="50"/>
        <w:snapToGrid w:val="0"/>
        <w:spacing w:line="240" w:lineRule="auto"/>
        <w:rPr>
          <w:rStyle w:val="22"/>
          <w:rFonts w:hint="eastAsia" w:ascii="宋体" w:hAnsi="宋体" w:eastAsia="宋体" w:cs="宋体"/>
          <w:b/>
          <w:bCs/>
          <w:color w:val="auto"/>
          <w:sz w:val="24"/>
          <w:szCs w:val="24"/>
          <w:highlight w:val="none"/>
        </w:rPr>
      </w:pPr>
    </w:p>
    <w:p w14:paraId="157A2887">
      <w:pPr>
        <w:pStyle w:val="50"/>
        <w:snapToGrid w:val="0"/>
        <w:spacing w:line="240" w:lineRule="auto"/>
        <w:rPr>
          <w:rStyle w:val="22"/>
          <w:rFonts w:hint="eastAsia" w:ascii="宋体" w:hAnsi="宋体" w:eastAsia="宋体" w:cs="宋体"/>
          <w:b/>
          <w:bCs/>
          <w:color w:val="auto"/>
          <w:sz w:val="24"/>
          <w:szCs w:val="24"/>
          <w:highlight w:val="none"/>
        </w:rPr>
      </w:pPr>
    </w:p>
    <w:p w14:paraId="4B19F719">
      <w:pPr>
        <w:pStyle w:val="50"/>
        <w:snapToGrid w:val="0"/>
        <w:spacing w:line="240" w:lineRule="auto"/>
        <w:rPr>
          <w:rStyle w:val="22"/>
          <w:rFonts w:hint="eastAsia" w:ascii="宋体" w:hAnsi="宋体" w:eastAsia="宋体" w:cs="宋体"/>
          <w:b/>
          <w:bCs/>
          <w:color w:val="auto"/>
          <w:sz w:val="24"/>
          <w:szCs w:val="24"/>
          <w:highlight w:val="none"/>
        </w:rPr>
      </w:pPr>
    </w:p>
    <w:p w14:paraId="7607C315">
      <w:pPr>
        <w:pStyle w:val="50"/>
        <w:snapToGrid w:val="0"/>
        <w:spacing w:line="240" w:lineRule="auto"/>
        <w:rPr>
          <w:rStyle w:val="22"/>
          <w:rFonts w:hint="eastAsia" w:ascii="宋体" w:hAnsi="宋体" w:eastAsia="宋体" w:cs="宋体"/>
          <w:b/>
          <w:bCs/>
          <w:color w:val="auto"/>
          <w:sz w:val="24"/>
          <w:szCs w:val="24"/>
          <w:highlight w:val="none"/>
        </w:rPr>
      </w:pPr>
    </w:p>
    <w:p w14:paraId="72EABA39">
      <w:pPr>
        <w:pStyle w:val="50"/>
        <w:snapToGrid w:val="0"/>
        <w:spacing w:line="240" w:lineRule="auto"/>
        <w:rPr>
          <w:rStyle w:val="22"/>
          <w:rFonts w:hint="eastAsia" w:ascii="宋体" w:hAnsi="宋体" w:eastAsia="宋体" w:cs="宋体"/>
          <w:b/>
          <w:bCs/>
          <w:color w:val="auto"/>
          <w:sz w:val="24"/>
          <w:szCs w:val="24"/>
          <w:highlight w:val="none"/>
        </w:rPr>
      </w:pPr>
    </w:p>
    <w:p w14:paraId="1A080963">
      <w:pPr>
        <w:pStyle w:val="50"/>
        <w:snapToGrid w:val="0"/>
        <w:spacing w:line="240" w:lineRule="auto"/>
        <w:rPr>
          <w:rStyle w:val="22"/>
          <w:rFonts w:hint="eastAsia" w:ascii="宋体" w:hAnsi="宋体" w:eastAsia="宋体" w:cs="宋体"/>
          <w:b/>
          <w:bCs/>
          <w:color w:val="auto"/>
          <w:sz w:val="24"/>
          <w:szCs w:val="24"/>
          <w:highlight w:val="none"/>
        </w:rPr>
      </w:pPr>
    </w:p>
    <w:p w14:paraId="61DB7171">
      <w:pPr>
        <w:pStyle w:val="50"/>
        <w:snapToGrid w:val="0"/>
        <w:spacing w:line="240" w:lineRule="auto"/>
        <w:rPr>
          <w:rStyle w:val="22"/>
          <w:rFonts w:hint="eastAsia" w:ascii="宋体" w:hAnsi="宋体" w:eastAsia="宋体" w:cs="宋体"/>
          <w:b/>
          <w:bCs/>
          <w:color w:val="auto"/>
          <w:sz w:val="24"/>
          <w:szCs w:val="24"/>
          <w:highlight w:val="none"/>
        </w:rPr>
      </w:pPr>
    </w:p>
    <w:p w14:paraId="778D26FF">
      <w:pPr>
        <w:pStyle w:val="50"/>
        <w:snapToGrid w:val="0"/>
        <w:spacing w:line="240" w:lineRule="auto"/>
        <w:rPr>
          <w:rStyle w:val="22"/>
          <w:rFonts w:hint="eastAsia" w:ascii="宋体" w:hAnsi="宋体" w:eastAsia="宋体" w:cs="宋体"/>
          <w:b/>
          <w:bCs/>
          <w:color w:val="auto"/>
          <w:sz w:val="24"/>
          <w:szCs w:val="24"/>
          <w:highlight w:val="none"/>
        </w:rPr>
      </w:pPr>
    </w:p>
    <w:p w14:paraId="6DAD6E28">
      <w:pPr>
        <w:pStyle w:val="50"/>
        <w:snapToGrid w:val="0"/>
        <w:spacing w:line="240" w:lineRule="auto"/>
        <w:rPr>
          <w:rStyle w:val="22"/>
          <w:rFonts w:hint="eastAsia" w:ascii="宋体" w:hAnsi="宋体" w:eastAsia="宋体" w:cs="宋体"/>
          <w:b/>
          <w:bCs/>
          <w:color w:val="auto"/>
          <w:sz w:val="24"/>
          <w:szCs w:val="24"/>
          <w:highlight w:val="none"/>
        </w:rPr>
      </w:pPr>
    </w:p>
    <w:p w14:paraId="1429015E">
      <w:pPr>
        <w:pStyle w:val="50"/>
        <w:snapToGrid w:val="0"/>
        <w:spacing w:line="240" w:lineRule="auto"/>
        <w:ind w:firstLine="0"/>
        <w:jc w:val="center"/>
        <w:rPr>
          <w:rStyle w:val="22"/>
          <w:rFonts w:hint="eastAsia" w:ascii="宋体" w:hAnsi="宋体" w:eastAsia="宋体" w:cs="宋体"/>
          <w:b/>
          <w:bCs/>
          <w:color w:val="auto"/>
          <w:sz w:val="48"/>
          <w:szCs w:val="48"/>
          <w:highlight w:val="none"/>
        </w:rPr>
      </w:pPr>
      <w:r>
        <w:rPr>
          <w:rStyle w:val="22"/>
          <w:rFonts w:hint="eastAsia" w:ascii="宋体" w:hAnsi="宋体" w:eastAsia="宋体" w:cs="宋体"/>
          <w:color w:val="auto"/>
          <w:sz w:val="48"/>
          <w:szCs w:val="48"/>
          <w:highlight w:val="none"/>
          <w:u w:val="single"/>
        </w:rPr>
        <w:t xml:space="preserve">             </w:t>
      </w:r>
      <w:r>
        <w:rPr>
          <w:rStyle w:val="22"/>
          <w:rFonts w:hint="eastAsia" w:ascii="宋体" w:hAnsi="宋体" w:eastAsia="宋体" w:cs="宋体"/>
          <w:b/>
          <w:bCs/>
          <w:color w:val="auto"/>
          <w:sz w:val="48"/>
          <w:szCs w:val="48"/>
          <w:highlight w:val="none"/>
        </w:rPr>
        <w:t xml:space="preserve">（工程名称）招标 </w:t>
      </w:r>
    </w:p>
    <w:p w14:paraId="4ABA16CB">
      <w:pPr>
        <w:pStyle w:val="50"/>
        <w:snapToGrid w:val="0"/>
        <w:spacing w:line="240" w:lineRule="auto"/>
        <w:ind w:firstLine="0"/>
        <w:jc w:val="center"/>
        <w:rPr>
          <w:rStyle w:val="22"/>
          <w:rFonts w:hint="eastAsia" w:ascii="宋体" w:hAnsi="宋体" w:eastAsia="宋体" w:cs="宋体"/>
          <w:b/>
          <w:bCs/>
          <w:color w:val="auto"/>
          <w:sz w:val="32"/>
          <w:szCs w:val="32"/>
          <w:highlight w:val="none"/>
        </w:rPr>
      </w:pPr>
    </w:p>
    <w:p w14:paraId="6BD414BB">
      <w:pPr>
        <w:pStyle w:val="50"/>
        <w:snapToGrid w:val="0"/>
        <w:spacing w:line="240" w:lineRule="auto"/>
        <w:ind w:firstLine="0"/>
        <w:jc w:val="center"/>
        <w:rPr>
          <w:rStyle w:val="22"/>
          <w:rFonts w:hint="eastAsia" w:ascii="宋体" w:hAnsi="宋体" w:eastAsia="宋体" w:cs="宋体"/>
          <w:b/>
          <w:bCs/>
          <w:color w:val="auto"/>
          <w:sz w:val="72"/>
          <w:szCs w:val="72"/>
          <w:highlight w:val="none"/>
        </w:rPr>
      </w:pPr>
      <w:r>
        <w:rPr>
          <w:rStyle w:val="22"/>
          <w:rFonts w:hint="eastAsia" w:hAnsi="宋体" w:cs="宋体"/>
          <w:b/>
          <w:bCs/>
          <w:color w:val="auto"/>
          <w:sz w:val="72"/>
          <w:szCs w:val="72"/>
          <w:highlight w:val="none"/>
          <w:lang w:val="en-US" w:eastAsia="zh-CN"/>
        </w:rPr>
        <w:t>定</w:t>
      </w:r>
      <w:r>
        <w:rPr>
          <w:rStyle w:val="22"/>
          <w:rFonts w:hint="eastAsia" w:ascii="宋体" w:hAnsi="宋体" w:eastAsia="宋体" w:cs="宋体"/>
          <w:b/>
          <w:bCs/>
          <w:color w:val="auto"/>
          <w:sz w:val="72"/>
          <w:szCs w:val="72"/>
          <w:highlight w:val="none"/>
        </w:rPr>
        <w:t xml:space="preserve">  标  文  件</w:t>
      </w:r>
    </w:p>
    <w:p w14:paraId="59856517">
      <w:pPr>
        <w:pStyle w:val="50"/>
        <w:snapToGrid w:val="0"/>
        <w:spacing w:line="240" w:lineRule="auto"/>
        <w:ind w:firstLine="0"/>
        <w:jc w:val="center"/>
        <w:rPr>
          <w:rStyle w:val="22"/>
          <w:rFonts w:hint="eastAsia" w:ascii="宋体" w:hAnsi="宋体" w:eastAsia="宋体" w:cs="宋体"/>
          <w:b/>
          <w:bCs/>
          <w:color w:val="auto"/>
          <w:sz w:val="32"/>
          <w:szCs w:val="32"/>
          <w:highlight w:val="none"/>
        </w:rPr>
      </w:pPr>
    </w:p>
    <w:p w14:paraId="6C63B976">
      <w:pPr>
        <w:pStyle w:val="50"/>
        <w:snapToGrid w:val="0"/>
        <w:spacing w:line="240" w:lineRule="auto"/>
        <w:ind w:firstLine="0"/>
        <w:jc w:val="center"/>
        <w:rPr>
          <w:rStyle w:val="22"/>
          <w:rFonts w:hint="eastAsia" w:ascii="宋体" w:hAnsi="宋体" w:eastAsia="宋体" w:cs="宋体"/>
          <w:b/>
          <w:bCs/>
          <w:color w:val="auto"/>
          <w:sz w:val="40"/>
          <w:szCs w:val="40"/>
          <w:highlight w:val="none"/>
        </w:rPr>
      </w:pPr>
    </w:p>
    <w:p w14:paraId="69117D0D">
      <w:pPr>
        <w:pStyle w:val="50"/>
        <w:snapToGrid w:val="0"/>
        <w:spacing w:line="240" w:lineRule="auto"/>
        <w:rPr>
          <w:rStyle w:val="22"/>
          <w:rFonts w:hint="eastAsia" w:ascii="宋体" w:hAnsi="宋体" w:eastAsia="宋体" w:cs="宋体"/>
          <w:b/>
          <w:bCs/>
          <w:color w:val="auto"/>
          <w:highlight w:val="none"/>
        </w:rPr>
      </w:pPr>
    </w:p>
    <w:p w14:paraId="22C871C2">
      <w:pPr>
        <w:pStyle w:val="50"/>
        <w:snapToGrid w:val="0"/>
        <w:spacing w:line="240" w:lineRule="auto"/>
        <w:rPr>
          <w:rStyle w:val="22"/>
          <w:rFonts w:hint="eastAsia" w:ascii="宋体" w:hAnsi="宋体" w:eastAsia="宋体" w:cs="宋体"/>
          <w:b/>
          <w:bCs/>
          <w:color w:val="auto"/>
          <w:sz w:val="32"/>
          <w:szCs w:val="32"/>
          <w:highlight w:val="none"/>
        </w:rPr>
      </w:pPr>
    </w:p>
    <w:p w14:paraId="4A4A2362">
      <w:pPr>
        <w:pStyle w:val="50"/>
        <w:snapToGrid w:val="0"/>
        <w:spacing w:line="240" w:lineRule="auto"/>
        <w:rPr>
          <w:rStyle w:val="22"/>
          <w:rFonts w:hint="eastAsia" w:ascii="宋体" w:hAnsi="宋体" w:eastAsia="宋体" w:cs="宋体"/>
          <w:b/>
          <w:bCs/>
          <w:color w:val="auto"/>
          <w:sz w:val="32"/>
          <w:szCs w:val="32"/>
          <w:highlight w:val="none"/>
        </w:rPr>
      </w:pPr>
    </w:p>
    <w:p w14:paraId="1CCA4BA1">
      <w:pPr>
        <w:pStyle w:val="50"/>
        <w:snapToGrid w:val="0"/>
        <w:spacing w:line="240" w:lineRule="auto"/>
        <w:rPr>
          <w:rStyle w:val="22"/>
          <w:rFonts w:hint="eastAsia" w:ascii="宋体" w:hAnsi="宋体" w:eastAsia="宋体" w:cs="宋体"/>
          <w:b/>
          <w:bCs/>
          <w:color w:val="auto"/>
          <w:sz w:val="32"/>
          <w:szCs w:val="32"/>
          <w:highlight w:val="none"/>
        </w:rPr>
      </w:pPr>
    </w:p>
    <w:p w14:paraId="09C9C9D9">
      <w:pPr>
        <w:pStyle w:val="50"/>
        <w:snapToGrid w:val="0"/>
        <w:spacing w:line="240" w:lineRule="auto"/>
        <w:rPr>
          <w:rStyle w:val="22"/>
          <w:rFonts w:hint="eastAsia" w:ascii="宋体" w:hAnsi="宋体" w:eastAsia="宋体" w:cs="宋体"/>
          <w:b/>
          <w:bCs/>
          <w:color w:val="auto"/>
          <w:sz w:val="32"/>
          <w:szCs w:val="32"/>
          <w:highlight w:val="none"/>
        </w:rPr>
      </w:pPr>
    </w:p>
    <w:p w14:paraId="5231C25A">
      <w:pPr>
        <w:pStyle w:val="50"/>
        <w:snapToGrid w:val="0"/>
        <w:spacing w:line="240" w:lineRule="auto"/>
        <w:rPr>
          <w:rStyle w:val="22"/>
          <w:rFonts w:hint="eastAsia" w:ascii="宋体" w:hAnsi="宋体" w:eastAsia="宋体" w:cs="宋体"/>
          <w:b/>
          <w:bCs/>
          <w:color w:val="auto"/>
          <w:sz w:val="32"/>
          <w:szCs w:val="32"/>
          <w:highlight w:val="none"/>
        </w:rPr>
      </w:pPr>
    </w:p>
    <w:p w14:paraId="4B78C510">
      <w:pPr>
        <w:pStyle w:val="50"/>
        <w:snapToGrid w:val="0"/>
        <w:spacing w:line="240" w:lineRule="auto"/>
        <w:rPr>
          <w:rStyle w:val="22"/>
          <w:rFonts w:hint="eastAsia" w:ascii="宋体" w:hAnsi="宋体" w:eastAsia="宋体" w:cs="宋体"/>
          <w:b/>
          <w:bCs/>
          <w:color w:val="auto"/>
          <w:sz w:val="32"/>
          <w:szCs w:val="32"/>
          <w:highlight w:val="none"/>
        </w:rPr>
      </w:pPr>
    </w:p>
    <w:p w14:paraId="2F69534D">
      <w:pPr>
        <w:pStyle w:val="50"/>
        <w:snapToGrid w:val="0"/>
        <w:spacing w:line="240" w:lineRule="auto"/>
        <w:ind w:firstLine="0"/>
        <w:jc w:val="center"/>
        <w:rPr>
          <w:rStyle w:val="22"/>
          <w:rFonts w:hint="eastAsia" w:ascii="宋体" w:hAnsi="宋体" w:eastAsia="宋体" w:cs="宋体"/>
          <w:color w:val="auto"/>
          <w:sz w:val="32"/>
          <w:szCs w:val="32"/>
          <w:highlight w:val="none"/>
        </w:rPr>
      </w:pPr>
      <w:r>
        <w:rPr>
          <w:rStyle w:val="22"/>
          <w:rFonts w:hint="eastAsia" w:ascii="宋体" w:hAnsi="宋体" w:eastAsia="宋体" w:cs="宋体"/>
          <w:color w:val="auto"/>
          <w:sz w:val="32"/>
          <w:szCs w:val="32"/>
          <w:highlight w:val="none"/>
        </w:rPr>
        <w:t>投标人：</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（盖单位章）</w:t>
      </w:r>
    </w:p>
    <w:p w14:paraId="4F1FF74C">
      <w:pPr>
        <w:pStyle w:val="50"/>
        <w:snapToGrid w:val="0"/>
        <w:spacing w:line="240" w:lineRule="auto"/>
        <w:ind w:firstLine="0"/>
        <w:jc w:val="center"/>
        <w:rPr>
          <w:rStyle w:val="22"/>
          <w:rFonts w:hint="eastAsia" w:ascii="宋体" w:hAnsi="宋体" w:eastAsia="宋体" w:cs="宋体"/>
          <w:color w:val="auto"/>
          <w:sz w:val="32"/>
          <w:szCs w:val="32"/>
          <w:highlight w:val="none"/>
        </w:rPr>
      </w:pPr>
    </w:p>
    <w:p w14:paraId="47114CD8">
      <w:pPr>
        <w:pStyle w:val="50"/>
        <w:snapToGrid w:val="0"/>
        <w:spacing w:line="240" w:lineRule="auto"/>
        <w:ind w:firstLine="0"/>
        <w:jc w:val="center"/>
        <w:rPr>
          <w:rStyle w:val="22"/>
          <w:rFonts w:hint="eastAsia" w:ascii="宋体" w:hAnsi="宋体" w:eastAsia="宋体" w:cs="宋体"/>
          <w:color w:val="auto"/>
          <w:sz w:val="32"/>
          <w:szCs w:val="32"/>
          <w:highlight w:val="none"/>
        </w:rPr>
      </w:pPr>
    </w:p>
    <w:p w14:paraId="373654F5">
      <w:pPr>
        <w:pStyle w:val="50"/>
        <w:snapToGrid w:val="0"/>
        <w:spacing w:line="240" w:lineRule="auto"/>
        <w:ind w:firstLine="0"/>
        <w:jc w:val="center"/>
        <w:rPr>
          <w:rStyle w:val="22"/>
          <w:rFonts w:hint="eastAsia" w:ascii="宋体" w:hAnsi="宋体" w:eastAsia="宋体" w:cs="宋体"/>
          <w:color w:val="auto"/>
          <w:sz w:val="32"/>
          <w:szCs w:val="32"/>
          <w:highlight w:val="none"/>
        </w:rPr>
      </w:pPr>
    </w:p>
    <w:p w14:paraId="6961000A">
      <w:pPr>
        <w:pStyle w:val="50"/>
        <w:snapToGrid w:val="0"/>
        <w:spacing w:line="240" w:lineRule="auto"/>
        <w:ind w:firstLine="0"/>
        <w:jc w:val="center"/>
        <w:rPr>
          <w:rStyle w:val="22"/>
          <w:rFonts w:hint="eastAsia" w:ascii="宋体" w:hAnsi="宋体" w:eastAsia="宋体" w:cs="宋体"/>
          <w:color w:val="auto"/>
          <w:sz w:val="32"/>
          <w:szCs w:val="32"/>
          <w:highlight w:val="none"/>
        </w:rPr>
      </w:pPr>
      <w:r>
        <w:rPr>
          <w:rStyle w:val="22"/>
          <w:rFonts w:hint="eastAsia" w:ascii="宋体" w:hAnsi="宋体" w:eastAsia="宋体" w:cs="宋体"/>
          <w:color w:val="auto"/>
          <w:sz w:val="32"/>
          <w:szCs w:val="32"/>
          <w:highlight w:val="none"/>
        </w:rPr>
        <w:t>法定代表人或其委托代理人：</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（签字或盖章）</w:t>
      </w:r>
    </w:p>
    <w:p w14:paraId="26A225E8">
      <w:pPr>
        <w:pStyle w:val="50"/>
        <w:snapToGrid w:val="0"/>
        <w:spacing w:line="240" w:lineRule="auto"/>
        <w:ind w:firstLine="0"/>
        <w:jc w:val="center"/>
        <w:rPr>
          <w:rStyle w:val="22"/>
          <w:rFonts w:hint="eastAsia" w:ascii="宋体" w:hAnsi="宋体" w:eastAsia="宋体" w:cs="宋体"/>
          <w:color w:val="auto"/>
          <w:sz w:val="32"/>
          <w:szCs w:val="32"/>
          <w:highlight w:val="none"/>
        </w:rPr>
      </w:pPr>
    </w:p>
    <w:p w14:paraId="00B10A4D">
      <w:pPr>
        <w:pStyle w:val="50"/>
        <w:snapToGrid w:val="0"/>
        <w:spacing w:line="240" w:lineRule="auto"/>
        <w:ind w:firstLine="0"/>
        <w:jc w:val="center"/>
        <w:rPr>
          <w:rStyle w:val="22"/>
          <w:rFonts w:hint="eastAsia" w:ascii="宋体" w:hAnsi="宋体" w:eastAsia="宋体" w:cs="宋体"/>
          <w:color w:val="auto"/>
          <w:sz w:val="32"/>
          <w:szCs w:val="32"/>
          <w:highlight w:val="none"/>
          <w:u w:val="single"/>
        </w:rPr>
      </w:pPr>
    </w:p>
    <w:p w14:paraId="57E88C8C">
      <w:pPr>
        <w:pStyle w:val="50"/>
        <w:snapToGrid w:val="0"/>
        <w:spacing w:line="240" w:lineRule="auto"/>
        <w:ind w:firstLine="0"/>
        <w:jc w:val="center"/>
        <w:rPr>
          <w:rStyle w:val="22"/>
          <w:rFonts w:hint="eastAsia" w:ascii="宋体" w:hAnsi="宋体" w:eastAsia="宋体" w:cs="宋体"/>
          <w:b/>
          <w:bCs/>
          <w:color w:val="auto"/>
          <w:highlight w:val="none"/>
        </w:rPr>
      </w:pP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年</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月</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日</w:t>
      </w:r>
    </w:p>
    <w:p w14:paraId="7FD612E5">
      <w:pP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br w:type="page"/>
      </w:r>
    </w:p>
    <w:p w14:paraId="6A930FF1">
      <w:pPr>
        <w:pStyle w:val="4"/>
        <w:rPr>
          <w:rStyle w:val="58"/>
          <w:rFonts w:hint="eastAsia" w:ascii="宋体" w:hAnsi="宋体" w:eastAsia="宋体" w:cs="宋体"/>
          <w:b/>
          <w:bCs/>
          <w:color w:val="auto"/>
          <w:sz w:val="21"/>
          <w:szCs w:val="21"/>
          <w:highlight w:val="none"/>
          <w:lang w:val="en-US" w:eastAsia="zh-CN"/>
        </w:rPr>
      </w:pPr>
      <w:bookmarkStart w:id="542" w:name="_Toc27570"/>
      <w:bookmarkStart w:id="543" w:name="_Toc9943"/>
      <w:r>
        <w:rPr>
          <w:rStyle w:val="58"/>
          <w:rFonts w:hint="eastAsia" w:ascii="宋体" w:hAnsi="宋体" w:eastAsia="宋体" w:cs="宋体"/>
          <w:b/>
          <w:bCs/>
          <w:color w:val="auto"/>
          <w:sz w:val="21"/>
          <w:szCs w:val="21"/>
          <w:highlight w:val="none"/>
          <w:lang w:val="en-US" w:eastAsia="zh-CN"/>
        </w:rPr>
        <w:t xml:space="preserve">格式十六 </w:t>
      </w:r>
      <w:bookmarkEnd w:id="542"/>
      <w:bookmarkEnd w:id="543"/>
      <w:bookmarkStart w:id="544" w:name="_Toc22084"/>
      <w:bookmarkStart w:id="545" w:name="_Toc6621"/>
      <w:r>
        <w:rPr>
          <w:rStyle w:val="58"/>
          <w:rFonts w:hint="eastAsia" w:ascii="宋体" w:hAnsi="宋体" w:eastAsia="宋体" w:cs="宋体"/>
          <w:b/>
          <w:bCs/>
          <w:color w:val="auto"/>
          <w:sz w:val="21"/>
          <w:szCs w:val="21"/>
          <w:highlight w:val="none"/>
          <w:lang w:val="en-US" w:eastAsia="zh-CN"/>
        </w:rPr>
        <w:t xml:space="preserve"> 定标因素评审资料</w:t>
      </w:r>
    </w:p>
    <w:bookmarkEnd w:id="544"/>
    <w:bookmarkEnd w:id="545"/>
    <w:p w14:paraId="05481211">
      <w:pPr>
        <w:jc w:val="left"/>
        <w:rPr>
          <w:rFonts w:hint="eastAsia" w:ascii="宋体" w:hAnsi="宋体" w:eastAsia="宋体" w:cs="宋体"/>
          <w:color w:val="auto"/>
          <w:sz w:val="24"/>
          <w:highlight w:val="none"/>
          <w:lang w:eastAsia="zh-CN"/>
        </w:rPr>
      </w:pPr>
    </w:p>
    <w:p w14:paraId="11E90185">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Style w:val="22"/>
          <w:rFonts w:hint="eastAsia" w:ascii="宋体" w:hAnsi="宋体" w:eastAsia="宋体" w:cs="宋体"/>
          <w:b/>
          <w:bCs/>
          <w:color w:val="auto"/>
          <w:sz w:val="24"/>
          <w:szCs w:val="24"/>
          <w:highlight w:val="none"/>
        </w:rPr>
      </w:pPr>
      <w:r>
        <w:rPr>
          <w:rFonts w:hint="eastAsia" w:ascii="宋体" w:hAnsi="宋体" w:eastAsia="宋体" w:cs="宋体"/>
          <w:b w:val="0"/>
          <w:bCs w:val="0"/>
          <w:color w:val="auto"/>
          <w:sz w:val="21"/>
          <w:szCs w:val="21"/>
          <w:highlight w:val="none"/>
          <w:lang w:val="en-US" w:eastAsia="zh-CN"/>
        </w:rPr>
        <w:t>投标人根据“</w:t>
      </w:r>
      <w:r>
        <w:rPr>
          <w:rFonts w:hint="eastAsia" w:ascii="宋体" w:hAnsi="宋体" w:eastAsia="宋体" w:cs="宋体"/>
          <w:b w:val="0"/>
          <w:bCs w:val="0"/>
          <w:color w:val="auto"/>
          <w:sz w:val="21"/>
          <w:szCs w:val="21"/>
          <w:highlight w:val="none"/>
        </w:rPr>
        <w:t>第</w:t>
      </w:r>
      <w:r>
        <w:rPr>
          <w:rFonts w:hint="eastAsia" w:ascii="宋体" w:hAnsi="宋体" w:eastAsia="宋体" w:cs="宋体"/>
          <w:b w:val="0"/>
          <w:bCs w:val="0"/>
          <w:color w:val="auto"/>
          <w:sz w:val="21"/>
          <w:szCs w:val="21"/>
          <w:highlight w:val="none"/>
          <w:lang w:val="en-US" w:eastAsia="zh-CN"/>
        </w:rPr>
        <w:t>一</w:t>
      </w:r>
      <w:r>
        <w:rPr>
          <w:rFonts w:hint="eastAsia" w:ascii="宋体" w:hAnsi="宋体" w:eastAsia="宋体" w:cs="宋体"/>
          <w:b w:val="0"/>
          <w:bCs w:val="0"/>
          <w:color w:val="auto"/>
          <w:sz w:val="21"/>
          <w:szCs w:val="21"/>
          <w:highlight w:val="none"/>
        </w:rPr>
        <w:t>章 第</w:t>
      </w:r>
      <w:r>
        <w:rPr>
          <w:rFonts w:hint="eastAsia" w:ascii="宋体" w:hAnsi="宋体" w:eastAsia="宋体" w:cs="宋体"/>
          <w:b w:val="0"/>
          <w:bCs w:val="0"/>
          <w:color w:val="auto"/>
          <w:sz w:val="21"/>
          <w:szCs w:val="21"/>
          <w:highlight w:val="none"/>
          <w:lang w:val="en-US" w:eastAsia="zh-CN"/>
        </w:rPr>
        <w:t>五</w:t>
      </w:r>
      <w:r>
        <w:rPr>
          <w:rFonts w:hint="eastAsia" w:ascii="宋体" w:hAnsi="宋体" w:eastAsia="宋体" w:cs="宋体"/>
          <w:b w:val="0"/>
          <w:bCs w:val="0"/>
          <w:color w:val="auto"/>
          <w:sz w:val="21"/>
          <w:szCs w:val="21"/>
          <w:highlight w:val="none"/>
        </w:rPr>
        <w:t>节 定标</w:t>
      </w:r>
      <w:r>
        <w:rPr>
          <w:rFonts w:hint="eastAsia" w:ascii="宋体" w:hAnsi="宋体" w:eastAsia="宋体" w:cs="宋体"/>
          <w:b w:val="0"/>
          <w:bCs w:val="0"/>
          <w:i w:val="0"/>
          <w:iCs w:val="0"/>
          <w:color w:val="auto"/>
          <w:kern w:val="2"/>
          <w:sz w:val="21"/>
          <w:szCs w:val="21"/>
          <w:highlight w:val="none"/>
          <w:vertAlign w:val="baseline"/>
          <w:lang w:val="en-US" w:eastAsia="zh-CN" w:bidi="ar-SA"/>
        </w:rPr>
        <w:t>规定</w:t>
      </w:r>
      <w:r>
        <w:rPr>
          <w:rFonts w:hint="eastAsia" w:ascii="宋体" w:hAnsi="宋体" w:eastAsia="宋体" w:cs="宋体"/>
          <w:b w:val="0"/>
          <w:bCs w:val="0"/>
          <w:color w:val="auto"/>
          <w:sz w:val="21"/>
          <w:szCs w:val="21"/>
          <w:highlight w:val="none"/>
          <w:lang w:val="en-US" w:eastAsia="zh-CN"/>
        </w:rPr>
        <w:t>及细则”载明的</w:t>
      </w:r>
      <w:r>
        <w:rPr>
          <w:rFonts w:hint="eastAsia" w:ascii="宋体" w:hAnsi="宋体" w:eastAsia="宋体" w:cs="宋体"/>
          <w:b w:val="0"/>
          <w:bCs w:val="0"/>
          <w:color w:val="auto"/>
          <w:sz w:val="21"/>
          <w:szCs w:val="21"/>
          <w:highlight w:val="none"/>
          <w:lang w:eastAsia="zh-CN"/>
        </w:rPr>
        <w:t>定标因素，</w:t>
      </w:r>
      <w:r>
        <w:rPr>
          <w:rFonts w:hint="eastAsia" w:ascii="宋体" w:hAnsi="宋体" w:eastAsia="宋体" w:cs="宋体"/>
          <w:b w:val="0"/>
          <w:bCs w:val="0"/>
          <w:color w:val="auto"/>
          <w:sz w:val="21"/>
          <w:szCs w:val="21"/>
          <w:highlight w:val="none"/>
          <w:lang w:val="en-US" w:eastAsia="zh-CN"/>
        </w:rPr>
        <w:t>提交</w:t>
      </w:r>
      <w:r>
        <w:rPr>
          <w:rFonts w:hint="eastAsia" w:ascii="宋体" w:hAnsi="宋体" w:eastAsia="宋体" w:cs="宋体"/>
          <w:b w:val="0"/>
          <w:bCs w:val="0"/>
          <w:color w:val="auto"/>
          <w:sz w:val="21"/>
          <w:szCs w:val="21"/>
          <w:highlight w:val="none"/>
          <w:lang w:eastAsia="zh-CN"/>
        </w:rPr>
        <w:t>评审资料。</w:t>
      </w:r>
    </w:p>
    <w:p w14:paraId="444934BD">
      <w:pPr>
        <w:rPr>
          <w:rStyle w:val="22"/>
          <w:rFonts w:hint="eastAsia" w:ascii="宋体" w:hAnsi="宋体" w:eastAsia="宋体" w:cs="宋体"/>
          <w:b/>
          <w:bCs/>
          <w:color w:val="auto"/>
          <w:sz w:val="24"/>
          <w:szCs w:val="24"/>
          <w:highlight w:val="none"/>
        </w:rPr>
      </w:pPr>
      <w:r>
        <w:rPr>
          <w:rStyle w:val="22"/>
          <w:rFonts w:hint="eastAsia" w:ascii="宋体" w:hAnsi="宋体" w:eastAsia="宋体" w:cs="宋体"/>
          <w:b/>
          <w:bCs/>
          <w:color w:val="auto"/>
          <w:sz w:val="24"/>
          <w:szCs w:val="24"/>
          <w:highlight w:val="none"/>
        </w:rPr>
        <w:br w:type="page"/>
      </w:r>
    </w:p>
    <w:p w14:paraId="1FFFD3CD">
      <w:pPr>
        <w:pStyle w:val="25"/>
        <w:snapToGrid w:val="0"/>
        <w:spacing w:line="440" w:lineRule="exact"/>
        <w:jc w:val="center"/>
        <w:outlineLvl w:val="0"/>
        <w:rPr>
          <w:rStyle w:val="22"/>
          <w:rFonts w:hint="eastAsia" w:ascii="宋体" w:hAnsi="宋体" w:eastAsia="宋体" w:cs="宋体"/>
          <w:b/>
          <w:bCs/>
          <w:color w:val="auto"/>
          <w:sz w:val="24"/>
          <w:szCs w:val="24"/>
          <w:highlight w:val="none"/>
        </w:rPr>
      </w:pPr>
      <w:bookmarkStart w:id="546" w:name="_Toc23978"/>
      <w:r>
        <w:rPr>
          <w:rStyle w:val="22"/>
          <w:rFonts w:hint="eastAsia" w:ascii="宋体" w:hAnsi="宋体" w:eastAsia="宋体" w:cs="宋体"/>
          <w:b/>
          <w:bCs/>
          <w:color w:val="auto"/>
          <w:sz w:val="24"/>
          <w:szCs w:val="24"/>
          <w:highlight w:val="none"/>
        </w:rPr>
        <w:t>第七章 建设工程施工合同</w:t>
      </w:r>
      <w:bookmarkEnd w:id="526"/>
      <w:bookmarkEnd w:id="534"/>
      <w:bookmarkEnd w:id="535"/>
      <w:bookmarkEnd w:id="536"/>
      <w:bookmarkEnd w:id="537"/>
      <w:bookmarkEnd w:id="538"/>
      <w:bookmarkEnd w:id="539"/>
      <w:bookmarkEnd w:id="540"/>
      <w:bookmarkEnd w:id="541"/>
      <w:bookmarkEnd w:id="546"/>
    </w:p>
    <w:p w14:paraId="095F4F72">
      <w:pPr>
        <w:snapToGrid w:val="0"/>
        <w:spacing w:line="440" w:lineRule="exact"/>
        <w:rPr>
          <w:rStyle w:val="22"/>
          <w:rFonts w:hint="eastAsia" w:ascii="宋体" w:hAnsi="宋体" w:eastAsia="宋体" w:cs="宋体"/>
          <w:color w:val="auto"/>
          <w:kern w:val="0"/>
          <w:highlight w:val="none"/>
        </w:rPr>
      </w:pPr>
    </w:p>
    <w:p w14:paraId="0BD6AE76">
      <w:pPr>
        <w:snapToGrid w:val="0"/>
        <w:spacing w:line="440" w:lineRule="exact"/>
        <w:rPr>
          <w:rStyle w:val="22"/>
          <w:rFonts w:hint="eastAsia" w:ascii="宋体" w:hAnsi="宋体" w:eastAsia="宋体" w:cs="宋体"/>
          <w:strike/>
          <w:color w:val="auto"/>
          <w:kern w:val="0"/>
          <w:highlight w:val="none"/>
        </w:rPr>
      </w:pPr>
      <w:r>
        <w:rPr>
          <w:rStyle w:val="22"/>
          <w:rFonts w:hint="eastAsia" w:ascii="宋体" w:hAnsi="宋体" w:eastAsia="宋体" w:cs="宋体"/>
          <w:color w:val="auto"/>
          <w:kern w:val="0"/>
          <w:highlight w:val="none"/>
        </w:rPr>
        <w:t xml:space="preserve">    </w:t>
      </w:r>
      <w:r>
        <w:rPr>
          <w:rFonts w:hint="eastAsia" w:ascii="宋体" w:hAnsi="宋体" w:eastAsia="宋体" w:cs="宋体"/>
          <w:snapToGrid w:val="0"/>
          <w:color w:val="auto"/>
          <w:kern w:val="0"/>
          <w:highlight w:val="none"/>
        </w:rPr>
        <w:t>（略），按《广东省建设工程标准施工合同》（2009年版）执行。</w:t>
      </w:r>
    </w:p>
    <w:p w14:paraId="6EFD839C">
      <w:pPr>
        <w:pStyle w:val="24"/>
        <w:ind w:firstLine="480"/>
        <w:rPr>
          <w:rStyle w:val="22"/>
          <w:rFonts w:hint="eastAsia" w:ascii="宋体" w:hAnsi="宋体" w:eastAsia="宋体" w:cs="宋体"/>
          <w:color w:val="auto"/>
          <w:highlight w:val="none"/>
        </w:rPr>
      </w:pPr>
    </w:p>
    <w:p w14:paraId="7F22E9DA">
      <w:pPr>
        <w:rPr>
          <w:color w:val="auto"/>
          <w:highlight w:val="none"/>
        </w:rPr>
      </w:pPr>
    </w:p>
    <w:sectPr>
      <w:endnotePr>
        <w:numFmt w:val="decimal"/>
      </w:endnotePr>
      <w:pgSz w:w="11906" w:h="16838"/>
      <w:pgMar w:top="1701" w:right="1531" w:bottom="1417" w:left="1531" w:header="850" w:footer="992" w:gutter="0"/>
      <w:cols w:space="72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B5E20">
    <w:pPr>
      <w:pStyle w:val="11"/>
      <w:rPr>
        <w:rStyle w:val="22"/>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0D438E">
                          <w:pPr>
                            <w:pStyle w:val="11"/>
                            <w:rPr>
                              <w:rStyle w:val="22"/>
                            </w:rPr>
                          </w:pPr>
                        </w:p>
                        <w:p w14:paraId="4B4C86FB">
                          <w:pPr>
                            <w:rPr>
                              <w:rStyle w:val="22"/>
                              <w:rFonts w:cs="Times New Roman"/>
                            </w:rPr>
                          </w:pPr>
                        </w:p>
                      </w:txbxContent>
                    </wps:txbx>
                    <wps:bodyPr lIns="0" tIns="0" rIns="0" bIns="0" upright="1"/>
                  </wps:wsp>
                </a:graphicData>
              </a:graphic>
            </wp:anchor>
          </w:drawing>
        </mc:Choice>
        <mc:Fallback>
          <w:pict>
            <v:shape id="_x0000_s1026"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ZpPZA&#10;0gAAAAUBAAAPAAAAAAAAAAEAIAAAACIAAABkcnMvZG93bnJldi54bWxQSwECFAAUAAAACACHTuJA&#10;RCCDNrUBAABzAwAADgAAAAAAAAABACAAAAAhAQAAZHJzL2Uyb0RvYy54bWxQSwUGAAAAAAYABgBZ&#10;AQAASAUAAAAA&#10;">
              <v:fill on="f" focussize="0,0"/>
              <v:stroke on="f"/>
              <v:imagedata o:title=""/>
              <o:lock v:ext="edit" aspectratio="f"/>
              <v:textbox inset="0mm,0mm,0mm,0mm">
                <w:txbxContent>
                  <w:p w14:paraId="710D438E">
                    <w:pPr>
                      <w:pStyle w:val="11"/>
                      <w:rPr>
                        <w:rStyle w:val="22"/>
                      </w:rPr>
                    </w:pPr>
                  </w:p>
                  <w:p w14:paraId="4B4C86FB">
                    <w:pPr>
                      <w:rPr>
                        <w:rStyle w:val="22"/>
                        <w:rFonts w:cs="Times New Roma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C1DDE">
    <w:pPr>
      <w:pStyle w:val="11"/>
      <w:rPr>
        <w:rStyle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4ECBB">
    <w:pPr>
      <w:pStyle w:val="11"/>
      <w:jc w:val="center"/>
      <w:rPr>
        <w:rStyle w:val="22"/>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50</w:t>
    </w:r>
    <w:r>
      <w:rPr>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3FE1DB"/>
    <w:multiLevelType w:val="singleLevel"/>
    <w:tmpl w:val="DD3FE1DB"/>
    <w:lvl w:ilvl="0" w:tentative="0">
      <w:start w:val="10"/>
      <w:numFmt w:val="decimal"/>
      <w:suff w:val="nothing"/>
      <w:lvlText w:val="%1．"/>
      <w:lvlJc w:val="left"/>
    </w:lvl>
  </w:abstractNum>
  <w:abstractNum w:abstractNumId="1">
    <w:nsid w:val="EF148FC0"/>
    <w:multiLevelType w:val="singleLevel"/>
    <w:tmpl w:val="EF148FC0"/>
    <w:lvl w:ilvl="0" w:tentative="0">
      <w:start w:val="1"/>
      <w:numFmt w:val="decimal"/>
      <w:suff w:val="nothing"/>
      <w:lvlText w:val="（%1）"/>
      <w:lvlJc w:val="left"/>
    </w:lvl>
  </w:abstractNum>
  <w:abstractNum w:abstractNumId="2">
    <w:nsid w:val="00000004"/>
    <w:multiLevelType w:val="singleLevel"/>
    <w:tmpl w:val="00000004"/>
    <w:lvl w:ilvl="0" w:tentative="0">
      <w:start w:val="2"/>
      <w:numFmt w:val="decimal"/>
      <w:suff w:val="nothing"/>
      <w:lvlText w:val="%1．"/>
      <w:lvlJc w:val="left"/>
    </w:lvl>
  </w:abstractNum>
  <w:abstractNum w:abstractNumId="3">
    <w:nsid w:val="1340181E"/>
    <w:multiLevelType w:val="singleLevel"/>
    <w:tmpl w:val="1340181E"/>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lZjFiZmI5NjQxYzVjYjAzNWI4ODRjMWFkMTZhYWQifQ=="/>
    <w:docVar w:name="KSO_WPS_MARK_KEY" w:val="53da331a-9d95-40b9-9dcd-d93580efb637"/>
  </w:docVars>
  <w:rsids>
    <w:rsidRoot w:val="7F243486"/>
    <w:rsid w:val="00046CA0"/>
    <w:rsid w:val="016A7AEE"/>
    <w:rsid w:val="0198094A"/>
    <w:rsid w:val="019D0F20"/>
    <w:rsid w:val="01AD6E7F"/>
    <w:rsid w:val="02427F54"/>
    <w:rsid w:val="034B0667"/>
    <w:rsid w:val="040E65FA"/>
    <w:rsid w:val="047368F3"/>
    <w:rsid w:val="04F80D9E"/>
    <w:rsid w:val="05ED01D7"/>
    <w:rsid w:val="07EA0E72"/>
    <w:rsid w:val="095C7B4D"/>
    <w:rsid w:val="099A0675"/>
    <w:rsid w:val="0A19121A"/>
    <w:rsid w:val="0A7749D7"/>
    <w:rsid w:val="0B1D4053"/>
    <w:rsid w:val="0CF6390D"/>
    <w:rsid w:val="0ECA5FD4"/>
    <w:rsid w:val="0FC4644C"/>
    <w:rsid w:val="107F7B59"/>
    <w:rsid w:val="11145D2D"/>
    <w:rsid w:val="1249275A"/>
    <w:rsid w:val="13E67EB4"/>
    <w:rsid w:val="14CC6CEF"/>
    <w:rsid w:val="15791A87"/>
    <w:rsid w:val="15B069B4"/>
    <w:rsid w:val="16A364BB"/>
    <w:rsid w:val="16F50DB6"/>
    <w:rsid w:val="17AF1790"/>
    <w:rsid w:val="17BB022D"/>
    <w:rsid w:val="181C0DF5"/>
    <w:rsid w:val="18375D2F"/>
    <w:rsid w:val="184B6186"/>
    <w:rsid w:val="18BD1C8B"/>
    <w:rsid w:val="19CE05F3"/>
    <w:rsid w:val="1A5D54D3"/>
    <w:rsid w:val="1ACD7171"/>
    <w:rsid w:val="1B1E4684"/>
    <w:rsid w:val="1B5508A0"/>
    <w:rsid w:val="1BB91F51"/>
    <w:rsid w:val="1C362ABA"/>
    <w:rsid w:val="1D102CD1"/>
    <w:rsid w:val="1D2917D5"/>
    <w:rsid w:val="1E2D3F8D"/>
    <w:rsid w:val="1EC05F67"/>
    <w:rsid w:val="20137861"/>
    <w:rsid w:val="201C5787"/>
    <w:rsid w:val="20A05219"/>
    <w:rsid w:val="20E9710F"/>
    <w:rsid w:val="219121EB"/>
    <w:rsid w:val="2217065D"/>
    <w:rsid w:val="22C2681B"/>
    <w:rsid w:val="24066BDB"/>
    <w:rsid w:val="24F66C50"/>
    <w:rsid w:val="250B4908"/>
    <w:rsid w:val="261C6242"/>
    <w:rsid w:val="272A1C23"/>
    <w:rsid w:val="27363334"/>
    <w:rsid w:val="274D4EE9"/>
    <w:rsid w:val="27501B30"/>
    <w:rsid w:val="2765396F"/>
    <w:rsid w:val="280831E3"/>
    <w:rsid w:val="2B3F7ED0"/>
    <w:rsid w:val="2C2916B9"/>
    <w:rsid w:val="2D420825"/>
    <w:rsid w:val="2EB711FE"/>
    <w:rsid w:val="301D1535"/>
    <w:rsid w:val="31D16DDB"/>
    <w:rsid w:val="320822B0"/>
    <w:rsid w:val="325F6749"/>
    <w:rsid w:val="33A53D1B"/>
    <w:rsid w:val="33DF40AC"/>
    <w:rsid w:val="34D66156"/>
    <w:rsid w:val="355400CD"/>
    <w:rsid w:val="36BA5D07"/>
    <w:rsid w:val="37954EAB"/>
    <w:rsid w:val="38531C29"/>
    <w:rsid w:val="393A75ED"/>
    <w:rsid w:val="39433B79"/>
    <w:rsid w:val="3A1E7F2F"/>
    <w:rsid w:val="3C28373B"/>
    <w:rsid w:val="3F03731C"/>
    <w:rsid w:val="3F0874E4"/>
    <w:rsid w:val="41DD4E57"/>
    <w:rsid w:val="42BE5BF2"/>
    <w:rsid w:val="42FA5706"/>
    <w:rsid w:val="434150E2"/>
    <w:rsid w:val="43875283"/>
    <w:rsid w:val="445552E9"/>
    <w:rsid w:val="45016A25"/>
    <w:rsid w:val="45837C34"/>
    <w:rsid w:val="45A55DFD"/>
    <w:rsid w:val="45B75A3B"/>
    <w:rsid w:val="45DD7344"/>
    <w:rsid w:val="46AF7568"/>
    <w:rsid w:val="473D549D"/>
    <w:rsid w:val="486D24D6"/>
    <w:rsid w:val="48AF3319"/>
    <w:rsid w:val="49174FFB"/>
    <w:rsid w:val="49CD78A8"/>
    <w:rsid w:val="4A76098F"/>
    <w:rsid w:val="4BD413DA"/>
    <w:rsid w:val="4BEDCA36"/>
    <w:rsid w:val="4C5109B1"/>
    <w:rsid w:val="4CF11DBD"/>
    <w:rsid w:val="4D157D93"/>
    <w:rsid w:val="4F0E67C1"/>
    <w:rsid w:val="4F7D56F4"/>
    <w:rsid w:val="4FD5491B"/>
    <w:rsid w:val="521265C8"/>
    <w:rsid w:val="522C486E"/>
    <w:rsid w:val="527C7EE5"/>
    <w:rsid w:val="53450DE5"/>
    <w:rsid w:val="54707474"/>
    <w:rsid w:val="54BC11C7"/>
    <w:rsid w:val="54E16725"/>
    <w:rsid w:val="56764C4B"/>
    <w:rsid w:val="56FA1C3F"/>
    <w:rsid w:val="58044C05"/>
    <w:rsid w:val="583C5EC8"/>
    <w:rsid w:val="585A2A77"/>
    <w:rsid w:val="5A354B99"/>
    <w:rsid w:val="5B446DDF"/>
    <w:rsid w:val="5C2F5FC8"/>
    <w:rsid w:val="5C636EE4"/>
    <w:rsid w:val="5E8F0FA0"/>
    <w:rsid w:val="5EA44A4C"/>
    <w:rsid w:val="5F5C7600"/>
    <w:rsid w:val="5F8672E6"/>
    <w:rsid w:val="5FF3AFD7"/>
    <w:rsid w:val="60011A2A"/>
    <w:rsid w:val="60C63559"/>
    <w:rsid w:val="61B9755A"/>
    <w:rsid w:val="61F73D25"/>
    <w:rsid w:val="64234664"/>
    <w:rsid w:val="644C5248"/>
    <w:rsid w:val="64517F09"/>
    <w:rsid w:val="655D5954"/>
    <w:rsid w:val="656B407E"/>
    <w:rsid w:val="657DCD21"/>
    <w:rsid w:val="66A46BE0"/>
    <w:rsid w:val="66DB1226"/>
    <w:rsid w:val="679F1299"/>
    <w:rsid w:val="67E57DB5"/>
    <w:rsid w:val="684F56B9"/>
    <w:rsid w:val="68B66B55"/>
    <w:rsid w:val="69A16AA6"/>
    <w:rsid w:val="6B754769"/>
    <w:rsid w:val="6C243E51"/>
    <w:rsid w:val="6C5F0204"/>
    <w:rsid w:val="6C6C7A54"/>
    <w:rsid w:val="6D0D5EB2"/>
    <w:rsid w:val="6D7A3A23"/>
    <w:rsid w:val="6D9627A5"/>
    <w:rsid w:val="6EF75E78"/>
    <w:rsid w:val="6FC80DB9"/>
    <w:rsid w:val="6FE84555"/>
    <w:rsid w:val="709F41DD"/>
    <w:rsid w:val="72C62D8B"/>
    <w:rsid w:val="73D2575F"/>
    <w:rsid w:val="74597CAA"/>
    <w:rsid w:val="74EE65C9"/>
    <w:rsid w:val="75CB06B8"/>
    <w:rsid w:val="75CE5BB6"/>
    <w:rsid w:val="75FD5E70"/>
    <w:rsid w:val="76014400"/>
    <w:rsid w:val="776F38A5"/>
    <w:rsid w:val="77D34C9D"/>
    <w:rsid w:val="78017594"/>
    <w:rsid w:val="7840713B"/>
    <w:rsid w:val="78580BBB"/>
    <w:rsid w:val="78DD67F1"/>
    <w:rsid w:val="78EC6ABE"/>
    <w:rsid w:val="795E233C"/>
    <w:rsid w:val="7B3075F6"/>
    <w:rsid w:val="7B840096"/>
    <w:rsid w:val="7C7D2C72"/>
    <w:rsid w:val="7C9C65D2"/>
    <w:rsid w:val="7E922582"/>
    <w:rsid w:val="7F237D65"/>
    <w:rsid w:val="7F243486"/>
    <w:rsid w:val="7F753A92"/>
    <w:rsid w:val="7FF5C601"/>
    <w:rsid w:val="7FF61C15"/>
    <w:rsid w:val="A8BF01C8"/>
    <w:rsid w:val="BD6C0A75"/>
    <w:rsid w:val="BFFF4AC0"/>
    <w:rsid w:val="CC755E78"/>
    <w:rsid w:val="D7F6E559"/>
    <w:rsid w:val="DF4F2A6A"/>
    <w:rsid w:val="DF7721A6"/>
    <w:rsid w:val="E167DA68"/>
    <w:rsid w:val="EB678524"/>
    <w:rsid w:val="EE9F18E7"/>
    <w:rsid w:val="F5FFB81F"/>
    <w:rsid w:val="F6FBC1D9"/>
    <w:rsid w:val="F8DAE6BF"/>
    <w:rsid w:val="FBFF624C"/>
    <w:rsid w:val="FFFFB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jc w:val="both"/>
      <w:textAlignment w:val="baseline"/>
    </w:pPr>
    <w:rPr>
      <w:rFonts w:ascii="宋体" w:hAnsi="Times New Roman" w:eastAsia="宋体" w:cs="宋体"/>
      <w:kern w:val="2"/>
      <w:sz w:val="24"/>
      <w:szCs w:val="24"/>
      <w:lang w:val="en-US" w:eastAsia="zh-CN" w:bidi="ar-SA"/>
    </w:rPr>
  </w:style>
  <w:style w:type="paragraph" w:styleId="3">
    <w:name w:val="heading 2"/>
    <w:basedOn w:val="1"/>
    <w:next w:val="1"/>
    <w:link w:val="64"/>
    <w:qFormat/>
    <w:uiPriority w:val="0"/>
    <w:pPr>
      <w:keepNext/>
      <w:keepLines/>
      <w:spacing w:before="260" w:beforeLines="0" w:beforeAutospacing="0" w:after="260" w:afterLines="0" w:afterAutospacing="0" w:line="413" w:lineRule="auto"/>
      <w:outlineLvl w:val="1"/>
    </w:pPr>
    <w:rPr>
      <w:rFonts w:ascii="Arial" w:hAnsi="Arial" w:eastAsia="黑体" w:cs="Times New Roman"/>
      <w:b/>
      <w:kern w:val="0"/>
      <w:sz w:val="32"/>
      <w:szCs w:val="20"/>
    </w:rPr>
  </w:style>
  <w:style w:type="paragraph" w:styleId="4">
    <w:name w:val="heading 3"/>
    <w:basedOn w:val="1"/>
    <w:next w:val="1"/>
    <w:qFormat/>
    <w:uiPriority w:val="0"/>
    <w:pPr>
      <w:keepNext/>
      <w:keepLines/>
      <w:spacing w:before="260" w:beforeLines="0" w:beforeAutospacing="0" w:after="260" w:afterLines="0" w:afterAutospacing="0" w:line="413" w:lineRule="auto"/>
      <w:outlineLvl w:val="2"/>
    </w:pPr>
    <w:rPr>
      <w:rFonts w:ascii="Times New Roman" w:cs="Times New Roman"/>
      <w:b/>
      <w:kern w:val="0"/>
      <w:sz w:val="32"/>
      <w:szCs w:val="20"/>
    </w:rPr>
  </w:style>
  <w:style w:type="paragraph" w:styleId="2">
    <w:name w:val="heading 4"/>
    <w:basedOn w:val="1"/>
    <w:next w:val="1"/>
    <w:qFormat/>
    <w:uiPriority w:val="0"/>
    <w:pPr>
      <w:keepNext/>
      <w:keepLines/>
      <w:spacing w:before="280" w:beforeLines="0" w:beforeAutospacing="0" w:after="290" w:afterLines="0" w:afterAutospacing="0" w:line="374" w:lineRule="auto"/>
      <w:outlineLvl w:val="3"/>
    </w:pPr>
    <w:rPr>
      <w:rFonts w:ascii="Arial" w:hAnsi="Arial"/>
      <w:sz w:val="24"/>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99"/>
    <w:pPr>
      <w:adjustRightInd w:val="0"/>
      <w:spacing w:line="360" w:lineRule="atLeast"/>
      <w:jc w:val="left"/>
    </w:pPr>
    <w:rPr>
      <w:rFonts w:cs="Times New Roman"/>
      <w:kern w:val="0"/>
    </w:rPr>
  </w:style>
  <w:style w:type="paragraph" w:styleId="6">
    <w:name w:val="Body Text"/>
    <w:basedOn w:val="1"/>
    <w:next w:val="7"/>
    <w:qFormat/>
    <w:uiPriority w:val="99"/>
    <w:rPr>
      <w:rFonts w:cs="Times New Roman"/>
      <w:kern w:val="0"/>
    </w:rPr>
  </w:style>
  <w:style w:type="paragraph" w:styleId="7">
    <w:name w:val="Body Text 2"/>
    <w:basedOn w:val="1"/>
    <w:next w:val="6"/>
    <w:qFormat/>
    <w:uiPriority w:val="0"/>
    <w:pPr>
      <w:spacing w:line="500" w:lineRule="exact"/>
    </w:pPr>
    <w:rPr>
      <w:rFonts w:eastAsia="Times New Roman"/>
    </w:rPr>
  </w:style>
  <w:style w:type="paragraph" w:styleId="8">
    <w:name w:val="Body Text Indent"/>
    <w:basedOn w:val="1"/>
    <w:qFormat/>
    <w:uiPriority w:val="0"/>
    <w:pPr>
      <w:ind w:firstLine="560" w:firstLineChars="200"/>
    </w:pPr>
  </w:style>
  <w:style w:type="paragraph" w:styleId="9">
    <w:name w:val="Plain Text"/>
    <w:basedOn w:val="1"/>
    <w:qFormat/>
    <w:uiPriority w:val="0"/>
    <w:rPr>
      <w:rFonts w:ascii="宋体" w:hAnsi="Courier New" w:eastAsia="宋体" w:cs="Courier New"/>
      <w:szCs w:val="21"/>
    </w:rPr>
  </w:style>
  <w:style w:type="paragraph" w:styleId="10">
    <w:name w:val="Body Text Indent 2"/>
    <w:basedOn w:val="1"/>
    <w:qFormat/>
    <w:uiPriority w:val="0"/>
    <w:pPr>
      <w:spacing w:line="480" w:lineRule="auto"/>
      <w:ind w:firstLine="561"/>
    </w:pPr>
    <w:rPr>
      <w:rFonts w:ascii="宋体"/>
    </w:rPr>
  </w:style>
  <w:style w:type="paragraph" w:styleId="11">
    <w:name w:val="footer"/>
    <w:basedOn w:val="1"/>
    <w:qFormat/>
    <w:uiPriority w:val="99"/>
    <w:pPr>
      <w:tabs>
        <w:tab w:val="center" w:pos="4153"/>
        <w:tab w:val="right" w:pos="8306"/>
      </w:tabs>
      <w:snapToGrid w:val="0"/>
      <w:jc w:val="left"/>
    </w:pPr>
    <w:rPr>
      <w:rFonts w:cs="Times New Roman"/>
      <w:kern w:val="0"/>
      <w:sz w:val="18"/>
      <w:szCs w:val="18"/>
    </w:rPr>
  </w:style>
  <w:style w:type="paragraph" w:styleId="12">
    <w:name w:val="envelope return"/>
    <w:basedOn w:val="1"/>
    <w:qFormat/>
    <w:uiPriority w:val="99"/>
    <w:pPr>
      <w:snapToGrid w:val="0"/>
    </w:pPr>
    <w:rPr>
      <w:rFonts w:ascii="Arial" w:hAnsi="Arial"/>
    </w:rPr>
  </w:style>
  <w:style w:type="paragraph" w:styleId="13">
    <w:name w:val="toc 1"/>
    <w:basedOn w:val="1"/>
    <w:next w:val="1"/>
    <w:qFormat/>
    <w:uiPriority w:val="99"/>
  </w:style>
  <w:style w:type="paragraph" w:styleId="14">
    <w:name w:val="toc 2"/>
    <w:basedOn w:val="1"/>
    <w:next w:val="1"/>
    <w:qFormat/>
    <w:uiPriority w:val="99"/>
    <w:pPr>
      <w:ind w:left="420" w:leftChars="200"/>
    </w:pPr>
  </w:style>
  <w:style w:type="paragraph" w:styleId="15">
    <w:name w:val="Normal (Web)"/>
    <w:basedOn w:val="1"/>
    <w:unhideWhenUsed/>
    <w:qFormat/>
    <w:uiPriority w:val="99"/>
    <w:pPr>
      <w:widowControl/>
      <w:spacing w:before="100" w:beforeAutospacing="1" w:after="100" w:afterAutospacing="1" w:line="240" w:lineRule="auto"/>
      <w:jc w:val="left"/>
    </w:pPr>
    <w:rPr>
      <w:rFonts w:hAnsi="宋体" w:cs="宋体"/>
      <w:kern w:val="0"/>
      <w:szCs w:val="24"/>
    </w:rPr>
  </w:style>
  <w:style w:type="paragraph" w:styleId="16">
    <w:name w:val="Body Text First Indent"/>
    <w:basedOn w:val="6"/>
    <w:qFormat/>
    <w:uiPriority w:val="99"/>
    <w:pPr>
      <w:spacing w:line="240" w:lineRule="auto"/>
      <w:ind w:firstLine="420" w:firstLineChars="100"/>
    </w:pPr>
    <w:rPr>
      <w:rFonts w:ascii="Times New Roman" w:cs="Times New Roman"/>
      <w:sz w:val="20"/>
      <w:szCs w:val="20"/>
    </w:rPr>
  </w:style>
  <w:style w:type="paragraph" w:styleId="17">
    <w:name w:val="Body Text First Indent 2"/>
    <w:basedOn w:val="8"/>
    <w:qFormat/>
    <w:uiPriority w:val="0"/>
    <w:pPr>
      <w:ind w:firstLine="420" w:firstLineChars="200"/>
    </w:pPr>
    <w:rPr>
      <w:rFonts w:ascii="Times New Roman" w:hAnsi="Times New Roman" w:eastAsia="宋体" w:cs="Times New Roman"/>
    </w:rPr>
  </w:style>
  <w:style w:type="character" w:styleId="20">
    <w:name w:val="Emphasis"/>
    <w:basedOn w:val="19"/>
    <w:qFormat/>
    <w:uiPriority w:val="0"/>
    <w:rPr>
      <w:i/>
    </w:rPr>
  </w:style>
  <w:style w:type="paragraph" w:customStyle="1" w:styleId="21">
    <w:name w:val="UserStyle_95"/>
    <w:qFormat/>
    <w:uiPriority w:val="99"/>
    <w:pPr>
      <w:jc w:val="both"/>
      <w:textAlignment w:val="baseline"/>
    </w:pPr>
    <w:rPr>
      <w:rFonts w:ascii="Times New Roman" w:hAnsi="Times New Roman" w:eastAsia="楷体_GB2312" w:cs="Times New Roman"/>
      <w:kern w:val="2"/>
      <w:sz w:val="21"/>
      <w:szCs w:val="21"/>
      <w:lang w:val="en-US" w:eastAsia="zh-CN" w:bidi="ar-SA"/>
    </w:rPr>
  </w:style>
  <w:style w:type="character" w:customStyle="1" w:styleId="22">
    <w:name w:val="NormalCharacter"/>
    <w:qFormat/>
    <w:uiPriority w:val="99"/>
  </w:style>
  <w:style w:type="paragraph" w:customStyle="1" w:styleId="23">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24">
    <w:name w:val="AnnotationText"/>
    <w:basedOn w:val="1"/>
    <w:qFormat/>
    <w:uiPriority w:val="99"/>
    <w:pPr>
      <w:spacing w:line="360" w:lineRule="atLeast"/>
      <w:jc w:val="left"/>
    </w:pPr>
    <w:rPr>
      <w:kern w:val="0"/>
    </w:rPr>
  </w:style>
  <w:style w:type="paragraph" w:customStyle="1" w:styleId="25">
    <w:name w:val="Heading1"/>
    <w:basedOn w:val="1"/>
    <w:next w:val="1"/>
    <w:qFormat/>
    <w:uiPriority w:val="99"/>
    <w:pPr>
      <w:jc w:val="left"/>
    </w:pPr>
    <w:rPr>
      <w:kern w:val="0"/>
      <w:sz w:val="30"/>
      <w:szCs w:val="30"/>
    </w:rPr>
  </w:style>
  <w:style w:type="paragraph" w:customStyle="1" w:styleId="26">
    <w:name w:val="Heading2"/>
    <w:basedOn w:val="1"/>
    <w:next w:val="1"/>
    <w:qFormat/>
    <w:uiPriority w:val="99"/>
    <w:pPr>
      <w:jc w:val="left"/>
    </w:pPr>
    <w:rPr>
      <w:kern w:val="0"/>
    </w:rPr>
  </w:style>
  <w:style w:type="paragraph" w:customStyle="1" w:styleId="27">
    <w:name w:val="正文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28">
    <w:name w:val="正文 New New New"/>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9">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0">
    <w:name w:val="UserStyle_62"/>
    <w:basedOn w:val="1"/>
    <w:next w:val="1"/>
    <w:qFormat/>
    <w:uiPriority w:val="99"/>
    <w:pPr>
      <w:jc w:val="center"/>
    </w:pPr>
    <w:rPr>
      <w:rFonts w:ascii="Times New Roman" w:cs="Times New Roman"/>
      <w:b/>
      <w:bCs/>
    </w:rPr>
  </w:style>
  <w:style w:type="paragraph" w:customStyle="1" w:styleId="31">
    <w:name w:val="正文缩进1"/>
    <w:basedOn w:val="1"/>
    <w:qFormat/>
    <w:uiPriority w:val="0"/>
    <w:pPr>
      <w:widowControl/>
      <w:spacing w:line="360" w:lineRule="auto"/>
      <w:ind w:firstLine="420"/>
      <w:jc w:val="left"/>
    </w:pPr>
    <w:rPr>
      <w:rFonts w:ascii="宋体" w:hAnsi="Times New Roman" w:cs="Times New Roman"/>
      <w:kern w:val="0"/>
      <w:sz w:val="20"/>
      <w:szCs w:val="20"/>
    </w:rPr>
  </w:style>
  <w:style w:type="paragraph" w:customStyle="1" w:styleId="32">
    <w:name w:val="BodyTextIndent"/>
    <w:basedOn w:val="1"/>
    <w:qFormat/>
    <w:uiPriority w:val="99"/>
    <w:pPr>
      <w:ind w:firstLine="560" w:firstLineChars="200"/>
    </w:pPr>
    <w:rPr>
      <w:rFonts w:cs="Times New Roman"/>
    </w:rPr>
  </w:style>
  <w:style w:type="paragraph" w:customStyle="1" w:styleId="33">
    <w:name w:val="样式 宋体 行距: 1.5 倍行距"/>
    <w:basedOn w:val="34"/>
    <w:next w:val="1"/>
    <w:qFormat/>
    <w:uiPriority w:val="99"/>
    <w:pPr>
      <w:jc w:val="center"/>
    </w:pPr>
    <w:rPr>
      <w:rFonts w:ascii="Times New Roman" w:cs="Times New Roman"/>
      <w:b/>
      <w:bCs/>
    </w:rPr>
  </w:style>
  <w:style w:type="paragraph" w:customStyle="1" w:styleId="34">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33"/>
    <w:qFormat/>
    <w:uiPriority w:val="0"/>
    <w:pPr>
      <w:widowControl w:val="0"/>
      <w:jc w:val="both"/>
    </w:pPr>
    <w:rPr>
      <w:rFonts w:ascii="Calibri" w:hAnsi="Calibri" w:eastAsia="宋体" w:cs="黑体"/>
      <w:kern w:val="2"/>
      <w:sz w:val="21"/>
      <w:szCs w:val="24"/>
      <w:lang w:val="en-US" w:eastAsia="zh-CN" w:bidi="ar-SA"/>
    </w:rPr>
  </w:style>
  <w:style w:type="paragraph" w:customStyle="1" w:styleId="35">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正文1"/>
    <w:basedOn w:val="1"/>
    <w:qFormat/>
    <w:uiPriority w:val="0"/>
    <w:rPr>
      <w:rFonts w:hAnsi="Times New Roman" w:cs="Times New Roman"/>
    </w:rPr>
  </w:style>
  <w:style w:type="character" w:customStyle="1" w:styleId="37">
    <w:name w:val="正文文本 (2) + 间距 0 pt3"/>
    <w:qFormat/>
    <w:uiPriority w:val="99"/>
    <w:rPr>
      <w:rFonts w:ascii="MingLiU" w:eastAsia="MingLiU" w:cs="MingLiU"/>
      <w:spacing w:val="0"/>
      <w:sz w:val="22"/>
      <w:szCs w:val="22"/>
      <w:u w:val="none"/>
    </w:rPr>
  </w:style>
  <w:style w:type="paragraph" w:customStyle="1" w:styleId="38">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9">
    <w:name w:val="UserStyle_44"/>
    <w:basedOn w:val="40"/>
    <w:qFormat/>
    <w:uiPriority w:val="99"/>
    <w:rPr>
      <w:sz w:val="24"/>
      <w:szCs w:val="24"/>
    </w:rPr>
  </w:style>
  <w:style w:type="paragraph" w:customStyle="1" w:styleId="40">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41">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2">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3">
    <w:name w:val="_Style 1"/>
    <w:basedOn w:val="1"/>
    <w:qFormat/>
    <w:uiPriority w:val="0"/>
    <w:pPr>
      <w:spacing w:line="240" w:lineRule="auto"/>
      <w:ind w:firstLine="420" w:firstLineChars="200"/>
    </w:pPr>
    <w:rPr>
      <w:rFonts w:ascii="Calibri" w:hAnsi="Calibri"/>
      <w:sz w:val="21"/>
      <w:szCs w:val="22"/>
    </w:rPr>
  </w:style>
  <w:style w:type="paragraph" w:customStyle="1" w:styleId="44">
    <w:name w:val="标题 3 New New"/>
    <w:basedOn w:val="45"/>
    <w:next w:val="45"/>
    <w:qFormat/>
    <w:uiPriority w:val="0"/>
    <w:pPr>
      <w:keepNext/>
      <w:keepLines/>
      <w:spacing w:before="120" w:beforeLines="0" w:beforeAutospacing="0" w:after="120" w:afterLines="0" w:afterAutospacing="0"/>
      <w:jc w:val="center"/>
      <w:outlineLvl w:val="2"/>
    </w:pPr>
    <w:rPr>
      <w:rFonts w:ascii="Times New Roman" w:hAnsi="Times New Roman" w:eastAsia="宋体" w:cs="Times New Roman"/>
      <w:sz w:val="24"/>
    </w:rPr>
  </w:style>
  <w:style w:type="paragraph" w:customStyle="1" w:styleId="45">
    <w:name w:val="正文缩进 New"/>
    <w:basedOn w:val="46"/>
    <w:qFormat/>
    <w:uiPriority w:val="0"/>
    <w:pPr>
      <w:widowControl/>
      <w:ind w:firstLine="420"/>
      <w:jc w:val="left"/>
    </w:pPr>
    <w:rPr>
      <w:rFonts w:ascii="Times New Roman" w:hAnsi="Times New Roman" w:eastAsia="宋体" w:cs="Times New Roman"/>
      <w:kern w:val="0"/>
      <w:sz w:val="20"/>
    </w:rPr>
  </w:style>
  <w:style w:type="paragraph" w:customStyle="1" w:styleId="46">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7">
    <w:name w:val="UserStyle_90"/>
    <w:basedOn w:val="1"/>
    <w:qFormat/>
    <w:uiPriority w:val="99"/>
    <w:pPr>
      <w:topLinePunct/>
      <w:ind w:firstLine="420" w:firstLineChars="200"/>
    </w:pPr>
    <w:rPr>
      <w:rFonts w:hAnsi="宋体"/>
    </w:rPr>
  </w:style>
  <w:style w:type="paragraph" w:customStyle="1" w:styleId="48">
    <w:name w:val="Heading3"/>
    <w:basedOn w:val="49"/>
    <w:next w:val="49"/>
    <w:qFormat/>
    <w:uiPriority w:val="99"/>
    <w:pPr>
      <w:keepNext/>
      <w:keepLines/>
      <w:spacing w:before="120" w:after="120"/>
      <w:jc w:val="center"/>
    </w:pPr>
    <w:rPr>
      <w:sz w:val="24"/>
      <w:szCs w:val="24"/>
    </w:rPr>
  </w:style>
  <w:style w:type="paragraph" w:customStyle="1" w:styleId="49">
    <w:name w:val="NormalIndent"/>
    <w:basedOn w:val="1"/>
    <w:qFormat/>
    <w:uiPriority w:val="99"/>
    <w:pPr>
      <w:ind w:firstLine="420"/>
      <w:jc w:val="left"/>
    </w:pPr>
    <w:rPr>
      <w:kern w:val="0"/>
      <w:sz w:val="20"/>
      <w:szCs w:val="20"/>
    </w:rPr>
  </w:style>
  <w:style w:type="paragraph" w:customStyle="1" w:styleId="50">
    <w:name w:val="UserStyle_76"/>
    <w:basedOn w:val="51"/>
    <w:qFormat/>
    <w:uiPriority w:val="99"/>
    <w:pPr>
      <w:ind w:firstLine="420"/>
      <w:jc w:val="left"/>
    </w:pPr>
    <w:rPr>
      <w:kern w:val="0"/>
      <w:sz w:val="20"/>
      <w:szCs w:val="20"/>
    </w:rPr>
  </w:style>
  <w:style w:type="paragraph" w:customStyle="1" w:styleId="51">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52">
    <w:name w:val="标题 2 New"/>
    <w:basedOn w:val="28"/>
    <w:qFormat/>
    <w:uiPriority w:val="0"/>
    <w:pPr>
      <w:widowControl/>
      <w:spacing w:before="100" w:beforeLines="0" w:beforeAutospacing="1" w:after="100" w:afterLines="0" w:afterAutospacing="1"/>
      <w:jc w:val="left"/>
      <w:outlineLvl w:val="1"/>
    </w:pPr>
    <w:rPr>
      <w:rFonts w:ascii="宋体" w:hAnsi="宋体"/>
      <w:b/>
      <w:bCs/>
      <w:kern w:val="0"/>
      <w:sz w:val="24"/>
      <w:szCs w:val="36"/>
    </w:rPr>
  </w:style>
  <w:style w:type="paragraph" w:customStyle="1" w:styleId="53">
    <w:name w:val="正文文本缩进 New"/>
    <w:basedOn w:val="46"/>
    <w:qFormat/>
    <w:uiPriority w:val="0"/>
    <w:pPr>
      <w:ind w:firstLine="560" w:firstLineChars="200"/>
    </w:pPr>
    <w:rPr>
      <w:rFonts w:ascii="宋体"/>
      <w:kern w:val="2"/>
      <w:sz w:val="24"/>
    </w:rPr>
  </w:style>
  <w:style w:type="paragraph" w:customStyle="1" w:styleId="54">
    <w:name w:val="正文 New"/>
    <w:qFormat/>
    <w:uiPriority w:val="0"/>
    <w:pPr>
      <w:widowControl w:val="0"/>
      <w:spacing w:line="360" w:lineRule="auto"/>
      <w:jc w:val="both"/>
    </w:pPr>
    <w:rPr>
      <w:rFonts w:ascii="宋体" w:hAnsi="Calibri" w:eastAsia="微软雅黑" w:cs="Times New Roman"/>
      <w:kern w:val="2"/>
      <w:sz w:val="24"/>
      <w:lang w:val="en-US" w:eastAsia="zh-CN" w:bidi="ar-SA"/>
    </w:rPr>
  </w:style>
  <w:style w:type="paragraph" w:customStyle="1" w:styleId="55">
    <w:name w:val="BodyText"/>
    <w:basedOn w:val="1"/>
    <w:qFormat/>
    <w:uiPriority w:val="99"/>
    <w:pPr>
      <w:spacing w:after="120"/>
    </w:pPr>
  </w:style>
  <w:style w:type="paragraph" w:customStyle="1" w:styleId="56">
    <w:name w:val="UserStyle_60"/>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57">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8">
    <w:name w:val="标题 2 Char"/>
    <w:link w:val="3"/>
    <w:qFormat/>
    <w:uiPriority w:val="0"/>
    <w:rPr>
      <w:rFonts w:ascii="Arial" w:hAnsi="Arial" w:eastAsia="黑体" w:cs="Times New Roman"/>
      <w:b/>
      <w:kern w:val="0"/>
      <w:sz w:val="32"/>
      <w:szCs w:val="20"/>
    </w:rPr>
  </w:style>
  <w:style w:type="paragraph" w:customStyle="1" w:styleId="59">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0">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1">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2">
    <w:name w:val="Table Text"/>
    <w:basedOn w:val="1"/>
    <w:semiHidden/>
    <w:qFormat/>
    <w:uiPriority w:val="0"/>
    <w:rPr>
      <w:rFonts w:ascii="宋体" w:hAnsi="宋体" w:eastAsia="宋体" w:cs="宋体"/>
      <w:sz w:val="19"/>
      <w:szCs w:val="19"/>
      <w:lang w:val="en-US" w:eastAsia="en-US" w:bidi="ar-SA"/>
    </w:rPr>
  </w:style>
  <w:style w:type="table" w:customStyle="1" w:styleId="63">
    <w:name w:val="Table Normal"/>
    <w:unhideWhenUsed/>
    <w:qFormat/>
    <w:uiPriority w:val="0"/>
    <w:tblPr>
      <w:tblCellMar>
        <w:top w:w="0" w:type="dxa"/>
        <w:left w:w="0" w:type="dxa"/>
        <w:bottom w:w="0" w:type="dxa"/>
        <w:right w:w="0" w:type="dxa"/>
      </w:tblCellMar>
    </w:tblPr>
  </w:style>
  <w:style w:type="character" w:customStyle="1" w:styleId="64">
    <w:name w:val="标题 2 字符"/>
    <w:link w:val="3"/>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14.png"/><Relationship Id="rId33" Type="http://schemas.openxmlformats.org/officeDocument/2006/relationships/image" Target="media/image13.png"/><Relationship Id="rId32" Type="http://schemas.openxmlformats.org/officeDocument/2006/relationships/image" Target="media/image12.wmf"/><Relationship Id="rId31" Type="http://schemas.openxmlformats.org/officeDocument/2006/relationships/oleObject" Target="embeddings/oleObject12.bin"/><Relationship Id="rId30" Type="http://schemas.openxmlformats.org/officeDocument/2006/relationships/image" Target="media/image11.wmf"/><Relationship Id="rId3" Type="http://schemas.openxmlformats.org/officeDocument/2006/relationships/footnotes" Target="footnotes.xml"/><Relationship Id="rId29" Type="http://schemas.openxmlformats.org/officeDocument/2006/relationships/oleObject" Target="embeddings/oleObject11.bin"/><Relationship Id="rId28" Type="http://schemas.openxmlformats.org/officeDocument/2006/relationships/image" Target="media/image10.wmf"/><Relationship Id="rId27" Type="http://schemas.openxmlformats.org/officeDocument/2006/relationships/oleObject" Target="embeddings/oleObject10.bin"/><Relationship Id="rId26" Type="http://schemas.openxmlformats.org/officeDocument/2006/relationships/image" Target="media/image9.wmf"/><Relationship Id="rId25" Type="http://schemas.openxmlformats.org/officeDocument/2006/relationships/oleObject" Target="embeddings/oleObject9.bin"/><Relationship Id="rId24" Type="http://schemas.openxmlformats.org/officeDocument/2006/relationships/image" Target="media/image8.wmf"/><Relationship Id="rId23" Type="http://schemas.openxmlformats.org/officeDocument/2006/relationships/oleObject" Target="embeddings/oleObject8.bin"/><Relationship Id="rId22" Type="http://schemas.openxmlformats.org/officeDocument/2006/relationships/image" Target="media/image7.wmf"/><Relationship Id="rId21" Type="http://schemas.openxmlformats.org/officeDocument/2006/relationships/oleObject" Target="embeddings/oleObject7.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wmf"/><Relationship Id="rId17" Type="http://schemas.openxmlformats.org/officeDocument/2006/relationships/oleObject" Target="embeddings/oleObject5.bin"/><Relationship Id="rId16" Type="http://schemas.openxmlformats.org/officeDocument/2006/relationships/image" Target="media/image4.wmf"/><Relationship Id="rId15" Type="http://schemas.openxmlformats.org/officeDocument/2006/relationships/oleObject" Target="embeddings/oleObject4.bin"/><Relationship Id="rId14" Type="http://schemas.openxmlformats.org/officeDocument/2006/relationships/image" Target="media/image3.wmf"/><Relationship Id="rId13" Type="http://schemas.openxmlformats.org/officeDocument/2006/relationships/oleObject" Target="embeddings/oleObject3.bin"/><Relationship Id="rId12" Type="http://schemas.openxmlformats.org/officeDocument/2006/relationships/image" Target="media/image2.wmf"/><Relationship Id="rId11" Type="http://schemas.openxmlformats.org/officeDocument/2006/relationships/oleObject" Target="embeddings/oleObject2.bin"/><Relationship Id="rId10" Type="http://schemas.openxmlformats.org/officeDocument/2006/relationships/image" Target="media/image1.w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115</Pages>
  <Words>17487</Words>
  <Characters>19015</Characters>
  <Lines>0</Lines>
  <Paragraphs>0</Paragraphs>
  <TotalTime>3</TotalTime>
  <ScaleCrop>false</ScaleCrop>
  <LinksUpToDate>false</LinksUpToDate>
  <CharactersWithSpaces>19311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2023-09-03T07:49:00Z</dcterms:created>
  <dc:creator>Chen~小璇</dc:creator>
  <cp:lastModifiedBy>WPS_1481086387</cp:lastModifiedBy>
  <cp:lastPrinted>2026-09-23T07:55:00Z</cp:lastPrinted>
  <dcterms:modified xsi:type="dcterms:W3CDTF">2026-09-24T08:11:16Z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4742BE2E2B664888A68D3B4F350654EC_11</vt:lpwstr>
  </property>
  <property fmtid="{D5CDD505-2E9C-101B-9397-08002B2CF9AE}" pid="4" name="KSOTemplateDocerSaveRecord">
    <vt:lpwstr>eyJoZGlkIjoiNDNkZTgwOWMwNTI5NDcwOWIwZWRhY2VkYzBlYzIwMGIiLCJ1c2VySWQiOiIyNTUzNTE1MTMifQ==</vt:lpwstr>
  </property>
</Properties>
</file>