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04"/>
        <w:wordWrap w:val="0"/>
        <w:adjustRightInd w:val="0"/>
        <w:snapToGrid w:val="0"/>
        <w:spacing w:line="360" w:lineRule="auto"/>
        <w:jc w:val="center"/>
        <w:rPr>
          <w:rFonts w:hint="eastAsia" w:eastAsia="宋体"/>
          <w:b/>
          <w:snapToGrid w:val="0"/>
          <w:color w:val="auto"/>
          <w:kern w:val="0"/>
          <w:sz w:val="52"/>
          <w:szCs w:val="52"/>
          <w:highlight w:val="none"/>
          <w:lang w:eastAsia="zh-CN"/>
        </w:rPr>
      </w:pPr>
      <w:r>
        <w:rPr>
          <w:rFonts w:hint="eastAsia" w:eastAsia="宋体"/>
          <w:b/>
          <w:snapToGrid w:val="0"/>
          <w:color w:val="auto"/>
          <w:kern w:val="0"/>
          <w:sz w:val="52"/>
          <w:szCs w:val="52"/>
          <w:highlight w:val="none"/>
          <w:lang w:eastAsia="zh-CN"/>
        </w:rPr>
        <w:t>新建乐昌市第二中学学生宿舍楼项目施工</w:t>
      </w:r>
    </w:p>
    <w:p>
      <w:pPr>
        <w:pStyle w:val="104"/>
        <w:wordWrap w:val="0"/>
        <w:adjustRightInd w:val="0"/>
        <w:snapToGrid w:val="0"/>
        <w:spacing w:line="360" w:lineRule="auto"/>
        <w:jc w:val="center"/>
        <w:rPr>
          <w:rFonts w:hint="eastAsia" w:eastAsia="宋体"/>
          <w:b/>
          <w:snapToGrid w:val="0"/>
          <w:color w:val="auto"/>
          <w:kern w:val="0"/>
          <w:sz w:val="52"/>
          <w:szCs w:val="52"/>
          <w:highlight w:val="none"/>
          <w:lang w:eastAsia="zh-CN"/>
        </w:rPr>
      </w:pPr>
    </w:p>
    <w:p>
      <w:pPr>
        <w:pStyle w:val="104"/>
        <w:wordWrap w:val="0"/>
        <w:adjustRightInd w:val="0"/>
        <w:snapToGrid w:val="0"/>
        <w:spacing w:line="360" w:lineRule="auto"/>
        <w:jc w:val="cente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pPr>
        <w:wordWrap w:val="0"/>
        <w:adjustRightInd w:val="0"/>
        <w:snapToGrid w:val="0"/>
        <w:rPr>
          <w:rFonts w:hint="eastAsia" w:ascii="Times New Roman"/>
          <w:b/>
          <w:bCs/>
          <w:snapToGrid w:val="0"/>
          <w:color w:val="auto"/>
          <w:kern w:val="0"/>
          <w:sz w:val="48"/>
          <w:szCs w:val="48"/>
          <w:highlight w:val="none"/>
        </w:rPr>
      </w:pPr>
    </w:p>
    <w:p>
      <w:pPr>
        <w:pStyle w:val="2"/>
        <w:rPr>
          <w:rFonts w:hint="eastAsia"/>
        </w:rPr>
      </w:pPr>
    </w:p>
    <w:tbl>
      <w:tblPr>
        <w:tblStyle w:val="30"/>
        <w:tblW w:w="9728" w:type="dxa"/>
        <w:tblInd w:w="-100" w:type="dxa"/>
        <w:tblLayout w:type="fixed"/>
        <w:tblCellMar>
          <w:top w:w="0" w:type="dxa"/>
          <w:left w:w="0" w:type="dxa"/>
          <w:bottom w:w="0" w:type="dxa"/>
          <w:right w:w="0" w:type="dxa"/>
        </w:tblCellMar>
      </w:tblPr>
      <w:tblGrid>
        <w:gridCol w:w="4708"/>
        <w:gridCol w:w="5020"/>
      </w:tblGrid>
      <w:tr>
        <w:tblPrEx>
          <w:tblCellMar>
            <w:top w:w="0" w:type="dxa"/>
            <w:left w:w="0" w:type="dxa"/>
            <w:bottom w:w="0" w:type="dxa"/>
            <w:right w:w="0" w:type="dxa"/>
          </w:tblCellMar>
        </w:tblPrEx>
        <w:trPr>
          <w:trHeight w:val="1205"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标</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人（盖单位章）：</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r>
              <w:rPr>
                <w:rFonts w:hint="eastAsia" w:ascii="Times New Roman"/>
                <w:snapToGrid w:val="0"/>
                <w:color w:val="auto"/>
                <w:kern w:val="0"/>
                <w:sz w:val="28"/>
                <w:szCs w:val="28"/>
                <w:highlight w:val="none"/>
                <w:lang w:eastAsia="zh-CN"/>
              </w:rPr>
              <w:t>乐昌市政府投资建设项目代建管理局</w:t>
            </w:r>
          </w:p>
        </w:tc>
      </w:tr>
      <w:tr>
        <w:tblPrEx>
          <w:tblCellMar>
            <w:top w:w="0" w:type="dxa"/>
            <w:left w:w="0" w:type="dxa"/>
            <w:bottom w:w="0" w:type="dxa"/>
            <w:right w:w="0" w:type="dxa"/>
          </w:tblCellMar>
        </w:tblPrEx>
        <w:trPr>
          <w:trHeight w:val="1130"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招标人工作领导小组负责人（签字）：</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p>
        </w:tc>
      </w:tr>
      <w:tr>
        <w:tblPrEx>
          <w:tblCellMar>
            <w:top w:w="0" w:type="dxa"/>
            <w:left w:w="0" w:type="dxa"/>
            <w:bottom w:w="0" w:type="dxa"/>
            <w:right w:w="0" w:type="dxa"/>
          </w:tblCellMar>
        </w:tblPrEx>
        <w:trPr>
          <w:trHeight w:val="1190"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 标 代 理 机 构 （盖单位章）：</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r>
              <w:rPr>
                <w:rFonts w:hint="eastAsia" w:ascii="Times New Roman"/>
                <w:snapToGrid w:val="0"/>
                <w:color w:val="auto"/>
                <w:kern w:val="0"/>
                <w:sz w:val="28"/>
                <w:szCs w:val="28"/>
                <w:highlight w:val="none"/>
                <w:lang w:eastAsia="zh-CN"/>
              </w:rPr>
              <w:t>深圳市建衡达工程造价咨询有限公司</w:t>
            </w:r>
          </w:p>
        </w:tc>
      </w:tr>
      <w:tr>
        <w:tblPrEx>
          <w:tblCellMar>
            <w:top w:w="0" w:type="dxa"/>
            <w:left w:w="0" w:type="dxa"/>
            <w:bottom w:w="0" w:type="dxa"/>
            <w:right w:w="0" w:type="dxa"/>
          </w:tblCellMar>
        </w:tblPrEx>
        <w:trPr>
          <w:trHeight w:val="1185"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招标文件编制人（签字）：</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p>
        </w:tc>
      </w:tr>
      <w:tr>
        <w:tblPrEx>
          <w:tblCellMar>
            <w:top w:w="0" w:type="dxa"/>
            <w:left w:w="0" w:type="dxa"/>
            <w:bottom w:w="0" w:type="dxa"/>
            <w:right w:w="0" w:type="dxa"/>
          </w:tblCellMar>
        </w:tblPrEx>
        <w:trPr>
          <w:trHeight w:val="1185"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招标代理机构项目负责人（签字）：</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p>
        </w:tc>
      </w:tr>
      <w:tr>
        <w:tblPrEx>
          <w:tblCellMar>
            <w:top w:w="0" w:type="dxa"/>
            <w:left w:w="0" w:type="dxa"/>
            <w:bottom w:w="0" w:type="dxa"/>
            <w:right w:w="0" w:type="dxa"/>
          </w:tblCellMar>
        </w:tblPrEx>
        <w:trPr>
          <w:trHeight w:val="892"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招标文件编制日期：</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highlight w:val="none"/>
              </w:rPr>
            </w:pPr>
            <w:r>
              <w:rPr>
                <w:rFonts w:hint="eastAsia" w:ascii="Times New Roman"/>
                <w:snapToGrid w:val="0"/>
                <w:color w:val="auto"/>
                <w:kern w:val="0"/>
                <w:sz w:val="28"/>
                <w:highlight w:val="none"/>
                <w:lang w:val="en-US" w:eastAsia="zh-CN"/>
              </w:rPr>
              <w:t>2023</w:t>
            </w:r>
            <w:r>
              <w:rPr>
                <w:rFonts w:hint="eastAsia" w:ascii="Times New Roman"/>
                <w:snapToGrid w:val="0"/>
                <w:color w:val="auto"/>
                <w:kern w:val="0"/>
                <w:sz w:val="28"/>
                <w:highlight w:val="none"/>
              </w:rPr>
              <w:t>年</w:t>
            </w:r>
            <w:r>
              <w:rPr>
                <w:rFonts w:hint="eastAsia" w:ascii="Times New Roman"/>
                <w:snapToGrid w:val="0"/>
                <w:color w:val="auto"/>
                <w:kern w:val="0"/>
                <w:sz w:val="28"/>
                <w:highlight w:val="none"/>
                <w:lang w:val="en-US" w:eastAsia="zh-CN"/>
              </w:rPr>
              <w:t xml:space="preserve"> 5 </w:t>
            </w:r>
            <w:r>
              <w:rPr>
                <w:rFonts w:hint="eastAsia" w:ascii="Times New Roman"/>
                <w:snapToGrid w:val="0"/>
                <w:color w:val="auto"/>
                <w:kern w:val="0"/>
                <w:sz w:val="28"/>
                <w:highlight w:val="none"/>
              </w:rPr>
              <w:t>月</w:t>
            </w:r>
            <w:r>
              <w:rPr>
                <w:rFonts w:hint="eastAsia" w:ascii="Times New Roman"/>
                <w:snapToGrid w:val="0"/>
                <w:color w:val="auto"/>
                <w:kern w:val="0"/>
                <w:sz w:val="28"/>
                <w:highlight w:val="none"/>
                <w:lang w:val="en-US" w:eastAsia="zh-CN"/>
              </w:rPr>
              <w:t xml:space="preserve"> 23 </w:t>
            </w:r>
            <w:r>
              <w:rPr>
                <w:rFonts w:hint="eastAsia" w:ascii="Times New Roman"/>
                <w:snapToGrid w:val="0"/>
                <w:color w:val="auto"/>
                <w:kern w:val="0"/>
                <w:sz w:val="28"/>
                <w:highlight w:val="none"/>
              </w:rPr>
              <w:t>日</w:t>
            </w:r>
          </w:p>
        </w:tc>
      </w:tr>
    </w:tbl>
    <w:p>
      <w:pPr>
        <w:tabs>
          <w:tab w:val="left" w:pos="4935"/>
        </w:tabs>
        <w:wordWrap w:val="0"/>
        <w:adjustRightInd w:val="0"/>
        <w:snapToGrid w:val="0"/>
        <w:jc w:val="center"/>
        <w:rPr>
          <w:rFonts w:hint="eastAsia" w:ascii="Times New Roman"/>
          <w:b/>
          <w:snapToGrid w:val="0"/>
          <w:color w:val="auto"/>
          <w:kern w:val="0"/>
          <w:sz w:val="28"/>
          <w:szCs w:val="28"/>
          <w:highlight w:val="none"/>
        </w:rPr>
        <w:sectPr>
          <w:footerReference r:id="rId5"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p>
    <w:p>
      <w:pPr>
        <w:tabs>
          <w:tab w:val="left" w:pos="4935"/>
        </w:tabs>
        <w:wordWrap w:val="0"/>
        <w:adjustRightInd w:val="0"/>
        <w:snapToGrid w:val="0"/>
        <w:spacing w:line="440" w:lineRule="exact"/>
        <w:ind w:left="0"/>
        <w:jc w:val="center"/>
        <w:rPr>
          <w:rFonts w:hint="eastAsia" w:ascii="Times New Roman" w:hAnsi="Times New Roman" w:eastAsia="宋体" w:cs="Times New Roman"/>
          <w:b/>
          <w:snapToGrid w:val="0"/>
          <w:color w:val="auto"/>
          <w:kern w:val="0"/>
          <w:sz w:val="44"/>
          <w:szCs w:val="44"/>
          <w:highlight w:val="none"/>
          <w:lang w:val="en-US" w:eastAsia="zh-CN" w:bidi="ar-SA"/>
        </w:rPr>
      </w:pPr>
      <w:r>
        <w:rPr>
          <w:rFonts w:hint="eastAsia" w:ascii="Times New Roman" w:hAnsi="Times New Roman" w:eastAsia="宋体" w:cs="Times New Roman"/>
          <w:b/>
          <w:snapToGrid w:val="0"/>
          <w:color w:val="auto"/>
          <w:kern w:val="0"/>
          <w:sz w:val="44"/>
          <w:szCs w:val="44"/>
          <w:highlight w:val="none"/>
          <w:lang w:val="en-US" w:eastAsia="zh-CN" w:bidi="ar-SA"/>
        </w:rPr>
        <w:t>目    录</w:t>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_Toc9170 </w:instrText>
      </w:r>
      <w:r>
        <w:rPr>
          <w:color w:val="auto"/>
          <w:highlight w:val="none"/>
        </w:rPr>
        <w:fldChar w:fldCharType="separate"/>
      </w:r>
      <w:r>
        <w:rPr>
          <w:rFonts w:hint="eastAsia" w:ascii="Times New Roman"/>
          <w:snapToGrid w:val="0"/>
          <w:color w:val="auto"/>
          <w:highlight w:val="none"/>
        </w:rPr>
        <w:t>第一章 投标人须知</w:t>
      </w:r>
      <w:r>
        <w:rPr>
          <w:color w:val="auto"/>
          <w:highlight w:val="none"/>
        </w:rPr>
        <w:tab/>
      </w:r>
      <w:r>
        <w:rPr>
          <w:color w:val="auto"/>
          <w:highlight w:val="none"/>
        </w:rPr>
        <w:fldChar w:fldCharType="begin"/>
      </w:r>
      <w:r>
        <w:rPr>
          <w:color w:val="auto"/>
          <w:highlight w:val="none"/>
        </w:rPr>
        <w:instrText xml:space="preserve"> PAGEREF _Toc9170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_Toc11552 </w:instrText>
      </w:r>
      <w:r>
        <w:rPr>
          <w:color w:val="auto"/>
          <w:highlight w:val="none"/>
        </w:rPr>
        <w:fldChar w:fldCharType="separate"/>
      </w:r>
      <w:r>
        <w:rPr>
          <w:rFonts w:hint="eastAsia" w:ascii="Times New Roman" w:hAnsi="Times New Roman" w:eastAsia="宋体" w:cs="Times New Roman"/>
          <w:snapToGrid w:val="0"/>
          <w:color w:val="auto"/>
          <w:kern w:val="0"/>
          <w:highlight w:val="none"/>
          <w:lang w:val="en-US" w:eastAsia="zh-CN" w:bidi="ar-SA"/>
        </w:rPr>
        <w:t>第二章 中标人须知</w:t>
      </w:r>
      <w:r>
        <w:rPr>
          <w:color w:val="auto"/>
          <w:highlight w:val="none"/>
        </w:rPr>
        <w:tab/>
      </w:r>
      <w:r>
        <w:rPr>
          <w:color w:val="auto"/>
          <w:highlight w:val="none"/>
        </w:rPr>
        <w:fldChar w:fldCharType="begin"/>
      </w:r>
      <w:r>
        <w:rPr>
          <w:color w:val="auto"/>
          <w:highlight w:val="none"/>
        </w:rPr>
        <w:instrText xml:space="preserve"> PAGEREF _Toc11552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_Toc29140 </w:instrText>
      </w:r>
      <w:r>
        <w:rPr>
          <w:color w:val="auto"/>
          <w:highlight w:val="none"/>
        </w:rPr>
        <w:fldChar w:fldCharType="separate"/>
      </w:r>
      <w:r>
        <w:rPr>
          <w:rFonts w:hint="eastAsia" w:ascii="Times New Roman"/>
          <w:snapToGrid w:val="0"/>
          <w:color w:val="auto"/>
          <w:highlight w:val="none"/>
        </w:rPr>
        <w:t>第三章 拟签订合同的主要条款</w:t>
      </w:r>
      <w:r>
        <w:rPr>
          <w:color w:val="auto"/>
          <w:highlight w:val="none"/>
        </w:rPr>
        <w:tab/>
      </w:r>
      <w:r>
        <w:rPr>
          <w:color w:val="auto"/>
          <w:highlight w:val="none"/>
        </w:rPr>
        <w:fldChar w:fldCharType="begin"/>
      </w:r>
      <w:r>
        <w:rPr>
          <w:color w:val="auto"/>
          <w:highlight w:val="none"/>
        </w:rPr>
        <w:instrText xml:space="preserve"> PAGEREF _Toc29140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_Toc29825 </w:instrText>
      </w:r>
      <w:r>
        <w:rPr>
          <w:color w:val="auto"/>
          <w:highlight w:val="none"/>
        </w:rPr>
        <w:fldChar w:fldCharType="separate"/>
      </w:r>
      <w:r>
        <w:rPr>
          <w:rFonts w:hint="eastAsia" w:ascii="Times New Roman"/>
          <w:snapToGrid w:val="0"/>
          <w:color w:val="auto"/>
          <w:highlight w:val="none"/>
        </w:rPr>
        <w:t>第四章 技术要求</w:t>
      </w:r>
      <w:r>
        <w:rPr>
          <w:color w:val="auto"/>
          <w:highlight w:val="none"/>
        </w:rPr>
        <w:tab/>
      </w:r>
      <w:r>
        <w:rPr>
          <w:color w:val="auto"/>
          <w:highlight w:val="none"/>
        </w:rPr>
        <w:fldChar w:fldCharType="begin"/>
      </w:r>
      <w:r>
        <w:rPr>
          <w:color w:val="auto"/>
          <w:highlight w:val="none"/>
        </w:rPr>
        <w:instrText xml:space="preserve"> PAGEREF _Toc29825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_Toc627 </w:instrText>
      </w:r>
      <w:r>
        <w:rPr>
          <w:color w:val="auto"/>
          <w:highlight w:val="none"/>
        </w:rPr>
        <w:fldChar w:fldCharType="separate"/>
      </w:r>
      <w:r>
        <w:rPr>
          <w:rFonts w:hint="eastAsia" w:ascii="Times New Roman"/>
          <w:snapToGrid w:val="0"/>
          <w:color w:val="auto"/>
          <w:highlight w:val="none"/>
        </w:rPr>
        <w:t>第五章 图纸和招标工程量清单</w:t>
      </w:r>
      <w:r>
        <w:rPr>
          <w:color w:val="auto"/>
          <w:highlight w:val="none"/>
        </w:rPr>
        <w:tab/>
      </w:r>
      <w:r>
        <w:rPr>
          <w:color w:val="auto"/>
          <w:highlight w:val="none"/>
        </w:rPr>
        <w:fldChar w:fldCharType="begin"/>
      </w:r>
      <w:r>
        <w:rPr>
          <w:color w:val="auto"/>
          <w:highlight w:val="none"/>
        </w:rPr>
        <w:instrText xml:space="preserve"> PAGEREF _Toc627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_Toc31380 </w:instrText>
      </w:r>
      <w:r>
        <w:rPr>
          <w:color w:val="auto"/>
          <w:highlight w:val="none"/>
        </w:rPr>
        <w:fldChar w:fldCharType="separate"/>
      </w:r>
      <w:r>
        <w:rPr>
          <w:rFonts w:hint="eastAsia" w:ascii="Times New Roman"/>
          <w:snapToGrid w:val="0"/>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_Toc31380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2"/>
        <w:tabs>
          <w:tab w:val="right" w:leader="dot" w:pos="8844"/>
        </w:tabs>
        <w:rPr>
          <w:color w:val="auto"/>
          <w:highlight w:val="none"/>
        </w:rPr>
      </w:pPr>
      <w:r>
        <w:rPr>
          <w:color w:val="auto"/>
          <w:highlight w:val="none"/>
        </w:rPr>
        <w:fldChar w:fldCharType="begin"/>
      </w:r>
      <w:r>
        <w:rPr>
          <w:color w:val="auto"/>
          <w:highlight w:val="none"/>
        </w:rPr>
        <w:instrText xml:space="preserve"> HYPERLINK \l _Toc31179 </w:instrText>
      </w:r>
      <w:r>
        <w:rPr>
          <w:color w:val="auto"/>
          <w:highlight w:val="none"/>
        </w:rPr>
        <w:fldChar w:fldCharType="separate"/>
      </w:r>
      <w:r>
        <w:rPr>
          <w:rFonts w:hint="eastAsia" w:ascii="Times New Roman"/>
          <w:snapToGrid w:val="0"/>
          <w:color w:val="auto"/>
          <w:highlight w:val="none"/>
        </w:rPr>
        <w:t>第七章 建设工程施工合同</w:t>
      </w:r>
      <w:r>
        <w:rPr>
          <w:color w:val="auto"/>
          <w:highlight w:val="none"/>
        </w:rPr>
        <w:tab/>
      </w:r>
      <w:r>
        <w:rPr>
          <w:color w:val="auto"/>
          <w:highlight w:val="none"/>
        </w:rPr>
        <w:fldChar w:fldCharType="begin"/>
      </w:r>
      <w:r>
        <w:rPr>
          <w:color w:val="auto"/>
          <w:highlight w:val="none"/>
        </w:rPr>
        <w:instrText xml:space="preserve"> PAGEREF _Toc31179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2"/>
        <w:rPr>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r>
        <w:rPr>
          <w:color w:val="auto"/>
          <w:highlight w:val="none"/>
        </w:rPr>
        <w:fldChar w:fldCharType="end"/>
      </w:r>
    </w:p>
    <w:p>
      <w:pPr>
        <w:pStyle w:val="3"/>
        <w:wordWrap w:val="0"/>
        <w:autoSpaceDE/>
        <w:autoSpaceDN/>
        <w:snapToGrid w:val="0"/>
        <w:spacing w:line="440" w:lineRule="exact"/>
        <w:jc w:val="center"/>
        <w:rPr>
          <w:rFonts w:hint="eastAsia" w:ascii="Times New Roman"/>
          <w:b/>
          <w:snapToGrid w:val="0"/>
          <w:color w:val="auto"/>
          <w:sz w:val="24"/>
          <w:highlight w:val="none"/>
        </w:rPr>
      </w:pPr>
      <w:bookmarkStart w:id="0" w:name="_Hlt66104981"/>
      <w:bookmarkEnd w:id="0"/>
      <w:bookmarkStart w:id="1" w:name="_Hlt122423813"/>
      <w:bookmarkEnd w:id="1"/>
      <w:bookmarkStart w:id="2" w:name="_Hlt66153951"/>
      <w:bookmarkEnd w:id="2"/>
      <w:bookmarkStart w:id="3" w:name="_Toc476739600"/>
      <w:bookmarkStart w:id="4" w:name="_Toc14094"/>
      <w:bookmarkStart w:id="5" w:name="_Toc12558"/>
      <w:bookmarkStart w:id="6" w:name="_Toc9170"/>
      <w:bookmarkStart w:id="7" w:name="_Hlt111690251"/>
      <w:r>
        <w:rPr>
          <w:rFonts w:hint="eastAsia" w:ascii="Times New Roman"/>
          <w:b/>
          <w:snapToGrid w:val="0"/>
          <w:color w:val="auto"/>
          <w:sz w:val="24"/>
          <w:highlight w:val="none"/>
        </w:rPr>
        <w:t>第一章 投标人须知</w:t>
      </w:r>
      <w:bookmarkEnd w:id="3"/>
      <w:bookmarkEnd w:id="4"/>
      <w:bookmarkEnd w:id="5"/>
      <w:bookmarkEnd w:id="6"/>
    </w:p>
    <w:p>
      <w:pPr>
        <w:pStyle w:val="4"/>
        <w:wordWrap w:val="0"/>
        <w:autoSpaceDE/>
        <w:autoSpaceDN/>
        <w:snapToGrid w:val="0"/>
        <w:spacing w:before="260" w:after="260" w:line="440" w:lineRule="exact"/>
        <w:jc w:val="both"/>
        <w:rPr>
          <w:rFonts w:hint="eastAsia" w:ascii="Times New Roman"/>
          <w:b/>
          <w:snapToGrid w:val="0"/>
          <w:color w:val="auto"/>
          <w:highlight w:val="none"/>
        </w:rPr>
      </w:pPr>
      <w:bookmarkStart w:id="8" w:name="_Hlt127175444"/>
      <w:bookmarkEnd w:id="8"/>
      <w:bookmarkStart w:id="9" w:name="_Toc117"/>
      <w:bookmarkStart w:id="10" w:name="_Toc27520"/>
      <w:bookmarkStart w:id="11" w:name="_Hlt120077520"/>
      <w:r>
        <w:rPr>
          <w:rFonts w:hint="eastAsia" w:ascii="Times New Roman"/>
          <w:b/>
          <w:snapToGrid w:val="0"/>
          <w:color w:val="auto"/>
          <w:highlight w:val="none"/>
        </w:rPr>
        <w:t>第一节 投标人须知前附表</w:t>
      </w:r>
      <w:bookmarkEnd w:id="9"/>
      <w:bookmarkEnd w:id="10"/>
    </w:p>
    <w:tbl>
      <w:tblPr>
        <w:tblStyle w:val="30"/>
        <w:tblW w:w="95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46"/>
        <w:gridCol w:w="1725"/>
        <w:gridCol w:w="71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0"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序</w:t>
            </w:r>
          </w:p>
          <w:p>
            <w:pPr>
              <w:wordWrap w:val="0"/>
              <w:adjustRightInd w:val="0"/>
              <w:snapToGrid w:val="0"/>
              <w:spacing w:line="360" w:lineRule="exact"/>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号</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240" w:lineRule="auto"/>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内容</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tabs>
                <w:tab w:val="left" w:pos="1180"/>
              </w:tabs>
              <w:wordWrap w:val="0"/>
              <w:adjustRightInd w:val="0"/>
              <w:snapToGrid w:val="0"/>
              <w:spacing w:line="360" w:lineRule="exact"/>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cs="Times New Roman"/>
                <w:snapToGrid w:val="0"/>
                <w:color w:val="auto"/>
                <w:kern w:val="0"/>
                <w:sz w:val="21"/>
                <w:szCs w:val="21"/>
                <w:highlight w:val="none"/>
                <w:lang w:eastAsia="zh-CN"/>
              </w:rPr>
              <w:t>新建乐昌市第二中学学生宿舍楼项目施工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项目业主</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cs="Times New Roman"/>
                <w:snapToGrid w:val="0"/>
                <w:color w:val="auto"/>
                <w:kern w:val="0"/>
                <w:sz w:val="21"/>
                <w:szCs w:val="21"/>
                <w:highlight w:val="none"/>
                <w:lang w:eastAsia="zh-CN"/>
              </w:rPr>
              <w:t>乐昌市第二中学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项目批准部门</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Ansi="宋体" w:cs="宋体"/>
                <w:snapToGrid w:val="0"/>
                <w:color w:val="auto"/>
                <w:kern w:val="0"/>
                <w:sz w:val="21"/>
                <w:szCs w:val="21"/>
                <w:highlight w:val="none"/>
              </w:rPr>
              <w:t>乐昌市发展和改革局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项目批准文号</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left"/>
              <w:rPr>
                <w:rFonts w:hint="default" w:ascii="Times New Roman"/>
                <w:snapToGrid w:val="0"/>
                <w:color w:val="auto"/>
                <w:kern w:val="0"/>
                <w:sz w:val="21"/>
                <w:szCs w:val="21"/>
                <w:highlight w:val="none"/>
                <w:lang w:val="en-US" w:eastAsia="zh-CN"/>
              </w:rPr>
            </w:pPr>
            <w:r>
              <w:rPr>
                <w:rFonts w:hint="eastAsia" w:ascii="Times New Roman"/>
                <w:snapToGrid w:val="0"/>
                <w:color w:val="auto"/>
                <w:kern w:val="0"/>
                <w:sz w:val="21"/>
                <w:szCs w:val="21"/>
                <w:highlight w:val="none"/>
                <w:lang w:val="en-US" w:eastAsia="zh-CN"/>
              </w:rPr>
              <w:t>乐发改投审[2022]77号</w:t>
            </w:r>
          </w:p>
          <w:p>
            <w:pPr>
              <w:wordWrap w:val="0"/>
              <w:adjustRightInd w:val="0"/>
              <w:snapToGrid w:val="0"/>
              <w:spacing w:line="360" w:lineRule="exact"/>
              <w:jc w:val="center"/>
              <w:rPr>
                <w:rFonts w:hint="default" w:ascii="Times New Roman"/>
                <w:snapToGrid w:val="0"/>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项目代码</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both"/>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 xml:space="preserve">  </w:t>
            </w:r>
            <w:r>
              <w:rPr>
                <w:rFonts w:hint="eastAsia" w:ascii="Times New Roman"/>
                <w:snapToGrid w:val="0"/>
                <w:color w:val="auto"/>
                <w:kern w:val="0"/>
                <w:sz w:val="21"/>
                <w:szCs w:val="21"/>
                <w:highlight w:val="none"/>
                <w:lang w:val="en-US" w:eastAsia="zh-CN"/>
              </w:rPr>
              <w:t>2210-440281-04-05-867507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资金来源</w:t>
            </w:r>
          </w:p>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及出资比例</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both"/>
              <w:rPr>
                <w:rFonts w:hint="eastAsia" w:ascii="Times New Roman" w:hAnsi="Times New Roman" w:eastAsia="宋体" w:cs="Times New Roman"/>
                <w:snapToGrid w:val="0"/>
                <w:color w:val="auto"/>
                <w:kern w:val="0"/>
                <w:sz w:val="21"/>
                <w:szCs w:val="21"/>
                <w:highlight w:val="none"/>
              </w:rPr>
            </w:pPr>
            <w:r>
              <w:rPr>
                <w:rFonts w:hint="eastAsia" w:ascii="Times New Roman"/>
                <w:snapToGrid w:val="0"/>
                <w:color w:val="auto"/>
                <w:kern w:val="0"/>
                <w:sz w:val="21"/>
                <w:szCs w:val="21"/>
                <w:highlight w:val="none"/>
                <w:lang w:val="en-US" w:eastAsia="zh-CN"/>
              </w:rPr>
              <w:t xml:space="preserve">财政资金，100%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招标人</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both"/>
              <w:rPr>
                <w:rFonts w:hint="eastAsia" w:ascii="Times New Roman" w:hAnsi="Times New Roman" w:eastAsia="宋体" w:cs="Times New Roman"/>
                <w:snapToGrid w:val="0"/>
                <w:color w:val="auto"/>
                <w:kern w:val="0"/>
                <w:sz w:val="21"/>
                <w:szCs w:val="21"/>
                <w:highlight w:val="none"/>
              </w:rPr>
            </w:pPr>
            <w:r>
              <w:rPr>
                <w:rFonts w:hint="eastAsia" w:ascii="Times New Roman" w:cs="Times New Roman"/>
                <w:snapToGrid w:val="0"/>
                <w:color w:val="auto"/>
                <w:kern w:val="0"/>
                <w:sz w:val="21"/>
                <w:szCs w:val="21"/>
                <w:highlight w:val="none"/>
                <w:lang w:val="en-US" w:eastAsia="zh-CN"/>
              </w:rPr>
              <w:t>乐昌市政府投资建设项目代建管理局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招标代理机构</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both"/>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 xml:space="preserve">  </w:t>
            </w:r>
            <w:r>
              <w:rPr>
                <w:rFonts w:hint="eastAsia" w:ascii="Times New Roman" w:cs="Times New Roman"/>
                <w:snapToGrid w:val="0"/>
                <w:color w:val="auto"/>
                <w:kern w:val="0"/>
                <w:sz w:val="21"/>
                <w:szCs w:val="21"/>
                <w:highlight w:val="none"/>
                <w:lang w:val="en-US" w:eastAsia="zh-CN"/>
              </w:rPr>
              <w:t>深圳市建衡达工程造价咨询有限公司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yellow"/>
              </w:rPr>
            </w:pPr>
            <w:r>
              <w:rPr>
                <w:rFonts w:hint="eastAsia" w:ascii="Times New Roman"/>
                <w:snapToGrid w:val="0"/>
                <w:color w:val="auto"/>
                <w:kern w:val="0"/>
                <w:sz w:val="21"/>
                <w:szCs w:val="21"/>
                <w:highlight w:val="none"/>
              </w:rPr>
              <w:t>设计单位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both"/>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cs="Times New Roman"/>
                <w:snapToGrid w:val="0"/>
                <w:color w:val="auto"/>
                <w:kern w:val="0"/>
                <w:sz w:val="21"/>
                <w:szCs w:val="21"/>
                <w:highlight w:val="none"/>
                <w:lang w:val="en-US" w:eastAsia="zh-CN"/>
              </w:rPr>
              <w:t>中凡国际工程设计有限公司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10</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yellow"/>
              </w:rPr>
            </w:pPr>
            <w:r>
              <w:rPr>
                <w:rFonts w:hint="eastAsia" w:ascii="Times New Roman"/>
                <w:snapToGrid w:val="0"/>
                <w:color w:val="auto"/>
                <w:kern w:val="0"/>
                <w:sz w:val="21"/>
                <w:szCs w:val="21"/>
                <w:highlight w:val="none"/>
              </w:rPr>
              <w:t>造价咨询单位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both"/>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 xml:space="preserve"> </w:t>
            </w:r>
            <w:r>
              <w:rPr>
                <w:rFonts w:hint="eastAsia" w:ascii="Times New Roman" w:cs="Times New Roman"/>
                <w:snapToGrid w:val="0"/>
                <w:color w:val="auto"/>
                <w:kern w:val="0"/>
                <w:sz w:val="21"/>
                <w:szCs w:val="21"/>
                <w:highlight w:val="none"/>
                <w:lang w:val="en-US" w:eastAsia="zh-CN"/>
              </w:rPr>
              <w:t xml:space="preserve"> 广东方川工程咨询有限公司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11</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监理单位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both"/>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 xml:space="preserve">  </w:t>
            </w:r>
            <w:r>
              <w:rPr>
                <w:rFonts w:hint="eastAsia" w:ascii="Times New Roman" w:cs="Times New Roman"/>
                <w:snapToGrid w:val="0"/>
                <w:color w:val="auto"/>
                <w:kern w:val="0"/>
                <w:sz w:val="21"/>
                <w:szCs w:val="21"/>
                <w:highlight w:val="none"/>
                <w:lang w:val="en-US" w:eastAsia="zh-CN"/>
              </w:rPr>
              <w:t>广东财贸建设工程顾问有限公司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12</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建设地点</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both"/>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 xml:space="preserve">  </w:t>
            </w:r>
            <w:r>
              <w:rPr>
                <w:rFonts w:hint="eastAsia" w:ascii="Times New Roman" w:cs="Times New Roman"/>
                <w:snapToGrid w:val="0"/>
                <w:color w:val="auto"/>
                <w:kern w:val="0"/>
                <w:sz w:val="21"/>
                <w:szCs w:val="21"/>
                <w:highlight w:val="none"/>
                <w:lang w:val="en-US" w:eastAsia="zh-CN"/>
              </w:rPr>
              <w:t>韶关市乐昌市第二中学。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8"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13</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both"/>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 xml:space="preserve"> 立项</w:t>
            </w:r>
            <w:r>
              <w:rPr>
                <w:rFonts w:hint="eastAsia" w:ascii="Times New Roman" w:cs="Times New Roman"/>
                <w:snapToGrid w:val="0"/>
                <w:color w:val="auto"/>
                <w:kern w:val="0"/>
                <w:sz w:val="21"/>
                <w:szCs w:val="21"/>
                <w:highlight w:val="none"/>
                <w:lang w:val="en-US" w:eastAsia="zh-CN"/>
              </w:rPr>
              <w:t>基底面积1070.83平方米，框架结构五层，建筑面积5620.79平方米。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5"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14</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项目总投资</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both"/>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 xml:space="preserve"> </w:t>
            </w:r>
            <w:r>
              <w:rPr>
                <w:rFonts w:hint="eastAsia" w:hAnsi="宋体" w:cs="宋体"/>
                <w:bCs/>
                <w:snapToGrid w:val="0"/>
                <w:color w:val="auto"/>
                <w:kern w:val="0"/>
                <w:sz w:val="21"/>
                <w:szCs w:val="21"/>
                <w:highlight w:val="none"/>
                <w:lang w:val="en-US" w:eastAsia="zh-CN"/>
              </w:rPr>
              <w:t>项目估算总投资</w:t>
            </w:r>
            <w:r>
              <w:rPr>
                <w:rFonts w:hint="eastAsia" w:hAnsi="宋体" w:cs="宋体"/>
                <w:bCs/>
                <w:snapToGrid w:val="0"/>
                <w:color w:val="auto"/>
                <w:kern w:val="0"/>
                <w:sz w:val="21"/>
                <w:szCs w:val="21"/>
                <w:highlight w:val="none"/>
                <w:u w:val="single"/>
                <w:lang w:val="en-US" w:eastAsia="zh-CN"/>
              </w:rPr>
              <w:t>2364.76</w:t>
            </w:r>
            <w:r>
              <w:rPr>
                <w:rFonts w:hint="eastAsia" w:hAnsi="宋体" w:cs="宋体"/>
                <w:bCs/>
                <w:snapToGrid w:val="0"/>
                <w:color w:val="auto"/>
                <w:kern w:val="0"/>
                <w:sz w:val="21"/>
                <w:szCs w:val="21"/>
                <w:highlight w:val="none"/>
                <w:lang w:val="en-US" w:eastAsia="zh-CN"/>
              </w:rPr>
              <w:t>万元（其中建安工程费约</w:t>
            </w:r>
            <w:r>
              <w:rPr>
                <w:rFonts w:hint="eastAsia" w:hAnsi="宋体" w:cs="宋体"/>
                <w:bCs/>
                <w:snapToGrid w:val="0"/>
                <w:color w:val="auto"/>
                <w:kern w:val="0"/>
                <w:sz w:val="21"/>
                <w:szCs w:val="21"/>
                <w:highlight w:val="none"/>
                <w:u w:val="single"/>
                <w:lang w:val="en-US" w:eastAsia="zh-CN"/>
              </w:rPr>
              <w:t>1859.52</w:t>
            </w:r>
            <w:r>
              <w:rPr>
                <w:rFonts w:hint="eastAsia" w:hAnsi="宋体" w:cs="宋体"/>
                <w:bCs/>
                <w:snapToGrid w:val="0"/>
                <w:color w:val="auto"/>
                <w:kern w:val="0"/>
                <w:sz w:val="21"/>
                <w:szCs w:val="21"/>
                <w:highlight w:val="none"/>
                <w:lang w:val="en-US" w:eastAsia="zh-CN"/>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15</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招标范围</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both"/>
              <w:rPr>
                <w:rFonts w:hint="eastAsia" w:ascii="Times New Roman" w:hAnsi="Times New Roman" w:eastAsia="宋体" w:cs="Times New Roman"/>
                <w:snapToGrid w:val="0"/>
                <w:color w:val="auto"/>
                <w:kern w:val="0"/>
                <w:sz w:val="21"/>
                <w:szCs w:val="21"/>
                <w:highlight w:val="none"/>
                <w:lang w:val="en-US" w:eastAsia="zh-CN"/>
              </w:rPr>
            </w:pPr>
            <w:r>
              <w:rPr>
                <w:rFonts w:hint="eastAsia" w:hAnsi="宋体" w:cs="宋体"/>
                <w:bCs/>
                <w:snapToGrid w:val="0"/>
                <w:color w:val="auto"/>
                <w:kern w:val="0"/>
                <w:sz w:val="21"/>
                <w:szCs w:val="21"/>
                <w:highlight w:val="none"/>
                <w:lang w:val="en-US" w:eastAsia="zh-CN"/>
              </w:rPr>
              <w:t>施工图纸和工程量清单范围内</w:t>
            </w:r>
            <w:r>
              <w:rPr>
                <w:rFonts w:hint="eastAsia" w:hAnsi="宋体" w:cs="宋体"/>
                <w:bCs/>
                <w:snapToGrid w:val="0"/>
                <w:color w:val="auto"/>
                <w:kern w:val="0"/>
                <w:sz w:val="21"/>
                <w:szCs w:val="21"/>
                <w:highlight w:val="none"/>
              </w:rPr>
              <w:t>等</w:t>
            </w:r>
            <w:r>
              <w:rPr>
                <w:rFonts w:hint="eastAsia" w:hAnsi="宋体" w:cs="宋体"/>
                <w:bCs/>
                <w:snapToGrid w:val="0"/>
                <w:color w:val="auto"/>
                <w:kern w:val="0"/>
                <w:sz w:val="21"/>
                <w:szCs w:val="21"/>
                <w:highlight w:val="none"/>
                <w:lang w:val="en-US" w:eastAsia="zh-CN"/>
              </w:rPr>
              <w:t>所有</w:t>
            </w:r>
            <w:r>
              <w:rPr>
                <w:rFonts w:hint="eastAsia" w:hAnsi="宋体" w:cs="宋体"/>
                <w:bCs/>
                <w:snapToGrid w:val="0"/>
                <w:color w:val="auto"/>
                <w:kern w:val="0"/>
                <w:sz w:val="21"/>
                <w:szCs w:val="21"/>
                <w:highlight w:val="none"/>
              </w:rPr>
              <w:t>工程。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6"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16</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标段划分</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210" w:firstLineChars="1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本招标项目不划分标段。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35"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17</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工期</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210" w:firstLineChars="100"/>
              <w:rPr>
                <w:rFonts w:ascii="Times New Roman"/>
                <w:bCs/>
                <w:snapToGrid w:val="0"/>
                <w:color w:val="auto"/>
                <w:kern w:val="0"/>
                <w:sz w:val="21"/>
                <w:szCs w:val="21"/>
                <w:highlight w:val="none"/>
              </w:rPr>
            </w:pPr>
            <w:r>
              <w:rPr>
                <w:color w:val="auto"/>
                <w:sz w:val="21"/>
                <w:szCs w:val="21"/>
                <w:highlight w:val="none"/>
              </w:rPr>
              <w:t>本招标项目施工标准工期为</w:t>
            </w:r>
            <w:r>
              <w:rPr>
                <w:rFonts w:hint="eastAsia"/>
                <w:color w:val="auto"/>
                <w:sz w:val="21"/>
                <w:szCs w:val="21"/>
                <w:highlight w:val="none"/>
                <w:u w:val="single"/>
                <w:lang w:val="en-US" w:eastAsia="zh-CN"/>
              </w:rPr>
              <w:t>259</w:t>
            </w:r>
            <w:r>
              <w:rPr>
                <w:color w:val="auto"/>
                <w:sz w:val="21"/>
                <w:szCs w:val="21"/>
                <w:highlight w:val="none"/>
              </w:rPr>
              <w:t>个日历天，招标工期为</w:t>
            </w:r>
            <w:r>
              <w:rPr>
                <w:rFonts w:hint="eastAsia"/>
                <w:color w:val="auto"/>
                <w:sz w:val="21"/>
                <w:szCs w:val="21"/>
                <w:highlight w:val="none"/>
                <w:u w:val="single"/>
                <w:lang w:val="en-US" w:eastAsia="zh-CN"/>
              </w:rPr>
              <w:t>259</w:t>
            </w:r>
            <w:r>
              <w:rPr>
                <w:color w:val="auto"/>
                <w:sz w:val="21"/>
                <w:szCs w:val="21"/>
                <w:highlight w:val="none"/>
              </w:rPr>
              <w:t>个日历天，承包人必须在招标工期内完成招标范围内的全部内容。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18</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质量标准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pStyle w:val="2"/>
              <w:spacing w:before="0" w:after="0" w:line="400" w:lineRule="exact"/>
              <w:ind w:firstLine="210" w:firstLineChars="100"/>
              <w:rPr>
                <w:rFonts w:hint="default"/>
                <w:color w:val="auto"/>
                <w:sz w:val="21"/>
                <w:szCs w:val="21"/>
                <w:highlight w:val="none"/>
                <w:lang w:val="en-US"/>
              </w:rPr>
            </w:pPr>
            <w:bookmarkStart w:id="12" w:name="_Hlt106417017"/>
            <w:bookmarkEnd w:id="12"/>
            <w:bookmarkStart w:id="13" w:name="_Toc16489"/>
            <w:bookmarkStart w:id="14" w:name="_Toc10012"/>
            <w:r>
              <w:rPr>
                <w:rFonts w:hint="eastAsia" w:ascii="Times New Roman" w:hAnsi="Times New Roman" w:eastAsia="宋体" w:cs="Times New Roman"/>
                <w:bCs/>
                <w:snapToGrid w:val="0"/>
                <w:color w:val="auto"/>
                <w:kern w:val="0"/>
                <w:sz w:val="21"/>
                <w:szCs w:val="21"/>
                <w:highlight w:val="none"/>
                <w:lang w:val="en-US" w:eastAsia="zh-CN" w:bidi="ar-SA"/>
              </w:rPr>
              <w:t>达到《建筑工程施工质量验收统一标准》(GB50300-2013)合格</w:t>
            </w:r>
            <w:bookmarkEnd w:id="13"/>
            <w:bookmarkEnd w:id="14"/>
            <w:r>
              <w:rPr>
                <w:rFonts w:hint="eastAsia" w:ascii="Times New Roman" w:hAnsi="Times New Roman" w:cs="Times New Roman"/>
                <w:bCs/>
                <w:snapToGrid w:val="0"/>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5"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19</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房屋建筑工程</w:t>
            </w:r>
          </w:p>
          <w:p>
            <w:pPr>
              <w:wordWrap w:val="0"/>
              <w:adjustRightInd w:val="0"/>
              <w:snapToGrid w:val="0"/>
              <w:spacing w:line="360" w:lineRule="exact"/>
              <w:jc w:val="center"/>
              <w:rPr>
                <w:rFonts w:hint="eastAsia"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绿色建筑标准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210" w:firstLineChars="100"/>
              <w:rPr>
                <w:rFonts w:hint="eastAsia"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本招标项目纳入绿色建设实施范围，要求达到《绿色建筑评价标准》(GB/T50378-2019）规定的</w:t>
            </w:r>
            <w:r>
              <w:rPr>
                <w:rFonts w:hint="eastAsia" w:ascii="Times New Roman" w:cs="Times New Roman"/>
                <w:bCs/>
                <w:snapToGrid w:val="0"/>
                <w:color w:val="auto"/>
                <w:kern w:val="0"/>
                <w:sz w:val="21"/>
                <w:szCs w:val="21"/>
                <w:highlight w:val="none"/>
                <w:u w:val="single"/>
                <w:lang w:val="en-US" w:eastAsia="zh-CN" w:bidi="ar-SA"/>
              </w:rPr>
              <w:t xml:space="preserve"> 一星级 </w:t>
            </w:r>
            <w:r>
              <w:rPr>
                <w:rFonts w:hint="eastAsia" w:ascii="Times New Roman" w:hAnsi="Times New Roman" w:eastAsia="宋体" w:cs="Times New Roman"/>
                <w:bCs/>
                <w:snapToGrid w:val="0"/>
                <w:color w:val="auto"/>
                <w:kern w:val="0"/>
                <w:sz w:val="21"/>
                <w:szCs w:val="21"/>
                <w:highlight w:val="none"/>
                <w:lang w:val="en-US" w:eastAsia="zh-CN" w:bidi="ar-SA"/>
              </w:rPr>
              <w:t>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1"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19.1</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bCs/>
                <w:snapToGrid w:val="0"/>
                <w:color w:val="auto"/>
                <w:kern w:val="0"/>
                <w:sz w:val="21"/>
                <w:szCs w:val="21"/>
                <w:highlight w:val="none"/>
                <w:lang w:val="en-US" w:eastAsia="zh-CN" w:bidi="ar-SA"/>
              </w:rPr>
            </w:pPr>
            <w:r>
              <w:rPr>
                <w:rFonts w:hint="eastAsia" w:ascii="Times New Roman" w:hAnsi="Times New Roman" w:eastAsia="宋体" w:cs="Times New Roman"/>
                <w:bCs/>
                <w:snapToGrid w:val="0"/>
                <w:color w:val="auto"/>
                <w:kern w:val="0"/>
                <w:sz w:val="21"/>
                <w:szCs w:val="21"/>
                <w:highlight w:val="none"/>
                <w:lang w:val="en-US" w:eastAsia="zh-CN" w:bidi="ar-SA"/>
              </w:rPr>
              <w:t>装配式建筑标准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210" w:firstLineChars="100"/>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ascii="宋体" w:hAnsi="宋体" w:eastAsia="宋体" w:cs="宋体"/>
                <w:bCs/>
                <w:snapToGrid w:val="0"/>
                <w:color w:val="auto"/>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97"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20</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trike/>
                <w:snapToGrid w:val="0"/>
                <w:color w:val="auto"/>
                <w:kern w:val="0"/>
                <w:sz w:val="21"/>
                <w:szCs w:val="21"/>
                <w:highlight w:val="none"/>
              </w:rPr>
            </w:pPr>
            <w:r>
              <w:rPr>
                <w:rFonts w:hint="eastAsia" w:ascii="Times New Roman"/>
                <w:snapToGrid w:val="0"/>
                <w:color w:val="auto"/>
                <w:kern w:val="0"/>
                <w:sz w:val="21"/>
                <w:szCs w:val="21"/>
                <w:highlight w:val="none"/>
              </w:rPr>
              <w:t>招标控制价</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210" w:firstLineChars="100"/>
              <w:rPr>
                <w:rFonts w:hint="eastAsia" w:ascii="Times New Roman" w:eastAsia="宋体"/>
                <w:bCs/>
                <w:snapToGrid w:val="0"/>
                <w:color w:val="auto"/>
                <w:kern w:val="0"/>
                <w:sz w:val="21"/>
                <w:szCs w:val="21"/>
                <w:highlight w:val="none"/>
                <w:lang w:eastAsia="zh-CN"/>
              </w:rPr>
            </w:pPr>
            <w:r>
              <w:rPr>
                <w:rFonts w:hint="eastAsia" w:asciiTheme="minorEastAsia" w:hAnsiTheme="minorEastAsia" w:eastAsiaTheme="minorEastAsia" w:cstheme="minorEastAsia"/>
                <w:sz w:val="21"/>
                <w:szCs w:val="21"/>
                <w:highlight w:val="none"/>
                <w:shd w:val="clear" w:fill="FFFFFF"/>
              </w:rPr>
              <w:t>本项目的招标控制价为人民币（大写）：</w:t>
            </w:r>
            <w:r>
              <w:rPr>
                <w:rFonts w:hint="eastAsia" w:asciiTheme="minorEastAsia" w:hAnsiTheme="minorEastAsia" w:cstheme="minorEastAsia"/>
                <w:sz w:val="21"/>
                <w:szCs w:val="21"/>
                <w:highlight w:val="none"/>
                <w:u w:val="single"/>
                <w:shd w:val="clear" w:fill="FFFFFF"/>
                <w:lang w:val="en-US" w:eastAsia="zh-CN"/>
              </w:rPr>
              <w:t>壹仟柒佰玖拾捌万叁仟陆佰伍拾柒元叁角柒分</w:t>
            </w:r>
            <w:r>
              <w:rPr>
                <w:rFonts w:hint="eastAsia" w:asciiTheme="minorEastAsia" w:hAnsiTheme="minorEastAsia" w:eastAsiaTheme="minorEastAsia" w:cstheme="minorEastAsia"/>
                <w:sz w:val="21"/>
                <w:szCs w:val="21"/>
                <w:highlight w:val="none"/>
                <w:shd w:val="clear" w:fill="FFFFFF"/>
                <w:lang w:val="en-US" w:eastAsia="zh-CN"/>
              </w:rPr>
              <w:t>小写：</w:t>
            </w:r>
            <w:r>
              <w:rPr>
                <w:rFonts w:hint="eastAsia" w:asciiTheme="minorEastAsia" w:hAnsiTheme="minorEastAsia" w:eastAsiaTheme="minorEastAsia" w:cstheme="minorEastAsia"/>
                <w:sz w:val="21"/>
                <w:szCs w:val="21"/>
                <w:highlight w:val="none"/>
                <w:shd w:val="clear" w:fill="FFFFFF"/>
              </w:rPr>
              <w:t>￥</w:t>
            </w:r>
            <w:r>
              <w:rPr>
                <w:rFonts w:hint="eastAsia" w:asciiTheme="minorEastAsia" w:hAnsiTheme="minorEastAsia" w:cstheme="minorEastAsia"/>
                <w:sz w:val="21"/>
                <w:szCs w:val="21"/>
                <w:highlight w:val="none"/>
                <w:u w:val="single"/>
                <w:shd w:val="clear" w:fill="FFFFFF"/>
                <w:lang w:val="en-US" w:eastAsia="zh-CN"/>
              </w:rPr>
              <w:t>17983657.37</w:t>
            </w:r>
            <w:r>
              <w:rPr>
                <w:rFonts w:hint="eastAsia" w:asciiTheme="minorEastAsia" w:hAnsiTheme="minorEastAsia" w:eastAsiaTheme="minorEastAsia" w:cstheme="minorEastAsia"/>
                <w:sz w:val="21"/>
                <w:szCs w:val="21"/>
                <w:highlight w:val="none"/>
                <w:shd w:val="clear" w:fill="FFFFFF"/>
              </w:rPr>
              <w:t>元)；其中绿色施工安全防护措施费不得低于¥</w:t>
            </w:r>
            <w:r>
              <w:rPr>
                <w:rFonts w:hint="eastAsia" w:asciiTheme="minorEastAsia" w:hAnsiTheme="minorEastAsia" w:eastAsiaTheme="minorEastAsia" w:cstheme="minorEastAsia"/>
                <w:sz w:val="21"/>
                <w:szCs w:val="21"/>
                <w:highlight w:val="none"/>
                <w:u w:val="single"/>
                <w:shd w:val="clear" w:fill="FFFFFF"/>
                <w:lang w:val="en-US" w:eastAsia="zh-CN"/>
              </w:rPr>
              <w:t>1184102.10</w:t>
            </w:r>
            <w:r>
              <w:rPr>
                <w:rFonts w:hint="eastAsia" w:asciiTheme="minorEastAsia" w:hAnsiTheme="minorEastAsia" w:eastAsiaTheme="minorEastAsia" w:cstheme="minorEastAsia"/>
                <w:sz w:val="21"/>
                <w:szCs w:val="21"/>
                <w:highlight w:val="none"/>
                <w:shd w:val="clear" w:fill="FFFFFF"/>
              </w:rPr>
              <w:t>元，</w:t>
            </w:r>
            <w:r>
              <w:rPr>
                <w:rFonts w:hint="eastAsia" w:asciiTheme="minorEastAsia" w:hAnsiTheme="minorEastAsia" w:eastAsiaTheme="minorEastAsia" w:cstheme="minorEastAsia"/>
                <w:sz w:val="21"/>
                <w:szCs w:val="21"/>
                <w:highlight w:val="none"/>
                <w:shd w:val="clear" w:fill="FFFFFF"/>
                <w:lang w:val="en-US" w:eastAsia="zh-CN"/>
              </w:rPr>
              <w:t>暂列金</w:t>
            </w:r>
            <w:r>
              <w:rPr>
                <w:rFonts w:hint="eastAsia" w:asciiTheme="minorEastAsia" w:hAnsiTheme="minorEastAsia" w:eastAsiaTheme="minorEastAsia" w:cstheme="minorEastAsia"/>
                <w:sz w:val="21"/>
                <w:szCs w:val="21"/>
                <w:highlight w:val="none"/>
                <w:shd w:val="clear" w:fill="FFFFFF"/>
              </w:rPr>
              <w:t>为￥</w:t>
            </w:r>
            <w:r>
              <w:rPr>
                <w:rFonts w:hint="eastAsia" w:asciiTheme="minorEastAsia" w:hAnsiTheme="minorEastAsia" w:eastAsiaTheme="minorEastAsia" w:cstheme="minorEastAsia"/>
                <w:sz w:val="21"/>
                <w:szCs w:val="21"/>
                <w:highlight w:val="none"/>
                <w:u w:val="single"/>
                <w:shd w:val="clear" w:fill="FFFFFF"/>
                <w:lang w:val="en-US" w:eastAsia="zh-CN"/>
              </w:rPr>
              <w:t>500000.00</w:t>
            </w:r>
            <w:r>
              <w:rPr>
                <w:rFonts w:hint="eastAsia" w:asciiTheme="minorEastAsia" w:hAnsiTheme="minorEastAsia" w:eastAsiaTheme="minorEastAsia" w:cstheme="minorEastAsia"/>
                <w:sz w:val="21"/>
                <w:szCs w:val="21"/>
                <w:highlight w:val="none"/>
                <w:shd w:val="clear" w:fill="FFFFFF"/>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21</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投标人资格要求</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1．本次招标不接受联合体投标。</w:t>
            </w:r>
          </w:p>
          <w:p>
            <w:pPr>
              <w:wordWrap w:val="0"/>
              <w:adjustRightInd w:val="0"/>
              <w:snapToGrid w:val="0"/>
              <w:spacing w:line="400" w:lineRule="exact"/>
              <w:ind w:firstLine="420" w:firstLineChars="20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2．资质要求</w:t>
            </w:r>
          </w:p>
          <w:p>
            <w:pPr>
              <w:wordWrap w:val="0"/>
              <w:adjustRightInd w:val="0"/>
              <w:snapToGrid w:val="0"/>
              <w:spacing w:line="400" w:lineRule="exact"/>
              <w:ind w:firstLine="420" w:firstLineChars="20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2.1 投标人须具备独立法人资格，按国家法律经营。</w:t>
            </w:r>
          </w:p>
          <w:p>
            <w:pPr>
              <w:wordWrap w:val="0"/>
              <w:adjustRightInd w:val="0"/>
              <w:snapToGrid w:val="0"/>
              <w:spacing w:line="400" w:lineRule="exact"/>
              <w:ind w:firstLine="420" w:firstLineChars="20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2.2 投标人须持有建设行政主管部门颁发的企业资质证书及安全生产许可证。</w:t>
            </w:r>
          </w:p>
          <w:p>
            <w:pPr>
              <w:wordWrap w:val="0"/>
              <w:adjustRightInd w:val="0"/>
              <w:snapToGrid w:val="0"/>
              <w:spacing w:line="400" w:lineRule="exact"/>
              <w:ind w:firstLine="420" w:firstLineChars="200"/>
              <w:jc w:val="left"/>
              <w:rPr>
                <w:rFonts w:hint="eastAsia" w:ascii="Times New Roman"/>
                <w:snapToGrid w:val="0"/>
                <w:color w:val="auto"/>
                <w:kern w:val="0"/>
                <w:sz w:val="21"/>
                <w:szCs w:val="21"/>
                <w:highlight w:val="none"/>
                <w:u w:val="single"/>
              </w:rPr>
            </w:pPr>
            <w:r>
              <w:rPr>
                <w:rFonts w:hint="eastAsia" w:ascii="Times New Roman"/>
                <w:snapToGrid w:val="0"/>
                <w:color w:val="auto"/>
                <w:kern w:val="0"/>
                <w:sz w:val="21"/>
                <w:szCs w:val="21"/>
                <w:highlight w:val="none"/>
              </w:rPr>
              <w:t>2.3 投标人须具备以下资质：</w:t>
            </w:r>
            <w:r>
              <w:rPr>
                <w:rFonts w:hint="eastAsia" w:ascii="Times New Roman"/>
                <w:snapToGrid w:val="0"/>
                <w:color w:val="auto"/>
                <w:kern w:val="0"/>
                <w:sz w:val="21"/>
                <w:szCs w:val="21"/>
                <w:highlight w:val="none"/>
                <w:u w:val="single"/>
                <w:lang w:val="en-US" w:eastAsia="zh-CN"/>
              </w:rPr>
              <w:t>建筑工程施工总承包</w:t>
            </w:r>
            <w:r>
              <w:rPr>
                <w:rFonts w:hint="eastAsia" w:ascii="Times New Roman"/>
                <w:snapToGrid w:val="0"/>
                <w:color w:val="auto"/>
                <w:kern w:val="0"/>
                <w:sz w:val="21"/>
                <w:szCs w:val="21"/>
                <w:highlight w:val="none"/>
                <w:u w:val="single"/>
              </w:rPr>
              <w:t>三级以上（含三级）资质。</w:t>
            </w:r>
          </w:p>
          <w:p>
            <w:pPr>
              <w:wordWrap w:val="0"/>
              <w:adjustRightInd w:val="0"/>
              <w:snapToGrid w:val="0"/>
              <w:spacing w:line="400" w:lineRule="exact"/>
              <w:ind w:firstLine="420" w:firstLineChars="20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2.4 根据有关文件精神，在新冠肺炎疫情防控期间，投标人的企业资质证书、安全生产许可证有以下情形的，本次招标予以认可：</w:t>
            </w:r>
          </w:p>
          <w:p>
            <w:pPr>
              <w:wordWrap w:val="0"/>
              <w:adjustRightInd w:val="0"/>
              <w:snapToGrid w:val="0"/>
              <w:spacing w:line="400" w:lineRule="exact"/>
              <w:ind w:firstLine="420" w:firstLineChars="2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（1）工程勘察、工程设计、建筑业企业、工程监理资质，资质证书有效期于2023年12月30日前届满的，统一延期至2023年12月31日。</w:t>
            </w:r>
          </w:p>
          <w:p>
            <w:pPr>
              <w:wordWrap w:val="0"/>
              <w:adjustRightInd w:val="0"/>
              <w:snapToGrid w:val="0"/>
              <w:spacing w:line="400" w:lineRule="exact"/>
              <w:ind w:firstLine="420" w:firstLineChars="2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（2）由外省各级住建部门核发资质证书、安全生产许可证，投标人提供所在省、地级市住建部门印发的相关证明材料（如自动顺延或推迟办理延期业务的通知），证明在开标日继续有效的。</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3．相关人员要求</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3.1 拟派项目经理为</w:t>
            </w:r>
            <w:r>
              <w:rPr>
                <w:rFonts w:hint="eastAsia" w:hAnsi="宋体" w:cs="宋体"/>
                <w:snapToGrid w:val="0"/>
                <w:color w:val="auto"/>
                <w:kern w:val="0"/>
                <w:sz w:val="21"/>
                <w:szCs w:val="21"/>
                <w:highlight w:val="none"/>
                <w:u w:val="single"/>
                <w:lang w:val="en-US" w:eastAsia="zh-CN"/>
              </w:rPr>
              <w:t>建筑工程</w:t>
            </w:r>
            <w:r>
              <w:rPr>
                <w:rFonts w:hint="eastAsia" w:ascii="Times New Roman"/>
                <w:snapToGrid w:val="0"/>
                <w:color w:val="auto"/>
                <w:kern w:val="0"/>
                <w:sz w:val="21"/>
                <w:szCs w:val="21"/>
                <w:highlight w:val="none"/>
              </w:rPr>
              <w:t>专业一级或二级注册建造师，其中一级注册建造师应持有国家住建部印发的有效注册证书，二级注册建造师应持有广东省住建厅核准的有效电子注册证书（在“广东省二级注册建造师、二级注册结构工程师、二级注册建筑师注册管理信息系统”中打印）。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3.2 拟派项目技术负责人须具备</w:t>
            </w:r>
            <w:r>
              <w:rPr>
                <w:rFonts w:hint="eastAsia" w:ascii="Times New Roman"/>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建筑工程</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专业</w:t>
            </w:r>
            <w:r>
              <w:rPr>
                <w:rFonts w:hint="eastAsia" w:ascii="Times New Roman"/>
                <w:snapToGrid w:val="0"/>
                <w:color w:val="auto"/>
                <w:kern w:val="0"/>
                <w:sz w:val="21"/>
                <w:szCs w:val="21"/>
                <w:highlight w:val="none"/>
                <w:u w:val="single"/>
              </w:rPr>
              <w:t xml:space="preserve"> 中 </w:t>
            </w:r>
            <w:r>
              <w:rPr>
                <w:rFonts w:hint="eastAsia" w:ascii="Times New Roman"/>
                <w:snapToGrid w:val="0"/>
                <w:color w:val="auto"/>
                <w:kern w:val="0"/>
                <w:sz w:val="21"/>
                <w:szCs w:val="21"/>
                <w:highlight w:val="none"/>
              </w:rPr>
              <w:t>级以上（含</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u w:val="single"/>
                <w:lang w:val="en-US" w:eastAsia="zh-CN"/>
              </w:rPr>
              <w:t>中</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级）技术职称。</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3.3 拟派专职安全生产管理人员须具备有效安全生产考核合格证明（C证，安全生产考核合格证书或“广东省建筑施工企业管理人员安全生产考核信息系统”考核合格信息打印页），且不少于</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u w:val="single"/>
                <w:lang w:val="en-US" w:eastAsia="zh-CN"/>
              </w:rPr>
              <w:t>1</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 xml:space="preserve">人。 </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3.4 投标人（包括组成联合体的所有成员单位）与其拟派往本项目管理机构的所有人员之间必须具备合法、唯一的劳动聘用关系。拟派人员中具备注册执业资格的，其注册单位须与投标人保持一致。</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4．禁止投标条款：</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4.1 投标人不得存在下列情形之一：    </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（1）为招标人不具有独立法人资格的附属机构（单位）；</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（2）为本招标项目前期准备提供设计或咨询服务的；</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（3）与本招标项目的其他投标人为同一个单位负责人；</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（4）与本招标项目的其他投标人存在控股、管理关系；</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（5）为本招标项目的监理人；</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（6）为本招标项目的代建人；</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（7）为本招标项目的招标代理机构；</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（8）与本招标项目的监理人或代建人或招标代理机构同为一个法定代表人；</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（9）与本招标项目的监理人或代建人或招标代理机构存在控股或参股关系；</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（10）与本招标项目的监理人或代建人或招标代理机构存在相互任职或工作关系；</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（11）被依法暂停或者取消投标资格；</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（12）被责令停产停业、暂扣或者吊销许可证、暂扣或者吊销执照；</w:t>
            </w:r>
          </w:p>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（13）进入清算程序，或被宣告破产，或其他丧失履约能力的情形；</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（14）在最近三年内发生重大工程质量或安全问题（以相关行业主管部门的行政处罚决定或司法机关出具的有关法律文书为准）；</w:t>
            </w:r>
          </w:p>
          <w:p>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（15）被“信用中国”网站（https://www.creditchina.gov.cn）发布的《</w:t>
            </w:r>
            <w:r>
              <w:rPr>
                <w:rFonts w:hint="eastAsia" w:ascii="Times New Roman" w:hAnsi="Times New Roman" w:eastAsia="宋体" w:cs="Times New Roman"/>
                <w:snapToGrid w:val="0"/>
                <w:color w:val="auto"/>
                <w:kern w:val="0"/>
                <w:sz w:val="21"/>
                <w:szCs w:val="21"/>
                <w:highlight w:val="none"/>
                <w:lang w:eastAsia="zh-CN"/>
              </w:rPr>
              <w:t>法人和非法人组织公共信用信息报告</w:t>
            </w:r>
            <w:r>
              <w:rPr>
                <w:rFonts w:hint="eastAsia" w:ascii="Times New Roman" w:hAnsi="Times New Roman" w:eastAsia="宋体" w:cs="Times New Roman"/>
                <w:snapToGrid w:val="0"/>
                <w:color w:val="auto"/>
                <w:kern w:val="0"/>
                <w:sz w:val="21"/>
                <w:szCs w:val="21"/>
                <w:highlight w:val="none"/>
              </w:rPr>
              <w:t>》列为严重失信主体名单的。</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4.2 招标人拒绝以下名单中的单位参加本次投标：</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882"/>
              <w:gridCol w:w="2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2" w:type="dxa"/>
                  <w:noWrap w:val="0"/>
                  <w:vAlign w:val="center"/>
                </w:tcPr>
                <w:p>
                  <w:pPr>
                    <w:wordWrap w:val="0"/>
                    <w:adjustRightInd w:val="0"/>
                    <w:snapToGrid w:val="0"/>
                    <w:jc w:val="center"/>
                    <w:rPr>
                      <w:color w:val="auto"/>
                      <w:sz w:val="21"/>
                      <w:szCs w:val="21"/>
                      <w:highlight w:val="none"/>
                    </w:rPr>
                  </w:pPr>
                  <w:r>
                    <w:rPr>
                      <w:color w:val="auto"/>
                      <w:sz w:val="21"/>
                      <w:szCs w:val="21"/>
                      <w:highlight w:val="none"/>
                    </w:rPr>
                    <w:t>序号</w:t>
                  </w:r>
                </w:p>
              </w:tc>
              <w:tc>
                <w:tcPr>
                  <w:tcW w:w="2882" w:type="dxa"/>
                  <w:noWrap w:val="0"/>
                  <w:vAlign w:val="center"/>
                </w:tcPr>
                <w:p>
                  <w:pPr>
                    <w:wordWrap w:val="0"/>
                    <w:adjustRightInd w:val="0"/>
                    <w:snapToGrid w:val="0"/>
                    <w:jc w:val="center"/>
                    <w:rPr>
                      <w:color w:val="auto"/>
                      <w:sz w:val="21"/>
                      <w:szCs w:val="21"/>
                      <w:highlight w:val="none"/>
                    </w:rPr>
                  </w:pPr>
                  <w:r>
                    <w:rPr>
                      <w:color w:val="auto"/>
                      <w:sz w:val="21"/>
                      <w:szCs w:val="21"/>
                      <w:highlight w:val="none"/>
                    </w:rPr>
                    <w:t>单位名称</w:t>
                  </w:r>
                </w:p>
              </w:tc>
              <w:tc>
                <w:tcPr>
                  <w:tcW w:w="2846" w:type="dxa"/>
                  <w:noWrap w:val="0"/>
                  <w:vAlign w:val="center"/>
                </w:tcPr>
                <w:p>
                  <w:pPr>
                    <w:wordWrap w:val="0"/>
                    <w:adjustRightInd w:val="0"/>
                    <w:snapToGrid w:val="0"/>
                    <w:jc w:val="center"/>
                    <w:rPr>
                      <w:color w:val="auto"/>
                      <w:sz w:val="21"/>
                      <w:szCs w:val="21"/>
                      <w:highlight w:val="none"/>
                    </w:rPr>
                  </w:pPr>
                  <w:r>
                    <w:rPr>
                      <w:color w:val="auto"/>
                      <w:sz w:val="21"/>
                      <w:szCs w:val="21"/>
                      <w:highlight w:val="none"/>
                    </w:rPr>
                    <w:t>拒绝原因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62" w:type="dxa"/>
                  <w:noWrap w:val="0"/>
                  <w:vAlign w:val="center"/>
                </w:tcPr>
                <w:p>
                  <w:pPr>
                    <w:pStyle w:val="136"/>
                    <w:wordWrap w:val="0"/>
                    <w:adjustRightInd w:val="0"/>
                    <w:snapToGrid w:val="0"/>
                    <w:spacing w:line="36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1</w:t>
                  </w:r>
                </w:p>
              </w:tc>
              <w:tc>
                <w:tcPr>
                  <w:tcW w:w="2882" w:type="dxa"/>
                  <w:noWrap w:val="0"/>
                  <w:vAlign w:val="center"/>
                </w:tcPr>
                <w:p>
                  <w:pPr>
                    <w:adjustRightInd w:val="0"/>
                    <w:snapToGrid w:val="0"/>
                    <w:jc w:val="both"/>
                    <w:rPr>
                      <w:rFonts w:hint="default" w:ascii="Times New Roman"/>
                      <w:color w:val="auto"/>
                      <w:kern w:val="2"/>
                      <w:sz w:val="21"/>
                      <w:szCs w:val="21"/>
                      <w:highlight w:val="none"/>
                      <w:lang w:val="en-US" w:eastAsia="zh-CN" w:bidi="ar-SA"/>
                    </w:rPr>
                  </w:pPr>
                  <w:r>
                    <w:rPr>
                      <w:rFonts w:hint="eastAsia" w:ascii="Times New Roman"/>
                      <w:color w:val="auto"/>
                      <w:kern w:val="2"/>
                      <w:sz w:val="21"/>
                      <w:szCs w:val="21"/>
                      <w:highlight w:val="none"/>
                      <w:lang w:val="en-US" w:eastAsia="zh-CN" w:bidi="ar-SA"/>
                    </w:rPr>
                    <w:t xml:space="preserve"> 广东方川工程咨询有限公司</w:t>
                  </w:r>
                </w:p>
              </w:tc>
              <w:tc>
                <w:tcPr>
                  <w:tcW w:w="2846" w:type="dxa"/>
                  <w:noWrap w:val="0"/>
                  <w:vAlign w:val="center"/>
                </w:tcPr>
                <w:p>
                  <w:pPr>
                    <w:pStyle w:val="136"/>
                    <w:wordWrap w:val="0"/>
                    <w:adjustRightInd w:val="0"/>
                    <w:snapToGrid w:val="0"/>
                    <w:spacing w:line="360" w:lineRule="auto"/>
                    <w:jc w:val="left"/>
                    <w:rPr>
                      <w:rFonts w:hint="eastAsia" w:eastAsia="宋体"/>
                      <w:color w:val="auto"/>
                      <w:sz w:val="21"/>
                      <w:szCs w:val="21"/>
                      <w:highlight w:val="none"/>
                      <w:lang w:eastAsia="zh-CN"/>
                    </w:rPr>
                  </w:pPr>
                  <w:r>
                    <w:rPr>
                      <w:rFonts w:hint="eastAsia"/>
                      <w:color w:val="auto"/>
                      <w:sz w:val="21"/>
                      <w:szCs w:val="21"/>
                      <w:highlight w:val="none"/>
                    </w:rPr>
                    <w:t>为本招标项目的可研</w:t>
                  </w:r>
                  <w:r>
                    <w:rPr>
                      <w:rFonts w:hint="eastAsia"/>
                      <w:color w:val="auto"/>
                      <w:highlight w:val="none"/>
                      <w:lang w:val="en-US" w:eastAsia="zh-CN"/>
                    </w:rPr>
                    <w:t>编制</w:t>
                  </w:r>
                  <w:r>
                    <w:rPr>
                      <w:rFonts w:hint="eastAsia"/>
                      <w:color w:val="auto"/>
                      <w:sz w:val="21"/>
                      <w:szCs w:val="21"/>
                      <w:highlight w:val="none"/>
                    </w:rPr>
                    <w:t>单位</w:t>
                  </w:r>
                  <w:r>
                    <w:rPr>
                      <w:rFonts w:hint="eastAsia"/>
                      <w:color w:val="auto"/>
                      <w:sz w:val="21"/>
                      <w:szCs w:val="21"/>
                      <w:highlight w:val="none"/>
                      <w:lang w:eastAsia="zh-CN"/>
                    </w:rPr>
                    <w:t>、预算编制单位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62" w:type="dxa"/>
                  <w:noWrap w:val="0"/>
                  <w:vAlign w:val="center"/>
                </w:tcPr>
                <w:p>
                  <w:pPr>
                    <w:pStyle w:val="136"/>
                    <w:wordWrap w:val="0"/>
                    <w:adjustRightInd w:val="0"/>
                    <w:snapToGrid w:val="0"/>
                    <w:spacing w:line="36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2882" w:type="dxa"/>
                  <w:noWrap w:val="0"/>
                  <w:vAlign w:val="center"/>
                </w:tcPr>
                <w:p>
                  <w:pPr>
                    <w:tabs>
                      <w:tab w:val="left" w:pos="1180"/>
                    </w:tabs>
                    <w:adjustRightInd w:val="0"/>
                    <w:snapToGrid w:val="0"/>
                    <w:spacing w:line="240" w:lineRule="auto"/>
                    <w:jc w:val="both"/>
                    <w:rPr>
                      <w:rFonts w:hint="default" w:ascii="Times New Roman"/>
                      <w:color w:val="auto"/>
                      <w:kern w:val="2"/>
                      <w:sz w:val="21"/>
                      <w:szCs w:val="21"/>
                      <w:highlight w:val="none"/>
                      <w:lang w:val="en-US" w:eastAsia="zh-CN" w:bidi="ar-SA"/>
                    </w:rPr>
                  </w:pPr>
                  <w:r>
                    <w:rPr>
                      <w:rFonts w:hint="eastAsia" w:hAnsi="宋体" w:cs="宋体"/>
                      <w:bCs/>
                      <w:snapToGrid w:val="0"/>
                      <w:color w:val="auto"/>
                      <w:kern w:val="0"/>
                      <w:sz w:val="21"/>
                      <w:szCs w:val="21"/>
                      <w:highlight w:val="none"/>
                      <w:lang w:val="en-US" w:eastAsia="zh-CN"/>
                    </w:rPr>
                    <w:t xml:space="preserve"> 湖南中核岩土工程有限责任公司</w:t>
                  </w:r>
                </w:p>
              </w:tc>
              <w:tc>
                <w:tcPr>
                  <w:tcW w:w="2846" w:type="dxa"/>
                  <w:noWrap w:val="0"/>
                  <w:vAlign w:val="center"/>
                </w:tcPr>
                <w:p>
                  <w:pPr>
                    <w:pStyle w:val="136"/>
                    <w:wordWrap w:val="0"/>
                    <w:adjustRightInd w:val="0"/>
                    <w:snapToGrid w:val="0"/>
                    <w:spacing w:line="360" w:lineRule="auto"/>
                    <w:jc w:val="left"/>
                    <w:rPr>
                      <w:rFonts w:hint="eastAsia"/>
                      <w:color w:val="auto"/>
                      <w:sz w:val="21"/>
                      <w:szCs w:val="21"/>
                      <w:highlight w:val="none"/>
                    </w:rPr>
                  </w:pPr>
                  <w:r>
                    <w:rPr>
                      <w:rFonts w:hint="eastAsia"/>
                      <w:color w:val="auto"/>
                      <w:sz w:val="21"/>
                      <w:szCs w:val="21"/>
                      <w:highlight w:val="none"/>
                    </w:rPr>
                    <w:t>为本招标项目的</w:t>
                  </w:r>
                  <w:r>
                    <w:rPr>
                      <w:rFonts w:hint="eastAsia"/>
                      <w:color w:val="auto"/>
                      <w:sz w:val="21"/>
                      <w:szCs w:val="21"/>
                      <w:highlight w:val="none"/>
                      <w:lang w:val="en-US" w:eastAsia="zh-CN"/>
                    </w:rPr>
                    <w:t>勘察</w:t>
                  </w:r>
                  <w:r>
                    <w:rPr>
                      <w:rFonts w:hint="eastAsia"/>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62" w:type="dxa"/>
                  <w:noWrap w:val="0"/>
                  <w:vAlign w:val="center"/>
                </w:tcPr>
                <w:p>
                  <w:pPr>
                    <w:pStyle w:val="136"/>
                    <w:wordWrap w:val="0"/>
                    <w:adjustRightInd w:val="0"/>
                    <w:snapToGrid w:val="0"/>
                    <w:spacing w:line="36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3</w:t>
                  </w:r>
                </w:p>
              </w:tc>
              <w:tc>
                <w:tcPr>
                  <w:tcW w:w="2882" w:type="dxa"/>
                  <w:noWrap w:val="0"/>
                  <w:vAlign w:val="center"/>
                </w:tcPr>
                <w:p>
                  <w:pPr>
                    <w:tabs>
                      <w:tab w:val="left" w:pos="1180"/>
                    </w:tabs>
                    <w:adjustRightInd w:val="0"/>
                    <w:snapToGrid w:val="0"/>
                    <w:spacing w:line="240" w:lineRule="auto"/>
                    <w:jc w:val="both"/>
                    <w:rPr>
                      <w:rFonts w:hint="eastAsia" w:ascii="Times New Roman"/>
                      <w:color w:val="auto"/>
                      <w:kern w:val="2"/>
                      <w:sz w:val="21"/>
                      <w:szCs w:val="21"/>
                      <w:highlight w:val="none"/>
                      <w:lang w:val="en-US" w:eastAsia="zh-CN" w:bidi="ar-SA"/>
                    </w:rPr>
                  </w:pPr>
                  <w:r>
                    <w:rPr>
                      <w:rFonts w:hint="eastAsia" w:ascii="Times New Roman"/>
                      <w:color w:val="auto"/>
                      <w:kern w:val="2"/>
                      <w:sz w:val="21"/>
                      <w:szCs w:val="21"/>
                      <w:highlight w:val="none"/>
                      <w:lang w:val="en-US" w:eastAsia="zh-CN" w:bidi="ar-SA"/>
                    </w:rPr>
                    <w:t xml:space="preserve"> </w:t>
                  </w:r>
                  <w:r>
                    <w:rPr>
                      <w:rFonts w:hint="eastAsia" w:ascii="Times New Roman" w:cs="Times New Roman"/>
                      <w:snapToGrid w:val="0"/>
                      <w:color w:val="auto"/>
                      <w:kern w:val="0"/>
                      <w:sz w:val="21"/>
                      <w:szCs w:val="21"/>
                      <w:highlight w:val="none"/>
                      <w:lang w:val="en-US" w:eastAsia="zh-CN"/>
                    </w:rPr>
                    <w:t>中凡国际工程设计有限公司</w:t>
                  </w:r>
                </w:p>
              </w:tc>
              <w:tc>
                <w:tcPr>
                  <w:tcW w:w="2846" w:type="dxa"/>
                  <w:noWrap w:val="0"/>
                  <w:vAlign w:val="center"/>
                </w:tcPr>
                <w:p>
                  <w:pPr>
                    <w:pStyle w:val="136"/>
                    <w:wordWrap w:val="0"/>
                    <w:adjustRightInd w:val="0"/>
                    <w:snapToGrid w:val="0"/>
                    <w:spacing w:line="360" w:lineRule="auto"/>
                    <w:jc w:val="left"/>
                    <w:rPr>
                      <w:rFonts w:hint="eastAsia"/>
                      <w:color w:val="auto"/>
                      <w:sz w:val="21"/>
                      <w:szCs w:val="21"/>
                      <w:highlight w:val="none"/>
                    </w:rPr>
                  </w:pPr>
                  <w:r>
                    <w:rPr>
                      <w:rFonts w:hint="eastAsia"/>
                      <w:color w:val="auto"/>
                      <w:sz w:val="21"/>
                      <w:szCs w:val="21"/>
                      <w:highlight w:val="none"/>
                    </w:rPr>
                    <w:t>为本招标项目的设计单位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62" w:type="dxa"/>
                  <w:noWrap w:val="0"/>
                  <w:vAlign w:val="center"/>
                </w:tcPr>
                <w:p>
                  <w:pPr>
                    <w:pStyle w:val="136"/>
                    <w:wordWrap w:val="0"/>
                    <w:adjustRightInd w:val="0"/>
                    <w:snapToGrid w:val="0"/>
                    <w:spacing w:line="36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2882" w:type="dxa"/>
                  <w:noWrap w:val="0"/>
                  <w:vAlign w:val="center"/>
                </w:tcPr>
                <w:p>
                  <w:pPr>
                    <w:pStyle w:val="136"/>
                    <w:wordWrap w:val="0"/>
                    <w:adjustRightInd w:val="0"/>
                    <w:snapToGrid w:val="0"/>
                    <w:spacing w:line="360" w:lineRule="auto"/>
                    <w:jc w:val="both"/>
                    <w:rPr>
                      <w:rFonts w:hint="default"/>
                      <w:color w:val="auto"/>
                      <w:sz w:val="21"/>
                      <w:szCs w:val="21"/>
                      <w:highlight w:val="none"/>
                      <w:lang w:val="en-US" w:eastAsia="zh-CN"/>
                    </w:rPr>
                  </w:pPr>
                  <w:r>
                    <w:rPr>
                      <w:rFonts w:hint="eastAsia"/>
                      <w:color w:val="auto"/>
                      <w:sz w:val="21"/>
                      <w:szCs w:val="21"/>
                      <w:highlight w:val="none"/>
                      <w:lang w:val="en-US" w:eastAsia="zh-CN"/>
                    </w:rPr>
                    <w:t>广东财贸建设工程顾问有限公司</w:t>
                  </w:r>
                </w:p>
              </w:tc>
              <w:tc>
                <w:tcPr>
                  <w:tcW w:w="2846" w:type="dxa"/>
                  <w:noWrap w:val="0"/>
                  <w:vAlign w:val="center"/>
                </w:tcPr>
                <w:p>
                  <w:pPr>
                    <w:pStyle w:val="136"/>
                    <w:wordWrap w:val="0"/>
                    <w:adjustRightInd w:val="0"/>
                    <w:snapToGrid w:val="0"/>
                    <w:spacing w:line="360" w:lineRule="auto"/>
                    <w:jc w:val="left"/>
                    <w:rPr>
                      <w:rFonts w:hint="eastAsia"/>
                      <w:color w:val="auto"/>
                      <w:sz w:val="21"/>
                      <w:szCs w:val="21"/>
                      <w:highlight w:val="none"/>
                    </w:rPr>
                  </w:pPr>
                  <w:r>
                    <w:rPr>
                      <w:rFonts w:hint="eastAsia"/>
                      <w:color w:val="auto"/>
                      <w:sz w:val="21"/>
                      <w:szCs w:val="21"/>
                      <w:highlight w:val="none"/>
                    </w:rPr>
                    <w:t>为本招标项目的</w:t>
                  </w:r>
                  <w:r>
                    <w:rPr>
                      <w:rFonts w:hint="eastAsia"/>
                      <w:color w:val="auto"/>
                      <w:sz w:val="21"/>
                      <w:szCs w:val="21"/>
                      <w:highlight w:val="none"/>
                      <w:lang w:val="en-US" w:eastAsia="zh-CN"/>
                    </w:rPr>
                    <w:t>监理</w:t>
                  </w:r>
                  <w:r>
                    <w:rPr>
                      <w:rFonts w:hint="eastAsia"/>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62" w:type="dxa"/>
                  <w:noWrap w:val="0"/>
                  <w:vAlign w:val="center"/>
                </w:tcPr>
                <w:p>
                  <w:pPr>
                    <w:pStyle w:val="136"/>
                    <w:wordWrap w:val="0"/>
                    <w:adjustRightInd w:val="0"/>
                    <w:snapToGrid w:val="0"/>
                    <w:spacing w:line="36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5</w:t>
                  </w:r>
                </w:p>
              </w:tc>
              <w:tc>
                <w:tcPr>
                  <w:tcW w:w="2882" w:type="dxa"/>
                  <w:noWrap w:val="0"/>
                  <w:vAlign w:val="center"/>
                </w:tcPr>
                <w:p>
                  <w:pPr>
                    <w:pStyle w:val="136"/>
                    <w:wordWrap w:val="0"/>
                    <w:adjustRightInd w:val="0"/>
                    <w:snapToGrid w:val="0"/>
                    <w:spacing w:line="360" w:lineRule="auto"/>
                    <w:jc w:val="both"/>
                    <w:rPr>
                      <w:rFonts w:hint="eastAsia" w:eastAsia="宋体"/>
                      <w:color w:val="auto"/>
                      <w:sz w:val="21"/>
                      <w:szCs w:val="21"/>
                      <w:highlight w:val="none"/>
                      <w:lang w:eastAsia="zh-CN"/>
                    </w:rPr>
                  </w:pPr>
                  <w:r>
                    <w:rPr>
                      <w:rFonts w:hint="eastAsia"/>
                      <w:color w:val="auto"/>
                      <w:sz w:val="21"/>
                      <w:szCs w:val="21"/>
                      <w:highlight w:val="none"/>
                      <w:lang w:eastAsia="zh-CN"/>
                    </w:rPr>
                    <w:t>深圳市建衡达工程造价咨询有限公司</w:t>
                  </w:r>
                </w:p>
              </w:tc>
              <w:tc>
                <w:tcPr>
                  <w:tcW w:w="2846" w:type="dxa"/>
                  <w:noWrap w:val="0"/>
                  <w:vAlign w:val="center"/>
                </w:tcPr>
                <w:p>
                  <w:pPr>
                    <w:pStyle w:val="136"/>
                    <w:wordWrap w:val="0"/>
                    <w:adjustRightInd w:val="0"/>
                    <w:snapToGrid w:val="0"/>
                    <w:spacing w:line="360" w:lineRule="auto"/>
                    <w:jc w:val="left"/>
                    <w:rPr>
                      <w:rFonts w:hint="eastAsia"/>
                      <w:color w:val="auto"/>
                      <w:sz w:val="21"/>
                      <w:szCs w:val="21"/>
                      <w:highlight w:val="none"/>
                    </w:rPr>
                  </w:pPr>
                  <w:r>
                    <w:rPr>
                      <w:rFonts w:hint="eastAsia"/>
                      <w:color w:val="auto"/>
                      <w:sz w:val="21"/>
                      <w:szCs w:val="21"/>
                      <w:highlight w:val="none"/>
                    </w:rPr>
                    <w:t>为本招标项目的招标代理机构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jc w:val="center"/>
              </w:trPr>
              <w:tc>
                <w:tcPr>
                  <w:tcW w:w="662" w:type="dxa"/>
                  <w:noWrap w:val="0"/>
                  <w:vAlign w:val="center"/>
                </w:tcPr>
                <w:p>
                  <w:pPr>
                    <w:pStyle w:val="136"/>
                    <w:wordWrap w:val="0"/>
                    <w:adjustRightInd w:val="0"/>
                    <w:snapToGrid w:val="0"/>
                    <w:spacing w:line="36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6</w:t>
                  </w:r>
                </w:p>
              </w:tc>
              <w:tc>
                <w:tcPr>
                  <w:tcW w:w="2882" w:type="dxa"/>
                  <w:noWrap w:val="0"/>
                  <w:vAlign w:val="center"/>
                </w:tcPr>
                <w:p>
                  <w:pPr>
                    <w:pStyle w:val="136"/>
                    <w:wordWrap w:val="0"/>
                    <w:adjustRightInd w:val="0"/>
                    <w:snapToGrid w:val="0"/>
                    <w:spacing w:line="360" w:lineRule="auto"/>
                    <w:jc w:val="both"/>
                    <w:rPr>
                      <w:rFonts w:hint="eastAsia" w:eastAsia="宋体"/>
                      <w:color w:val="auto"/>
                      <w:sz w:val="21"/>
                      <w:szCs w:val="21"/>
                      <w:highlight w:val="none"/>
                      <w:lang w:eastAsia="zh-CN"/>
                    </w:rPr>
                  </w:pPr>
                  <w:r>
                    <w:rPr>
                      <w:rFonts w:hint="eastAsia"/>
                      <w:color w:val="auto"/>
                      <w:sz w:val="21"/>
                      <w:szCs w:val="21"/>
                      <w:highlight w:val="none"/>
                      <w:lang w:eastAsia="zh-CN"/>
                    </w:rPr>
                    <w:t>乐昌市第二中学</w:t>
                  </w:r>
                </w:p>
              </w:tc>
              <w:tc>
                <w:tcPr>
                  <w:tcW w:w="2846" w:type="dxa"/>
                  <w:noWrap w:val="0"/>
                  <w:vAlign w:val="center"/>
                </w:tcPr>
                <w:p>
                  <w:pPr>
                    <w:pStyle w:val="136"/>
                    <w:wordWrap w:val="0"/>
                    <w:adjustRightInd w:val="0"/>
                    <w:snapToGrid w:val="0"/>
                    <w:spacing w:line="360" w:lineRule="auto"/>
                    <w:jc w:val="left"/>
                    <w:rPr>
                      <w:rFonts w:hint="eastAsia"/>
                      <w:color w:val="auto"/>
                      <w:sz w:val="21"/>
                      <w:szCs w:val="21"/>
                      <w:highlight w:val="none"/>
                    </w:rPr>
                  </w:pPr>
                  <w:r>
                    <w:rPr>
                      <w:rFonts w:hint="eastAsia"/>
                      <w:color w:val="auto"/>
                      <w:sz w:val="21"/>
                      <w:szCs w:val="21"/>
                      <w:highlight w:val="none"/>
                    </w:rPr>
                    <w:t>为本招标项目的业主单位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62" w:type="dxa"/>
                  <w:noWrap w:val="0"/>
                  <w:vAlign w:val="center"/>
                </w:tcPr>
                <w:p>
                  <w:pPr>
                    <w:pStyle w:val="136"/>
                    <w:wordWrap w:val="0"/>
                    <w:adjustRightInd w:val="0"/>
                    <w:snapToGrid w:val="0"/>
                    <w:spacing w:line="36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w:t>
                  </w:r>
                </w:p>
              </w:tc>
              <w:tc>
                <w:tcPr>
                  <w:tcW w:w="2882" w:type="dxa"/>
                  <w:noWrap w:val="0"/>
                  <w:vAlign w:val="center"/>
                </w:tcPr>
                <w:p>
                  <w:pPr>
                    <w:pStyle w:val="136"/>
                    <w:wordWrap w:val="0"/>
                    <w:adjustRightInd w:val="0"/>
                    <w:snapToGrid w:val="0"/>
                    <w:spacing w:line="360" w:lineRule="auto"/>
                    <w:jc w:val="both"/>
                    <w:rPr>
                      <w:rFonts w:hint="eastAsia"/>
                      <w:color w:val="auto"/>
                      <w:sz w:val="21"/>
                      <w:szCs w:val="21"/>
                      <w:highlight w:val="none"/>
                    </w:rPr>
                  </w:pPr>
                  <w:r>
                    <w:rPr>
                      <w:rFonts w:hint="eastAsia"/>
                      <w:color w:val="auto"/>
                      <w:sz w:val="21"/>
                      <w:szCs w:val="21"/>
                      <w:highlight w:val="none"/>
                    </w:rPr>
                    <w:t>乐昌市政府投资建设项目代建管理局</w:t>
                  </w:r>
                </w:p>
              </w:tc>
              <w:tc>
                <w:tcPr>
                  <w:tcW w:w="2846" w:type="dxa"/>
                  <w:noWrap w:val="0"/>
                  <w:vAlign w:val="center"/>
                </w:tcPr>
                <w:p>
                  <w:pPr>
                    <w:pStyle w:val="136"/>
                    <w:wordWrap w:val="0"/>
                    <w:adjustRightInd w:val="0"/>
                    <w:snapToGrid w:val="0"/>
                    <w:spacing w:line="360" w:lineRule="auto"/>
                    <w:jc w:val="left"/>
                    <w:rPr>
                      <w:rFonts w:hint="eastAsia"/>
                      <w:color w:val="auto"/>
                      <w:sz w:val="21"/>
                      <w:szCs w:val="21"/>
                      <w:highlight w:val="none"/>
                    </w:rPr>
                  </w:pPr>
                  <w:r>
                    <w:rPr>
                      <w:rFonts w:hint="eastAsia"/>
                      <w:color w:val="auto"/>
                      <w:sz w:val="21"/>
                      <w:szCs w:val="21"/>
                      <w:highlight w:val="none"/>
                    </w:rPr>
                    <w:t>为本招标项目的招标人</w:t>
                  </w:r>
                </w:p>
              </w:tc>
            </w:tr>
          </w:tbl>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5．其他要求</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22</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投标保证</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1．投标人须缴纳金额为人民币</w:t>
            </w:r>
            <w:r>
              <w:rPr>
                <w:rFonts w:hint="eastAsia" w:ascii="Times New Roman"/>
                <w:snapToGrid w:val="0"/>
                <w:color w:val="auto"/>
                <w:kern w:val="0"/>
                <w:sz w:val="21"/>
                <w:szCs w:val="21"/>
                <w:highlight w:val="none"/>
                <w:u w:val="single"/>
                <w:lang w:val="en-US" w:eastAsia="zh-CN"/>
              </w:rPr>
              <w:t xml:space="preserve"> 20万元</w:t>
            </w:r>
            <w:r>
              <w:rPr>
                <w:rFonts w:hint="eastAsia" w:ascii="Times New Roman"/>
                <w:snapToGrid w:val="0"/>
                <w:color w:val="auto"/>
                <w:kern w:val="0"/>
                <w:sz w:val="21"/>
                <w:szCs w:val="21"/>
                <w:highlight w:val="none"/>
              </w:rPr>
              <w:t>的投标保证。 联合体投标的，由联合体牵头人缴纳。</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2．投标保证的形式包括投标保证金、投标保证担保、投标保证保险三种，由投标人自主选择。</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（1）采用投标保证金的，投标人在建设工程交易系统</w:t>
            </w:r>
            <w:r>
              <w:rPr>
                <w:rFonts w:hint="eastAsia" w:hAnsi="宋体" w:cs="宋体"/>
                <w:snapToGrid w:val="0"/>
                <w:color w:val="auto"/>
                <w:kern w:val="0"/>
                <w:sz w:val="21"/>
                <w:szCs w:val="21"/>
                <w:highlight w:val="none"/>
              </w:rPr>
              <w:t>获取招标文件</w:t>
            </w:r>
            <w:r>
              <w:rPr>
                <w:rFonts w:hint="eastAsia" w:ascii="Times New Roman"/>
                <w:snapToGrid w:val="0"/>
                <w:color w:val="auto"/>
                <w:kern w:val="0"/>
                <w:sz w:val="21"/>
                <w:szCs w:val="21"/>
                <w:highlight w:val="none"/>
              </w:rPr>
              <w:t>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snapToGrid w:val="0"/>
                <w:color w:val="auto"/>
                <w:kern w:val="0"/>
                <w:sz w:val="21"/>
                <w:szCs w:val="21"/>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Times New Roman" w:cs="Times New Roman"/>
                <w:snapToGrid w:val="0"/>
                <w:color w:val="auto"/>
                <w:kern w:val="0"/>
                <w:sz w:val="21"/>
                <w:szCs w:val="21"/>
                <w:highlight w:val="none"/>
                <w:lang w:eastAsia="zh-CN"/>
              </w:rPr>
              <w:t>在【服务指南】栏目中下载《韶关市公共资源建设工程交易系统-投标人操作指南》，了解网上投保具体操作流程。逾期投保的，其投标无效。</w:t>
            </w:r>
          </w:p>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23</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投标有效期</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本次招标的投标有效期为</w:t>
            </w:r>
            <w:r>
              <w:rPr>
                <w:rFonts w:hint="eastAsia" w:ascii="Times New Roman"/>
                <w:snapToGrid w:val="0"/>
                <w:color w:val="auto"/>
                <w:kern w:val="0"/>
                <w:sz w:val="21"/>
                <w:szCs w:val="21"/>
                <w:highlight w:val="none"/>
                <w:u w:val="single"/>
              </w:rPr>
              <w:t xml:space="preserve"> </w:t>
            </w:r>
            <w:r>
              <w:rPr>
                <w:rFonts w:hint="eastAsia" w:ascii="Times New Roman"/>
                <w:b/>
                <w:bCs/>
                <w:snapToGrid w:val="0"/>
                <w:color w:val="auto"/>
                <w:kern w:val="0"/>
                <w:sz w:val="21"/>
                <w:szCs w:val="21"/>
                <w:highlight w:val="none"/>
                <w:u w:val="single"/>
                <w:lang w:val="en-US" w:eastAsia="zh-CN"/>
              </w:rPr>
              <w:t>90</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个日历天。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43"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24</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组成及份数</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投标文件包括商务标书、经济标书</w:t>
            </w:r>
            <w:r>
              <w:rPr>
                <w:rFonts w:hint="eastAsia" w:ascii="Times New Roman" w:hAnsi="Times New Roman" w:eastAsia="宋体" w:cs="Times New Roman"/>
                <w:snapToGrid w:val="0"/>
                <w:color w:val="auto"/>
                <w:kern w:val="0"/>
                <w:sz w:val="21"/>
                <w:szCs w:val="21"/>
                <w:highlight w:val="none"/>
              </w:rPr>
              <w:t>、施工组织设计三个分册。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30"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25</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施工组织设计</w:t>
            </w:r>
          </w:p>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评审方式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本次招标施工组织设计</w:t>
            </w:r>
            <w:r>
              <w:rPr>
                <w:rFonts w:hint="eastAsia" w:ascii="Times New Roman"/>
                <w:snapToGrid w:val="0"/>
                <w:color w:val="auto"/>
                <w:kern w:val="0"/>
                <w:sz w:val="21"/>
                <w:szCs w:val="21"/>
                <w:highlight w:val="none"/>
                <w:u w:val="single"/>
              </w:rPr>
              <w:t xml:space="preserve"> 不采用 </w:t>
            </w:r>
            <w:r>
              <w:rPr>
                <w:rFonts w:hint="eastAsia" w:ascii="Times New Roman"/>
                <w:snapToGrid w:val="0"/>
                <w:color w:val="auto"/>
                <w:kern w:val="0"/>
                <w:sz w:val="21"/>
                <w:szCs w:val="21"/>
                <w:highlight w:val="none"/>
              </w:rPr>
              <w:t>“暗标”方式进行评审。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32"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26</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评标委员会</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210" w:firstLineChars="100"/>
              <w:rPr>
                <w:rFonts w:hint="eastAsia" w:ascii="Times New Roman"/>
                <w:snapToGrid w:val="0"/>
                <w:color w:val="auto"/>
                <w:kern w:val="0"/>
                <w:sz w:val="21"/>
                <w:szCs w:val="21"/>
                <w:highlight w:val="none"/>
              </w:rPr>
            </w:pPr>
            <w:r>
              <w:rPr>
                <w:rFonts w:hAnsi="宋体" w:cs="宋体"/>
                <w:snapToGrid w:val="0"/>
                <w:color w:val="auto"/>
                <w:kern w:val="0"/>
                <w:sz w:val="21"/>
                <w:szCs w:val="21"/>
                <w:highlight w:val="none"/>
              </w:rPr>
              <w:t>评标委员会由</w:t>
            </w:r>
            <w:r>
              <w:rPr>
                <w:rFonts w:hAnsi="宋体" w:cs="宋体"/>
                <w:snapToGrid w:val="0"/>
                <w:color w:val="auto"/>
                <w:kern w:val="0"/>
                <w:sz w:val="21"/>
                <w:szCs w:val="21"/>
                <w:highlight w:val="none"/>
                <w:u w:val="single"/>
              </w:rPr>
              <w:t xml:space="preserve"> 5 </w:t>
            </w:r>
            <w:r>
              <w:rPr>
                <w:rFonts w:hAnsi="宋体" w:cs="宋体"/>
                <w:snapToGrid w:val="0"/>
                <w:color w:val="auto"/>
                <w:kern w:val="0"/>
                <w:sz w:val="21"/>
                <w:szCs w:val="21"/>
                <w:highlight w:val="none"/>
              </w:rPr>
              <w:t>人组成，其中招标人代表</w:t>
            </w:r>
            <w:r>
              <w:rPr>
                <w:rFonts w:hAnsi="宋体" w:cs="宋体"/>
                <w:snapToGrid w:val="0"/>
                <w:color w:val="auto"/>
                <w:kern w:val="0"/>
                <w:sz w:val="21"/>
                <w:szCs w:val="21"/>
                <w:highlight w:val="none"/>
                <w:u w:val="single"/>
              </w:rPr>
              <w:t xml:space="preserve"> 0 </w:t>
            </w:r>
            <w:r>
              <w:rPr>
                <w:rFonts w:hAnsi="宋体" w:cs="宋体"/>
                <w:snapToGrid w:val="0"/>
                <w:color w:val="auto"/>
                <w:kern w:val="0"/>
                <w:sz w:val="21"/>
                <w:szCs w:val="21"/>
                <w:highlight w:val="none"/>
              </w:rPr>
              <w:t>人，专家</w:t>
            </w:r>
            <w:r>
              <w:rPr>
                <w:rFonts w:hAnsi="宋体" w:cs="宋体"/>
                <w:snapToGrid w:val="0"/>
                <w:color w:val="auto"/>
                <w:kern w:val="0"/>
                <w:sz w:val="21"/>
                <w:szCs w:val="21"/>
                <w:highlight w:val="none"/>
                <w:u w:val="single"/>
              </w:rPr>
              <w:t xml:space="preserve"> 5 </w:t>
            </w:r>
            <w:r>
              <w:rPr>
                <w:rFonts w:hAnsi="宋体" w:cs="宋体"/>
                <w:snapToGrid w:val="0"/>
                <w:color w:val="auto"/>
                <w:kern w:val="0"/>
                <w:sz w:val="21"/>
                <w:szCs w:val="21"/>
                <w:highlight w:val="none"/>
              </w:rPr>
              <w:t>人。专家从</w:t>
            </w:r>
            <w:r>
              <w:rPr>
                <w:rFonts w:hAnsi="宋体" w:cs="宋体"/>
                <w:snapToGrid w:val="0"/>
                <w:color w:val="auto"/>
                <w:kern w:val="0"/>
                <w:sz w:val="21"/>
                <w:szCs w:val="21"/>
                <w:highlight w:val="none"/>
                <w:u w:val="single"/>
              </w:rPr>
              <w:t>广东省综合评标评审专家库-韶关区域</w:t>
            </w:r>
            <w:r>
              <w:rPr>
                <w:rFonts w:hAnsi="宋体" w:cs="宋体"/>
                <w:snapToGrid w:val="0"/>
                <w:color w:val="auto"/>
                <w:kern w:val="0"/>
                <w:sz w:val="21"/>
                <w:szCs w:val="21"/>
                <w:highlight w:val="none"/>
              </w:rPr>
              <w:t>中随机抽取，其中技术类专家</w:t>
            </w:r>
            <w:r>
              <w:rPr>
                <w:rFonts w:hAnsi="宋体" w:cs="宋体"/>
                <w:snapToGrid w:val="0"/>
                <w:color w:val="auto"/>
                <w:kern w:val="0"/>
                <w:sz w:val="21"/>
                <w:szCs w:val="21"/>
                <w:highlight w:val="none"/>
                <w:u w:val="single"/>
              </w:rPr>
              <w:t xml:space="preserve"> 3 </w:t>
            </w:r>
            <w:r>
              <w:rPr>
                <w:rFonts w:hAnsi="宋体" w:cs="宋体"/>
                <w:snapToGrid w:val="0"/>
                <w:color w:val="auto"/>
                <w:kern w:val="0"/>
                <w:sz w:val="21"/>
                <w:szCs w:val="21"/>
                <w:highlight w:val="none"/>
              </w:rPr>
              <w:t>人，经济类专家</w:t>
            </w:r>
            <w:r>
              <w:rPr>
                <w:rFonts w:hAnsi="宋体" w:cs="宋体"/>
                <w:snapToGrid w:val="0"/>
                <w:color w:val="auto"/>
                <w:kern w:val="0"/>
                <w:sz w:val="21"/>
                <w:szCs w:val="21"/>
                <w:highlight w:val="none"/>
                <w:u w:val="single"/>
              </w:rPr>
              <w:t xml:space="preserve"> 2 </w:t>
            </w:r>
            <w:r>
              <w:rPr>
                <w:rFonts w:hAnsi="宋体" w:cs="宋体"/>
                <w:snapToGrid w:val="0"/>
                <w:color w:val="auto"/>
                <w:kern w:val="0"/>
                <w:sz w:val="21"/>
                <w:szCs w:val="21"/>
                <w:highlight w:val="none"/>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27</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评标方法</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210" w:firstLineChars="1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综合评估法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default" w:ascii="Times New Roman" w:eastAsia="宋体"/>
                <w:snapToGrid w:val="0"/>
                <w:color w:val="auto"/>
                <w:kern w:val="0"/>
                <w:sz w:val="21"/>
                <w:szCs w:val="21"/>
                <w:highlight w:val="none"/>
                <w:lang w:val="en-US" w:eastAsia="zh-CN"/>
              </w:rPr>
            </w:pPr>
            <w:r>
              <w:rPr>
                <w:rFonts w:hint="eastAsia" w:ascii="Times New Roman"/>
                <w:snapToGrid w:val="0"/>
                <w:color w:val="auto"/>
                <w:kern w:val="0"/>
                <w:sz w:val="21"/>
                <w:szCs w:val="21"/>
                <w:highlight w:val="none"/>
                <w:lang w:val="en-US" w:eastAsia="zh-CN"/>
              </w:rPr>
              <w:t>28</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snapToGrid w:val="0"/>
                <w:color w:val="auto"/>
                <w:kern w:val="0"/>
                <w:sz w:val="21"/>
                <w:szCs w:val="21"/>
                <w:highlight w:val="none"/>
              </w:rPr>
            </w:pPr>
            <w:r>
              <w:rPr>
                <w:rFonts w:hAnsi="宋体" w:cs="宋体"/>
                <w:snapToGrid w:val="0"/>
                <w:color w:val="auto"/>
                <w:kern w:val="0"/>
                <w:sz w:val="21"/>
                <w:szCs w:val="21"/>
                <w:highlight w:val="none"/>
              </w:rPr>
              <w:t>有关安全生产责任保险的约定</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210" w:firstLineChars="100"/>
              <w:rPr>
                <w:rFonts w:hint="eastAsia" w:ascii="Times New Roman"/>
                <w:snapToGrid w:val="0"/>
                <w:color w:val="auto"/>
                <w:kern w:val="0"/>
                <w:sz w:val="21"/>
                <w:szCs w:val="21"/>
                <w:highlight w:val="none"/>
              </w:rPr>
            </w:pPr>
            <w:r>
              <w:rPr>
                <w:rFonts w:hint="eastAsia" w:hAnsi="宋体" w:cs="宋体"/>
                <w:snapToGrid w:val="0"/>
                <w:color w:val="auto"/>
                <w:kern w:val="0"/>
                <w:sz w:val="21"/>
                <w:szCs w:val="21"/>
                <w:highlight w:val="none"/>
              </w:rPr>
              <w:t>根据乐昌市应急管理局《关于做好安全生产责任保险推广工作的通知》（乐安委办〔2020〕21号），安责险实施全覆盖的文件精神，投标单位须按照文件要求将项目安责险费用计入投标报价中。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snapToGrid w:val="0"/>
                <w:color w:val="auto"/>
                <w:kern w:val="0"/>
                <w:sz w:val="21"/>
                <w:szCs w:val="21"/>
                <w:highlight w:val="none"/>
              </w:rPr>
              <w:t>2</w:t>
            </w:r>
            <w:r>
              <w:rPr>
                <w:rFonts w:hint="eastAsia" w:ascii="Times New Roman" w:cs="Times New Roman"/>
                <w:snapToGrid w:val="0"/>
                <w:color w:val="auto"/>
                <w:kern w:val="0"/>
                <w:sz w:val="21"/>
                <w:szCs w:val="21"/>
                <w:highlight w:val="none"/>
                <w:lang w:val="en-US" w:eastAsia="zh-CN"/>
              </w:rPr>
              <w:t>9</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招标文件要求提交的用于评审的证书、证件、证明原件</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投标人如需</w:t>
            </w:r>
            <w:r>
              <w:rPr>
                <w:rFonts w:hint="eastAsia" w:ascii="宋体" w:hAnsi="宋体" w:eastAsia="宋体" w:cs="宋体"/>
                <w:snapToGrid w:val="0"/>
                <w:color w:val="auto"/>
                <w:kern w:val="0"/>
                <w:sz w:val="21"/>
                <w:szCs w:val="21"/>
                <w:highlight w:val="none"/>
                <w:lang w:val="en-US" w:eastAsia="zh-CN"/>
              </w:rPr>
              <w:t>递</w:t>
            </w:r>
            <w:r>
              <w:rPr>
                <w:rFonts w:hint="eastAsia" w:ascii="宋体" w:hAnsi="宋体" w:eastAsia="宋体" w:cs="宋体"/>
                <w:snapToGrid w:val="0"/>
                <w:color w:val="auto"/>
                <w:kern w:val="0"/>
                <w:sz w:val="21"/>
                <w:szCs w:val="21"/>
                <w:highlight w:val="none"/>
              </w:rPr>
              <w:t>交用于评审的证书、证件、证明原件的，投标人应自行将所需原件密封于文件袋（箱）中，并自行准备两张“原件一览表”(详见格式十</w:t>
            </w:r>
            <w:r>
              <w:rPr>
                <w:rFonts w:hint="eastAsia" w:hAnsi="宋体" w:cs="宋体"/>
                <w:snapToGrid w:val="0"/>
                <w:color w:val="auto"/>
                <w:kern w:val="0"/>
                <w:sz w:val="21"/>
                <w:szCs w:val="21"/>
                <w:highlight w:val="none"/>
                <w:lang w:val="en-US" w:eastAsia="zh-CN"/>
              </w:rPr>
              <w:t>四</w:t>
            </w:r>
            <w:r>
              <w:rPr>
                <w:rFonts w:hint="eastAsia" w:ascii="宋体" w:hAnsi="宋体" w:eastAsia="宋体" w:cs="宋体"/>
                <w:snapToGrid w:val="0"/>
                <w:color w:val="auto"/>
                <w:kern w:val="0"/>
                <w:sz w:val="21"/>
                <w:szCs w:val="21"/>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85"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cs="Times New Roman"/>
                <w:snapToGrid w:val="0"/>
                <w:color w:val="auto"/>
                <w:kern w:val="0"/>
                <w:sz w:val="21"/>
                <w:szCs w:val="21"/>
                <w:highlight w:val="none"/>
                <w:lang w:val="en-US" w:eastAsia="zh-CN"/>
              </w:rPr>
              <w:t>30</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招标人</w:t>
            </w:r>
          </w:p>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单位名称：</w:t>
            </w:r>
            <w:r>
              <w:rPr>
                <w:rFonts w:hint="eastAsia" w:ascii="Times New Roman" w:cs="Times New Roman"/>
                <w:snapToGrid w:val="0"/>
                <w:color w:val="auto"/>
                <w:kern w:val="0"/>
                <w:sz w:val="21"/>
                <w:szCs w:val="21"/>
                <w:highlight w:val="none"/>
                <w:lang w:eastAsia="zh-CN"/>
              </w:rPr>
              <w:t>乐昌市政府投资建设项目代建管理局</w:t>
            </w:r>
          </w:p>
          <w:p>
            <w:pPr>
              <w:wordWrap w:val="0"/>
              <w:adjustRightInd w:val="0"/>
              <w:snapToGrid w:val="0"/>
              <w:spacing w:line="360" w:lineRule="exact"/>
              <w:ind w:firstLine="210" w:firstLineChars="100"/>
              <w:jc w:val="left"/>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办公地址：乐昌市乐城广福路98号</w:t>
            </w:r>
          </w:p>
          <w:p>
            <w:pPr>
              <w:wordWrap w:val="0"/>
              <w:adjustRightInd w:val="0"/>
              <w:snapToGrid w:val="0"/>
              <w:spacing w:line="360" w:lineRule="exact"/>
              <w:ind w:firstLine="210" w:firstLineChars="100"/>
              <w:jc w:val="left"/>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联系人（部门）：王工</w:t>
            </w:r>
          </w:p>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联系电话：0751-5566203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79"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snapToGrid w:val="0"/>
                <w:color w:val="auto"/>
                <w:kern w:val="0"/>
                <w:sz w:val="21"/>
                <w:szCs w:val="21"/>
                <w:highlight w:val="none"/>
              </w:rPr>
              <w:t>3</w:t>
            </w:r>
            <w:r>
              <w:rPr>
                <w:rFonts w:hint="eastAsia" w:ascii="Times New Roman" w:cs="Times New Roman"/>
                <w:snapToGrid w:val="0"/>
                <w:color w:val="auto"/>
                <w:kern w:val="0"/>
                <w:sz w:val="21"/>
                <w:szCs w:val="21"/>
                <w:highlight w:val="none"/>
                <w:lang w:val="en-US" w:eastAsia="zh-CN"/>
              </w:rPr>
              <w:t>1</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招标代理机构</w:t>
            </w:r>
          </w:p>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单位名称：</w:t>
            </w:r>
            <w:r>
              <w:rPr>
                <w:rFonts w:hint="eastAsia" w:ascii="Times New Roman" w:cs="Times New Roman"/>
                <w:snapToGrid w:val="0"/>
                <w:color w:val="auto"/>
                <w:kern w:val="0"/>
                <w:sz w:val="21"/>
                <w:szCs w:val="21"/>
                <w:highlight w:val="none"/>
                <w:lang w:eastAsia="zh-CN"/>
              </w:rPr>
              <w:t>深圳市建衡达工程造价咨询有限公司</w:t>
            </w:r>
            <w:r>
              <w:rPr>
                <w:rFonts w:hint="eastAsia" w:ascii="Times New Roman" w:hAnsi="Times New Roman" w:eastAsia="宋体" w:cs="Times New Roman"/>
                <w:snapToGrid w:val="0"/>
                <w:color w:val="auto"/>
                <w:kern w:val="0"/>
                <w:sz w:val="21"/>
                <w:szCs w:val="21"/>
                <w:highlight w:val="none"/>
              </w:rPr>
              <w:t xml:space="preserve"> </w:t>
            </w:r>
          </w:p>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snapToGrid w:val="0"/>
                <w:color w:val="auto"/>
                <w:kern w:val="0"/>
                <w:sz w:val="21"/>
                <w:szCs w:val="21"/>
                <w:highlight w:val="none"/>
              </w:rPr>
              <w:t>办公地址：</w:t>
            </w:r>
            <w:r>
              <w:rPr>
                <w:rFonts w:hint="eastAsia" w:ascii="Times New Roman" w:hAnsi="Times New Roman" w:eastAsia="宋体" w:cs="Times New Roman"/>
                <w:snapToGrid w:val="0"/>
                <w:color w:val="auto"/>
                <w:kern w:val="0"/>
                <w:sz w:val="21"/>
                <w:szCs w:val="21"/>
                <w:highlight w:val="none"/>
                <w:lang w:eastAsia="zh-CN"/>
              </w:rPr>
              <w:t>韶关市浈江区五里亭良村商贸城A栋9楼</w:t>
            </w:r>
          </w:p>
          <w:p>
            <w:pPr>
              <w:wordWrap w:val="0"/>
              <w:adjustRightInd w:val="0"/>
              <w:snapToGrid w:val="0"/>
              <w:spacing w:line="360" w:lineRule="exact"/>
              <w:ind w:firstLine="210" w:firstLineChars="100"/>
              <w:jc w:val="left"/>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rPr>
              <w:t>联系人（部门）：</w:t>
            </w:r>
            <w:r>
              <w:rPr>
                <w:rFonts w:hint="eastAsia" w:ascii="Times New Roman" w:cs="Times New Roman"/>
                <w:snapToGrid w:val="0"/>
                <w:color w:val="auto"/>
                <w:kern w:val="0"/>
                <w:sz w:val="21"/>
                <w:szCs w:val="21"/>
                <w:highlight w:val="none"/>
                <w:lang w:val="en-US" w:eastAsia="zh-CN"/>
              </w:rPr>
              <w:t>曾工</w:t>
            </w:r>
          </w:p>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联系电话：</w:t>
            </w:r>
            <w:r>
              <w:rPr>
                <w:rFonts w:hint="eastAsia" w:ascii="宋体" w:hAnsi="宋体" w:eastAsia="宋体" w:cs="宋体"/>
                <w:snapToGrid w:val="0"/>
                <w:color w:val="auto"/>
                <w:kern w:val="0"/>
                <w:sz w:val="21"/>
                <w:szCs w:val="21"/>
                <w:highlight w:val="none"/>
                <w:lang w:eastAsia="zh-CN"/>
              </w:rPr>
              <w:t>0751-8200767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90"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snapToGrid w:val="0"/>
                <w:color w:val="auto"/>
                <w:kern w:val="0"/>
                <w:sz w:val="21"/>
                <w:szCs w:val="21"/>
                <w:highlight w:val="none"/>
              </w:rPr>
              <w:t>3</w:t>
            </w:r>
            <w:r>
              <w:rPr>
                <w:rFonts w:hint="eastAsia" w:ascii="Times New Roman" w:cs="Times New Roman"/>
                <w:snapToGrid w:val="0"/>
                <w:color w:val="auto"/>
                <w:kern w:val="0"/>
                <w:sz w:val="21"/>
                <w:szCs w:val="21"/>
                <w:highlight w:val="none"/>
                <w:lang w:val="en-US" w:eastAsia="zh-CN"/>
              </w:rPr>
              <w:t>2</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交易场所</w:t>
            </w:r>
          </w:p>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单位名称：韶关市公共资源交易中心</w:t>
            </w:r>
          </w:p>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办公地址：乐昌市昌山北路23号韶关市公共资源交易中心乐昌分中心</w:t>
            </w:r>
          </w:p>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联系人（部门）：工程交易部</w:t>
            </w:r>
          </w:p>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联系电话：</w:t>
            </w:r>
            <w:r>
              <w:rPr>
                <w:rFonts w:hint="eastAsia" w:ascii="宋体" w:hAnsi="宋体" w:eastAsia="宋体" w:cs="宋体"/>
                <w:snapToGrid w:val="0"/>
                <w:color w:val="auto"/>
                <w:kern w:val="0"/>
                <w:sz w:val="21"/>
                <w:szCs w:val="21"/>
                <w:highlight w:val="none"/>
              </w:rPr>
              <w:t>0751-5570106</w:t>
            </w:r>
          </w:p>
        </w:tc>
      </w:tr>
      <w:bookmarkEnd w:id="11"/>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90"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lang w:eastAsia="zh-CN"/>
              </w:rPr>
            </w:pPr>
            <w:bookmarkStart w:id="15" w:name="_Toc5853"/>
            <w:bookmarkStart w:id="16" w:name="_Toc122769943"/>
            <w:bookmarkStart w:id="17" w:name="_Toc122671103"/>
            <w:bookmarkStart w:id="18" w:name="_Toc122859103"/>
            <w:r>
              <w:rPr>
                <w:rFonts w:hint="eastAsia" w:ascii="Times New Roman" w:hAnsi="Times New Roman" w:eastAsia="宋体" w:cs="Times New Roman"/>
                <w:snapToGrid w:val="0"/>
                <w:color w:val="auto"/>
                <w:kern w:val="0"/>
                <w:sz w:val="21"/>
                <w:szCs w:val="21"/>
                <w:highlight w:val="none"/>
              </w:rPr>
              <w:t>3</w:t>
            </w:r>
            <w:r>
              <w:rPr>
                <w:rFonts w:hint="eastAsia" w:ascii="Times New Roman" w:cs="Times New Roman"/>
                <w:snapToGrid w:val="0"/>
                <w:color w:val="auto"/>
                <w:kern w:val="0"/>
                <w:sz w:val="21"/>
                <w:szCs w:val="21"/>
                <w:highlight w:val="none"/>
                <w:lang w:val="en-US" w:eastAsia="zh-CN"/>
              </w:rPr>
              <w:t>3</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行政监督部门</w:t>
            </w:r>
          </w:p>
          <w:p>
            <w:pPr>
              <w:wordWrap w:val="0"/>
              <w:adjustRightInd w:val="0"/>
              <w:snapToGrid w:val="0"/>
              <w:spacing w:line="360" w:lineRule="exact"/>
              <w:jc w:val="center"/>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单位名称：</w:t>
            </w:r>
            <w:r>
              <w:rPr>
                <w:rFonts w:hint="eastAsia" w:ascii="Times New Roman" w:cs="Times New Roman"/>
                <w:snapToGrid w:val="0"/>
                <w:color w:val="auto"/>
                <w:kern w:val="0"/>
                <w:sz w:val="21"/>
                <w:szCs w:val="21"/>
                <w:highlight w:val="none"/>
                <w:lang w:val="en-US" w:eastAsia="zh-CN"/>
              </w:rPr>
              <w:t>乐昌</w:t>
            </w:r>
            <w:r>
              <w:rPr>
                <w:rFonts w:hint="eastAsia" w:ascii="Times New Roman" w:hAnsi="Times New Roman" w:eastAsia="宋体" w:cs="Times New Roman"/>
                <w:snapToGrid w:val="0"/>
                <w:color w:val="auto"/>
                <w:kern w:val="0"/>
                <w:sz w:val="21"/>
                <w:szCs w:val="21"/>
                <w:highlight w:val="none"/>
              </w:rPr>
              <w:t xml:space="preserve">市住房和城乡建设管理局 </w:t>
            </w:r>
          </w:p>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办公地址：乐昌市公园路13号</w:t>
            </w:r>
          </w:p>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 xml:space="preserve">联系人(部门)：建筑业监督管理股  </w:t>
            </w:r>
          </w:p>
          <w:p>
            <w:pPr>
              <w:wordWrap w:val="0"/>
              <w:adjustRightInd w:val="0"/>
              <w:snapToGrid w:val="0"/>
              <w:spacing w:line="360" w:lineRule="exact"/>
              <w:ind w:firstLine="210" w:firstLineChars="100"/>
              <w:jc w:val="left"/>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rPr>
              <w:t>联系电话：</w:t>
            </w:r>
            <w:r>
              <w:rPr>
                <w:rFonts w:hint="eastAsia" w:ascii="宋体" w:hAnsi="宋体" w:eastAsia="宋体" w:cs="宋体"/>
                <w:snapToGrid w:val="0"/>
                <w:color w:val="auto"/>
                <w:kern w:val="0"/>
                <w:sz w:val="21"/>
                <w:szCs w:val="21"/>
                <w:highlight w:val="none"/>
              </w:rPr>
              <w:t xml:space="preserve">0751—5552940 </w:t>
            </w:r>
          </w:p>
        </w:tc>
      </w:tr>
      <w:bookmarkEnd w:id="15"/>
      <w:bookmarkEnd w:id="16"/>
      <w:bookmarkEnd w:id="17"/>
      <w:bookmarkEnd w:id="18"/>
    </w:tbl>
    <w:p>
      <w:pPr>
        <w:pStyle w:val="4"/>
        <w:wordWrap w:val="0"/>
        <w:autoSpaceDE/>
        <w:autoSpaceDN/>
        <w:snapToGrid w:val="0"/>
        <w:spacing w:before="260" w:after="260" w:line="360" w:lineRule="exact"/>
        <w:jc w:val="both"/>
        <w:rPr>
          <w:rFonts w:hint="eastAsia" w:ascii="Times New Roman"/>
          <w:b/>
          <w:snapToGrid w:val="0"/>
          <w:color w:val="auto"/>
          <w:highlight w:val="none"/>
        </w:rPr>
        <w:sectPr>
          <w:footerReference r:id="rId6"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pPr>
        <w:pStyle w:val="4"/>
        <w:wordWrap w:val="0"/>
        <w:autoSpaceDE/>
        <w:autoSpaceDN/>
        <w:snapToGrid w:val="0"/>
        <w:spacing w:after="260" w:line="440" w:lineRule="exact"/>
        <w:jc w:val="both"/>
        <w:rPr>
          <w:rFonts w:hint="eastAsia" w:ascii="Times New Roman"/>
          <w:snapToGrid w:val="0"/>
          <w:color w:val="auto"/>
          <w:highlight w:val="none"/>
        </w:rPr>
      </w:pPr>
      <w:bookmarkStart w:id="19" w:name="_Toc12786"/>
      <w:bookmarkStart w:id="20" w:name="_Toc27075"/>
      <w:r>
        <w:rPr>
          <w:rFonts w:hint="eastAsia" w:ascii="Times New Roman"/>
          <w:b/>
          <w:snapToGrid w:val="0"/>
          <w:color w:val="auto"/>
          <w:highlight w:val="none"/>
        </w:rPr>
        <w:t>第二节 重要事项时间地点一览表</w:t>
      </w:r>
      <w:bookmarkEnd w:id="19"/>
      <w:bookmarkEnd w:id="20"/>
    </w:p>
    <w:tbl>
      <w:tblPr>
        <w:tblStyle w:val="30"/>
        <w:tblpPr w:leftFromText="180" w:rightFromText="180" w:vertAnchor="text" w:horzAnchor="page" w:tblpXSpec="center" w:tblpY="115"/>
        <w:tblOverlap w:val="never"/>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800"/>
        <w:gridCol w:w="6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6828"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23</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20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rPr>
              <w:t xml:space="preserve"> 00</w:t>
            </w:r>
            <w:r>
              <w:rPr>
                <w:rFonts w:hint="eastAsia" w:ascii="宋体" w:hAnsi="宋体" w:eastAsia="宋体" w:cs="宋体"/>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6828"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u w:val="single"/>
              </w:rPr>
              <w:t>0</w:t>
            </w:r>
            <w:r>
              <w:rPr>
                <w:rFonts w:hint="eastAsia" w:ascii="宋体" w:hAnsi="宋体" w:eastAsia="宋体" w:cs="宋体"/>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6828"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rPr>
              <w:t>00</w:t>
            </w:r>
            <w:r>
              <w:rPr>
                <w:rFonts w:hint="eastAsia" w:ascii="宋体" w:hAnsi="宋体" w:eastAsia="宋体" w:cs="宋体"/>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6828"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rPr>
              <w:t>00</w:t>
            </w:r>
            <w:r>
              <w:rPr>
                <w:rFonts w:hint="eastAsia" w:ascii="宋体" w:hAnsi="宋体" w:eastAsia="宋体" w:cs="宋体"/>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6828"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12</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 xml:space="preserve"> 30</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分；</w:t>
            </w:r>
          </w:p>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12</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 xml:space="preserve"> 30</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分；</w:t>
            </w:r>
          </w:p>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12</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 xml:space="preserve"> 30</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6828"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 xml:space="preserve"> 30</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投标相关资料（如有）递交时间</w:t>
            </w:r>
          </w:p>
        </w:tc>
        <w:tc>
          <w:tcPr>
            <w:tcW w:w="6828"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 xml:space="preserve">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bookmarkStart w:id="296" w:name="_GoBack"/>
            <w:bookmarkEnd w:id="296"/>
            <w:r>
              <w:rPr>
                <w:rFonts w:hint="eastAsia" w:ascii="宋体" w:hAnsi="宋体" w:eastAsia="宋体" w:cs="宋体"/>
                <w:color w:val="auto"/>
                <w:kern w:val="0"/>
                <w:sz w:val="24"/>
                <w:szCs w:val="24"/>
                <w:highlight w:val="none"/>
                <w:u w:val="single"/>
                <w:lang w:val="en-US" w:eastAsia="zh-CN"/>
              </w:rPr>
              <w:t>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 xml:space="preserve">30 </w:t>
            </w:r>
            <w:r>
              <w:rPr>
                <w:rFonts w:hint="eastAsia" w:ascii="宋体" w:hAnsi="宋体" w:eastAsia="宋体" w:cs="宋体"/>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投标相关资料（如有）递交时间</w:t>
            </w:r>
          </w:p>
        </w:tc>
        <w:tc>
          <w:tcPr>
            <w:tcW w:w="6828" w:type="dxa"/>
            <w:noWrap w:val="0"/>
            <w:vAlign w:val="center"/>
          </w:tcPr>
          <w:p>
            <w:pPr>
              <w:pStyle w:val="136"/>
              <w:widowControl/>
              <w:snapToGrid w:val="0"/>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地址：韶关市公共资源交易中心乐昌分中心（地址：乐昌市昌山北路23号），具体递交场所以当日现场通知为准。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6828"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202</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13</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 xml:space="preserve">9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516"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800" w:type="dxa"/>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6828" w:type="dxa"/>
            <w:noWrap w:val="0"/>
            <w:vAlign w:val="center"/>
          </w:tcPr>
          <w:p>
            <w:pPr>
              <w:pStyle w:val="136"/>
              <w:widowControl/>
              <w:snapToGrid w:val="0"/>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地址：韶关市公共资源交易中心乐昌分中心（地址：乐昌市昌山北路23号），具体开标室以当日现场通知为准。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2316" w:type="dxa"/>
            <w:gridSpan w:val="2"/>
            <w:noWrap w:val="0"/>
            <w:vAlign w:val="center"/>
          </w:tcPr>
          <w:p>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6828" w:type="dxa"/>
            <w:noWrap w:val="0"/>
            <w:vAlign w:val="center"/>
          </w:tcPr>
          <w:p>
            <w:pPr>
              <w:pStyle w:val="136"/>
              <w:widowControl/>
              <w:spacing w:line="430" w:lineRule="atLeas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pPr>
        <w:pStyle w:val="3"/>
        <w:tabs>
          <w:tab w:val="left" w:pos="885"/>
        </w:tabs>
        <w:wordWrap w:val="0"/>
        <w:autoSpaceDE/>
        <w:autoSpaceDN/>
        <w:snapToGrid w:val="0"/>
        <w:spacing w:line="440" w:lineRule="exact"/>
        <w:ind w:left="885" w:hanging="885"/>
        <w:jc w:val="center"/>
        <w:rPr>
          <w:rFonts w:ascii="Times New Roman"/>
          <w:snapToGrid w:val="0"/>
          <w:color w:val="auto"/>
          <w:sz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pPr>
        <w:pStyle w:val="3"/>
        <w:tabs>
          <w:tab w:val="left" w:pos="885"/>
        </w:tabs>
        <w:wordWrap w:val="0"/>
        <w:autoSpaceDE/>
        <w:autoSpaceDN/>
        <w:snapToGrid w:val="0"/>
        <w:spacing w:line="440" w:lineRule="exact"/>
        <w:ind w:left="885" w:hanging="885"/>
        <w:jc w:val="both"/>
        <w:rPr>
          <w:rFonts w:hint="eastAsia" w:ascii="Times New Roman"/>
          <w:b/>
          <w:snapToGrid w:val="0"/>
          <w:color w:val="auto"/>
          <w:sz w:val="24"/>
          <w:highlight w:val="none"/>
        </w:rPr>
      </w:pPr>
      <w:bookmarkStart w:id="21" w:name="_Hlt87793819"/>
      <w:bookmarkEnd w:id="21"/>
      <w:bookmarkStart w:id="22" w:name="_Toc16803"/>
      <w:bookmarkStart w:id="23" w:name="_Toc5895"/>
      <w:bookmarkStart w:id="24" w:name="_Toc18202"/>
      <w:bookmarkStart w:id="25" w:name="_Hlt69698705"/>
      <w:bookmarkStart w:id="26" w:name="_Hlt69698754"/>
      <w:r>
        <w:rPr>
          <w:rFonts w:hint="eastAsia" w:ascii="Times New Roman"/>
          <w:b/>
          <w:snapToGrid w:val="0"/>
          <w:color w:val="auto"/>
          <w:sz w:val="24"/>
          <w:highlight w:val="none"/>
        </w:rPr>
        <w:t>第三节 投标人须知</w:t>
      </w:r>
      <w:bookmarkEnd w:id="22"/>
      <w:bookmarkStart w:id="27" w:name="_Hlt69669159"/>
      <w:bookmarkEnd w:id="27"/>
      <w:r>
        <w:rPr>
          <w:rFonts w:hint="eastAsia" w:ascii="Times New Roman"/>
          <w:b/>
          <w:snapToGrid w:val="0"/>
          <w:color w:val="auto"/>
          <w:sz w:val="24"/>
          <w:highlight w:val="none"/>
        </w:rPr>
        <w:t>正文</w:t>
      </w:r>
      <w:bookmarkEnd w:id="23"/>
      <w:bookmarkEnd w:id="24"/>
    </w:p>
    <w:bookmarkEnd w:id="25"/>
    <w:bookmarkEnd w:id="26"/>
    <w:p>
      <w:pPr>
        <w:wordWrap w:val="0"/>
        <w:adjustRightInd w:val="0"/>
        <w:snapToGrid w:val="0"/>
        <w:spacing w:line="440" w:lineRule="exact"/>
        <w:ind w:firstLine="480" w:firstLineChars="200"/>
        <w:rPr>
          <w:rFonts w:hint="eastAsia" w:ascii="Times New Roman"/>
          <w:snapToGrid w:val="0"/>
          <w:color w:val="auto"/>
          <w:kern w:val="0"/>
          <w:szCs w:val="28"/>
          <w:highlight w:val="none"/>
          <w:u w:val="single"/>
        </w:rPr>
      </w:pPr>
    </w:p>
    <w:p>
      <w:pPr>
        <w:ind w:firstLine="560"/>
        <w:rPr>
          <w:rFonts w:hint="eastAsia" w:ascii="Times New Roman"/>
          <w:b/>
          <w:snapToGrid w:val="0"/>
          <w:color w:val="auto"/>
          <w:highlight w:val="none"/>
        </w:rPr>
      </w:pPr>
      <w:bookmarkStart w:id="28" w:name="_Hlt78795222"/>
      <w:bookmarkEnd w:id="28"/>
      <w:bookmarkStart w:id="29" w:name="_Hlt119991399"/>
      <w:bookmarkEnd w:id="29"/>
      <w:bookmarkStart w:id="30" w:name="_Hlt87948285"/>
      <w:bookmarkEnd w:id="30"/>
      <w:bookmarkStart w:id="31" w:name="_Hlt109358474"/>
      <w:bookmarkEnd w:id="31"/>
      <w:bookmarkStart w:id="32" w:name="_Hlt74474735"/>
      <w:bookmarkEnd w:id="32"/>
      <w:bookmarkStart w:id="33" w:name="_Toc26083"/>
      <w:r>
        <w:rPr>
          <w:rFonts w:hint="eastAsia" w:hAnsi="宋体" w:cs="宋体"/>
          <w:snapToGrid w:val="0"/>
          <w:color w:val="auto"/>
          <w:kern w:val="0"/>
          <w:szCs w:val="24"/>
          <w:highlight w:val="none"/>
          <w:u w:val="single"/>
          <w:lang w:eastAsia="zh-CN"/>
        </w:rPr>
        <w:t>新建乐昌市第二中学教学综合楼项目</w:t>
      </w:r>
      <w:r>
        <w:rPr>
          <w:rFonts w:hAnsi="宋体" w:cs="宋体"/>
          <w:snapToGrid w:val="0"/>
          <w:color w:val="auto"/>
          <w:kern w:val="0"/>
          <w:szCs w:val="24"/>
          <w:highlight w:val="none"/>
        </w:rPr>
        <w:t>经</w:t>
      </w:r>
      <w:r>
        <w:rPr>
          <w:rFonts w:hAnsi="宋体"/>
          <w:snapToGrid w:val="0"/>
          <w:color w:val="auto"/>
          <w:kern w:val="0"/>
          <w:szCs w:val="24"/>
          <w:highlight w:val="none"/>
          <w:u w:val="single"/>
        </w:rPr>
        <w:t>乐昌市发展和改革局以《</w:t>
      </w:r>
      <w:r>
        <w:rPr>
          <w:rFonts w:hint="eastAsia" w:hAnsi="宋体"/>
          <w:snapToGrid w:val="0"/>
          <w:color w:val="auto"/>
          <w:kern w:val="0"/>
          <w:szCs w:val="24"/>
          <w:highlight w:val="none"/>
          <w:u w:val="single"/>
          <w:lang w:val="en-US" w:eastAsia="zh-CN"/>
        </w:rPr>
        <w:t>乐昌市发展和改革局关于新建乐昌市第二中学学生宿舍楼项目可行性研究报告的批复</w:t>
      </w:r>
      <w:r>
        <w:rPr>
          <w:rFonts w:hAnsi="宋体"/>
          <w:snapToGrid w:val="0"/>
          <w:color w:val="auto"/>
          <w:kern w:val="0"/>
          <w:szCs w:val="24"/>
          <w:highlight w:val="none"/>
          <w:u w:val="single"/>
        </w:rPr>
        <w:t>》（</w:t>
      </w:r>
      <w:r>
        <w:rPr>
          <w:rFonts w:hint="eastAsia" w:hAnsi="宋体"/>
          <w:snapToGrid w:val="0"/>
          <w:color w:val="auto"/>
          <w:kern w:val="0"/>
          <w:szCs w:val="24"/>
          <w:highlight w:val="none"/>
          <w:u w:val="single"/>
          <w:lang w:val="en-US" w:eastAsia="zh-CN"/>
        </w:rPr>
        <w:t>乐发改投审[2022]77号</w:t>
      </w:r>
      <w:r>
        <w:rPr>
          <w:rFonts w:hAnsi="宋体"/>
          <w:snapToGrid w:val="0"/>
          <w:color w:val="auto"/>
          <w:kern w:val="0"/>
          <w:szCs w:val="24"/>
          <w:highlight w:val="none"/>
          <w:u w:val="single"/>
        </w:rPr>
        <w:t>）</w:t>
      </w:r>
      <w:r>
        <w:rPr>
          <w:rStyle w:val="149"/>
          <w:rFonts w:hAnsi="宋体" w:cs="宋体"/>
          <w:color w:val="auto"/>
          <w:kern w:val="0"/>
          <w:szCs w:val="24"/>
          <w:highlight w:val="none"/>
        </w:rPr>
        <w:t>批准建设</w:t>
      </w:r>
      <w:r>
        <w:rPr>
          <w:rFonts w:hAnsi="宋体" w:cs="宋体"/>
          <w:snapToGrid w:val="0"/>
          <w:color w:val="auto"/>
          <w:kern w:val="0"/>
          <w:szCs w:val="24"/>
          <w:highlight w:val="none"/>
        </w:rPr>
        <w:t>，项目代码为</w:t>
      </w:r>
      <w:r>
        <w:rPr>
          <w:rFonts w:hint="eastAsia" w:hAnsi="宋体" w:cs="宋体"/>
          <w:snapToGrid w:val="0"/>
          <w:color w:val="auto"/>
          <w:kern w:val="0"/>
          <w:szCs w:val="24"/>
          <w:highlight w:val="none"/>
          <w:u w:val="single"/>
          <w:lang w:val="en-US" w:eastAsia="zh-CN"/>
        </w:rPr>
        <w:t xml:space="preserve">  2210-440281-04-05-867507 </w:t>
      </w:r>
      <w:r>
        <w:rPr>
          <w:rFonts w:hAnsi="宋体" w:cs="宋体"/>
          <w:snapToGrid w:val="0"/>
          <w:color w:val="auto"/>
          <w:kern w:val="0"/>
          <w:szCs w:val="24"/>
          <w:highlight w:val="none"/>
        </w:rPr>
        <w:t>。本工程项目业主为：</w:t>
      </w:r>
      <w:r>
        <w:rPr>
          <w:rFonts w:hint="eastAsia" w:hAnsi="宋体" w:cs="宋体"/>
          <w:snapToGrid w:val="0"/>
          <w:color w:val="auto"/>
          <w:kern w:val="0"/>
          <w:szCs w:val="24"/>
          <w:highlight w:val="none"/>
          <w:u w:val="single"/>
          <w:lang w:eastAsia="zh-CN"/>
        </w:rPr>
        <w:t>乐昌市第二中学</w:t>
      </w:r>
      <w:r>
        <w:rPr>
          <w:rFonts w:hAnsi="宋体" w:cs="宋体"/>
          <w:snapToGrid w:val="0"/>
          <w:color w:val="auto"/>
          <w:kern w:val="0"/>
          <w:szCs w:val="24"/>
          <w:highlight w:val="none"/>
        </w:rPr>
        <w:t>，建设资金来自</w:t>
      </w:r>
      <w:r>
        <w:rPr>
          <w:rFonts w:hAnsi="宋体" w:cs="宋体"/>
          <w:snapToGrid w:val="0"/>
          <w:color w:val="auto"/>
          <w:kern w:val="0"/>
          <w:szCs w:val="24"/>
          <w:highlight w:val="none"/>
          <w:u w:val="single"/>
        </w:rPr>
        <w:t xml:space="preserve"> 财政资金，</w:t>
      </w:r>
      <w:r>
        <w:rPr>
          <w:rStyle w:val="149"/>
          <w:rFonts w:hAnsi="宋体" w:cs="宋体"/>
          <w:color w:val="auto"/>
          <w:kern w:val="0"/>
          <w:szCs w:val="24"/>
          <w:highlight w:val="none"/>
        </w:rPr>
        <w:t>出资比例为</w:t>
      </w:r>
      <w:r>
        <w:rPr>
          <w:rFonts w:hAnsi="宋体" w:cs="宋体"/>
          <w:snapToGrid w:val="0"/>
          <w:color w:val="auto"/>
          <w:kern w:val="0"/>
          <w:szCs w:val="24"/>
          <w:highlight w:val="none"/>
        </w:rPr>
        <w:t xml:space="preserve">  </w:t>
      </w:r>
      <w:r>
        <w:rPr>
          <w:rFonts w:hAnsi="宋体" w:cs="宋体"/>
          <w:snapToGrid w:val="0"/>
          <w:color w:val="auto"/>
          <w:kern w:val="0"/>
          <w:szCs w:val="24"/>
          <w:highlight w:val="none"/>
          <w:u w:val="single"/>
        </w:rPr>
        <w:t>100%</w:t>
      </w:r>
      <w:r>
        <w:rPr>
          <w:rFonts w:hAnsi="宋体" w:cs="宋体"/>
          <w:snapToGrid w:val="0"/>
          <w:color w:val="auto"/>
          <w:kern w:val="0"/>
          <w:szCs w:val="24"/>
          <w:highlight w:val="none"/>
        </w:rPr>
        <w:t>，招标人为</w:t>
      </w:r>
      <w:r>
        <w:rPr>
          <w:rFonts w:hAnsi="宋体" w:cs="宋体"/>
          <w:color w:val="auto"/>
          <w:kern w:val="0"/>
          <w:szCs w:val="24"/>
          <w:highlight w:val="none"/>
          <w:u w:val="single"/>
        </w:rPr>
        <w:t>乐昌市政府投资建设项目代建管理局</w:t>
      </w:r>
      <w:r>
        <w:rPr>
          <w:rFonts w:hAnsi="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深圳市建衡达工程造价咨询有限公司</w:t>
      </w:r>
      <w:r>
        <w:rPr>
          <w:rFonts w:hAnsi="宋体" w:cs="宋体"/>
          <w:snapToGrid w:val="0"/>
          <w:color w:val="auto"/>
          <w:kern w:val="0"/>
          <w:szCs w:val="24"/>
          <w:highlight w:val="none"/>
        </w:rPr>
        <w:t>。项目已具备招标条件，现对该项目的</w:t>
      </w:r>
      <w:r>
        <w:rPr>
          <w:rFonts w:hAnsi="宋体" w:cs="宋体"/>
          <w:snapToGrid w:val="0"/>
          <w:color w:val="auto"/>
          <w:kern w:val="0"/>
          <w:szCs w:val="24"/>
          <w:highlight w:val="none"/>
          <w:u w:val="single"/>
        </w:rPr>
        <w:t>施工</w:t>
      </w:r>
      <w:r>
        <w:rPr>
          <w:rFonts w:hAnsi="宋体" w:cs="宋体"/>
          <w:snapToGrid w:val="0"/>
          <w:color w:val="auto"/>
          <w:kern w:val="0"/>
          <w:szCs w:val="24"/>
          <w:highlight w:val="none"/>
        </w:rPr>
        <w:t>进行公开招标。</w:t>
      </w:r>
    </w:p>
    <w:p>
      <w:pPr>
        <w:pStyle w:val="136"/>
        <w:wordWrap w:val="0"/>
        <w:adjustRightInd w:val="0"/>
        <w:snapToGrid w:val="0"/>
        <w:spacing w:line="440" w:lineRule="exact"/>
        <w:ind w:firstLine="480"/>
        <w:jc w:val="left"/>
        <w:rPr>
          <w:rFonts w:hint="eastAsia"/>
          <w:b/>
          <w:bCs/>
          <w:snapToGrid w:val="0"/>
          <w:color w:val="auto"/>
          <w:kern w:val="0"/>
          <w:sz w:val="24"/>
          <w:highlight w:val="none"/>
        </w:rPr>
      </w:pPr>
      <w:r>
        <w:rPr>
          <w:rFonts w:hint="eastAsia"/>
          <w:b/>
          <w:bCs/>
          <w:snapToGrid w:val="0"/>
          <w:color w:val="auto"/>
          <w:kern w:val="0"/>
          <w:sz w:val="24"/>
          <w:highlight w:val="none"/>
        </w:rPr>
        <w:t>1．项目概况、招标范围和标段划分、投标费用</w:t>
      </w:r>
    </w:p>
    <w:p>
      <w:pPr>
        <w:pStyle w:val="136"/>
        <w:wordWrap w:val="0"/>
        <w:adjustRightInd w:val="0"/>
        <w:snapToGrid w:val="0"/>
        <w:spacing w:line="440" w:lineRule="exact"/>
        <w:ind w:firstLine="480"/>
        <w:jc w:val="left"/>
        <w:rPr>
          <w:snapToGrid w:val="0"/>
          <w:color w:val="auto"/>
          <w:kern w:val="0"/>
          <w:sz w:val="24"/>
          <w:highlight w:val="none"/>
        </w:rPr>
      </w:pPr>
      <w:r>
        <w:rPr>
          <w:rFonts w:hint="eastAsia"/>
          <w:b/>
          <w:bCs/>
          <w:snapToGrid w:val="0"/>
          <w:color w:val="auto"/>
          <w:kern w:val="0"/>
          <w:sz w:val="24"/>
          <w:highlight w:val="none"/>
        </w:rPr>
        <w:t>1.1</w:t>
      </w:r>
      <w:r>
        <w:rPr>
          <w:rFonts w:hint="eastAsia"/>
          <w:snapToGrid w:val="0"/>
          <w:color w:val="auto"/>
          <w:kern w:val="0"/>
          <w:sz w:val="24"/>
          <w:highlight w:val="none"/>
        </w:rPr>
        <w:t xml:space="preserve"> 项目概况</w:t>
      </w:r>
    </w:p>
    <w:p>
      <w:pPr>
        <w:pStyle w:val="136"/>
        <w:wordWrap w:val="0"/>
        <w:adjustRightInd w:val="0"/>
        <w:snapToGrid w:val="0"/>
        <w:spacing w:line="440" w:lineRule="atLeast"/>
        <w:ind w:firstLine="480"/>
        <w:jc w:val="left"/>
        <w:rPr>
          <w:rFonts w:hint="eastAsia"/>
          <w:snapToGrid w:val="0"/>
          <w:color w:val="auto"/>
          <w:kern w:val="0"/>
          <w:sz w:val="24"/>
          <w:highlight w:val="none"/>
          <w:u w:val="single"/>
        </w:rPr>
      </w:pPr>
      <w:r>
        <w:rPr>
          <w:rFonts w:hint="eastAsia"/>
          <w:b/>
          <w:bCs/>
          <w:snapToGrid w:val="0"/>
          <w:color w:val="auto"/>
          <w:kern w:val="0"/>
          <w:sz w:val="24"/>
          <w:highlight w:val="none"/>
        </w:rPr>
        <w:t>1.1.1</w:t>
      </w:r>
      <w:r>
        <w:rPr>
          <w:rFonts w:hint="eastAsia"/>
          <w:snapToGrid w:val="0"/>
          <w:color w:val="auto"/>
          <w:kern w:val="0"/>
          <w:sz w:val="24"/>
          <w:highlight w:val="none"/>
        </w:rPr>
        <w:t xml:space="preserve"> 建设地点</w:t>
      </w:r>
      <w:r>
        <w:rPr>
          <w:snapToGrid w:val="0"/>
          <w:color w:val="auto"/>
          <w:kern w:val="0"/>
          <w:sz w:val="24"/>
          <w:highlight w:val="none"/>
        </w:rPr>
        <w:t>：</w:t>
      </w:r>
      <w:r>
        <w:rPr>
          <w:rFonts w:hint="eastAsia"/>
          <w:snapToGrid w:val="0"/>
          <w:color w:val="auto"/>
          <w:kern w:val="0"/>
          <w:sz w:val="24"/>
          <w:highlight w:val="none"/>
          <w:u w:val="single"/>
        </w:rPr>
        <w:t xml:space="preserve"> </w:t>
      </w:r>
      <w:r>
        <w:rPr>
          <w:rFonts w:hint="eastAsia"/>
          <w:snapToGrid w:val="0"/>
          <w:color w:val="auto"/>
          <w:kern w:val="0"/>
          <w:sz w:val="24"/>
          <w:highlight w:val="none"/>
          <w:u w:val="single"/>
          <w:lang w:val="en-US" w:eastAsia="zh-CN"/>
        </w:rPr>
        <w:t>韶关市乐昌市第二中学。</w:t>
      </w:r>
    </w:p>
    <w:p>
      <w:pPr>
        <w:pStyle w:val="136"/>
        <w:wordWrap w:val="0"/>
        <w:adjustRightInd w:val="0"/>
        <w:snapToGrid w:val="0"/>
        <w:spacing w:line="440" w:lineRule="atLeast"/>
        <w:ind w:firstLine="480"/>
        <w:jc w:val="left"/>
        <w:rPr>
          <w:rFonts w:hint="eastAsia"/>
          <w:snapToGrid w:val="0"/>
          <w:color w:val="auto"/>
          <w:kern w:val="0"/>
          <w:sz w:val="24"/>
          <w:highlight w:val="none"/>
          <w:u w:val="single"/>
        </w:rPr>
      </w:pPr>
      <w:r>
        <w:rPr>
          <w:rFonts w:hint="eastAsia"/>
          <w:b/>
          <w:bCs/>
          <w:snapToGrid w:val="0"/>
          <w:color w:val="auto"/>
          <w:kern w:val="0"/>
          <w:sz w:val="24"/>
          <w:highlight w:val="none"/>
        </w:rPr>
        <w:t>1.1.2</w:t>
      </w:r>
      <w:r>
        <w:rPr>
          <w:rFonts w:hint="eastAsia"/>
          <w:snapToGrid w:val="0"/>
          <w:color w:val="auto"/>
          <w:kern w:val="0"/>
          <w:sz w:val="24"/>
          <w:highlight w:val="none"/>
        </w:rPr>
        <w:t xml:space="preserve"> 建设内容和规模：</w:t>
      </w:r>
      <w:r>
        <w:rPr>
          <w:rFonts w:hint="eastAsia"/>
          <w:snapToGrid w:val="0"/>
          <w:color w:val="auto"/>
          <w:kern w:val="0"/>
          <w:sz w:val="24"/>
          <w:highlight w:val="none"/>
          <w:u w:val="single"/>
          <w:lang w:eastAsia="zh-CN"/>
        </w:rPr>
        <w:t>立项</w:t>
      </w:r>
      <w:r>
        <w:rPr>
          <w:rFonts w:hint="eastAsia"/>
          <w:snapToGrid w:val="0"/>
          <w:color w:val="auto"/>
          <w:kern w:val="0"/>
          <w:sz w:val="24"/>
          <w:highlight w:val="none"/>
          <w:u w:val="single"/>
        </w:rPr>
        <w:t>基底面积1070.83平方米，框架结构五层，建筑面积5620.79平方米。</w:t>
      </w:r>
    </w:p>
    <w:p>
      <w:pPr>
        <w:pStyle w:val="136"/>
        <w:wordWrap w:val="0"/>
        <w:adjustRightInd w:val="0"/>
        <w:snapToGrid w:val="0"/>
        <w:spacing w:line="440" w:lineRule="atLeast"/>
        <w:ind w:firstLine="480"/>
        <w:jc w:val="left"/>
        <w:rPr>
          <w:rFonts w:hint="eastAsia"/>
          <w:b/>
          <w:bCs/>
          <w:snapToGrid w:val="0"/>
          <w:color w:val="FF0000"/>
          <w:kern w:val="0"/>
          <w:sz w:val="24"/>
          <w:highlight w:val="none"/>
          <w:u w:val="single"/>
        </w:rPr>
      </w:pPr>
      <w:r>
        <w:rPr>
          <w:rFonts w:hint="eastAsia"/>
          <w:b/>
          <w:bCs/>
          <w:snapToGrid w:val="0"/>
          <w:color w:val="auto"/>
          <w:kern w:val="0"/>
          <w:sz w:val="24"/>
          <w:highlight w:val="none"/>
        </w:rPr>
        <w:t>1.1.3</w:t>
      </w:r>
      <w:r>
        <w:rPr>
          <w:rFonts w:hint="eastAsia"/>
          <w:snapToGrid w:val="0"/>
          <w:color w:val="auto"/>
          <w:kern w:val="0"/>
          <w:sz w:val="24"/>
          <w:highlight w:val="none"/>
        </w:rPr>
        <w:t xml:space="preserve"> 项目总投资</w:t>
      </w:r>
      <w:r>
        <w:rPr>
          <w:snapToGrid w:val="0"/>
          <w:color w:val="auto"/>
          <w:kern w:val="0"/>
          <w:sz w:val="24"/>
          <w:highlight w:val="none"/>
        </w:rPr>
        <w:t>：</w:t>
      </w:r>
      <w:r>
        <w:rPr>
          <w:rFonts w:hint="eastAsia"/>
          <w:snapToGrid w:val="0"/>
          <w:color w:val="auto"/>
          <w:kern w:val="0"/>
          <w:sz w:val="24"/>
          <w:highlight w:val="none"/>
          <w:u w:val="single"/>
          <w:lang w:eastAsia="zh-CN"/>
        </w:rPr>
        <w:t>立项</w:t>
      </w:r>
      <w:r>
        <w:rPr>
          <w:rFonts w:hint="eastAsia"/>
          <w:snapToGrid w:val="0"/>
          <w:color w:val="auto"/>
          <w:kern w:val="0"/>
          <w:sz w:val="24"/>
          <w:highlight w:val="none"/>
          <w:u w:val="single"/>
          <w:lang w:val="en-US" w:eastAsia="zh-CN"/>
        </w:rPr>
        <w:t>估算总投资2364.76万元（其中建安工程费约1859.52万元）。</w:t>
      </w:r>
    </w:p>
    <w:p>
      <w:pPr>
        <w:pStyle w:val="136"/>
        <w:wordWrap w:val="0"/>
        <w:adjustRightInd w:val="0"/>
        <w:snapToGrid w:val="0"/>
        <w:spacing w:line="440" w:lineRule="atLeast"/>
        <w:ind w:firstLine="480"/>
        <w:jc w:val="left"/>
        <w:rPr>
          <w:rFonts w:hint="eastAsia"/>
          <w:b/>
          <w:bCs/>
          <w:snapToGrid w:val="0"/>
          <w:color w:val="auto"/>
          <w:kern w:val="0"/>
          <w:sz w:val="24"/>
          <w:highlight w:val="none"/>
        </w:rPr>
      </w:pPr>
      <w:r>
        <w:rPr>
          <w:rFonts w:hint="eastAsia"/>
          <w:b/>
          <w:bCs/>
          <w:snapToGrid w:val="0"/>
          <w:color w:val="auto"/>
          <w:kern w:val="0"/>
          <w:sz w:val="24"/>
          <w:highlight w:val="none"/>
        </w:rPr>
        <w:t xml:space="preserve">1.2 </w:t>
      </w:r>
      <w:r>
        <w:rPr>
          <w:rFonts w:hint="eastAsia"/>
          <w:snapToGrid w:val="0"/>
          <w:color w:val="auto"/>
          <w:kern w:val="0"/>
          <w:sz w:val="24"/>
          <w:highlight w:val="none"/>
        </w:rPr>
        <w:t>招标范围和标段划分</w:t>
      </w:r>
    </w:p>
    <w:p>
      <w:pPr>
        <w:pStyle w:val="136"/>
        <w:wordWrap w:val="0"/>
        <w:adjustRightInd w:val="0"/>
        <w:snapToGrid w:val="0"/>
        <w:spacing w:line="440" w:lineRule="atLeast"/>
        <w:ind w:firstLine="480"/>
        <w:jc w:val="left"/>
        <w:rPr>
          <w:rFonts w:hint="eastAsia"/>
          <w:snapToGrid w:val="0"/>
          <w:color w:val="auto"/>
          <w:kern w:val="0"/>
          <w:sz w:val="24"/>
          <w:highlight w:val="none"/>
          <w:u w:val="none"/>
        </w:rPr>
      </w:pPr>
      <w:r>
        <w:rPr>
          <w:rFonts w:hint="eastAsia"/>
          <w:b/>
          <w:bCs/>
          <w:snapToGrid w:val="0"/>
          <w:color w:val="auto"/>
          <w:kern w:val="0"/>
          <w:sz w:val="24"/>
          <w:highlight w:val="none"/>
        </w:rPr>
        <w:t>1.2.1</w:t>
      </w:r>
      <w:r>
        <w:rPr>
          <w:rFonts w:hint="eastAsia"/>
          <w:snapToGrid w:val="0"/>
          <w:color w:val="auto"/>
          <w:kern w:val="0"/>
          <w:sz w:val="24"/>
          <w:highlight w:val="none"/>
        </w:rPr>
        <w:t xml:space="preserve"> 招标范围：</w:t>
      </w:r>
      <w:r>
        <w:rPr>
          <w:rFonts w:hint="eastAsia"/>
          <w:snapToGrid w:val="0"/>
          <w:color w:val="auto"/>
          <w:kern w:val="0"/>
          <w:sz w:val="24"/>
          <w:highlight w:val="none"/>
          <w:u w:val="single"/>
          <w:lang w:val="en-US" w:eastAsia="zh-CN"/>
        </w:rPr>
        <w:t>施工图纸和工程量清单范围内</w:t>
      </w:r>
      <w:r>
        <w:rPr>
          <w:rFonts w:hint="eastAsia"/>
          <w:snapToGrid w:val="0"/>
          <w:color w:val="auto"/>
          <w:kern w:val="0"/>
          <w:sz w:val="24"/>
          <w:highlight w:val="none"/>
          <w:u w:val="single"/>
        </w:rPr>
        <w:t>等</w:t>
      </w:r>
      <w:r>
        <w:rPr>
          <w:rFonts w:hint="eastAsia"/>
          <w:snapToGrid w:val="0"/>
          <w:color w:val="auto"/>
          <w:kern w:val="0"/>
          <w:sz w:val="24"/>
          <w:highlight w:val="none"/>
          <w:u w:val="single"/>
          <w:lang w:val="en-US" w:eastAsia="zh-CN"/>
        </w:rPr>
        <w:t>所有</w:t>
      </w:r>
      <w:r>
        <w:rPr>
          <w:rFonts w:hint="eastAsia"/>
          <w:snapToGrid w:val="0"/>
          <w:color w:val="auto"/>
          <w:kern w:val="0"/>
          <w:sz w:val="24"/>
          <w:highlight w:val="none"/>
          <w:u w:val="single"/>
        </w:rPr>
        <w:t>工程。</w:t>
      </w:r>
      <w:r>
        <w:rPr>
          <w:rFonts w:hint="eastAsia"/>
          <w:snapToGrid w:val="0"/>
          <w:color w:val="auto"/>
          <w:kern w:val="0"/>
          <w:sz w:val="24"/>
          <w:highlight w:val="none"/>
          <w:u w:val="none"/>
        </w:rPr>
        <w:t xml:space="preserve">       </w:t>
      </w:r>
    </w:p>
    <w:p>
      <w:pPr>
        <w:pStyle w:val="4"/>
        <w:wordWrap w:val="0"/>
        <w:autoSpaceDE/>
        <w:autoSpaceDN/>
        <w:snapToGrid w:val="0"/>
        <w:spacing w:line="440" w:lineRule="exact"/>
        <w:ind w:firstLine="480"/>
        <w:jc w:val="both"/>
        <w:rPr>
          <w:rFonts w:ascii="Times New Roman"/>
          <w:b/>
          <w:snapToGrid w:val="0"/>
          <w:color w:val="auto"/>
          <w:highlight w:val="none"/>
        </w:rPr>
      </w:pPr>
      <w:bookmarkStart w:id="34" w:name="_Toc19291"/>
      <w:bookmarkStart w:id="35" w:name="_Toc9332"/>
      <w:r>
        <w:rPr>
          <w:rFonts w:hint="eastAsia" w:ascii="Times New Roman"/>
          <w:b/>
          <w:bCs/>
          <w:snapToGrid w:val="0"/>
          <w:color w:val="auto"/>
          <w:highlight w:val="none"/>
        </w:rPr>
        <w:t>1.2.2</w:t>
      </w:r>
      <w:r>
        <w:rPr>
          <w:rFonts w:hint="eastAsia" w:ascii="Times New Roman"/>
          <w:snapToGrid w:val="0"/>
          <w:color w:val="auto"/>
          <w:highlight w:val="none"/>
        </w:rPr>
        <w:t xml:space="preserve"> 标段划分：本招标项目不划分标段。</w:t>
      </w:r>
      <w:bookmarkEnd w:id="33"/>
      <w:bookmarkEnd w:id="34"/>
      <w:bookmarkEnd w:id="35"/>
    </w:p>
    <w:p>
      <w:pPr>
        <w:tabs>
          <w:tab w:val="left" w:pos="7020"/>
        </w:tabs>
        <w:wordWrap w:val="0"/>
        <w:adjustRightInd w:val="0"/>
        <w:snapToGrid w:val="0"/>
        <w:spacing w:line="440" w:lineRule="exact"/>
        <w:ind w:firstLine="532" w:firstLineChars="221"/>
        <w:rPr>
          <w:rFonts w:hint="eastAsia" w:ascii="Times New Roman"/>
          <w:snapToGrid w:val="0"/>
          <w:color w:val="auto"/>
          <w:kern w:val="0"/>
          <w:highlight w:val="none"/>
        </w:rPr>
      </w:pPr>
      <w:r>
        <w:rPr>
          <w:rFonts w:hint="eastAsia" w:ascii="Times New Roman"/>
          <w:b/>
          <w:bCs/>
          <w:snapToGrid w:val="0"/>
          <w:color w:val="auto"/>
          <w:kern w:val="0"/>
          <w:szCs w:val="24"/>
          <w:highlight w:val="none"/>
        </w:rPr>
        <w:t>1.3</w:t>
      </w:r>
      <w:r>
        <w:rPr>
          <w:rFonts w:hint="eastAsia" w:ascii="Times New Roman"/>
          <w:snapToGrid w:val="0"/>
          <w:color w:val="auto"/>
          <w:kern w:val="0"/>
          <w:szCs w:val="24"/>
          <w:highlight w:val="none"/>
        </w:rPr>
        <w:t xml:space="preserve"> 投标费用</w:t>
      </w:r>
      <w:r>
        <w:rPr>
          <w:rFonts w:hint="eastAsia" w:ascii="Times New Roman"/>
          <w:snapToGrid w:val="0"/>
          <w:color w:val="auto"/>
          <w:kern w:val="0"/>
          <w:highlight w:val="none"/>
        </w:rPr>
        <w:t>：投标人应承担所有准备和参加投标的相关费用，不论投标结果如何，招标人均无义务和责任承担这些费用。</w:t>
      </w:r>
    </w:p>
    <w:p>
      <w:pPr>
        <w:pStyle w:val="4"/>
        <w:wordWrap w:val="0"/>
        <w:autoSpaceDE/>
        <w:autoSpaceDN/>
        <w:snapToGrid w:val="0"/>
        <w:spacing w:line="440" w:lineRule="exact"/>
        <w:ind w:firstLine="480"/>
        <w:jc w:val="both"/>
        <w:rPr>
          <w:rFonts w:hint="eastAsia" w:ascii="Times New Roman"/>
          <w:b/>
          <w:snapToGrid w:val="0"/>
          <w:color w:val="auto"/>
          <w:highlight w:val="none"/>
        </w:rPr>
      </w:pPr>
      <w:bookmarkStart w:id="36" w:name="_Toc15329"/>
      <w:bookmarkStart w:id="37" w:name="_Toc18676"/>
      <w:r>
        <w:rPr>
          <w:rFonts w:hint="eastAsia" w:ascii="Times New Roman"/>
          <w:b/>
          <w:snapToGrid w:val="0"/>
          <w:color w:val="auto"/>
          <w:highlight w:val="none"/>
        </w:rPr>
        <w:t>2．投标人资格要求</w:t>
      </w:r>
      <w:bookmarkEnd w:id="36"/>
      <w:bookmarkEnd w:id="37"/>
      <w:bookmarkStart w:id="38" w:name="_Hlt74496495"/>
      <w:bookmarkEnd w:id="38"/>
    </w:p>
    <w:p>
      <w:pPr>
        <w:wordWrap w:val="0"/>
        <w:adjustRightInd w:val="0"/>
        <w:snapToGrid w:val="0"/>
        <w:spacing w:line="440" w:lineRule="exact"/>
        <w:ind w:firstLine="482" w:firstLineChars="200"/>
        <w:jc w:val="left"/>
        <w:rPr>
          <w:rFonts w:hint="eastAsia" w:ascii="Times New Roman"/>
          <w:snapToGrid w:val="0"/>
          <w:color w:val="auto"/>
          <w:kern w:val="0"/>
          <w:highlight w:val="none"/>
        </w:rPr>
      </w:pPr>
      <w:r>
        <w:rPr>
          <w:rFonts w:hint="eastAsia" w:ascii="Times New Roman"/>
          <w:b/>
          <w:bCs/>
          <w:snapToGrid w:val="0"/>
          <w:color w:val="auto"/>
          <w:kern w:val="0"/>
          <w:szCs w:val="24"/>
          <w:highlight w:val="none"/>
        </w:rPr>
        <w:t>2.1</w:t>
      </w:r>
      <w:r>
        <w:rPr>
          <w:rFonts w:hint="eastAsia" w:ascii="Times New Roman"/>
          <w:snapToGrid w:val="0"/>
          <w:color w:val="auto"/>
          <w:kern w:val="0"/>
          <w:highlight w:val="none"/>
        </w:rPr>
        <w:t xml:space="preserve"> </w:t>
      </w:r>
      <w:r>
        <w:rPr>
          <w:rFonts w:ascii="Times New Roman"/>
          <w:snapToGrid w:val="0"/>
          <w:color w:val="auto"/>
          <w:kern w:val="0"/>
          <w:highlight w:val="none"/>
        </w:rPr>
        <w:t>本</w:t>
      </w:r>
      <w:r>
        <w:rPr>
          <w:rFonts w:hint="eastAsia" w:ascii="Times New Roman"/>
          <w:snapToGrid w:val="0"/>
          <w:color w:val="auto"/>
          <w:kern w:val="0"/>
          <w:highlight w:val="none"/>
        </w:rPr>
        <w:t>次招标不接受</w:t>
      </w:r>
      <w:r>
        <w:rPr>
          <w:rFonts w:ascii="Times New Roman"/>
          <w:snapToGrid w:val="0"/>
          <w:color w:val="auto"/>
          <w:kern w:val="0"/>
          <w:highlight w:val="none"/>
        </w:rPr>
        <w:t>联合体投标。</w:t>
      </w:r>
    </w:p>
    <w:p>
      <w:pPr>
        <w:wordWrap w:val="0"/>
        <w:adjustRightInd w:val="0"/>
        <w:snapToGrid w:val="0"/>
        <w:spacing w:line="440" w:lineRule="exact"/>
        <w:ind w:firstLine="482" w:firstLineChars="200"/>
        <w:jc w:val="left"/>
        <w:rPr>
          <w:rFonts w:hint="eastAsia" w:ascii="Times New Roman"/>
          <w:snapToGrid w:val="0"/>
          <w:color w:val="auto"/>
          <w:kern w:val="0"/>
          <w:highlight w:val="none"/>
        </w:rPr>
      </w:pPr>
      <w:r>
        <w:rPr>
          <w:rFonts w:hint="eastAsia" w:ascii="Times New Roman"/>
          <w:b/>
          <w:bCs/>
          <w:snapToGrid w:val="0"/>
          <w:color w:val="auto"/>
          <w:kern w:val="0"/>
          <w:szCs w:val="24"/>
          <w:highlight w:val="none"/>
        </w:rPr>
        <w:t>2.2</w:t>
      </w:r>
      <w:r>
        <w:rPr>
          <w:rFonts w:hint="eastAsia" w:ascii="Times New Roman"/>
          <w:snapToGrid w:val="0"/>
          <w:color w:val="auto"/>
          <w:kern w:val="0"/>
          <w:highlight w:val="none"/>
        </w:rPr>
        <w:t xml:space="preserve"> 资格资质要求</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2.2.1</w:t>
      </w:r>
      <w:r>
        <w:rPr>
          <w:rFonts w:hint="eastAsia"/>
          <w:snapToGrid w:val="0"/>
          <w:color w:val="auto"/>
          <w:kern w:val="0"/>
          <w:sz w:val="24"/>
          <w:highlight w:val="none"/>
        </w:rPr>
        <w:t xml:space="preserve"> 投标人须具备独立法人资格，按国家法律经营。</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2.2.2</w:t>
      </w:r>
      <w:r>
        <w:rPr>
          <w:rFonts w:hint="eastAsia"/>
          <w:snapToGrid w:val="0"/>
          <w:color w:val="auto"/>
          <w:kern w:val="0"/>
          <w:sz w:val="24"/>
          <w:highlight w:val="none"/>
        </w:rPr>
        <w:t xml:space="preserve"> 投标人须持有建设行政主管部门颁发的企业资质证书及安全生产许可证。</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2.2.3</w:t>
      </w:r>
      <w:r>
        <w:rPr>
          <w:rFonts w:hint="eastAsia"/>
          <w:snapToGrid w:val="0"/>
          <w:color w:val="auto"/>
          <w:kern w:val="0"/>
          <w:sz w:val="24"/>
          <w:highlight w:val="none"/>
        </w:rPr>
        <w:t xml:space="preserve"> 投标人须具备以下资质：</w:t>
      </w:r>
      <w:r>
        <w:rPr>
          <w:rFonts w:hint="eastAsia" w:ascii="Times New Roman"/>
          <w:snapToGrid w:val="0"/>
          <w:color w:val="auto"/>
          <w:kern w:val="0"/>
          <w:sz w:val="24"/>
          <w:szCs w:val="24"/>
          <w:highlight w:val="none"/>
          <w:u w:val="single"/>
          <w:lang w:val="en-US" w:eastAsia="zh-CN"/>
        </w:rPr>
        <w:t>建筑工程施工总承包</w:t>
      </w:r>
      <w:r>
        <w:rPr>
          <w:rFonts w:hint="eastAsia" w:ascii="Times New Roman"/>
          <w:snapToGrid w:val="0"/>
          <w:color w:val="auto"/>
          <w:kern w:val="0"/>
          <w:sz w:val="24"/>
          <w:szCs w:val="24"/>
          <w:highlight w:val="none"/>
          <w:u w:val="single"/>
        </w:rPr>
        <w:t>三级以上（含三级）资质</w:t>
      </w:r>
      <w:r>
        <w:rPr>
          <w:rFonts w:hint="eastAsia"/>
          <w:snapToGrid w:val="0"/>
          <w:color w:val="auto"/>
          <w:kern w:val="0"/>
          <w:sz w:val="24"/>
          <w:highlight w:val="none"/>
          <w:u w:val="single"/>
        </w:rPr>
        <w:t xml:space="preserve"> </w:t>
      </w:r>
      <w:r>
        <w:rPr>
          <w:rFonts w:hint="eastAsia"/>
          <w:snapToGrid w:val="0"/>
          <w:color w:val="auto"/>
          <w:kern w:val="0"/>
          <w:sz w:val="24"/>
          <w:highlight w:val="none"/>
        </w:rPr>
        <w:t>。</w:t>
      </w:r>
    </w:p>
    <w:p>
      <w:pPr>
        <w:pStyle w:val="136"/>
        <w:wordWrap w:val="0"/>
        <w:adjustRightInd w:val="0"/>
        <w:snapToGrid w:val="0"/>
        <w:spacing w:line="440" w:lineRule="exact"/>
        <w:ind w:firstLine="480"/>
        <w:jc w:val="left"/>
        <w:rPr>
          <w:rFonts w:hint="default" w:eastAsia="宋体"/>
          <w:snapToGrid w:val="0"/>
          <w:color w:val="auto"/>
          <w:kern w:val="0"/>
          <w:sz w:val="24"/>
          <w:highlight w:val="none"/>
          <w:lang w:val="en-US" w:eastAsia="zh-CN"/>
        </w:rPr>
      </w:pPr>
      <w:r>
        <w:rPr>
          <w:rFonts w:hint="eastAsia"/>
          <w:b/>
          <w:bCs/>
          <w:snapToGrid w:val="0"/>
          <w:color w:val="auto"/>
          <w:kern w:val="0"/>
          <w:sz w:val="24"/>
          <w:highlight w:val="none"/>
        </w:rPr>
        <w:t>2.2.4</w:t>
      </w:r>
      <w:r>
        <w:rPr>
          <w:rFonts w:hint="eastAsia"/>
          <w:snapToGrid w:val="0"/>
          <w:color w:val="auto"/>
          <w:kern w:val="0"/>
          <w:sz w:val="24"/>
          <w:highlight w:val="none"/>
        </w:rPr>
        <w:t xml:space="preserve"> 根据有关文件精神，在新冠肺炎疫情防控期间，投标人的企业资质证书、安全生产许可证有以下情形的，本次招标予以认可：</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（1）工程勘察、工程设计、建筑业企业、工程监理资质，资质证书有效期于2023年12月30日前届满的，统一延期至2023年12月31日。</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（2）由外省各级住建部门核发资质证书、安全生产许可证，投标人提供所在省、地级市住建部门印发的相关证明材料（如自动顺延或推迟办理延期业务的通知），证明在开标日继续有效的。</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2.3</w:t>
      </w:r>
      <w:r>
        <w:rPr>
          <w:rFonts w:hint="eastAsia"/>
          <w:snapToGrid w:val="0"/>
          <w:color w:val="auto"/>
          <w:kern w:val="0"/>
          <w:sz w:val="24"/>
          <w:highlight w:val="none"/>
        </w:rPr>
        <w:t xml:space="preserve"> 相关人员要求</w:t>
      </w:r>
    </w:p>
    <w:p>
      <w:pPr>
        <w:wordWrap w:val="0"/>
        <w:adjustRightInd w:val="0"/>
        <w:snapToGrid w:val="0"/>
        <w:spacing w:line="400" w:lineRule="exact"/>
        <w:ind w:firstLine="482" w:firstLineChars="200"/>
        <w:rPr>
          <w:rFonts w:hint="eastAsia" w:ascii="Times New Roman"/>
          <w:snapToGrid w:val="0"/>
          <w:color w:val="auto"/>
          <w:kern w:val="0"/>
          <w:sz w:val="24"/>
          <w:szCs w:val="24"/>
          <w:highlight w:val="none"/>
        </w:rPr>
      </w:pPr>
      <w:r>
        <w:rPr>
          <w:rFonts w:hint="eastAsia" w:ascii="Times New Roman" w:hAnsi="Times New Roman" w:eastAsia="宋体" w:cs="Times New Roman"/>
          <w:b/>
          <w:bCs/>
          <w:snapToGrid w:val="0"/>
          <w:color w:val="auto"/>
          <w:kern w:val="0"/>
          <w:sz w:val="24"/>
          <w:szCs w:val="24"/>
          <w:highlight w:val="none"/>
          <w:lang w:val="en-US" w:eastAsia="zh-CN" w:bidi="ar-SA"/>
        </w:rPr>
        <w:t>2.3.1</w:t>
      </w:r>
      <w:r>
        <w:rPr>
          <w:rFonts w:hint="eastAsia" w:ascii="Times New Roman"/>
          <w:snapToGrid w:val="0"/>
          <w:color w:val="auto"/>
          <w:kern w:val="0"/>
          <w:sz w:val="24"/>
          <w:szCs w:val="24"/>
          <w:highlight w:val="none"/>
        </w:rPr>
        <w:t xml:space="preserve"> 拟派项目经理为</w:t>
      </w:r>
      <w:r>
        <w:rPr>
          <w:rFonts w:hint="eastAsia" w:ascii="Times New Roman"/>
          <w:snapToGrid w:val="0"/>
          <w:color w:val="auto"/>
          <w:kern w:val="0"/>
          <w:sz w:val="24"/>
          <w:szCs w:val="24"/>
          <w:highlight w:val="none"/>
          <w:u w:val="single"/>
        </w:rPr>
        <w:t xml:space="preserve">  </w:t>
      </w:r>
      <w:r>
        <w:rPr>
          <w:rFonts w:hint="eastAsia" w:hAnsi="宋体" w:cs="宋体"/>
          <w:snapToGrid w:val="0"/>
          <w:color w:val="auto"/>
          <w:kern w:val="0"/>
          <w:sz w:val="24"/>
          <w:szCs w:val="24"/>
          <w:highlight w:val="none"/>
          <w:u w:val="single"/>
          <w:lang w:val="en-US" w:eastAsia="zh-CN"/>
        </w:rPr>
        <w:t xml:space="preserve">建筑工程 </w:t>
      </w:r>
      <w:r>
        <w:rPr>
          <w:rFonts w:hint="eastAsia" w:ascii="Times New Roman"/>
          <w:snapToGrid w:val="0"/>
          <w:color w:val="auto"/>
          <w:kern w:val="0"/>
          <w:sz w:val="24"/>
          <w:szCs w:val="24"/>
          <w:highlight w:val="none"/>
        </w:rPr>
        <w:t>专业一级或二级注册建造师，其中一级注册建造师应持有国家住建部印发的有效注册证书，二级注册建造师应持有广东省住建厅核准的有效电子注册证书（在“广东省二级注册建造师、二级注册结构工程师、二级注册建筑师注册管理信息系统”中打印）。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pPr>
        <w:wordWrap w:val="0"/>
        <w:adjustRightInd w:val="0"/>
        <w:snapToGrid w:val="0"/>
        <w:spacing w:line="400" w:lineRule="exac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b/>
          <w:bCs/>
          <w:snapToGrid w:val="0"/>
          <w:color w:val="auto"/>
          <w:kern w:val="0"/>
          <w:sz w:val="24"/>
          <w:szCs w:val="24"/>
          <w:highlight w:val="none"/>
          <w:lang w:val="en-US" w:eastAsia="zh-CN" w:bidi="ar-SA"/>
        </w:rPr>
        <w:t xml:space="preserve">   2.3.2</w:t>
      </w:r>
      <w:r>
        <w:rPr>
          <w:rFonts w:hint="eastAsia" w:ascii="Times New Roman"/>
          <w:snapToGrid w:val="0"/>
          <w:color w:val="auto"/>
          <w:kern w:val="0"/>
          <w:sz w:val="24"/>
          <w:szCs w:val="24"/>
          <w:highlight w:val="none"/>
        </w:rPr>
        <w:t xml:space="preserve"> 拟派项目技术负责人须具备</w:t>
      </w:r>
      <w:r>
        <w:rPr>
          <w:rFonts w:hint="eastAsia" w:ascii="Times New Roman"/>
          <w:snapToGrid w:val="0"/>
          <w:color w:val="auto"/>
          <w:kern w:val="0"/>
          <w:sz w:val="24"/>
          <w:szCs w:val="24"/>
          <w:highlight w:val="none"/>
          <w:u w:val="single"/>
        </w:rPr>
        <w:t xml:space="preserve"> </w:t>
      </w:r>
      <w:r>
        <w:rPr>
          <w:rFonts w:hint="eastAsia" w:hAnsi="宋体" w:cs="宋体"/>
          <w:snapToGrid w:val="0"/>
          <w:color w:val="auto"/>
          <w:kern w:val="0"/>
          <w:sz w:val="24"/>
          <w:szCs w:val="24"/>
          <w:highlight w:val="none"/>
          <w:u w:val="single"/>
          <w:lang w:val="en-US" w:eastAsia="zh-CN"/>
        </w:rPr>
        <w:t xml:space="preserve">建筑工程 </w:t>
      </w:r>
      <w:r>
        <w:rPr>
          <w:rFonts w:hint="eastAsia" w:ascii="Times New Roman"/>
          <w:snapToGrid w:val="0"/>
          <w:color w:val="auto"/>
          <w:kern w:val="0"/>
          <w:sz w:val="24"/>
          <w:szCs w:val="24"/>
          <w:highlight w:val="none"/>
        </w:rPr>
        <w:t>专业</w:t>
      </w:r>
      <w:r>
        <w:rPr>
          <w:rFonts w:hint="eastAsia" w:ascii="Times New Roman"/>
          <w:snapToGrid w:val="0"/>
          <w:color w:val="auto"/>
          <w:kern w:val="0"/>
          <w:sz w:val="24"/>
          <w:szCs w:val="24"/>
          <w:highlight w:val="none"/>
          <w:u w:val="single"/>
        </w:rPr>
        <w:t xml:space="preserve"> 中 </w:t>
      </w:r>
      <w:r>
        <w:rPr>
          <w:rFonts w:hint="eastAsia" w:ascii="Times New Roman"/>
          <w:snapToGrid w:val="0"/>
          <w:color w:val="auto"/>
          <w:kern w:val="0"/>
          <w:sz w:val="24"/>
          <w:szCs w:val="24"/>
          <w:highlight w:val="none"/>
        </w:rPr>
        <w:t>级以上（含</w:t>
      </w:r>
      <w:r>
        <w:rPr>
          <w:rFonts w:hint="eastAsia" w:ascii="Times New Roman"/>
          <w:snapToGrid w:val="0"/>
          <w:color w:val="auto"/>
          <w:kern w:val="0"/>
          <w:sz w:val="24"/>
          <w:szCs w:val="24"/>
          <w:highlight w:val="none"/>
          <w:u w:val="single"/>
        </w:rPr>
        <w:t xml:space="preserve">  </w:t>
      </w:r>
      <w:r>
        <w:rPr>
          <w:rFonts w:hint="eastAsia" w:ascii="Times New Roman"/>
          <w:snapToGrid w:val="0"/>
          <w:color w:val="auto"/>
          <w:kern w:val="0"/>
          <w:sz w:val="24"/>
          <w:szCs w:val="24"/>
          <w:highlight w:val="none"/>
          <w:u w:val="single"/>
          <w:lang w:val="en-US" w:eastAsia="zh-CN"/>
        </w:rPr>
        <w:t>中</w:t>
      </w:r>
      <w:r>
        <w:rPr>
          <w:rFonts w:hint="eastAsia" w:ascii="Times New Roman"/>
          <w:snapToGrid w:val="0"/>
          <w:color w:val="auto"/>
          <w:kern w:val="0"/>
          <w:sz w:val="24"/>
          <w:szCs w:val="24"/>
          <w:highlight w:val="none"/>
          <w:u w:val="single"/>
        </w:rPr>
        <w:t xml:space="preserve">  </w:t>
      </w:r>
      <w:r>
        <w:rPr>
          <w:rFonts w:hint="eastAsia" w:ascii="Times New Roman"/>
          <w:snapToGrid w:val="0"/>
          <w:color w:val="auto"/>
          <w:kern w:val="0"/>
          <w:sz w:val="24"/>
          <w:szCs w:val="24"/>
          <w:highlight w:val="none"/>
        </w:rPr>
        <w:t>级）技术职称。</w:t>
      </w:r>
    </w:p>
    <w:p>
      <w:pPr>
        <w:wordWrap w:val="0"/>
        <w:adjustRightInd w:val="0"/>
        <w:snapToGrid w:val="0"/>
        <w:spacing w:line="400" w:lineRule="exac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b/>
          <w:bCs/>
          <w:snapToGrid w:val="0"/>
          <w:color w:val="auto"/>
          <w:kern w:val="0"/>
          <w:sz w:val="24"/>
          <w:szCs w:val="24"/>
          <w:highlight w:val="none"/>
          <w:lang w:val="en-US" w:eastAsia="zh-CN" w:bidi="ar-SA"/>
        </w:rPr>
        <w:t>2.3.3</w:t>
      </w:r>
      <w:r>
        <w:rPr>
          <w:rFonts w:hint="eastAsia" w:ascii="Times New Roman"/>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Times New Roman"/>
          <w:snapToGrid w:val="0"/>
          <w:color w:val="auto"/>
          <w:kern w:val="0"/>
          <w:sz w:val="24"/>
          <w:szCs w:val="24"/>
          <w:highlight w:val="none"/>
          <w:u w:val="single"/>
        </w:rPr>
        <w:t xml:space="preserve"> </w:t>
      </w:r>
      <w:r>
        <w:rPr>
          <w:rFonts w:hint="eastAsia" w:ascii="Times New Roman"/>
          <w:snapToGrid w:val="0"/>
          <w:color w:val="auto"/>
          <w:kern w:val="0"/>
          <w:sz w:val="24"/>
          <w:szCs w:val="24"/>
          <w:highlight w:val="none"/>
          <w:u w:val="single"/>
          <w:lang w:val="en-US" w:eastAsia="zh-CN"/>
        </w:rPr>
        <w:t>1</w:t>
      </w:r>
      <w:r>
        <w:rPr>
          <w:rFonts w:hint="eastAsia" w:ascii="Times New Roman"/>
          <w:snapToGrid w:val="0"/>
          <w:color w:val="auto"/>
          <w:kern w:val="0"/>
          <w:sz w:val="24"/>
          <w:szCs w:val="24"/>
          <w:highlight w:val="none"/>
          <w:u w:val="single"/>
        </w:rPr>
        <w:t xml:space="preserve">  </w:t>
      </w:r>
      <w:r>
        <w:rPr>
          <w:rFonts w:hint="eastAsia" w:ascii="Times New Roman"/>
          <w:snapToGrid w:val="0"/>
          <w:color w:val="auto"/>
          <w:kern w:val="0"/>
          <w:sz w:val="24"/>
          <w:szCs w:val="24"/>
          <w:highlight w:val="none"/>
        </w:rPr>
        <w:t xml:space="preserve">人。 </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2.3.4</w:t>
      </w:r>
      <w:r>
        <w:rPr>
          <w:rFonts w:hint="eastAsia"/>
          <w:snapToGrid w:val="0"/>
          <w:color w:val="auto"/>
          <w:kern w:val="0"/>
          <w:sz w:val="24"/>
          <w:highlight w:val="none"/>
        </w:rPr>
        <w:t xml:space="preserve"> 投标人（包括组成联合体的所有成员单位）与其拟派往本项目管理机构的所有人员之间必须具备合法、唯一的劳动聘用关系。拟派人员中具备注册执业资格的，其注册单位须与投标人保持一致。</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w:t>
      </w:r>
      <w:r>
        <w:rPr>
          <w:rFonts w:hint="eastAsia"/>
          <w:snapToGrid w:val="0"/>
          <w:color w:val="auto"/>
          <w:kern w:val="0"/>
          <w:sz w:val="24"/>
          <w:highlight w:val="none"/>
        </w:rPr>
        <w:t xml:space="preserve"> 禁止投标条款</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2.4.1</w:t>
      </w:r>
      <w:r>
        <w:rPr>
          <w:rFonts w:hint="eastAsia"/>
          <w:snapToGrid w:val="0"/>
          <w:color w:val="auto"/>
          <w:kern w:val="0"/>
          <w:sz w:val="24"/>
          <w:highlight w:val="none"/>
        </w:rPr>
        <w:t xml:space="preserve"> 投标人不得存在下列情形之一：</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（1）为招标人不具有独立法人资格的附属机构（单位）；</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（2）为本招标项目前期准备提供设计或咨询服务的；</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（3）与本招标项目的其他投标人为同一个单位负责人；</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（4）与本招标项目的其他投标人存在控股、管理关系；</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（5）为本招标项目的监理人；</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（6）为本招标项目的代建人；</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（7）为本招标项目的招标代理机构；</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（8）与本招标项目的监理人或代建人或招标代理机构同为一个法定代表人；</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（9）与本招标项目的监理人或代建人或招标代理机构存在控股或参股关系；</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（10）与本招标项目的监理人或代建人或招标代理机构存在相互任职或工作关系；</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（11）被依法暂停或者取消投标资格；</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（12）被责令停产停业、暂扣或者吊销许可证、暂扣或者吊销执照；</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（13）进入清算程序，或被宣告破产，或其他丧失履约能力的情形；</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（14）在最近三年内发生重大工程质量或安全问题（以相关行业主管部门的行政处罚决定或司法机关出具的有关法律文书为准）；</w:t>
      </w:r>
    </w:p>
    <w:p>
      <w:pPr>
        <w:wordWrap w:val="0"/>
        <w:adjustRightInd w:val="0"/>
        <w:snapToGrid w:val="0"/>
        <w:spacing w:line="400" w:lineRule="exact"/>
        <w:ind w:firstLine="480" w:firstLineChars="200"/>
        <w:rPr>
          <w:rFonts w:hint="eastAsia"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（15）被“信用中国”网站（https://www.creditchina.gov.cn）发布的《</w:t>
      </w:r>
      <w:r>
        <w:rPr>
          <w:rFonts w:hint="eastAsia" w:ascii="Times New Roman" w:hAnsi="Times New Roman" w:eastAsia="宋体" w:cs="Times New Roman"/>
          <w:snapToGrid w:val="0"/>
          <w:color w:val="auto"/>
          <w:kern w:val="0"/>
          <w:sz w:val="24"/>
          <w:szCs w:val="24"/>
          <w:highlight w:val="none"/>
          <w:lang w:eastAsia="zh-CN"/>
        </w:rPr>
        <w:t>法人和非法人组织公共信用信息报告</w:t>
      </w:r>
      <w:r>
        <w:rPr>
          <w:rFonts w:hint="eastAsia" w:ascii="Times New Roman" w:hAnsi="Times New Roman" w:eastAsia="宋体" w:cs="Times New Roman"/>
          <w:snapToGrid w:val="0"/>
          <w:color w:val="auto"/>
          <w:kern w:val="0"/>
          <w:sz w:val="24"/>
          <w:szCs w:val="24"/>
          <w:highlight w:val="none"/>
        </w:rPr>
        <w:t>》列为严重失信主体名单的。</w:t>
      </w:r>
    </w:p>
    <w:p>
      <w:pPr>
        <w:wordWrap w:val="0"/>
        <w:adjustRightInd w:val="0"/>
        <w:snapToGrid w:val="0"/>
        <w:spacing w:line="400" w:lineRule="exact"/>
        <w:ind w:firstLine="480" w:firstLineChars="200"/>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lang w:val="en-US" w:eastAsia="zh-CN"/>
        </w:rPr>
        <w:t>2.4.2</w:t>
      </w:r>
      <w:r>
        <w:rPr>
          <w:rFonts w:hint="eastAsia" w:ascii="Times New Roman"/>
          <w:snapToGrid w:val="0"/>
          <w:color w:val="auto"/>
          <w:kern w:val="0"/>
          <w:sz w:val="24"/>
          <w:szCs w:val="24"/>
          <w:highlight w:val="none"/>
        </w:rPr>
        <w:t xml:space="preserve"> 招标人拒绝以下名单中的单位参加本次投标：</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659"/>
        <w:gridCol w:w="4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83" w:type="pct"/>
            <w:noWrap w:val="0"/>
            <w:vAlign w:val="center"/>
          </w:tcPr>
          <w:p>
            <w:pPr>
              <w:wordWrap w:val="0"/>
              <w:adjustRightInd w:val="0"/>
              <w:snapToGrid w:val="0"/>
              <w:jc w:val="center"/>
              <w:rPr>
                <w:color w:val="auto"/>
                <w:highlight w:val="none"/>
              </w:rPr>
            </w:pPr>
            <w:r>
              <w:rPr>
                <w:color w:val="auto"/>
                <w:highlight w:val="none"/>
              </w:rPr>
              <w:t>序号</w:t>
            </w:r>
          </w:p>
        </w:tc>
        <w:tc>
          <w:tcPr>
            <w:tcW w:w="2020" w:type="pct"/>
            <w:noWrap w:val="0"/>
            <w:vAlign w:val="center"/>
          </w:tcPr>
          <w:p>
            <w:pPr>
              <w:wordWrap w:val="0"/>
              <w:adjustRightInd w:val="0"/>
              <w:snapToGrid w:val="0"/>
              <w:jc w:val="center"/>
              <w:rPr>
                <w:color w:val="auto"/>
                <w:highlight w:val="none"/>
              </w:rPr>
            </w:pPr>
            <w:r>
              <w:rPr>
                <w:color w:val="auto"/>
                <w:highlight w:val="none"/>
              </w:rPr>
              <w:t>单位名称</w:t>
            </w:r>
          </w:p>
        </w:tc>
        <w:tc>
          <w:tcPr>
            <w:tcW w:w="2396" w:type="pct"/>
            <w:noWrap w:val="0"/>
            <w:vAlign w:val="center"/>
          </w:tcPr>
          <w:p>
            <w:pPr>
              <w:wordWrap w:val="0"/>
              <w:adjustRightInd w:val="0"/>
              <w:snapToGrid w:val="0"/>
              <w:jc w:val="center"/>
              <w:rPr>
                <w:color w:val="auto"/>
                <w:highlight w:val="none"/>
              </w:rPr>
            </w:pPr>
            <w:r>
              <w:rPr>
                <w:color w:val="auto"/>
                <w:highlight w:val="none"/>
              </w:rPr>
              <w:t>拒绝原因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056" w:type="dxa"/>
            <w:noWrap w:val="0"/>
            <w:vAlign w:val="center"/>
          </w:tcPr>
          <w:p>
            <w:pPr>
              <w:pStyle w:val="136"/>
              <w:wordWrap w:val="0"/>
              <w:adjustRightInd w:val="0"/>
              <w:snapToGrid w:val="0"/>
              <w:spacing w:line="360" w:lineRule="auto"/>
              <w:jc w:val="center"/>
              <w:rPr>
                <w:rFonts w:hint="eastAsia" w:eastAsia="宋体"/>
                <w:color w:val="auto"/>
                <w:highlight w:val="none"/>
                <w:lang w:eastAsia="zh-CN"/>
              </w:rPr>
            </w:pPr>
            <w:r>
              <w:rPr>
                <w:rFonts w:hint="eastAsia"/>
                <w:color w:val="auto"/>
                <w:sz w:val="21"/>
                <w:szCs w:val="21"/>
                <w:highlight w:val="none"/>
                <w:lang w:val="en-US" w:eastAsia="zh-CN"/>
              </w:rPr>
              <w:t>1</w:t>
            </w:r>
          </w:p>
        </w:tc>
        <w:tc>
          <w:tcPr>
            <w:tcW w:w="3659" w:type="dxa"/>
            <w:noWrap w:val="0"/>
            <w:vAlign w:val="center"/>
          </w:tcPr>
          <w:p>
            <w:pPr>
              <w:adjustRightInd w:val="0"/>
              <w:snapToGrid w:val="0"/>
              <w:jc w:val="both"/>
              <w:rPr>
                <w:rFonts w:hint="default" w:ascii="Times New Roman"/>
                <w:color w:val="auto"/>
                <w:kern w:val="2"/>
                <w:sz w:val="21"/>
                <w:szCs w:val="24"/>
                <w:highlight w:val="none"/>
                <w:lang w:val="en-US" w:eastAsia="zh-CN" w:bidi="ar-SA"/>
              </w:rPr>
            </w:pPr>
            <w:r>
              <w:rPr>
                <w:rFonts w:hint="eastAsia" w:ascii="Times New Roman"/>
                <w:color w:val="auto"/>
                <w:kern w:val="2"/>
                <w:sz w:val="21"/>
                <w:szCs w:val="21"/>
                <w:highlight w:val="none"/>
                <w:lang w:val="en-US" w:eastAsia="zh-CN" w:bidi="ar-SA"/>
              </w:rPr>
              <w:t xml:space="preserve"> 广东方川工程咨询有限公司</w:t>
            </w:r>
          </w:p>
        </w:tc>
        <w:tc>
          <w:tcPr>
            <w:tcW w:w="4340" w:type="dxa"/>
            <w:noWrap w:val="0"/>
            <w:vAlign w:val="center"/>
          </w:tcPr>
          <w:p>
            <w:pPr>
              <w:pStyle w:val="136"/>
              <w:wordWrap w:val="0"/>
              <w:adjustRightInd w:val="0"/>
              <w:snapToGrid w:val="0"/>
              <w:spacing w:line="360" w:lineRule="auto"/>
              <w:jc w:val="left"/>
              <w:rPr>
                <w:rFonts w:hint="eastAsia"/>
                <w:color w:val="auto"/>
                <w:highlight w:val="none"/>
              </w:rPr>
            </w:pPr>
            <w:r>
              <w:rPr>
                <w:rFonts w:hint="eastAsia"/>
                <w:color w:val="auto"/>
                <w:sz w:val="21"/>
                <w:szCs w:val="21"/>
                <w:highlight w:val="none"/>
              </w:rPr>
              <w:t>为本招标项目的可研</w:t>
            </w:r>
            <w:r>
              <w:rPr>
                <w:rFonts w:hint="eastAsia"/>
                <w:color w:val="auto"/>
                <w:highlight w:val="none"/>
                <w:lang w:val="en-US" w:eastAsia="zh-CN"/>
              </w:rPr>
              <w:t>编制</w:t>
            </w:r>
            <w:r>
              <w:rPr>
                <w:rFonts w:hint="eastAsia"/>
                <w:color w:val="auto"/>
                <w:sz w:val="21"/>
                <w:szCs w:val="21"/>
                <w:highlight w:val="none"/>
              </w:rPr>
              <w:t>单位</w:t>
            </w:r>
            <w:r>
              <w:rPr>
                <w:rFonts w:hint="eastAsia"/>
                <w:color w:val="auto"/>
                <w:sz w:val="21"/>
                <w:szCs w:val="21"/>
                <w:highlight w:val="none"/>
                <w:lang w:eastAsia="zh-CN"/>
              </w:rPr>
              <w:t>、预算编制单位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56" w:type="dxa"/>
            <w:noWrap w:val="0"/>
            <w:vAlign w:val="center"/>
          </w:tcPr>
          <w:p>
            <w:pPr>
              <w:pStyle w:val="136"/>
              <w:wordWrap w:val="0"/>
              <w:adjustRightInd w:val="0"/>
              <w:snapToGrid w:val="0"/>
              <w:spacing w:line="360" w:lineRule="auto"/>
              <w:jc w:val="center"/>
              <w:rPr>
                <w:rFonts w:hint="eastAsia" w:eastAsia="宋体"/>
                <w:color w:val="auto"/>
                <w:highlight w:val="none"/>
                <w:lang w:eastAsia="zh-CN"/>
              </w:rPr>
            </w:pPr>
            <w:r>
              <w:rPr>
                <w:rFonts w:hint="eastAsia"/>
                <w:color w:val="auto"/>
                <w:sz w:val="21"/>
                <w:szCs w:val="21"/>
                <w:highlight w:val="none"/>
                <w:lang w:val="en-US" w:eastAsia="zh-CN"/>
              </w:rPr>
              <w:t>2</w:t>
            </w:r>
          </w:p>
        </w:tc>
        <w:tc>
          <w:tcPr>
            <w:tcW w:w="3659" w:type="dxa"/>
            <w:noWrap w:val="0"/>
            <w:vAlign w:val="center"/>
          </w:tcPr>
          <w:p>
            <w:pPr>
              <w:tabs>
                <w:tab w:val="left" w:pos="1180"/>
              </w:tabs>
              <w:adjustRightInd w:val="0"/>
              <w:snapToGrid w:val="0"/>
              <w:spacing w:line="240" w:lineRule="auto"/>
              <w:jc w:val="both"/>
              <w:rPr>
                <w:rFonts w:hint="eastAsia" w:ascii="Times New Roman"/>
                <w:color w:val="auto"/>
                <w:kern w:val="2"/>
                <w:sz w:val="21"/>
                <w:szCs w:val="24"/>
                <w:highlight w:val="none"/>
                <w:lang w:val="en-US" w:eastAsia="zh-CN" w:bidi="ar-SA"/>
              </w:rPr>
            </w:pPr>
            <w:r>
              <w:rPr>
                <w:rFonts w:hint="eastAsia" w:hAnsi="宋体" w:cs="宋体"/>
                <w:bCs/>
                <w:snapToGrid w:val="0"/>
                <w:color w:val="auto"/>
                <w:kern w:val="0"/>
                <w:sz w:val="21"/>
                <w:szCs w:val="21"/>
                <w:highlight w:val="none"/>
                <w:lang w:val="en-US" w:eastAsia="zh-CN"/>
              </w:rPr>
              <w:t xml:space="preserve"> 湖南中核岩土工程有限责任公司</w:t>
            </w:r>
          </w:p>
        </w:tc>
        <w:tc>
          <w:tcPr>
            <w:tcW w:w="4340" w:type="dxa"/>
            <w:noWrap w:val="0"/>
            <w:vAlign w:val="center"/>
          </w:tcPr>
          <w:p>
            <w:pPr>
              <w:pStyle w:val="136"/>
              <w:wordWrap w:val="0"/>
              <w:adjustRightInd w:val="0"/>
              <w:snapToGrid w:val="0"/>
              <w:spacing w:line="360" w:lineRule="auto"/>
              <w:jc w:val="left"/>
              <w:rPr>
                <w:rFonts w:hint="eastAsia"/>
                <w:color w:val="auto"/>
                <w:highlight w:val="yellow"/>
              </w:rPr>
            </w:pPr>
            <w:r>
              <w:rPr>
                <w:rFonts w:hint="eastAsia"/>
                <w:color w:val="auto"/>
                <w:sz w:val="21"/>
                <w:szCs w:val="21"/>
                <w:highlight w:val="none"/>
              </w:rPr>
              <w:t>为本招标项目的</w:t>
            </w:r>
            <w:r>
              <w:rPr>
                <w:rFonts w:hint="eastAsia"/>
                <w:color w:val="auto"/>
                <w:sz w:val="21"/>
                <w:szCs w:val="21"/>
                <w:highlight w:val="none"/>
                <w:lang w:val="en-US" w:eastAsia="zh-CN"/>
              </w:rPr>
              <w:t>勘察</w:t>
            </w:r>
            <w:r>
              <w:rPr>
                <w:rFonts w:hint="eastAsia"/>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56" w:type="dxa"/>
            <w:noWrap w:val="0"/>
            <w:vAlign w:val="center"/>
          </w:tcPr>
          <w:p>
            <w:pPr>
              <w:pStyle w:val="136"/>
              <w:wordWrap w:val="0"/>
              <w:adjustRightInd w:val="0"/>
              <w:snapToGrid w:val="0"/>
              <w:spacing w:line="360" w:lineRule="auto"/>
              <w:jc w:val="center"/>
              <w:rPr>
                <w:rFonts w:hint="eastAsia" w:eastAsia="宋体"/>
                <w:color w:val="auto"/>
                <w:highlight w:val="none"/>
                <w:lang w:val="en-US" w:eastAsia="zh-CN"/>
              </w:rPr>
            </w:pPr>
            <w:r>
              <w:rPr>
                <w:rFonts w:hint="eastAsia"/>
                <w:color w:val="auto"/>
                <w:sz w:val="21"/>
                <w:szCs w:val="21"/>
                <w:highlight w:val="none"/>
                <w:lang w:val="en-US" w:eastAsia="zh-CN"/>
              </w:rPr>
              <w:t>3</w:t>
            </w:r>
          </w:p>
        </w:tc>
        <w:tc>
          <w:tcPr>
            <w:tcW w:w="3659" w:type="dxa"/>
            <w:noWrap w:val="0"/>
            <w:vAlign w:val="center"/>
          </w:tcPr>
          <w:p>
            <w:pPr>
              <w:tabs>
                <w:tab w:val="left" w:pos="1180"/>
              </w:tabs>
              <w:adjustRightInd w:val="0"/>
              <w:snapToGrid w:val="0"/>
              <w:spacing w:line="240" w:lineRule="auto"/>
              <w:jc w:val="both"/>
              <w:rPr>
                <w:rFonts w:hint="eastAsia" w:ascii="Times New Roman"/>
                <w:color w:val="auto"/>
                <w:kern w:val="2"/>
                <w:sz w:val="21"/>
                <w:szCs w:val="24"/>
                <w:highlight w:val="none"/>
                <w:lang w:val="en-US" w:eastAsia="zh-CN" w:bidi="ar-SA"/>
              </w:rPr>
            </w:pPr>
            <w:r>
              <w:rPr>
                <w:rFonts w:hint="eastAsia" w:ascii="Times New Roman"/>
                <w:color w:val="auto"/>
                <w:kern w:val="2"/>
                <w:sz w:val="21"/>
                <w:szCs w:val="21"/>
                <w:highlight w:val="none"/>
                <w:lang w:val="en-US" w:eastAsia="zh-CN" w:bidi="ar-SA"/>
              </w:rPr>
              <w:t xml:space="preserve"> </w:t>
            </w:r>
            <w:r>
              <w:rPr>
                <w:rFonts w:hint="eastAsia" w:ascii="Times New Roman" w:cs="Times New Roman"/>
                <w:snapToGrid w:val="0"/>
                <w:color w:val="auto"/>
                <w:kern w:val="0"/>
                <w:sz w:val="21"/>
                <w:szCs w:val="21"/>
                <w:highlight w:val="none"/>
                <w:lang w:val="en-US" w:eastAsia="zh-CN"/>
              </w:rPr>
              <w:t>中凡国际工程设计有限公司</w:t>
            </w:r>
          </w:p>
        </w:tc>
        <w:tc>
          <w:tcPr>
            <w:tcW w:w="4340" w:type="dxa"/>
            <w:noWrap w:val="0"/>
            <w:vAlign w:val="center"/>
          </w:tcPr>
          <w:p>
            <w:pPr>
              <w:pStyle w:val="136"/>
              <w:wordWrap w:val="0"/>
              <w:adjustRightInd w:val="0"/>
              <w:snapToGrid w:val="0"/>
              <w:spacing w:line="360" w:lineRule="auto"/>
              <w:jc w:val="left"/>
              <w:rPr>
                <w:rFonts w:hint="eastAsia"/>
                <w:color w:val="auto"/>
                <w:highlight w:val="yellow"/>
              </w:rPr>
            </w:pPr>
            <w:r>
              <w:rPr>
                <w:rFonts w:hint="eastAsia"/>
                <w:color w:val="auto"/>
                <w:sz w:val="21"/>
                <w:szCs w:val="21"/>
                <w:highlight w:val="none"/>
              </w:rPr>
              <w:t>为本招标项目的设计单位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056" w:type="dxa"/>
            <w:noWrap w:val="0"/>
            <w:vAlign w:val="center"/>
          </w:tcPr>
          <w:p>
            <w:pPr>
              <w:pStyle w:val="136"/>
              <w:wordWrap w:val="0"/>
              <w:adjustRightInd w:val="0"/>
              <w:snapToGrid w:val="0"/>
              <w:spacing w:line="360" w:lineRule="auto"/>
              <w:jc w:val="center"/>
              <w:rPr>
                <w:rFonts w:hint="eastAsia" w:eastAsia="宋体"/>
                <w:color w:val="auto"/>
                <w:highlight w:val="none"/>
                <w:lang w:eastAsia="zh-CN"/>
              </w:rPr>
            </w:pPr>
            <w:r>
              <w:rPr>
                <w:rFonts w:hint="eastAsia"/>
                <w:color w:val="auto"/>
                <w:sz w:val="21"/>
                <w:szCs w:val="21"/>
                <w:highlight w:val="none"/>
                <w:lang w:val="en-US" w:eastAsia="zh-CN"/>
              </w:rPr>
              <w:t>4</w:t>
            </w:r>
          </w:p>
        </w:tc>
        <w:tc>
          <w:tcPr>
            <w:tcW w:w="3659" w:type="dxa"/>
            <w:noWrap w:val="0"/>
            <w:vAlign w:val="center"/>
          </w:tcPr>
          <w:p>
            <w:pPr>
              <w:pStyle w:val="136"/>
              <w:wordWrap w:val="0"/>
              <w:adjustRightInd w:val="0"/>
              <w:snapToGrid w:val="0"/>
              <w:spacing w:line="360" w:lineRule="auto"/>
              <w:jc w:val="both"/>
              <w:rPr>
                <w:rFonts w:hint="eastAsia" w:ascii="Times New Roman"/>
                <w:color w:val="auto"/>
                <w:kern w:val="2"/>
                <w:sz w:val="21"/>
                <w:szCs w:val="24"/>
                <w:highlight w:val="none"/>
                <w:lang w:val="en-US" w:eastAsia="zh-CN" w:bidi="ar-SA"/>
              </w:rPr>
            </w:pPr>
            <w:r>
              <w:rPr>
                <w:rFonts w:hint="eastAsia"/>
                <w:color w:val="auto"/>
                <w:sz w:val="21"/>
                <w:szCs w:val="21"/>
                <w:highlight w:val="none"/>
                <w:lang w:val="en-US" w:eastAsia="zh-CN"/>
              </w:rPr>
              <w:t>广东财贸建设工程顾问有限公司</w:t>
            </w:r>
          </w:p>
        </w:tc>
        <w:tc>
          <w:tcPr>
            <w:tcW w:w="4340" w:type="dxa"/>
            <w:noWrap w:val="0"/>
            <w:vAlign w:val="center"/>
          </w:tcPr>
          <w:p>
            <w:pPr>
              <w:pStyle w:val="136"/>
              <w:wordWrap w:val="0"/>
              <w:adjustRightInd w:val="0"/>
              <w:snapToGrid w:val="0"/>
              <w:spacing w:line="360" w:lineRule="auto"/>
              <w:jc w:val="left"/>
              <w:rPr>
                <w:rFonts w:hint="eastAsia"/>
                <w:color w:val="auto"/>
                <w:highlight w:val="yellow"/>
              </w:rPr>
            </w:pPr>
            <w:r>
              <w:rPr>
                <w:rFonts w:hint="eastAsia"/>
                <w:color w:val="auto"/>
                <w:sz w:val="21"/>
                <w:szCs w:val="21"/>
                <w:highlight w:val="none"/>
              </w:rPr>
              <w:t>为本招标项目的</w:t>
            </w:r>
            <w:r>
              <w:rPr>
                <w:rFonts w:hint="eastAsia"/>
                <w:color w:val="auto"/>
                <w:sz w:val="21"/>
                <w:szCs w:val="21"/>
                <w:highlight w:val="none"/>
                <w:lang w:val="en-US" w:eastAsia="zh-CN"/>
              </w:rPr>
              <w:t>监理</w:t>
            </w:r>
            <w:r>
              <w:rPr>
                <w:rFonts w:hint="eastAsia"/>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56" w:type="dxa"/>
            <w:noWrap w:val="0"/>
            <w:vAlign w:val="center"/>
          </w:tcPr>
          <w:p>
            <w:pPr>
              <w:pStyle w:val="136"/>
              <w:wordWrap w:val="0"/>
              <w:adjustRightInd w:val="0"/>
              <w:snapToGrid w:val="0"/>
              <w:spacing w:line="360" w:lineRule="auto"/>
              <w:jc w:val="center"/>
              <w:rPr>
                <w:rFonts w:hint="eastAsia" w:eastAsia="宋体"/>
                <w:color w:val="auto"/>
                <w:highlight w:val="none"/>
                <w:lang w:eastAsia="zh-CN"/>
              </w:rPr>
            </w:pPr>
            <w:r>
              <w:rPr>
                <w:rFonts w:hint="eastAsia"/>
                <w:color w:val="auto"/>
                <w:sz w:val="21"/>
                <w:szCs w:val="21"/>
                <w:highlight w:val="none"/>
                <w:lang w:val="en-US" w:eastAsia="zh-CN"/>
              </w:rPr>
              <w:t>5</w:t>
            </w:r>
          </w:p>
        </w:tc>
        <w:tc>
          <w:tcPr>
            <w:tcW w:w="3659" w:type="dxa"/>
            <w:noWrap w:val="0"/>
            <w:vAlign w:val="center"/>
          </w:tcPr>
          <w:p>
            <w:pPr>
              <w:pStyle w:val="136"/>
              <w:wordWrap w:val="0"/>
              <w:adjustRightInd w:val="0"/>
              <w:snapToGrid w:val="0"/>
              <w:spacing w:line="360" w:lineRule="auto"/>
              <w:jc w:val="both"/>
              <w:rPr>
                <w:rFonts w:hint="eastAsia" w:eastAsia="宋体"/>
                <w:color w:val="auto"/>
                <w:highlight w:val="none"/>
                <w:lang w:eastAsia="zh-CN"/>
              </w:rPr>
            </w:pPr>
            <w:r>
              <w:rPr>
                <w:rFonts w:hint="eastAsia"/>
                <w:color w:val="auto"/>
                <w:sz w:val="21"/>
                <w:szCs w:val="21"/>
                <w:highlight w:val="none"/>
                <w:lang w:eastAsia="zh-CN"/>
              </w:rPr>
              <w:t>深圳市建衡达工程造价咨询有限公司</w:t>
            </w:r>
          </w:p>
        </w:tc>
        <w:tc>
          <w:tcPr>
            <w:tcW w:w="4340" w:type="dxa"/>
            <w:noWrap w:val="0"/>
            <w:vAlign w:val="center"/>
          </w:tcPr>
          <w:p>
            <w:pPr>
              <w:pStyle w:val="136"/>
              <w:wordWrap w:val="0"/>
              <w:adjustRightInd w:val="0"/>
              <w:snapToGrid w:val="0"/>
              <w:spacing w:line="360" w:lineRule="auto"/>
              <w:jc w:val="left"/>
              <w:rPr>
                <w:rFonts w:hint="eastAsia"/>
                <w:color w:val="auto"/>
                <w:highlight w:val="none"/>
              </w:rPr>
            </w:pPr>
            <w:r>
              <w:rPr>
                <w:rFonts w:hint="eastAsia"/>
                <w:color w:val="auto"/>
                <w:sz w:val="21"/>
                <w:szCs w:val="21"/>
                <w:highlight w:val="none"/>
              </w:rPr>
              <w:t>为本招标项目的招标代理机构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56" w:type="dxa"/>
            <w:noWrap w:val="0"/>
            <w:vAlign w:val="center"/>
          </w:tcPr>
          <w:p>
            <w:pPr>
              <w:pStyle w:val="136"/>
              <w:wordWrap w:val="0"/>
              <w:adjustRightInd w:val="0"/>
              <w:snapToGrid w:val="0"/>
              <w:spacing w:line="360" w:lineRule="auto"/>
              <w:jc w:val="center"/>
              <w:rPr>
                <w:rFonts w:hint="eastAsia" w:eastAsia="宋体"/>
                <w:color w:val="auto"/>
                <w:highlight w:val="none"/>
                <w:lang w:eastAsia="zh-CN"/>
              </w:rPr>
            </w:pPr>
            <w:r>
              <w:rPr>
                <w:rFonts w:hint="eastAsia"/>
                <w:color w:val="auto"/>
                <w:sz w:val="21"/>
                <w:szCs w:val="21"/>
                <w:highlight w:val="none"/>
                <w:lang w:val="en-US" w:eastAsia="zh-CN"/>
              </w:rPr>
              <w:t>6</w:t>
            </w:r>
          </w:p>
        </w:tc>
        <w:tc>
          <w:tcPr>
            <w:tcW w:w="3659" w:type="dxa"/>
            <w:noWrap w:val="0"/>
            <w:vAlign w:val="center"/>
          </w:tcPr>
          <w:p>
            <w:pPr>
              <w:pStyle w:val="136"/>
              <w:wordWrap w:val="0"/>
              <w:adjustRightInd w:val="0"/>
              <w:snapToGrid w:val="0"/>
              <w:spacing w:line="360" w:lineRule="auto"/>
              <w:jc w:val="both"/>
              <w:rPr>
                <w:rFonts w:hint="eastAsia" w:eastAsia="宋体"/>
                <w:color w:val="auto"/>
                <w:highlight w:val="none"/>
                <w:lang w:eastAsia="zh-CN"/>
              </w:rPr>
            </w:pPr>
            <w:r>
              <w:rPr>
                <w:rFonts w:hint="eastAsia"/>
                <w:color w:val="auto"/>
                <w:sz w:val="21"/>
                <w:szCs w:val="21"/>
                <w:highlight w:val="none"/>
                <w:lang w:eastAsia="zh-CN"/>
              </w:rPr>
              <w:t>乐昌市第二中学</w:t>
            </w:r>
          </w:p>
        </w:tc>
        <w:tc>
          <w:tcPr>
            <w:tcW w:w="4340" w:type="dxa"/>
            <w:noWrap w:val="0"/>
            <w:vAlign w:val="center"/>
          </w:tcPr>
          <w:p>
            <w:pPr>
              <w:pStyle w:val="136"/>
              <w:wordWrap w:val="0"/>
              <w:adjustRightInd w:val="0"/>
              <w:snapToGrid w:val="0"/>
              <w:spacing w:line="360" w:lineRule="auto"/>
              <w:jc w:val="left"/>
              <w:rPr>
                <w:rFonts w:hint="eastAsia"/>
                <w:color w:val="auto"/>
                <w:highlight w:val="none"/>
              </w:rPr>
            </w:pPr>
            <w:r>
              <w:rPr>
                <w:rFonts w:hint="eastAsia"/>
                <w:color w:val="auto"/>
                <w:sz w:val="21"/>
                <w:szCs w:val="21"/>
                <w:highlight w:val="none"/>
              </w:rPr>
              <w:t>为本招标项目的业主单位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56" w:type="dxa"/>
            <w:noWrap w:val="0"/>
            <w:vAlign w:val="center"/>
          </w:tcPr>
          <w:p>
            <w:pPr>
              <w:pStyle w:val="136"/>
              <w:wordWrap w:val="0"/>
              <w:adjustRightInd w:val="0"/>
              <w:snapToGrid w:val="0"/>
              <w:spacing w:line="360" w:lineRule="auto"/>
              <w:jc w:val="center"/>
              <w:rPr>
                <w:rFonts w:hint="eastAsia"/>
                <w:color w:val="auto"/>
                <w:highlight w:val="none"/>
                <w:lang w:val="en-US" w:eastAsia="zh-CN"/>
              </w:rPr>
            </w:pPr>
            <w:r>
              <w:rPr>
                <w:rFonts w:hint="eastAsia"/>
                <w:color w:val="auto"/>
                <w:sz w:val="21"/>
                <w:szCs w:val="21"/>
                <w:highlight w:val="none"/>
                <w:lang w:val="en-US" w:eastAsia="zh-CN"/>
              </w:rPr>
              <w:t>7</w:t>
            </w:r>
          </w:p>
        </w:tc>
        <w:tc>
          <w:tcPr>
            <w:tcW w:w="3659" w:type="dxa"/>
            <w:noWrap w:val="0"/>
            <w:vAlign w:val="center"/>
          </w:tcPr>
          <w:p>
            <w:pPr>
              <w:pStyle w:val="136"/>
              <w:wordWrap w:val="0"/>
              <w:adjustRightInd w:val="0"/>
              <w:snapToGrid w:val="0"/>
              <w:spacing w:line="360" w:lineRule="auto"/>
              <w:jc w:val="both"/>
              <w:rPr>
                <w:rFonts w:hint="eastAsia"/>
                <w:color w:val="auto"/>
                <w:highlight w:val="none"/>
              </w:rPr>
            </w:pPr>
            <w:r>
              <w:rPr>
                <w:rFonts w:hint="eastAsia"/>
                <w:color w:val="auto"/>
                <w:sz w:val="21"/>
                <w:szCs w:val="21"/>
                <w:highlight w:val="none"/>
              </w:rPr>
              <w:t>乐昌市政府投资建设项目代建管理局</w:t>
            </w:r>
          </w:p>
        </w:tc>
        <w:tc>
          <w:tcPr>
            <w:tcW w:w="4340" w:type="dxa"/>
            <w:noWrap w:val="0"/>
            <w:vAlign w:val="center"/>
          </w:tcPr>
          <w:p>
            <w:pPr>
              <w:pStyle w:val="136"/>
              <w:wordWrap w:val="0"/>
              <w:adjustRightInd w:val="0"/>
              <w:snapToGrid w:val="0"/>
              <w:spacing w:line="360" w:lineRule="auto"/>
              <w:jc w:val="left"/>
              <w:rPr>
                <w:rFonts w:hint="eastAsia"/>
                <w:color w:val="auto"/>
                <w:highlight w:val="none"/>
              </w:rPr>
            </w:pPr>
            <w:r>
              <w:rPr>
                <w:rFonts w:hint="eastAsia"/>
                <w:color w:val="auto"/>
                <w:sz w:val="21"/>
                <w:szCs w:val="21"/>
                <w:highlight w:val="none"/>
              </w:rPr>
              <w:t>为本招标项目的招标人</w:t>
            </w:r>
          </w:p>
        </w:tc>
      </w:tr>
    </w:tbl>
    <w:p>
      <w:pPr>
        <w:tabs>
          <w:tab w:val="left" w:pos="7020"/>
        </w:tabs>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2.5</w:t>
      </w:r>
      <w:r>
        <w:rPr>
          <w:rFonts w:hint="eastAsia" w:ascii="Times New Roman"/>
          <w:snapToGrid w:val="0"/>
          <w:color w:val="auto"/>
          <w:kern w:val="0"/>
          <w:highlight w:val="none"/>
        </w:rPr>
        <w:t xml:space="preserve"> 其他要求</w:t>
      </w:r>
    </w:p>
    <w:p>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pPr>
        <w:tabs>
          <w:tab w:val="left" w:pos="7020"/>
        </w:tabs>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2.6</w:t>
      </w:r>
      <w:r>
        <w:rPr>
          <w:rFonts w:hint="eastAsia" w:ascii="Times New Roman"/>
          <w:snapToGrid w:val="0"/>
          <w:color w:val="auto"/>
          <w:kern w:val="0"/>
          <w:highlight w:val="none"/>
        </w:rPr>
        <w:t xml:space="preserve"> 根据有关文件精神，在新冠肺炎疫情防控期间，投标人的企业及人员相关证书到期的，均按该证书的发证机构相关行业主管部门最新文件执行(如自动顺延或推迟办理延期业务的通知)，投标人必须将相关文件附在该证书后面中，证明在开标日继续有效。</w:t>
      </w:r>
    </w:p>
    <w:p>
      <w:pPr>
        <w:pStyle w:val="4"/>
        <w:wordWrap w:val="0"/>
        <w:autoSpaceDE/>
        <w:autoSpaceDN/>
        <w:snapToGrid w:val="0"/>
        <w:ind w:firstLine="480"/>
        <w:jc w:val="both"/>
        <w:rPr>
          <w:rFonts w:hint="eastAsia" w:hAnsi="宋体" w:cs="宋体"/>
          <w:b/>
          <w:snapToGrid w:val="0"/>
          <w:color w:val="auto"/>
          <w:szCs w:val="24"/>
          <w:highlight w:val="none"/>
        </w:rPr>
      </w:pPr>
      <w:bookmarkStart w:id="39" w:name="_Toc22815"/>
      <w:bookmarkStart w:id="40" w:name="_Toc7546"/>
      <w:bookmarkStart w:id="41" w:name="_Toc4046"/>
    </w:p>
    <w:p>
      <w:pPr>
        <w:pStyle w:val="4"/>
        <w:wordWrap w:val="0"/>
        <w:autoSpaceDE/>
        <w:autoSpaceDN/>
        <w:snapToGrid w:val="0"/>
        <w:ind w:firstLine="482" w:firstLineChars="200"/>
        <w:jc w:val="both"/>
        <w:rPr>
          <w:rFonts w:hint="eastAsia" w:hAnsi="宋体" w:cs="宋体"/>
          <w:b/>
          <w:snapToGrid w:val="0"/>
          <w:color w:val="auto"/>
          <w:szCs w:val="24"/>
          <w:highlight w:val="none"/>
        </w:rPr>
      </w:pPr>
      <w:r>
        <w:rPr>
          <w:rFonts w:hint="eastAsia" w:hAnsi="宋体" w:cs="宋体"/>
          <w:b/>
          <w:snapToGrid w:val="0"/>
          <w:color w:val="auto"/>
          <w:szCs w:val="24"/>
          <w:highlight w:val="none"/>
        </w:rPr>
        <w:t>3．招标文件的获取、提问和答疑</w:t>
      </w:r>
      <w:bookmarkEnd w:id="39"/>
      <w:bookmarkEnd w:id="40"/>
      <w:bookmarkEnd w:id="41"/>
    </w:p>
    <w:p>
      <w:pPr>
        <w:tabs>
          <w:tab w:val="left" w:pos="7020"/>
        </w:tabs>
        <w:wordWrap w:val="0"/>
        <w:adjustRightInd w:val="0"/>
        <w:snapToGrid w:val="0"/>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 xml:space="preserve">3.1 </w:t>
      </w:r>
      <w:r>
        <w:rPr>
          <w:rFonts w:hint="eastAsia" w:hAnsi="宋体" w:cs="宋体"/>
          <w:snapToGrid w:val="0"/>
          <w:color w:val="auto"/>
          <w:kern w:val="0"/>
          <w:szCs w:val="24"/>
          <w:highlight w:val="none"/>
        </w:rPr>
        <w:t>本次招标实行电子投标。</w:t>
      </w:r>
    </w:p>
    <w:p>
      <w:pPr>
        <w:tabs>
          <w:tab w:val="left" w:pos="7020"/>
        </w:tabs>
        <w:wordWrap w:val="0"/>
        <w:adjustRightInd w:val="0"/>
        <w:snapToGrid w:val="0"/>
        <w:ind w:firstLine="480" w:firstLineChars="200"/>
        <w:rPr>
          <w:rFonts w:hint="eastAsia" w:hAnsi="宋体" w:cs="宋体"/>
          <w:b/>
          <w:bCs/>
          <w:snapToGrid w:val="0"/>
          <w:color w:val="auto"/>
          <w:kern w:val="0"/>
          <w:szCs w:val="24"/>
          <w:highlight w:val="none"/>
        </w:rPr>
      </w:pPr>
      <w:r>
        <w:rPr>
          <w:rFonts w:hint="eastAsia" w:hAnsi="宋体" w:cs="宋体"/>
          <w:snapToGrid w:val="0"/>
          <w:color w:val="auto"/>
          <w:kern w:val="0"/>
          <w:szCs w:val="24"/>
          <w:highlight w:val="none"/>
        </w:rPr>
        <w:t>本次招标实行电子投标。本项目招标文件随招标公告一并在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网站发布。招标文件一经在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发布，视为</w:t>
      </w:r>
      <w:r>
        <w:rPr>
          <w:rFonts w:hint="eastAsia" w:hAnsi="宋体" w:cs="宋体"/>
          <w:snapToGrid w:val="0"/>
          <w:color w:val="auto"/>
          <w:kern w:val="0"/>
          <w:szCs w:val="24"/>
          <w:highlight w:val="none"/>
          <w:lang w:eastAsia="zh-CN"/>
        </w:rPr>
        <w:t>发送</w:t>
      </w:r>
      <w:r>
        <w:rPr>
          <w:rFonts w:hint="eastAsia" w:hAnsi="宋体" w:cs="宋体"/>
          <w:snapToGrid w:val="0"/>
          <w:color w:val="auto"/>
          <w:kern w:val="0"/>
          <w:szCs w:val="24"/>
          <w:highlight w:val="none"/>
        </w:rPr>
        <w:t>投标人，招标文件及相关附件由投标人自行在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网站下载。请于招标文件获取期间,（见本章第二节“重要事项时间地点一览表”）招标文件获取期间与招标公告发布时间一致，投标人须登录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，使用新建设工程交易系统进行下载招标文件及相关附件，并于电子投标截止时间（见本章第二节“重要事项时间地点一览表”）前完成电子投标。投标人可登录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，在【交易指引】栏目中建设工程交易中下载《</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整合建设项目建设工程交易（投标人）用户手册》（附件2），了解网上获取招标文件操作流程。技术咨询电话：18819797080/0751-8379671 伍先生，业务咨询电话：0751-8633211、8633071。</w:t>
      </w:r>
    </w:p>
    <w:p>
      <w:pPr>
        <w:tabs>
          <w:tab w:val="left" w:pos="7020"/>
        </w:tabs>
        <w:wordWrap w:val="0"/>
        <w:adjustRightInd w:val="0"/>
        <w:snapToGrid w:val="0"/>
        <w:spacing w:line="440" w:lineRule="exact"/>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 xml:space="preserve">3.2 </w:t>
      </w:r>
      <w:r>
        <w:rPr>
          <w:rFonts w:hint="eastAsia" w:hAnsi="宋体" w:cs="宋体"/>
          <w:snapToGrid w:val="0"/>
          <w:color w:val="auto"/>
          <w:kern w:val="0"/>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首次在韶关市参与建设工程招标投标活动的投标人，必须在平台系统上传企业相关资料办理企业入库事宜。投标人可登录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办理办理企业入库、数字证书及电子印章事宜，具体请在平台查阅相应的交易指引。</w:t>
      </w:r>
    </w:p>
    <w:p>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已入库企业有关信息（如单位名称、基本账号、资质、人员等）发生变化的，须及时在交易系统进行相应变更。投标人未及时变更信息而造成的损失和后果，由投标人自行承担。</w:t>
      </w:r>
    </w:p>
    <w:p>
      <w:pPr>
        <w:tabs>
          <w:tab w:val="left" w:pos="7020"/>
        </w:tabs>
        <w:wordWrap w:val="0"/>
        <w:adjustRightInd w:val="0"/>
        <w:snapToGrid w:val="0"/>
        <w:spacing w:line="440" w:lineRule="exact"/>
        <w:ind w:firstLine="480" w:firstLineChars="200"/>
        <w:rPr>
          <w:rFonts w:hint="eastAsia" w:ascii="Times New Roman"/>
          <w:b/>
          <w:bCs/>
          <w:snapToGrid w:val="0"/>
          <w:color w:val="auto"/>
          <w:kern w:val="0"/>
          <w:highlight w:val="none"/>
        </w:rPr>
      </w:pPr>
      <w:r>
        <w:rPr>
          <w:rFonts w:hint="eastAsia" w:hAnsi="宋体" w:cs="宋体"/>
          <w:snapToGrid w:val="0"/>
          <w:color w:val="auto"/>
          <w:kern w:val="0"/>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w:t>
      </w:r>
      <w:r>
        <w:rPr>
          <w:rFonts w:hint="eastAsia" w:ascii="Times New Roman"/>
          <w:snapToGrid w:val="0"/>
          <w:color w:val="auto"/>
          <w:kern w:val="0"/>
          <w:highlight w:val="none"/>
        </w:rPr>
        <w:t xml:space="preserve"> 投标保证</w:t>
      </w:r>
    </w:p>
    <w:p>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3.3.1</w:t>
      </w:r>
      <w:r>
        <w:rPr>
          <w:rFonts w:hint="eastAsia" w:ascii="Times New Roman"/>
          <w:snapToGrid w:val="0"/>
          <w:color w:val="auto"/>
          <w:kern w:val="0"/>
          <w:highlight w:val="none"/>
        </w:rPr>
        <w:t xml:space="preserve"> 投标人须缴纳金额为人民币</w:t>
      </w:r>
      <w:r>
        <w:rPr>
          <w:rFonts w:hint="eastAsia" w:ascii="Times New Roman"/>
          <w:snapToGrid w:val="0"/>
          <w:color w:val="auto"/>
          <w:kern w:val="0"/>
          <w:highlight w:val="none"/>
          <w:u w:val="single"/>
          <w:lang w:val="en-US" w:eastAsia="zh-CN"/>
        </w:rPr>
        <w:t xml:space="preserve">  20万元</w:t>
      </w:r>
      <w:r>
        <w:rPr>
          <w:rFonts w:hint="eastAsia" w:ascii="Times New Roman"/>
          <w:snapToGrid w:val="0"/>
          <w:color w:val="auto"/>
          <w:kern w:val="0"/>
          <w:highlight w:val="none"/>
        </w:rPr>
        <w:t>的投标保证。 联合体投标的，由联合体牵头人缴纳。</w:t>
      </w:r>
    </w:p>
    <w:p>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3.3.2</w:t>
      </w:r>
      <w:r>
        <w:rPr>
          <w:rFonts w:hint="eastAsia" w:ascii="Times New Roman"/>
          <w:snapToGrid w:val="0"/>
          <w:color w:val="auto"/>
          <w:kern w:val="0"/>
          <w:highlight w:val="none"/>
        </w:rPr>
        <w:t xml:space="preserve"> 投标保证的形式包括投标保证金、投标保证担保、投标保证保险三种，由投标人自主选择。</w:t>
      </w:r>
    </w:p>
    <w:p>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（1）采用投标保证金的，投标人在建设工程交易系统</w:t>
      </w:r>
      <w:r>
        <w:rPr>
          <w:rFonts w:hint="eastAsia" w:hAnsi="宋体" w:cs="宋体"/>
          <w:snapToGrid w:val="0"/>
          <w:color w:val="auto"/>
          <w:kern w:val="0"/>
          <w:szCs w:val="24"/>
          <w:highlight w:val="none"/>
        </w:rPr>
        <w:t>获取招标文件</w:t>
      </w:r>
      <w:r>
        <w:rPr>
          <w:rFonts w:hint="eastAsia" w:ascii="Times New Roman"/>
          <w:snapToGrid w:val="0"/>
          <w:color w:val="auto"/>
          <w:kern w:val="0"/>
          <w:highlight w:val="none"/>
        </w:rPr>
        <w:t>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）采用投标保证担保的，投标人应提交有效的电子保函或保证保险，电子保函或保证保险的有效期不得短于投标有效期。投标人必须在投标保证担保截止时间（</w:t>
      </w:r>
      <w:r>
        <w:rPr>
          <w:rFonts w:hint="eastAsia" w:ascii="Times New Roman" w:hAnsi="Times New Roman" w:eastAsia="宋体" w:cs="Times New Roman"/>
          <w:snapToGrid w:val="0"/>
          <w:color w:val="auto"/>
          <w:kern w:val="0"/>
          <w:sz w:val="21"/>
          <w:highlight w:val="none"/>
        </w:rPr>
        <w:t>见本章第二节“重要事项时间地点一览表”</w:t>
      </w:r>
      <w:r>
        <w:rPr>
          <w:rFonts w:hint="eastAsia" w:ascii="Times New Roman"/>
          <w:snapToGrid w:val="0"/>
          <w:color w:val="auto"/>
          <w:kern w:val="0"/>
          <w:highlight w:val="none"/>
        </w:rPr>
        <w:t>）前，使用工程建设交易系统完成网上办理电子保函或保证保险。</w:t>
      </w:r>
    </w:p>
    <w:p>
      <w:pPr>
        <w:tabs>
          <w:tab w:val="left" w:pos="7020"/>
        </w:tabs>
        <w:wordWrap w:val="0"/>
        <w:adjustRightInd w:val="0"/>
        <w:snapToGrid w:val="0"/>
        <w:spacing w:line="440" w:lineRule="exact"/>
        <w:ind w:firstLine="480" w:firstLineChars="200"/>
        <w:rPr>
          <w:rFonts w:hint="eastAsia" w:hAnsi="宋体" w:cs="宋体"/>
          <w:color w:val="auto"/>
          <w:szCs w:val="24"/>
          <w:highlight w:val="none"/>
        </w:rPr>
      </w:pPr>
      <w:r>
        <w:rPr>
          <w:rFonts w:hint="eastAsia" w:ascii="Times New Roman"/>
          <w:snapToGrid w:val="0"/>
          <w:color w:val="auto"/>
          <w:kern w:val="0"/>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color w:val="auto"/>
          <w:szCs w:val="24"/>
          <w:highlight w:val="none"/>
        </w:rPr>
        <w:t>，</w:t>
      </w:r>
      <w:r>
        <w:rPr>
          <w:rFonts w:hint="eastAsia" w:hAnsi="宋体" w:cs="宋体"/>
          <w:color w:val="auto"/>
          <w:szCs w:val="24"/>
          <w:highlight w:val="none"/>
          <w:lang w:eastAsia="zh-CN"/>
        </w:rPr>
        <w:t>在【服务指南】栏目中下载《韶关市公共资源建设工程交易系统-投标人操作指南》，了解网上投保具体操作流程。逾期投保的，其投标无效。</w:t>
      </w:r>
      <w:r>
        <w:rPr>
          <w:rFonts w:hint="eastAsia" w:hAnsi="宋体" w:cs="宋体"/>
          <w:color w:val="auto"/>
          <w:szCs w:val="24"/>
          <w:highlight w:val="none"/>
        </w:rPr>
        <w:t xml:space="preserve">    </w:t>
      </w:r>
    </w:p>
    <w:p>
      <w:pPr>
        <w:tabs>
          <w:tab w:val="left" w:pos="7020"/>
        </w:tabs>
        <w:wordWrap w:val="0"/>
        <w:adjustRightInd w:val="0"/>
        <w:snapToGrid w:val="0"/>
        <w:spacing w:line="440" w:lineRule="exact"/>
        <w:ind w:firstLine="480" w:firstLineChars="200"/>
        <w:rPr>
          <w:rFonts w:hint="eastAsia" w:ascii="Times New Roman"/>
          <w:b/>
          <w:bCs/>
          <w:snapToGrid w:val="0"/>
          <w:color w:val="auto"/>
          <w:kern w:val="0"/>
          <w:highlight w:val="none"/>
        </w:rPr>
      </w:pPr>
      <w:r>
        <w:rPr>
          <w:rFonts w:hint="eastAsia" w:ascii="Times New Roman"/>
          <w:snapToGrid w:val="0"/>
          <w:color w:val="auto"/>
          <w:kern w:val="0"/>
          <w:highlight w:val="none"/>
        </w:rPr>
        <w:t>温馨提醒：1.投标人采用投标保证担保或投标保证保险的，为避免在评标过程中因有效期发生争议，建议投标人将银行保函或电子保单有效期设置为较招标文件规定的投标有效期延长不少于20个日历天。</w:t>
      </w:r>
    </w:p>
    <w:p>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Times New Roman"/>
          <w:snapToGrid w:val="0"/>
          <w:color w:val="auto"/>
          <w:kern w:val="0"/>
          <w:highlight w:val="none"/>
        </w:rPr>
        <w:t xml:space="preserve"> 若投标人因自身原因未能正确完成</w:t>
      </w:r>
      <w:r>
        <w:rPr>
          <w:rFonts w:hint="eastAsia" w:ascii="Times New Roman"/>
          <w:snapToGrid w:val="0"/>
          <w:color w:val="auto"/>
          <w:kern w:val="0"/>
          <w:highlight w:val="none"/>
          <w:lang w:eastAsia="zh-CN"/>
        </w:rPr>
        <w:t>获取招标文件</w:t>
      </w:r>
      <w:r>
        <w:rPr>
          <w:rFonts w:hint="eastAsia" w:ascii="Times New Roman"/>
          <w:snapToGrid w:val="0"/>
          <w:color w:val="auto"/>
          <w:kern w:val="0"/>
          <w:highlight w:val="none"/>
        </w:rPr>
        <w:t>、电子投标、缴纳投标保证的，其投标无效。</w:t>
      </w:r>
    </w:p>
    <w:p>
      <w:pPr>
        <w:tabs>
          <w:tab w:val="left" w:pos="7020"/>
        </w:tabs>
        <w:wordWrap w:val="0"/>
        <w:adjustRightInd w:val="0"/>
        <w:snapToGrid w:val="0"/>
        <w:spacing w:line="440" w:lineRule="exact"/>
        <w:ind w:firstLine="482" w:firstLineChars="200"/>
        <w:rPr>
          <w:rFonts w:hint="eastAsia" w:ascii="Times New Roman"/>
          <w:b/>
          <w:bCs/>
          <w:snapToGrid w:val="0"/>
          <w:color w:val="auto"/>
          <w:kern w:val="0"/>
          <w:highlight w:val="none"/>
        </w:rPr>
      </w:pPr>
    </w:p>
    <w:p>
      <w:pPr>
        <w:numPr>
          <w:ilvl w:val="0"/>
          <w:numId w:val="1"/>
        </w:numPr>
        <w:tabs>
          <w:tab w:val="left" w:pos="7020"/>
        </w:tabs>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工期要求</w:t>
      </w:r>
      <w:bookmarkStart w:id="42" w:name="_Toc7508"/>
    </w:p>
    <w:p>
      <w:pPr>
        <w:numPr>
          <w:ilvl w:val="0"/>
          <w:numId w:val="0"/>
        </w:numPr>
        <w:tabs>
          <w:tab w:val="left" w:pos="7020"/>
        </w:tabs>
        <w:wordWrap w:val="0"/>
        <w:adjustRightInd w:val="0"/>
        <w:snapToGrid w:val="0"/>
        <w:spacing w:line="440" w:lineRule="exact"/>
        <w:ind w:firstLine="480" w:firstLineChars="200"/>
        <w:rPr>
          <w:rFonts w:hint="eastAsia"/>
          <w:color w:val="auto"/>
          <w:highlight w:val="none"/>
        </w:rPr>
      </w:pPr>
      <w:r>
        <w:rPr>
          <w:rFonts w:hint="eastAsia"/>
          <w:color w:val="auto"/>
          <w:highlight w:val="none"/>
        </w:rPr>
        <w:t>本招标项目施工标准工期为</w:t>
      </w:r>
      <w:r>
        <w:rPr>
          <w:rFonts w:hint="eastAsia"/>
          <w:color w:val="auto"/>
          <w:highlight w:val="none"/>
          <w:u w:val="single"/>
          <w:lang w:val="en-US" w:eastAsia="zh-CN"/>
        </w:rPr>
        <w:t>259</w:t>
      </w:r>
      <w:r>
        <w:rPr>
          <w:rFonts w:hint="eastAsia"/>
          <w:color w:val="auto"/>
          <w:highlight w:val="none"/>
        </w:rPr>
        <w:t>个日历天，招标工期为</w:t>
      </w:r>
      <w:r>
        <w:rPr>
          <w:rFonts w:hint="eastAsia"/>
          <w:color w:val="auto"/>
          <w:highlight w:val="none"/>
          <w:u w:val="single"/>
          <w:lang w:val="en-US" w:eastAsia="zh-CN"/>
        </w:rPr>
        <w:t>259</w:t>
      </w:r>
      <w:r>
        <w:rPr>
          <w:rFonts w:hint="eastAsia"/>
          <w:color w:val="auto"/>
          <w:highlight w:val="none"/>
        </w:rPr>
        <w:t>个日历天，承包人必须在招标工期内完成招标范围内的全部内容。</w:t>
      </w:r>
      <w:bookmarkStart w:id="43" w:name="_Toc16606"/>
      <w:bookmarkStart w:id="44" w:name="_Toc3615"/>
    </w:p>
    <w:p>
      <w:pPr>
        <w:pStyle w:val="2"/>
        <w:keepNext/>
        <w:keepLines/>
        <w:pageBreakBefore w:val="0"/>
        <w:widowControl w:val="0"/>
        <w:kinsoku/>
        <w:wordWrap/>
        <w:overflowPunct/>
        <w:topLinePunct w:val="0"/>
        <w:autoSpaceDE/>
        <w:autoSpaceDN/>
        <w:bidi w:val="0"/>
        <w:adjustRightInd/>
        <w:snapToGrid/>
        <w:spacing w:before="0" w:after="0" w:line="375" w:lineRule="auto"/>
        <w:ind w:firstLine="482" w:firstLineChars="200"/>
        <w:textAlignment w:val="auto"/>
        <w:rPr>
          <w:rFonts w:hint="eastAsia" w:ascii="宋体" w:hAnsi="宋体" w:eastAsia="宋体" w:cs="宋体"/>
          <w:b/>
          <w:snapToGrid w:val="0"/>
          <w:color w:val="auto"/>
          <w:szCs w:val="24"/>
          <w:highlight w:val="none"/>
        </w:rPr>
      </w:pPr>
    </w:p>
    <w:p>
      <w:pPr>
        <w:pStyle w:val="2"/>
        <w:keepNext/>
        <w:keepLines/>
        <w:pageBreakBefore w:val="0"/>
        <w:widowControl w:val="0"/>
        <w:kinsoku/>
        <w:wordWrap/>
        <w:overflowPunct/>
        <w:topLinePunct w:val="0"/>
        <w:autoSpaceDE/>
        <w:autoSpaceDN/>
        <w:bidi w:val="0"/>
        <w:adjustRightInd/>
        <w:snapToGrid/>
        <w:spacing w:before="0" w:after="0" w:line="375" w:lineRule="auto"/>
        <w:ind w:firstLine="482" w:firstLineChars="200"/>
        <w:textAlignment w:val="auto"/>
        <w:rPr>
          <w:rFonts w:hint="eastAsia" w:ascii="宋体" w:hAnsi="宋体" w:eastAsia="宋体" w:cs="宋体"/>
          <w:b/>
          <w:snapToGrid w:val="0"/>
          <w:color w:val="auto"/>
          <w:szCs w:val="24"/>
          <w:highlight w:val="none"/>
        </w:rPr>
      </w:pPr>
      <w:r>
        <w:rPr>
          <w:rFonts w:hint="eastAsia" w:ascii="宋体" w:hAnsi="宋体" w:eastAsia="宋体" w:cs="宋体"/>
          <w:b/>
          <w:snapToGrid w:val="0"/>
          <w:color w:val="auto"/>
          <w:szCs w:val="24"/>
          <w:highlight w:val="none"/>
        </w:rPr>
        <w:t>5．质量标准和材料、机械要求</w:t>
      </w:r>
      <w:bookmarkEnd w:id="42"/>
      <w:bookmarkEnd w:id="43"/>
      <w:bookmarkEnd w:id="44"/>
    </w:p>
    <w:p>
      <w:pPr>
        <w:wordWrap w:val="0"/>
        <w:adjustRightInd w:val="0"/>
        <w:snapToGrid w:val="0"/>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5.1</w:t>
      </w:r>
      <w:r>
        <w:rPr>
          <w:rFonts w:hint="eastAsia" w:ascii="Times New Roman"/>
          <w:snapToGrid w:val="0"/>
          <w:color w:val="auto"/>
          <w:kern w:val="0"/>
          <w:highlight w:val="none"/>
        </w:rPr>
        <w:t xml:space="preserve"> 施工工艺严格按照国家和广东省的有关现行施工技术规范及标准执行，工程质量标准须达到</w:t>
      </w:r>
      <w:r>
        <w:rPr>
          <w:rFonts w:hint="eastAsia" w:ascii="Times New Roman"/>
          <w:snapToGrid w:val="0"/>
          <w:color w:val="auto"/>
          <w:kern w:val="0"/>
          <w:highlight w:val="none"/>
          <w:u w:val="single"/>
        </w:rPr>
        <w:t xml:space="preserve">  </w:t>
      </w:r>
      <w:r>
        <w:rPr>
          <w:rFonts w:hAnsi="宋体" w:cs="宋体"/>
          <w:bCs/>
          <w:snapToGrid w:val="0"/>
          <w:color w:val="auto"/>
          <w:kern w:val="0"/>
          <w:highlight w:val="none"/>
          <w:u w:val="single"/>
        </w:rPr>
        <w:t>国家验收合格标准</w:t>
      </w:r>
      <w:r>
        <w:rPr>
          <w:rFonts w:hAnsi="宋体" w:cs="宋体"/>
          <w:snapToGrid w:val="0"/>
          <w:color w:val="auto"/>
          <w:kern w:val="0"/>
          <w:highlight w:val="none"/>
          <w:u w:val="single"/>
        </w:rPr>
        <w:t>。如未达到合格标准，则按合同价款的 1 %向招标人返纳质量违约金，并由中标人负责返修至合格标准，返修费用由中标人承担，同时承担所有的责任及经济损失。</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中标人在施工中如果工程质量不符合设计要求和有关规定，招标人或监理单位要求停工和返工的必须立即执行，并承担由此产生的各种费用，工期不予顺延。</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b/>
          <w:bCs/>
          <w:snapToGrid w:val="0"/>
          <w:color w:val="auto"/>
          <w:kern w:val="0"/>
          <w:highlight w:val="none"/>
        </w:rPr>
        <w:t>5.3</w:t>
      </w:r>
      <w:r>
        <w:rPr>
          <w:rFonts w:hint="eastAsia" w:ascii="Times New Roman"/>
          <w:snapToGrid w:val="0"/>
          <w:color w:val="auto"/>
          <w:kern w:val="0"/>
          <w:highlight w:val="none"/>
        </w:rPr>
        <w:t xml:space="preserve"> 保修期限按《</w:t>
      </w:r>
      <w:r>
        <w:rPr>
          <w:rFonts w:ascii="Times New Roman"/>
          <w:snapToGrid w:val="0"/>
          <w:color w:val="auto"/>
          <w:kern w:val="0"/>
          <w:highlight w:val="none"/>
        </w:rPr>
        <w:t>建设工程质量管理条例</w:t>
      </w:r>
      <w:r>
        <w:rPr>
          <w:rFonts w:hint="eastAsia" w:ascii="Times New Roman"/>
          <w:snapToGrid w:val="0"/>
          <w:color w:val="auto"/>
          <w:kern w:val="0"/>
          <w:highlight w:val="none"/>
        </w:rPr>
        <w:t>》（</w:t>
      </w:r>
      <w:r>
        <w:rPr>
          <w:rFonts w:ascii="Times New Roman"/>
          <w:snapToGrid w:val="0"/>
          <w:color w:val="auto"/>
          <w:kern w:val="0"/>
          <w:highlight w:val="none"/>
        </w:rPr>
        <w:t>中华人民共和国国务院令第279号</w:t>
      </w:r>
      <w:r>
        <w:rPr>
          <w:rFonts w:hint="eastAsia" w:ascii="Times New Roman"/>
          <w:snapToGrid w:val="0"/>
          <w:color w:val="auto"/>
          <w:kern w:val="0"/>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5.4</w:t>
      </w:r>
      <w:r>
        <w:rPr>
          <w:rFonts w:hint="eastAsia" w:ascii="Times New Roman"/>
          <w:snapToGrid w:val="0"/>
          <w:color w:val="auto"/>
          <w:kern w:val="0"/>
          <w:highlight w:val="none"/>
        </w:rPr>
        <w:t xml:space="preserve"> 工程使用的主要材料质量要求不低于招标工程量清单所列的要求。主要材料必须先提供样板给招标人确定其颜色、等级等，</w:t>
      </w:r>
      <w:r>
        <w:rPr>
          <w:rFonts w:hint="eastAsia" w:ascii="Times New Roman"/>
          <w:snapToGrid w:val="0"/>
          <w:color w:val="auto"/>
          <w:kern w:val="0"/>
          <w:highlight w:val="none"/>
          <w:lang w:val="zh-CN"/>
        </w:rPr>
        <w:t>并经检测部门检测合格</w:t>
      </w:r>
      <w:r>
        <w:rPr>
          <w:rFonts w:hint="eastAsia" w:ascii="Times New Roman"/>
          <w:snapToGrid w:val="0"/>
          <w:color w:val="auto"/>
          <w:kern w:val="0"/>
          <w:highlight w:val="none"/>
        </w:rPr>
        <w:t>方可使用，所有材料必须使用合格产品。</w:t>
      </w:r>
    </w:p>
    <w:p>
      <w:pPr>
        <w:wordWrap w:val="0"/>
        <w:adjustRightInd w:val="0"/>
        <w:snapToGrid w:val="0"/>
        <w:spacing w:line="440" w:lineRule="exact"/>
        <w:ind w:firstLine="560"/>
        <w:rPr>
          <w:rFonts w:hint="eastAsia" w:ascii="Times New Roman"/>
          <w:i/>
          <w:iCs/>
          <w:snapToGrid w:val="0"/>
          <w:color w:val="auto"/>
          <w:kern w:val="0"/>
          <w:highlight w:val="none"/>
        </w:rPr>
      </w:pPr>
      <w:r>
        <w:rPr>
          <w:rFonts w:hint="eastAsia" w:ascii="Times New Roman"/>
          <w:b/>
          <w:bCs/>
          <w:snapToGrid w:val="0"/>
          <w:color w:val="auto"/>
          <w:kern w:val="0"/>
          <w:highlight w:val="none"/>
        </w:rPr>
        <w:t>5.5</w:t>
      </w:r>
      <w:r>
        <w:rPr>
          <w:rFonts w:hint="eastAsia" w:ascii="Times New Roman"/>
          <w:snapToGrid w:val="0"/>
          <w:color w:val="auto"/>
          <w:kern w:val="0"/>
          <w:highlight w:val="none"/>
        </w:rPr>
        <w:t xml:space="preserve"> </w:t>
      </w:r>
      <w:r>
        <w:rPr>
          <w:rFonts w:hint="eastAsia" w:hAnsi="宋体" w:cs="宋体"/>
          <w:snapToGrid w:val="0"/>
          <w:color w:val="auto"/>
          <w:kern w:val="0"/>
          <w:highlight w:val="none"/>
        </w:rPr>
        <w:t>根据韶关市人民政府《关于加快推进全市绿色建筑发展工作的通知》（韶府办明电〔2013〕277号）有关规定，本招标项目纳入绿色建设实施范围，要求达到《绿色建筑评价标准》(GB/T50378-2019）规定的</w:t>
      </w:r>
      <w:r>
        <w:rPr>
          <w:rFonts w:hint="eastAsia" w:hAnsi="宋体" w:cs="宋体"/>
          <w:snapToGrid w:val="0"/>
          <w:color w:val="auto"/>
          <w:kern w:val="0"/>
          <w:highlight w:val="none"/>
          <w:u w:val="single"/>
          <w:lang w:val="en-US" w:eastAsia="zh-CN"/>
        </w:rPr>
        <w:t xml:space="preserve"> 一星级  </w:t>
      </w:r>
      <w:r>
        <w:rPr>
          <w:rFonts w:hint="eastAsia" w:hAnsi="宋体" w:cs="宋体"/>
          <w:snapToGrid w:val="0"/>
          <w:color w:val="auto"/>
          <w:kern w:val="0"/>
          <w:highlight w:val="none"/>
        </w:rPr>
        <w:t>标准。</w:t>
      </w:r>
    </w:p>
    <w:p>
      <w:pPr>
        <w:wordWrap w:val="0"/>
        <w:adjustRightInd w:val="0"/>
        <w:snapToGrid w:val="0"/>
        <w:spacing w:line="440" w:lineRule="exact"/>
        <w:ind w:firstLine="560"/>
        <w:rPr>
          <w:rFonts w:hint="eastAsia" w:ascii="Times New Roman" w:eastAsia="宋体"/>
          <w:snapToGrid w:val="0"/>
          <w:color w:val="auto"/>
          <w:kern w:val="0"/>
          <w:highlight w:val="none"/>
          <w:u w:val="single"/>
          <w:lang w:eastAsia="zh-CN"/>
        </w:rPr>
      </w:pPr>
      <w:r>
        <w:rPr>
          <w:rFonts w:hint="eastAsia" w:ascii="Times New Roman"/>
          <w:b/>
          <w:bCs/>
          <w:snapToGrid w:val="0"/>
          <w:color w:val="auto"/>
          <w:kern w:val="0"/>
          <w:highlight w:val="none"/>
        </w:rPr>
        <w:t>5.6</w:t>
      </w:r>
      <w:r>
        <w:rPr>
          <w:rFonts w:hint="eastAsia" w:ascii="Times New Roman"/>
          <w:snapToGrid w:val="0"/>
          <w:color w:val="auto"/>
          <w:kern w:val="0"/>
          <w:highlight w:val="none"/>
        </w:rPr>
        <w:t xml:space="preserve"> 其它：</w:t>
      </w:r>
      <w:r>
        <w:rPr>
          <w:rFonts w:hAnsi="宋体" w:cs="宋体"/>
          <w:snapToGrid w:val="0"/>
          <w:color w:val="auto"/>
          <w:kern w:val="0"/>
          <w:highlight w:val="none"/>
        </w:rPr>
        <w:t>本招标项目不纳入装配式建造建设实施范围</w:t>
      </w:r>
      <w:r>
        <w:rPr>
          <w:rFonts w:hint="eastAsia" w:hAnsi="宋体" w:cs="宋体"/>
          <w:snapToGrid w:val="0"/>
          <w:color w:val="auto"/>
          <w:kern w:val="0"/>
          <w:highlight w:val="none"/>
          <w:lang w:eastAsia="zh-CN"/>
        </w:rPr>
        <w:t>。</w:t>
      </w:r>
    </w:p>
    <w:p>
      <w:pPr>
        <w:wordWrap w:val="0"/>
        <w:adjustRightInd w:val="0"/>
        <w:snapToGrid w:val="0"/>
        <w:spacing w:line="420" w:lineRule="exact"/>
        <w:ind w:firstLine="560"/>
        <w:rPr>
          <w:rFonts w:hint="eastAsia"/>
          <w:snapToGrid w:val="0"/>
          <w:color w:val="auto"/>
          <w:kern w:val="0"/>
          <w:highlight w:val="none"/>
        </w:rPr>
      </w:pPr>
      <w:bookmarkStart w:id="45" w:name="_Hlt74496537"/>
      <w:bookmarkEnd w:id="45"/>
      <w:bookmarkStart w:id="46" w:name="_Hlt69699204"/>
      <w:bookmarkEnd w:id="46"/>
      <w:bookmarkStart w:id="47" w:name="_Hlt111690342"/>
      <w:bookmarkEnd w:id="47"/>
      <w:bookmarkStart w:id="48" w:name="_Hlt120502666"/>
      <w:bookmarkEnd w:id="48"/>
      <w:bookmarkStart w:id="49" w:name="_Hlt69356505"/>
      <w:bookmarkEnd w:id="49"/>
      <w:bookmarkStart w:id="50" w:name="_Hlt88974078"/>
      <w:bookmarkEnd w:id="50"/>
      <w:bookmarkStart w:id="51" w:name="_Hlt74493474"/>
      <w:bookmarkEnd w:id="51"/>
      <w:bookmarkStart w:id="52" w:name="_Hlt121563076"/>
      <w:bookmarkEnd w:id="52"/>
      <w:bookmarkStart w:id="53" w:name="_Toc2679"/>
      <w:r>
        <w:rPr>
          <w:rFonts w:hint="eastAsia" w:ascii="Times New Roman"/>
          <w:b/>
          <w:bCs/>
          <w:snapToGrid w:val="0"/>
          <w:color w:val="auto"/>
          <w:kern w:val="0"/>
          <w:highlight w:val="none"/>
        </w:rPr>
        <w:t>5.7</w:t>
      </w:r>
      <w:r>
        <w:rPr>
          <w:rFonts w:hint="eastAsia" w:ascii="Times New Roman"/>
          <w:snapToGrid w:val="0"/>
          <w:color w:val="auto"/>
          <w:kern w:val="0"/>
          <w:highlight w:val="none"/>
        </w:rPr>
        <w:t xml:space="preserve"> 其它：</w:t>
      </w:r>
      <w:r>
        <w:rPr>
          <w:rFonts w:hint="eastAsia"/>
          <w:snapToGrid w:val="0"/>
          <w:color w:val="auto"/>
          <w:kern w:val="0"/>
          <w:highlight w:val="none"/>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pPr>
        <w:wordWrap w:val="0"/>
        <w:adjustRightInd w:val="0"/>
        <w:snapToGrid w:val="0"/>
        <w:spacing w:line="440" w:lineRule="exact"/>
        <w:ind w:firstLine="560"/>
        <w:rPr>
          <w:rFonts w:hint="eastAsia" w:ascii="Times New Roman"/>
          <w:b/>
          <w:snapToGrid w:val="0"/>
          <w:color w:val="auto"/>
          <w:highlight w:val="none"/>
        </w:rPr>
      </w:pPr>
      <w:r>
        <w:rPr>
          <w:rFonts w:hint="eastAsia" w:ascii="Times New Roman"/>
          <w:b/>
          <w:bCs/>
          <w:snapToGrid w:val="0"/>
          <w:color w:val="auto"/>
          <w:kern w:val="0"/>
          <w:highlight w:val="none"/>
        </w:rPr>
        <w:t>5.8</w:t>
      </w:r>
      <w:r>
        <w:rPr>
          <w:rFonts w:hint="eastAsia" w:ascii="Times New Roman"/>
          <w:snapToGrid w:val="0"/>
          <w:color w:val="auto"/>
          <w:kern w:val="0"/>
          <w:highlight w:val="none"/>
        </w:rPr>
        <w:t xml:space="preserve"> </w:t>
      </w:r>
      <w:r>
        <w:rPr>
          <w:rFonts w:hint="eastAsia" w:hAnsi="宋体"/>
          <w:color w:val="auto"/>
          <w:highlight w:val="none"/>
        </w:rPr>
        <w:t>工程使用的主要材料质量要求：不低于强制标准所列的要求，主要材料必须先提供样板或相关资料给招标人同意确定其规格、型号、颜色、等级等，</w:t>
      </w:r>
      <w:r>
        <w:rPr>
          <w:rFonts w:hint="eastAsia" w:hAnsi="宋体" w:cs="宋体"/>
          <w:color w:val="auto"/>
          <w:highlight w:val="none"/>
          <w:lang w:val="zh-CN"/>
        </w:rPr>
        <w:t>并经发包人委托的第三方检测部门检测合格</w:t>
      </w:r>
      <w:r>
        <w:rPr>
          <w:rFonts w:hint="eastAsia" w:hAnsi="宋体"/>
          <w:color w:val="auto"/>
          <w:highlight w:val="none"/>
        </w:rPr>
        <w:t>方可使用，所有材料必须使用合格产品。</w:t>
      </w:r>
      <w:bookmarkStart w:id="54" w:name="_Toc26469"/>
      <w:bookmarkStart w:id="55" w:name="_Toc2752"/>
    </w:p>
    <w:p>
      <w:pPr>
        <w:pStyle w:val="4"/>
        <w:wordWrap w:val="0"/>
        <w:autoSpaceDE/>
        <w:autoSpaceDN/>
        <w:snapToGrid w:val="0"/>
        <w:spacing w:line="440" w:lineRule="exact"/>
        <w:ind w:firstLine="480"/>
        <w:jc w:val="both"/>
        <w:rPr>
          <w:rFonts w:ascii="Times New Roman"/>
          <w:b/>
          <w:snapToGrid w:val="0"/>
          <w:color w:val="auto"/>
          <w:highlight w:val="none"/>
        </w:rPr>
      </w:pPr>
      <w:r>
        <w:rPr>
          <w:rFonts w:hint="eastAsia" w:ascii="Times New Roman"/>
          <w:b/>
          <w:snapToGrid w:val="0"/>
          <w:color w:val="auto"/>
          <w:highlight w:val="none"/>
        </w:rPr>
        <w:t>6．施工条件及现场踏勘</w:t>
      </w:r>
      <w:bookmarkEnd w:id="53"/>
      <w:bookmarkEnd w:id="54"/>
      <w:bookmarkEnd w:id="55"/>
    </w:p>
    <w:p>
      <w:pPr>
        <w:pStyle w:val="13"/>
        <w:keepNext w:val="0"/>
        <w:keepLines w:val="0"/>
        <w:pageBreakBefore w:val="0"/>
        <w:widowControl w:val="0"/>
        <w:kinsoku/>
        <w:wordWrap w:val="0"/>
        <w:overflowPunct/>
        <w:topLinePunct w:val="0"/>
        <w:autoSpaceDE/>
        <w:autoSpaceDN/>
        <w:bidi w:val="0"/>
        <w:adjustRightInd w:val="0"/>
        <w:snapToGrid w:val="0"/>
        <w:spacing w:line="440" w:lineRule="exact"/>
        <w:ind w:firstLine="561" w:firstLineChars="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6.1</w:t>
      </w:r>
      <w:r>
        <w:rPr>
          <w:rFonts w:hint="eastAsia" w:ascii="Times New Roman"/>
          <w:snapToGrid w:val="0"/>
          <w:color w:val="auto"/>
          <w:kern w:val="0"/>
          <w:highlight w:val="none"/>
        </w:rPr>
        <w:t xml:space="preserve"> 招标人仅在本招标项目征地红线范围内提供场地，其他一切场地费用由中标人自行负责（含临时道路）。</w:t>
      </w:r>
    </w:p>
    <w:p>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6.2</w:t>
      </w:r>
      <w:r>
        <w:rPr>
          <w:rFonts w:hint="eastAsia" w:ascii="Times New Roman"/>
          <w:snapToGrid w:val="0"/>
          <w:color w:val="auto"/>
          <w:kern w:val="0"/>
          <w:highlight w:val="none"/>
        </w:rPr>
        <w:t xml:space="preserve"> 施工用水：</w:t>
      </w:r>
      <w:r>
        <w:rPr>
          <w:rFonts w:hint="eastAsia" w:ascii="Times New Roman"/>
          <w:snapToGrid w:val="0"/>
          <w:color w:val="auto"/>
          <w:kern w:val="0"/>
          <w:highlight w:val="none"/>
          <w:u w:val="single"/>
        </w:rPr>
        <w:t xml:space="preserve"> </w:t>
      </w:r>
      <w:r>
        <w:rPr>
          <w:rFonts w:hAnsi="宋体" w:cs="宋体"/>
          <w:snapToGrid w:val="0"/>
          <w:color w:val="auto"/>
          <w:kern w:val="0"/>
          <w:szCs w:val="22"/>
          <w:highlight w:val="none"/>
          <w:u w:val="single"/>
        </w:rPr>
        <w:t>由中标人自行解决，费用考虑在投标报价中。</w:t>
      </w:r>
    </w:p>
    <w:p>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6.3</w:t>
      </w:r>
      <w:r>
        <w:rPr>
          <w:rFonts w:hint="eastAsia" w:ascii="Times New Roman"/>
          <w:snapToGrid w:val="0"/>
          <w:color w:val="auto"/>
          <w:kern w:val="0"/>
          <w:highlight w:val="none"/>
        </w:rPr>
        <w:t xml:space="preserve"> 施工用电：</w:t>
      </w:r>
      <w:r>
        <w:rPr>
          <w:rFonts w:hint="eastAsia" w:ascii="Times New Roman"/>
          <w:snapToGrid w:val="0"/>
          <w:color w:val="auto"/>
          <w:kern w:val="0"/>
          <w:highlight w:val="none"/>
          <w:u w:val="single"/>
        </w:rPr>
        <w:t xml:space="preserve"> </w:t>
      </w:r>
      <w:r>
        <w:rPr>
          <w:rFonts w:hAnsi="宋体" w:cs="宋体"/>
          <w:snapToGrid w:val="0"/>
          <w:color w:val="auto"/>
          <w:kern w:val="0"/>
          <w:szCs w:val="22"/>
          <w:highlight w:val="none"/>
          <w:u w:val="single"/>
        </w:rPr>
        <w:t>由中标人自行解决，费用考虑在投标报价中。</w:t>
      </w:r>
    </w:p>
    <w:p>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6.4</w:t>
      </w:r>
      <w:r>
        <w:rPr>
          <w:rFonts w:hint="eastAsia" w:ascii="Times New Roman"/>
          <w:snapToGrid w:val="0"/>
          <w:color w:val="auto"/>
          <w:kern w:val="0"/>
          <w:highlight w:val="none"/>
        </w:rPr>
        <w:t xml:space="preserve"> 施工用水、用电各提供一驳接点到现场边缘。要求中标人单独安装水表、电表，其水、电费按项目所在地</w:t>
      </w:r>
      <w:r>
        <w:rPr>
          <w:rFonts w:hint="eastAsia" w:hAnsi="宋体" w:cs="宋体"/>
          <w:snapToGrid w:val="0"/>
          <w:color w:val="auto"/>
          <w:kern w:val="0"/>
          <w:highlight w:val="none"/>
          <w:u w:val="single"/>
        </w:rPr>
        <w:t>乐昌市</w:t>
      </w:r>
      <w:r>
        <w:rPr>
          <w:rFonts w:hint="eastAsia" w:ascii="Times New Roman"/>
          <w:snapToGrid w:val="0"/>
          <w:color w:val="auto"/>
          <w:kern w:val="0"/>
          <w:highlight w:val="none"/>
        </w:rPr>
        <w:t>基建工程水、电计费标准计算并由中标人缴纳。</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6.5</w:t>
      </w:r>
      <w:r>
        <w:rPr>
          <w:rFonts w:hint="eastAsia" w:ascii="Times New Roman"/>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6.6</w:t>
      </w:r>
      <w:r>
        <w:rPr>
          <w:rFonts w:hint="eastAsia" w:ascii="Times New Roman"/>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pPr>
        <w:wordWrap w:val="0"/>
        <w:adjustRightInd w:val="0"/>
        <w:snapToGrid w:val="0"/>
        <w:spacing w:line="440" w:lineRule="exact"/>
        <w:ind w:firstLine="560"/>
        <w:rPr>
          <w:rFonts w:hint="eastAsia" w:ascii="Times New Roman"/>
          <w:b/>
          <w:snapToGrid w:val="0"/>
          <w:color w:val="auto"/>
          <w:highlight w:val="none"/>
        </w:rPr>
      </w:pPr>
      <w:r>
        <w:rPr>
          <w:rFonts w:hint="eastAsia" w:ascii="Times New Roman"/>
          <w:b/>
          <w:bCs/>
          <w:snapToGrid w:val="0"/>
          <w:color w:val="auto"/>
          <w:kern w:val="0"/>
          <w:highlight w:val="none"/>
        </w:rPr>
        <w:t>6.7</w:t>
      </w:r>
      <w:r>
        <w:rPr>
          <w:rFonts w:hint="eastAsia" w:ascii="Times New Roman"/>
          <w:snapToGrid w:val="0"/>
          <w:color w:val="auto"/>
          <w:kern w:val="0"/>
          <w:highlight w:val="none"/>
        </w:rPr>
        <w:t xml:space="preserve"> 现场踏勘期间的交通、食宿由投标人自行安排，费用自理。</w:t>
      </w:r>
      <w:bookmarkStart w:id="56" w:name="_Toc18204"/>
    </w:p>
    <w:p>
      <w:pPr>
        <w:pStyle w:val="4"/>
        <w:wordWrap w:val="0"/>
        <w:autoSpaceDE/>
        <w:autoSpaceDN/>
        <w:snapToGrid w:val="0"/>
        <w:spacing w:line="440" w:lineRule="exact"/>
        <w:ind w:firstLine="482" w:firstLineChars="200"/>
        <w:jc w:val="both"/>
        <w:rPr>
          <w:rFonts w:hint="eastAsia" w:ascii="Times New Roman"/>
          <w:b/>
          <w:snapToGrid w:val="0"/>
          <w:color w:val="auto"/>
          <w:highlight w:val="none"/>
        </w:rPr>
      </w:pPr>
      <w:bookmarkStart w:id="57" w:name="_Toc7565"/>
      <w:bookmarkStart w:id="58" w:name="_Toc17908"/>
    </w:p>
    <w:p>
      <w:pPr>
        <w:pStyle w:val="4"/>
        <w:wordWrap w:val="0"/>
        <w:autoSpaceDE/>
        <w:autoSpaceDN/>
        <w:snapToGrid w:val="0"/>
        <w:spacing w:line="440" w:lineRule="exact"/>
        <w:ind w:firstLine="482" w:firstLineChars="200"/>
        <w:jc w:val="both"/>
        <w:rPr>
          <w:rFonts w:ascii="Times New Roman"/>
          <w:b/>
          <w:snapToGrid w:val="0"/>
          <w:color w:val="auto"/>
          <w:highlight w:val="none"/>
        </w:rPr>
      </w:pPr>
      <w:r>
        <w:rPr>
          <w:rFonts w:hint="eastAsia" w:ascii="Times New Roman"/>
          <w:b/>
          <w:snapToGrid w:val="0"/>
          <w:color w:val="auto"/>
          <w:highlight w:val="none"/>
        </w:rPr>
        <w:t>7．招标文件的提问和答疑</w:t>
      </w:r>
      <w:bookmarkEnd w:id="56"/>
      <w:bookmarkEnd w:id="57"/>
      <w:bookmarkEnd w:id="58"/>
      <w:bookmarkStart w:id="59" w:name="_Hlt74496410"/>
      <w:bookmarkEnd w:id="59"/>
    </w:p>
    <w:p>
      <w:pPr>
        <w:wordWrap w:val="0"/>
        <w:adjustRightInd w:val="0"/>
        <w:snapToGrid w:val="0"/>
        <w:spacing w:line="440" w:lineRule="exact"/>
        <w:ind w:firstLine="482" w:firstLineChars="200"/>
        <w:rPr>
          <w:rFonts w:hint="eastAsia" w:ascii="Times New Roman"/>
          <w:snapToGrid w:val="0"/>
          <w:color w:val="auto"/>
          <w:kern w:val="0"/>
          <w:szCs w:val="24"/>
          <w:highlight w:val="none"/>
          <w:lang w:bidi="ar"/>
        </w:rPr>
      </w:pPr>
      <w:r>
        <w:rPr>
          <w:rFonts w:hint="eastAsia" w:ascii="Times New Roman"/>
          <w:b/>
          <w:bCs/>
          <w:snapToGrid w:val="0"/>
          <w:color w:val="auto"/>
          <w:kern w:val="0"/>
          <w:highlight w:val="none"/>
        </w:rPr>
        <w:t>7.1</w:t>
      </w:r>
      <w:r>
        <w:rPr>
          <w:rFonts w:hint="eastAsia" w:ascii="Times New Roman"/>
          <w:snapToGrid w:val="0"/>
          <w:color w:val="auto"/>
          <w:kern w:val="0"/>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Times New Roman"/>
          <w:snapToGrid w:val="0"/>
          <w:color w:val="auto"/>
          <w:kern w:val="0"/>
          <w:szCs w:val="24"/>
          <w:highlight w:val="none"/>
          <w:lang w:bidi="ar"/>
        </w:rPr>
        <w:t>。</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 xml:space="preserve">7.2 </w:t>
      </w:r>
      <w:r>
        <w:rPr>
          <w:rFonts w:hint="eastAsia" w:ascii="Times New Roman"/>
          <w:snapToGrid w:val="0"/>
          <w:color w:val="auto"/>
          <w:kern w:val="0"/>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pPr>
        <w:wordWrap w:val="0"/>
        <w:adjustRightInd w:val="0"/>
        <w:snapToGrid w:val="0"/>
        <w:spacing w:line="440" w:lineRule="exact"/>
        <w:ind w:firstLine="482" w:firstLineChars="200"/>
        <w:rPr>
          <w:rFonts w:hint="eastAsia" w:ascii="Times New Roman"/>
          <w:b/>
          <w:snapToGrid w:val="0"/>
          <w:color w:val="auto"/>
          <w:highlight w:val="none"/>
        </w:rPr>
      </w:pPr>
      <w:r>
        <w:rPr>
          <w:rFonts w:hint="eastAsia" w:ascii="Times New Roman"/>
          <w:b/>
          <w:bCs/>
          <w:snapToGrid w:val="0"/>
          <w:color w:val="auto"/>
          <w:kern w:val="0"/>
          <w:highlight w:val="none"/>
        </w:rPr>
        <w:t>7.3</w:t>
      </w:r>
      <w:r>
        <w:rPr>
          <w:rFonts w:hint="eastAsia" w:ascii="Times New Roman"/>
          <w:snapToGrid w:val="0"/>
          <w:color w:val="auto"/>
          <w:kern w:val="0"/>
          <w:highlight w:val="none"/>
        </w:rPr>
        <w:t xml:space="preserve"> 招标人对招标文件所作的答疑（或修改）公告，构成招标文件的组成部分。</w:t>
      </w:r>
      <w:bookmarkStart w:id="60" w:name="_Hlt92513715"/>
      <w:bookmarkEnd w:id="60"/>
      <w:bookmarkStart w:id="61" w:name="_Hlt69699188"/>
      <w:bookmarkEnd w:id="61"/>
      <w:bookmarkStart w:id="62" w:name="_Hlt92513711"/>
      <w:bookmarkEnd w:id="62"/>
      <w:bookmarkStart w:id="63" w:name="_Toc12685"/>
      <w:bookmarkStart w:id="64" w:name="_Toc15556"/>
      <w:bookmarkStart w:id="65" w:name="_Toc29680"/>
    </w:p>
    <w:p>
      <w:pPr>
        <w:pStyle w:val="4"/>
        <w:wordWrap w:val="0"/>
        <w:autoSpaceDE/>
        <w:autoSpaceDN/>
        <w:snapToGrid w:val="0"/>
        <w:spacing w:line="440" w:lineRule="exact"/>
        <w:ind w:firstLine="480"/>
        <w:jc w:val="both"/>
        <w:rPr>
          <w:rFonts w:ascii="Times New Roman"/>
          <w:b/>
          <w:snapToGrid w:val="0"/>
          <w:color w:val="auto"/>
          <w:highlight w:val="none"/>
        </w:rPr>
      </w:pPr>
      <w:r>
        <w:rPr>
          <w:rFonts w:hint="eastAsia" w:ascii="Times New Roman"/>
          <w:b/>
          <w:snapToGrid w:val="0"/>
          <w:color w:val="auto"/>
          <w:highlight w:val="none"/>
        </w:rPr>
        <w:t>8．招标控制价</w:t>
      </w:r>
      <w:bookmarkEnd w:id="63"/>
      <w:bookmarkEnd w:id="64"/>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8.1</w:t>
      </w:r>
      <w:r>
        <w:rPr>
          <w:rFonts w:hint="eastAsia" w:ascii="Times New Roman"/>
          <w:snapToGrid w:val="0"/>
          <w:color w:val="auto"/>
          <w:kern w:val="0"/>
          <w:highlight w:val="none"/>
        </w:rPr>
        <w:t xml:space="preserve"> 本招标项目按照以下依据编制招标控制价：</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（3）施工图及相关资料；</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（4）招标文件及招标工程量清单；</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（5）施工现场情况、工程特点及常规施工方案；</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（6）项目所在地工程造价管理机构发布的工程造价信息，工程造价信息缺项的，参照市场价格；</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（7）与建设项目相关的标准、规范、技术资料。</w:t>
      </w:r>
    </w:p>
    <w:p>
      <w:pPr>
        <w:wordWrap w:val="0"/>
        <w:adjustRightInd w:val="0"/>
        <w:snapToGrid w:val="0"/>
        <w:spacing w:line="440" w:lineRule="exact"/>
        <w:ind w:firstLine="480" w:firstLineChars="200"/>
        <w:rPr>
          <w:rFonts w:hint="eastAsia" w:ascii="宋体" w:hAnsi="宋体" w:eastAsia="宋体" w:cs="宋体"/>
          <w:b w:val="0"/>
          <w:bCs w:val="0"/>
          <w:snapToGrid w:val="0"/>
          <w:color w:val="auto"/>
          <w:kern w:val="0"/>
          <w:szCs w:val="22"/>
          <w:highlight w:val="none"/>
        </w:rPr>
      </w:pPr>
      <w:r>
        <w:rPr>
          <w:rFonts w:hint="eastAsia" w:ascii="宋体" w:hAnsi="宋体" w:eastAsia="宋体" w:cs="宋体"/>
          <w:b w:val="0"/>
          <w:bCs w:val="0"/>
          <w:snapToGrid w:val="0"/>
          <w:color w:val="auto"/>
          <w:kern w:val="0"/>
          <w:szCs w:val="22"/>
          <w:highlight w:val="none"/>
        </w:rPr>
        <w:t>8.2本项目的招标控制价为人民币（大写）：</w:t>
      </w:r>
      <w:r>
        <w:rPr>
          <w:rFonts w:hint="eastAsia" w:hAnsi="宋体" w:cs="宋体"/>
          <w:b w:val="0"/>
          <w:bCs w:val="0"/>
          <w:snapToGrid w:val="0"/>
          <w:color w:val="auto"/>
          <w:kern w:val="0"/>
          <w:szCs w:val="22"/>
          <w:highlight w:val="none"/>
          <w:u w:val="single"/>
          <w:lang w:val="en-US" w:eastAsia="zh-CN"/>
        </w:rPr>
        <w:t>壹仟柒佰玖拾捌万叁仟陆佰伍拾柒元叁角柒分小写：￥17983657.37元)；其中绿色施工安全防护措施费不得低于¥1184102.10元，暂列金为￥500000.00元。</w:t>
      </w:r>
    </w:p>
    <w:tbl>
      <w:tblPr>
        <w:tblStyle w:val="3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2865"/>
        <w:gridCol w:w="1646"/>
        <w:gridCol w:w="876"/>
        <w:gridCol w:w="1536"/>
        <w:gridCol w:w="1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17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单项工程名称</w:t>
            </w:r>
          </w:p>
        </w:tc>
        <w:tc>
          <w:tcPr>
            <w:tcW w:w="7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金额(元)</w:t>
            </w:r>
          </w:p>
        </w:tc>
        <w:tc>
          <w:tcPr>
            <w:tcW w:w="15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其中：（元）</w:t>
            </w:r>
          </w:p>
        </w:tc>
        <w:tc>
          <w:tcPr>
            <w:tcW w:w="5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7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7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暂估价</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绿色施工安全防护措施费</w:t>
            </w:r>
          </w:p>
        </w:tc>
        <w:tc>
          <w:tcPr>
            <w:tcW w:w="5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3"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hAnsi="宋体" w:cs="宋体"/>
                <w:i w:val="0"/>
                <w:iCs w:val="0"/>
                <w:color w:val="000000"/>
                <w:kern w:val="0"/>
                <w:sz w:val="22"/>
                <w:szCs w:val="22"/>
                <w:highlight w:val="none"/>
                <w:u w:val="none"/>
                <w:lang w:val="en-US" w:eastAsia="zh-CN" w:bidi="ar"/>
              </w:rPr>
              <w:t>新建乐昌市第二中学学生宿舍楼项目--土建、装饰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13453860.65</w:t>
            </w:r>
          </w:p>
        </w:tc>
        <w:tc>
          <w:tcPr>
            <w:tcW w:w="600"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935088.36</w:t>
            </w:r>
          </w:p>
        </w:tc>
        <w:tc>
          <w:tcPr>
            <w:tcW w:w="511"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pPr>
            <w:r>
              <w:rPr>
                <w:rFonts w:ascii="CIDFont" w:hAnsi="CIDFont" w:eastAsia="CIDFont" w:cs="CIDFont"/>
                <w:color w:val="000000"/>
                <w:kern w:val="0"/>
                <w:sz w:val="21"/>
                <w:szCs w:val="21"/>
                <w:lang w:val="en-US" w:eastAsia="zh-CN" w:bidi="ar"/>
              </w:rPr>
              <w:t xml:space="preserve">暂列金、专业 </w:t>
            </w:r>
          </w:p>
          <w:p>
            <w:pPr>
              <w:keepNext w:val="0"/>
              <w:keepLines w:val="0"/>
              <w:widowControl/>
              <w:suppressLineNumbers w:val="0"/>
              <w:jc w:val="left"/>
            </w:pPr>
            <w:r>
              <w:rPr>
                <w:rFonts w:hint="default" w:ascii="CIDFont" w:hAnsi="CIDFont" w:eastAsia="CIDFont" w:cs="CIDFont"/>
                <w:color w:val="000000"/>
                <w:kern w:val="0"/>
                <w:sz w:val="21"/>
                <w:szCs w:val="21"/>
                <w:lang w:val="en-US" w:eastAsia="zh-CN" w:bidi="ar"/>
              </w:rPr>
              <w:t xml:space="preserve">工程暂估价投 </w:t>
            </w:r>
          </w:p>
          <w:p>
            <w:pPr>
              <w:keepNext w:val="0"/>
              <w:keepLines w:val="0"/>
              <w:widowControl/>
              <w:suppressLineNumbers w:val="0"/>
              <w:jc w:val="left"/>
            </w:pPr>
            <w:r>
              <w:rPr>
                <w:rFonts w:hint="default" w:ascii="CIDFont" w:hAnsi="CIDFont" w:eastAsia="CIDFont" w:cs="CIDFont"/>
                <w:color w:val="000000"/>
                <w:kern w:val="0"/>
                <w:sz w:val="21"/>
                <w:szCs w:val="21"/>
                <w:lang w:val="en-US" w:eastAsia="zh-CN" w:bidi="ar"/>
              </w:rPr>
              <w:t xml:space="preserve">标人按给定金 </w:t>
            </w:r>
          </w:p>
          <w:p>
            <w:pPr>
              <w:keepNext w:val="0"/>
              <w:keepLines w:val="0"/>
              <w:widowControl/>
              <w:suppressLineNumbers w:val="0"/>
              <w:jc w:val="left"/>
              <w:rPr>
                <w:rFonts w:hint="eastAsia" w:ascii="宋体" w:hAnsi="宋体" w:eastAsia="宋体" w:cs="宋体"/>
                <w:i w:val="0"/>
                <w:iCs w:val="0"/>
                <w:color w:val="000000"/>
                <w:sz w:val="22"/>
                <w:szCs w:val="22"/>
                <w:highlight w:val="none"/>
                <w:u w:val="none"/>
                <w:lang w:val="en-US" w:eastAsia="zh-CN"/>
              </w:rPr>
            </w:pPr>
            <w:r>
              <w:rPr>
                <w:rFonts w:hint="default" w:ascii="CIDFont" w:hAnsi="CIDFont" w:eastAsia="CIDFont" w:cs="CIDFont"/>
                <w:color w:val="000000"/>
                <w:kern w:val="0"/>
                <w:sz w:val="21"/>
                <w:szCs w:val="21"/>
                <w:lang w:val="en-US" w:eastAsia="zh-CN" w:bidi="ar"/>
              </w:rPr>
              <w:t>额统一报价</w:t>
            </w:r>
            <w:r>
              <w:rPr>
                <w:rFonts w:hint="eastAsia" w:ascii="CIDFont" w:hAnsi="CIDFont" w:eastAsia="CIDFont" w:cs="CIDFont"/>
                <w:color w:val="000000"/>
                <w:kern w:val="0"/>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hAnsi="宋体" w:cs="宋体"/>
                <w:i w:val="0"/>
                <w:iCs w:val="0"/>
                <w:color w:val="000000"/>
                <w:kern w:val="0"/>
                <w:sz w:val="22"/>
                <w:szCs w:val="22"/>
                <w:highlight w:val="none"/>
                <w:u w:val="none"/>
                <w:lang w:val="en-US" w:eastAsia="zh-CN" w:bidi="ar"/>
              </w:rPr>
              <w:t>新建乐昌市第二中学学生宿舍楼项目--附属工程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810530.42</w:t>
            </w:r>
          </w:p>
        </w:tc>
        <w:tc>
          <w:tcPr>
            <w:tcW w:w="60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47976.23</w:t>
            </w:r>
          </w:p>
        </w:tc>
        <w:tc>
          <w:tcPr>
            <w:tcW w:w="511"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hAnsi="宋体" w:cs="宋体"/>
                <w:i w:val="0"/>
                <w:iCs w:val="0"/>
                <w:color w:val="000000"/>
                <w:kern w:val="0"/>
                <w:sz w:val="22"/>
                <w:szCs w:val="22"/>
                <w:highlight w:val="none"/>
                <w:u w:val="none"/>
                <w:lang w:val="en-US" w:eastAsia="zh-CN" w:bidi="ar"/>
              </w:rPr>
              <w:t>新建乐昌市第二中学学生宿舍楼项目--安装部分（室内）</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2082848.50</w:t>
            </w:r>
          </w:p>
        </w:tc>
        <w:tc>
          <w:tcPr>
            <w:tcW w:w="60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145910.97</w:t>
            </w:r>
          </w:p>
        </w:tc>
        <w:tc>
          <w:tcPr>
            <w:tcW w:w="511"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hAnsi="宋体" w:cs="宋体"/>
                <w:i w:val="0"/>
                <w:iCs w:val="0"/>
                <w:color w:val="000000"/>
                <w:kern w:val="0"/>
                <w:sz w:val="22"/>
                <w:szCs w:val="22"/>
                <w:highlight w:val="none"/>
                <w:u w:val="none"/>
                <w:lang w:val="en-US" w:eastAsia="zh-CN" w:bidi="ar"/>
              </w:rPr>
              <w:t>新建乐昌市第二中学学生宿舍楼项目--安装部分（室外）</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1136417.80</w:t>
            </w:r>
          </w:p>
        </w:tc>
        <w:tc>
          <w:tcPr>
            <w:tcW w:w="600"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55126.54</w:t>
            </w:r>
          </w:p>
        </w:tc>
        <w:tc>
          <w:tcPr>
            <w:tcW w:w="511"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hAnsi="宋体" w:cs="宋体"/>
                <w:i w:val="0"/>
                <w:iCs w:val="0"/>
                <w:color w:val="000000"/>
                <w:kern w:val="0"/>
                <w:sz w:val="22"/>
                <w:szCs w:val="22"/>
                <w:highlight w:val="none"/>
                <w:u w:val="none"/>
                <w:lang w:val="en-US" w:eastAsia="zh-CN" w:bidi="ar"/>
              </w:rPr>
              <w:t>新建乐昌市第二中学学生宿舍楼项目--暂列金</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500000.00</w:t>
            </w:r>
          </w:p>
        </w:tc>
        <w:tc>
          <w:tcPr>
            <w:tcW w:w="600"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w:t>
            </w:r>
          </w:p>
        </w:tc>
        <w:tc>
          <w:tcPr>
            <w:tcW w:w="511"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6</w:t>
            </w:r>
          </w:p>
        </w:tc>
        <w:tc>
          <w:tcPr>
            <w:tcW w:w="1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合  计</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highlight w:val="none"/>
                <w:u w:val="none"/>
                <w:lang w:val="en-US"/>
              </w:rPr>
            </w:pPr>
            <w:r>
              <w:rPr>
                <w:rFonts w:hint="default" w:ascii="宋体" w:hAnsi="宋体" w:eastAsia="宋体" w:cs="宋体"/>
                <w:i w:val="0"/>
                <w:iCs w:val="0"/>
                <w:color w:val="000000"/>
                <w:sz w:val="22"/>
                <w:szCs w:val="22"/>
                <w:highlight w:val="none"/>
                <w:u w:val="none"/>
                <w:lang w:val="en-US"/>
              </w:rPr>
              <w:t>17,983,657.37</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1,184,102.10</w:t>
            </w:r>
          </w:p>
        </w:tc>
        <w:tc>
          <w:tcPr>
            <w:tcW w:w="511"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bl>
    <w:p>
      <w:pPr>
        <w:wordWrap w:val="0"/>
        <w:adjustRightInd w:val="0"/>
        <w:snapToGrid w:val="0"/>
        <w:spacing w:line="440" w:lineRule="exact"/>
        <w:ind w:firstLine="480" w:firstLineChars="200"/>
        <w:rPr>
          <w:rFonts w:hint="eastAsia" w:ascii="宋体" w:hAnsi="宋体" w:eastAsia="宋体" w:cs="宋体"/>
          <w:b w:val="0"/>
          <w:bCs w:val="0"/>
          <w:snapToGrid w:val="0"/>
          <w:color w:val="auto"/>
          <w:kern w:val="0"/>
          <w:szCs w:val="24"/>
          <w:highlight w:val="none"/>
        </w:rPr>
      </w:pP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highlight w:val="none"/>
        </w:rPr>
        <w:t>8.3</w:t>
      </w:r>
      <w:r>
        <w:rPr>
          <w:rFonts w:hint="eastAsia" w:ascii="Times New Roman"/>
          <w:snapToGrid w:val="0"/>
          <w:color w:val="auto"/>
          <w:kern w:val="0"/>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8.4</w:t>
      </w:r>
      <w:r>
        <w:rPr>
          <w:rFonts w:hint="eastAsia" w:ascii="Times New Roman"/>
          <w:snapToGrid w:val="0"/>
          <w:color w:val="auto"/>
          <w:kern w:val="0"/>
          <w:highlight w:val="none"/>
        </w:rPr>
        <w:t xml:space="preserve"> 本招标项目以暂估价形式列入招标工程量清单中的材料、工程设备、专业工程（以下统称“暂估价项目”）包括：</w:t>
      </w:r>
      <w:r>
        <w:rPr>
          <w:rFonts w:hAnsi="宋体" w:cs="宋体"/>
          <w:snapToGrid w:val="0"/>
          <w:color w:val="auto"/>
          <w:kern w:val="0"/>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8.5</w:t>
      </w:r>
      <w:r>
        <w:rPr>
          <w:rFonts w:hint="eastAsia" w:ascii="Times New Roman"/>
          <w:snapToGrid w:val="0"/>
          <w:color w:val="auto"/>
          <w:kern w:val="0"/>
          <w:highlight w:val="none"/>
        </w:rPr>
        <w:t xml:space="preserve"> 当暂估价项目的内容、标准、要求在项目实施过程中得以深化、明确、固定后，按以下原则发包：</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（1）暂估价项目按工程、货物（指材料或工程设备，下同）的类别分类汇总的金额，达到必须招标规模标准的，由</w:t>
      </w:r>
      <w:r>
        <w:rPr>
          <w:rFonts w:hint="eastAsia" w:ascii="Times New Roman"/>
          <w:snapToGrid w:val="0"/>
          <w:color w:val="auto"/>
          <w:kern w:val="0"/>
          <w:highlight w:val="none"/>
          <w:u w:val="single"/>
        </w:rPr>
        <w:t xml:space="preserve"> 中标人招标，招标人参与管理 </w:t>
      </w:r>
      <w:r>
        <w:rPr>
          <w:rFonts w:hint="eastAsia" w:ascii="Times New Roman"/>
          <w:snapToGrid w:val="0"/>
          <w:color w:val="auto"/>
          <w:kern w:val="0"/>
          <w:highlight w:val="none"/>
        </w:rPr>
        <w:t>，确定专业工程承包人（或材料、工程设备供应商）和合同价格。</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（2）暂估价项目按工程、货物的类别分类汇总的金额，未达到必须招标规模标准但适用政府采购规定的，按照政府采购规定确定专业工程承包人（或材料、工程设备供应商）和合同价格。</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（4）暂估价项目按工程、货物的类别分类汇总的金额，未达到必须招标规模标准也不适用政府采购规定，中标人既不具备相应资格条件又不具备分包权的，由招标人另行发包。</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（5）暂估价项目由其他承包人承包的，纳入中标人的管理和协调范围，由其他承包人向中标人承担质量、安全、文明施工、工期责任，中标人向招标人承担责任。</w:t>
      </w:r>
    </w:p>
    <w:p>
      <w:pPr>
        <w:wordWrap w:val="0"/>
        <w:adjustRightInd w:val="0"/>
        <w:snapToGrid w:val="0"/>
        <w:spacing w:line="440" w:lineRule="exact"/>
        <w:ind w:firstLine="482" w:firstLineChars="200"/>
        <w:rPr>
          <w:rFonts w:hint="eastAsia"/>
          <w:snapToGrid w:val="0"/>
          <w:color w:val="auto"/>
          <w:highlight w:val="none"/>
        </w:rPr>
      </w:pPr>
      <w:r>
        <w:rPr>
          <w:rFonts w:hint="eastAsia" w:ascii="Times New Roman"/>
          <w:b/>
          <w:bCs/>
          <w:snapToGrid w:val="0"/>
          <w:color w:val="auto"/>
          <w:kern w:val="0"/>
          <w:highlight w:val="none"/>
        </w:rPr>
        <w:t>8.6</w:t>
      </w:r>
      <w:r>
        <w:rPr>
          <w:rFonts w:hint="eastAsia" w:ascii="Times New Roman"/>
          <w:snapToGrid w:val="0"/>
          <w:color w:val="auto"/>
          <w:kern w:val="0"/>
          <w:highlight w:val="none"/>
        </w:rPr>
        <w:t xml:space="preserve"> 本招标项目以</w:t>
      </w:r>
      <w:r>
        <w:rPr>
          <w:rFonts w:hint="eastAsia"/>
          <w:snapToGrid w:val="0"/>
          <w:color w:val="auto"/>
          <w:highlight w:val="none"/>
        </w:rPr>
        <w:t>暂列金额</w:t>
      </w:r>
      <w:r>
        <w:rPr>
          <w:rFonts w:hint="eastAsia" w:ascii="Times New Roman"/>
          <w:snapToGrid w:val="0"/>
          <w:color w:val="auto"/>
          <w:kern w:val="0"/>
          <w:highlight w:val="none"/>
        </w:rPr>
        <w:t>形式列入招标工程量清单中的</w:t>
      </w:r>
      <w:r>
        <w:rPr>
          <w:rFonts w:hint="eastAsia"/>
          <w:snapToGrid w:val="0"/>
          <w:color w:val="auto"/>
          <w:highlight w:val="none"/>
        </w:rPr>
        <w:t>所需货物和服务的采购</w:t>
      </w:r>
      <w:r>
        <w:rPr>
          <w:rFonts w:hint="eastAsia" w:ascii="Times New Roman"/>
          <w:snapToGrid w:val="0"/>
          <w:color w:val="auto"/>
          <w:kern w:val="0"/>
          <w:highlight w:val="none"/>
        </w:rPr>
        <w:t>（以下统称“暂列金额项目”）若有</w:t>
      </w:r>
      <w:r>
        <w:rPr>
          <w:rFonts w:hint="eastAsia"/>
          <w:snapToGrid w:val="0"/>
          <w:color w:val="auto"/>
          <w:highlight w:val="none"/>
        </w:rPr>
        <w:t>发生，按照本节第</w:t>
      </w:r>
      <w:r>
        <w:rPr>
          <w:rFonts w:hint="eastAsia" w:ascii="Times New Roman"/>
          <w:b/>
          <w:bCs/>
          <w:snapToGrid w:val="0"/>
          <w:color w:val="auto"/>
          <w:kern w:val="0"/>
          <w:highlight w:val="none"/>
        </w:rPr>
        <w:t>8.5</w:t>
      </w:r>
      <w:r>
        <w:rPr>
          <w:rFonts w:hint="eastAsia"/>
          <w:snapToGrid w:val="0"/>
          <w:color w:val="auto"/>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pPr>
        <w:pStyle w:val="4"/>
        <w:wordWrap w:val="0"/>
        <w:autoSpaceDE/>
        <w:autoSpaceDN/>
        <w:snapToGrid w:val="0"/>
        <w:spacing w:line="440" w:lineRule="exact"/>
        <w:ind w:firstLine="482" w:firstLineChars="200"/>
        <w:jc w:val="both"/>
        <w:rPr>
          <w:rFonts w:hint="eastAsia" w:ascii="Times New Roman"/>
          <w:b/>
          <w:snapToGrid w:val="0"/>
          <w:color w:val="auto"/>
          <w:highlight w:val="none"/>
        </w:rPr>
      </w:pPr>
      <w:bookmarkStart w:id="66" w:name="_Toc17205"/>
      <w:bookmarkStart w:id="67" w:name="_Toc8163"/>
    </w:p>
    <w:p>
      <w:pPr>
        <w:pStyle w:val="4"/>
        <w:wordWrap w:val="0"/>
        <w:autoSpaceDE/>
        <w:autoSpaceDN/>
        <w:snapToGrid w:val="0"/>
        <w:spacing w:line="440" w:lineRule="exact"/>
        <w:ind w:firstLine="482" w:firstLineChars="200"/>
        <w:jc w:val="both"/>
        <w:rPr>
          <w:rFonts w:ascii="Times New Roman"/>
          <w:b/>
          <w:snapToGrid w:val="0"/>
          <w:color w:val="auto"/>
          <w:highlight w:val="none"/>
        </w:rPr>
      </w:pPr>
      <w:r>
        <w:rPr>
          <w:rFonts w:hint="eastAsia" w:ascii="Times New Roman"/>
          <w:b/>
          <w:snapToGrid w:val="0"/>
          <w:color w:val="auto"/>
          <w:highlight w:val="none"/>
        </w:rPr>
        <w:t>9．投标报价</w:t>
      </w:r>
      <w:bookmarkEnd w:id="65"/>
      <w:bookmarkEnd w:id="66"/>
      <w:bookmarkEnd w:id="67"/>
      <w:bookmarkStart w:id="68" w:name="_Hlt74498519"/>
      <w:bookmarkEnd w:id="68"/>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9.1</w:t>
      </w:r>
      <w:r>
        <w:rPr>
          <w:rFonts w:hint="eastAsia" w:ascii="Times New Roman"/>
          <w:snapToGrid w:val="0"/>
          <w:color w:val="auto"/>
          <w:kern w:val="0"/>
          <w:highlight w:val="none"/>
        </w:rPr>
        <w:t xml:space="preserve"> 投标人应按照以下依据编制投标报价：</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（3）企业定额；</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（4）招标文件及其答疑（或修改）公告、招标工程量清单；</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（5）施工图及相关资料；</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（6）施工现场情况、工程特点及投标时拟定的施工组织设计或施工方案；</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（7）市场价格信息或项目所在地工程造价管理机构发布的工程造价信息；</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（8）与建设项目相关的标准、规范、技术资料。</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9.2</w:t>
      </w:r>
      <w:r>
        <w:rPr>
          <w:rFonts w:hint="eastAsia" w:ascii="Times New Roman"/>
          <w:snapToGrid w:val="0"/>
          <w:color w:val="auto"/>
          <w:kern w:val="0"/>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69" w:name="_Hlt66594003"/>
      <w:bookmarkEnd w:id="69"/>
      <w:r>
        <w:rPr>
          <w:rFonts w:hint="eastAsia" w:ascii="Times New Roman"/>
          <w:snapToGrid w:val="0"/>
          <w:color w:val="auto"/>
          <w:kern w:val="0"/>
          <w:highlight w:val="none"/>
        </w:rPr>
        <w:t>所谓“一定范围内的风险”是指合同约定的风险。</w:t>
      </w:r>
      <w:bookmarkStart w:id="70" w:name="_Hlt69335755"/>
      <w:bookmarkEnd w:id="70"/>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9.3</w:t>
      </w:r>
      <w:r>
        <w:rPr>
          <w:rFonts w:hint="eastAsia" w:ascii="Times New Roman"/>
          <w:snapToGrid w:val="0"/>
          <w:color w:val="auto"/>
          <w:kern w:val="0"/>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71" w:name="_Hlt66509056"/>
      <w:bookmarkEnd w:id="71"/>
      <w:r>
        <w:rPr>
          <w:rFonts w:hint="eastAsia" w:ascii="Times New Roman"/>
          <w:snapToGrid w:val="0"/>
          <w:color w:val="auto"/>
          <w:kern w:val="0"/>
          <w:highlight w:val="none"/>
        </w:rPr>
        <w:t>接资料。投标人应针对现场情况编制施工组织设计，并在编制投标报价时考虑现场情况的影响。</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9.4</w:t>
      </w:r>
      <w:r>
        <w:rPr>
          <w:rFonts w:hint="eastAsia" w:ascii="Times New Roman"/>
          <w:snapToGrid w:val="0"/>
          <w:color w:val="auto"/>
          <w:kern w:val="0"/>
          <w:highlight w:val="none"/>
        </w:rPr>
        <w:t xml:space="preserve"> 招标人向投标人提供的有关现场的数据和资料，是招标人现有的能被投标人利用的资料，招标人对投标人做出的任何推论、理解和结论均不负责任。</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9.5</w:t>
      </w:r>
      <w:r>
        <w:rPr>
          <w:rFonts w:hint="eastAsia" w:ascii="Times New Roman"/>
          <w:snapToGrid w:val="0"/>
          <w:color w:val="auto"/>
          <w:kern w:val="0"/>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9.6</w:t>
      </w:r>
      <w:r>
        <w:rPr>
          <w:rFonts w:hint="eastAsia" w:ascii="Times New Roman"/>
          <w:snapToGrid w:val="0"/>
          <w:color w:val="auto"/>
          <w:kern w:val="0"/>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9.7</w:t>
      </w:r>
      <w:r>
        <w:rPr>
          <w:rFonts w:hint="eastAsia" w:ascii="Times New Roman"/>
          <w:snapToGrid w:val="0"/>
          <w:color w:val="auto"/>
          <w:kern w:val="0"/>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Times New Roman"/>
          <w:b/>
          <w:snapToGrid w:val="0"/>
          <w:color w:val="auto"/>
          <w:kern w:val="0"/>
          <w:highlight w:val="none"/>
        </w:rPr>
        <w:t>如果投标人的投标总价下浮率（投标总价下浮率＝100%－投标总价÷招标控制价×</w:t>
      </w:r>
      <w:r>
        <w:rPr>
          <w:rFonts w:ascii="Times New Roman"/>
          <w:b/>
          <w:snapToGrid w:val="0"/>
          <w:color w:val="auto"/>
          <w:kern w:val="0"/>
          <w:highlight w:val="none"/>
        </w:rPr>
        <w:t>100%</w:t>
      </w:r>
      <w:r>
        <w:rPr>
          <w:rFonts w:hint="eastAsia" w:ascii="Times New Roman"/>
          <w:b/>
          <w:snapToGrid w:val="0"/>
          <w:color w:val="auto"/>
          <w:kern w:val="0"/>
          <w:highlight w:val="none"/>
        </w:rPr>
        <w:t>）高于15%时，投标人必须在投标文件中专项作出详细合理的书面说明并提供以往类似工程详细成本分析报告供评标委员会审查。</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9.8</w:t>
      </w:r>
      <w:r>
        <w:rPr>
          <w:rFonts w:hint="eastAsia" w:ascii="Times New Roman"/>
          <w:snapToGrid w:val="0"/>
          <w:color w:val="auto"/>
          <w:kern w:val="0"/>
          <w:highlight w:val="none"/>
        </w:rPr>
        <w:t xml:space="preserve"> 投标人的绿色施工安全防护措施费报价必须达到或超过招标工程量清单中提供的绿色施工安全防护措施费。</w:t>
      </w:r>
    </w:p>
    <w:p>
      <w:pPr>
        <w:wordWrap w:val="0"/>
        <w:adjustRightInd w:val="0"/>
        <w:snapToGrid w:val="0"/>
        <w:spacing w:line="440" w:lineRule="exact"/>
        <w:ind w:firstLine="482" w:firstLineChars="200"/>
        <w:rPr>
          <w:rFonts w:hint="eastAsia" w:ascii="Times New Roman"/>
          <w:b/>
          <w:snapToGrid w:val="0"/>
          <w:color w:val="auto"/>
          <w:highlight w:val="none"/>
        </w:rPr>
      </w:pPr>
      <w:r>
        <w:rPr>
          <w:rFonts w:hint="eastAsia" w:ascii="Times New Roman"/>
          <w:b/>
          <w:bCs/>
          <w:snapToGrid w:val="0"/>
          <w:color w:val="auto"/>
          <w:kern w:val="0"/>
          <w:highlight w:val="none"/>
        </w:rPr>
        <w:t>9.9</w:t>
      </w:r>
      <w:r>
        <w:rPr>
          <w:rFonts w:hint="eastAsia" w:ascii="Times New Roman"/>
          <w:snapToGrid w:val="0"/>
          <w:color w:val="auto"/>
          <w:kern w:val="0"/>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72" w:name="_（十）投标文件的编制、包装、密封"/>
      <w:bookmarkEnd w:id="72"/>
      <w:bookmarkStart w:id="73" w:name="_Toc28889"/>
    </w:p>
    <w:p>
      <w:pPr>
        <w:pStyle w:val="4"/>
        <w:wordWrap w:val="0"/>
        <w:autoSpaceDE/>
        <w:autoSpaceDN/>
        <w:snapToGrid w:val="0"/>
        <w:spacing w:line="440" w:lineRule="exact"/>
        <w:jc w:val="both"/>
        <w:rPr>
          <w:rFonts w:hint="eastAsia" w:ascii="Times New Roman"/>
          <w:b/>
          <w:snapToGrid w:val="0"/>
          <w:color w:val="auto"/>
          <w:highlight w:val="none"/>
        </w:rPr>
      </w:pPr>
      <w:bookmarkStart w:id="74" w:name="_Toc721"/>
      <w:bookmarkStart w:id="75" w:name="_Toc11437"/>
    </w:p>
    <w:p>
      <w:pPr>
        <w:pStyle w:val="4"/>
        <w:wordWrap w:val="0"/>
        <w:autoSpaceDE/>
        <w:autoSpaceDN/>
        <w:snapToGrid w:val="0"/>
        <w:spacing w:line="440" w:lineRule="exact"/>
        <w:ind w:firstLine="482" w:firstLineChars="200"/>
        <w:jc w:val="both"/>
        <w:rPr>
          <w:rFonts w:hint="eastAsia" w:ascii="Times New Roman"/>
          <w:b/>
          <w:strike/>
          <w:snapToGrid w:val="0"/>
          <w:color w:val="auto"/>
          <w:highlight w:val="none"/>
        </w:rPr>
      </w:pPr>
      <w:r>
        <w:rPr>
          <w:rFonts w:hint="eastAsia" w:ascii="Times New Roman"/>
          <w:b/>
          <w:snapToGrid w:val="0"/>
          <w:color w:val="auto"/>
          <w:highlight w:val="none"/>
        </w:rPr>
        <w:t>10．投标文件的编制</w:t>
      </w:r>
      <w:bookmarkStart w:id="76" w:name="_Hlt69208262"/>
      <w:bookmarkEnd w:id="76"/>
      <w:bookmarkStart w:id="77" w:name="_Hlt69332370"/>
      <w:bookmarkEnd w:id="77"/>
      <w:r>
        <w:rPr>
          <w:rFonts w:hint="eastAsia" w:ascii="Times New Roman"/>
          <w:b/>
          <w:snapToGrid w:val="0"/>
          <w:color w:val="auto"/>
          <w:highlight w:val="none"/>
        </w:rPr>
        <w:t>要求</w:t>
      </w:r>
      <w:bookmarkEnd w:id="73"/>
      <w:bookmarkEnd w:id="74"/>
      <w:bookmarkEnd w:id="75"/>
      <w:bookmarkStart w:id="78" w:name="_Hlt74497202"/>
      <w:bookmarkEnd w:id="78"/>
      <w:bookmarkStart w:id="79" w:name="_Hlt78768224"/>
      <w:bookmarkEnd w:id="79"/>
      <w:bookmarkStart w:id="80" w:name="_Hlt74495594"/>
      <w:bookmarkEnd w:id="80"/>
      <w:bookmarkStart w:id="81" w:name="_Toc17114"/>
    </w:p>
    <w:p>
      <w:pPr>
        <w:pStyle w:val="5"/>
        <w:keepNext w:val="0"/>
        <w:keepLines w:val="0"/>
        <w:wordWrap w:val="0"/>
        <w:adjustRightInd w:val="0"/>
        <w:snapToGrid w:val="0"/>
        <w:spacing w:before="0" w:after="0" w:line="440" w:lineRule="exact"/>
        <w:ind w:firstLine="482" w:firstLineChars="200"/>
        <w:jc w:val="both"/>
        <w:rPr>
          <w:rFonts w:hint="eastAsia" w:ascii="Times New Roman"/>
          <w:b/>
          <w:snapToGrid w:val="0"/>
          <w:color w:val="auto"/>
          <w:kern w:val="0"/>
          <w:highlight w:val="none"/>
        </w:rPr>
      </w:pPr>
      <w:bookmarkStart w:id="82" w:name="_Toc3493"/>
      <w:bookmarkStart w:id="83" w:name="_Toc8710"/>
      <w:bookmarkStart w:id="84" w:name="_Toc32090"/>
      <w:r>
        <w:rPr>
          <w:rFonts w:hint="eastAsia" w:ascii="Times New Roman"/>
          <w:b/>
          <w:bCs/>
          <w:snapToGrid w:val="0"/>
          <w:color w:val="auto"/>
          <w:kern w:val="0"/>
          <w:highlight w:val="none"/>
        </w:rPr>
        <w:t>10.1</w:t>
      </w:r>
      <w:r>
        <w:rPr>
          <w:rFonts w:hint="eastAsia" w:ascii="Times New Roman"/>
          <w:bCs/>
          <w:snapToGrid w:val="0"/>
          <w:color w:val="auto"/>
          <w:kern w:val="0"/>
          <w:highlight w:val="none"/>
        </w:rPr>
        <w:t xml:space="preserve"> 一般要求</w:t>
      </w:r>
      <w:bookmarkEnd w:id="81"/>
      <w:bookmarkEnd w:id="82"/>
      <w:bookmarkEnd w:id="83"/>
      <w:bookmarkEnd w:id="84"/>
    </w:p>
    <w:p>
      <w:pPr>
        <w:pStyle w:val="13"/>
        <w:wordWrap w:val="0"/>
        <w:adjustRightInd w:val="0"/>
        <w:snapToGrid w:val="0"/>
        <w:spacing w:line="400" w:lineRule="exact"/>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投标文件应按第六章 投标文件格式规定的内容，投标人提交的投标文件应当使用招标文件所提供的投标文件全部格式。</w:t>
      </w:r>
    </w:p>
    <w:p>
      <w:pPr>
        <w:pStyle w:val="13"/>
        <w:wordWrap w:val="0"/>
        <w:adjustRightInd w:val="0"/>
        <w:snapToGrid w:val="0"/>
        <w:spacing w:line="440" w:lineRule="exact"/>
        <w:ind w:firstLineChars="0"/>
        <w:rPr>
          <w:rFonts w:hint="eastAsia" w:ascii="Times New Roman"/>
          <w:snapToGrid w:val="0"/>
          <w:color w:val="auto"/>
          <w:kern w:val="0"/>
          <w:highlight w:val="none"/>
        </w:rPr>
      </w:pPr>
      <w:r>
        <w:rPr>
          <w:rFonts w:hint="eastAsia" w:ascii="Times New Roman"/>
          <w:b/>
          <w:bCs/>
          <w:snapToGrid w:val="0"/>
          <w:color w:val="auto"/>
          <w:kern w:val="0"/>
          <w:highlight w:val="none"/>
        </w:rPr>
        <w:t>10.1.1</w:t>
      </w:r>
      <w:r>
        <w:rPr>
          <w:rFonts w:hint="eastAsia" w:ascii="Times New Roman"/>
          <w:snapToGrid w:val="0"/>
          <w:color w:val="auto"/>
          <w:kern w:val="0"/>
          <w:highlight w:val="none"/>
        </w:rPr>
        <w:t xml:space="preserve"> 投标人必须响应招标文件，并在充分理解招标人提供的全部文件、设计图纸、资料及现场条件的基础</w:t>
      </w:r>
      <w:bookmarkStart w:id="85" w:name="_Hlt78709790"/>
      <w:bookmarkEnd w:id="85"/>
      <w:r>
        <w:rPr>
          <w:rFonts w:hint="eastAsia" w:ascii="Times New Roman"/>
          <w:snapToGrid w:val="0"/>
          <w:color w:val="auto"/>
          <w:kern w:val="0"/>
          <w:highlight w:val="none"/>
        </w:rPr>
        <w:t>上编制投标文件。因投标文件不符合招标文件的要求而造成的损失和后果，由投标人自行承担。</w:t>
      </w:r>
      <w:bookmarkStart w:id="86" w:name="_Hlt74496890"/>
      <w:bookmarkEnd w:id="86"/>
    </w:p>
    <w:p>
      <w:pPr>
        <w:pStyle w:val="13"/>
        <w:wordWrap w:val="0"/>
        <w:adjustRightInd w:val="0"/>
        <w:snapToGrid w:val="0"/>
        <w:spacing w:line="400" w:lineRule="exact"/>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10.1.2</w:t>
      </w:r>
      <w:r>
        <w:rPr>
          <w:rFonts w:hint="eastAsia" w:hAnsi="宋体" w:cs="宋体"/>
          <w:snapToGrid w:val="0"/>
          <w:color w:val="auto"/>
          <w:kern w:val="0"/>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交易指引。</w:t>
      </w:r>
    </w:p>
    <w:p>
      <w:pPr>
        <w:pStyle w:val="13"/>
        <w:wordWrap w:val="0"/>
        <w:adjustRightInd w:val="0"/>
        <w:snapToGrid w:val="0"/>
        <w:spacing w:line="400" w:lineRule="exact"/>
        <w:ind w:firstLineChars="0"/>
        <w:rPr>
          <w:rFonts w:hint="eastAsia" w:hAnsi="宋体" w:cs="宋体"/>
          <w:snapToGrid w:val="0"/>
          <w:color w:val="auto"/>
          <w:kern w:val="0"/>
          <w:highlight w:val="none"/>
        </w:rPr>
      </w:pPr>
      <w:r>
        <w:rPr>
          <w:rFonts w:hint="eastAsia" w:hAnsi="宋体" w:cs="宋体"/>
          <w:b/>
          <w:bCs/>
          <w:snapToGrid w:val="0"/>
          <w:color w:val="auto"/>
          <w:kern w:val="0"/>
          <w:szCs w:val="24"/>
          <w:highlight w:val="none"/>
        </w:rPr>
        <w:t>10.1.3</w:t>
      </w:r>
      <w:r>
        <w:rPr>
          <w:rFonts w:hint="eastAsia" w:hAnsi="宋体" w:cs="宋体"/>
          <w:snapToGrid w:val="0"/>
          <w:color w:val="auto"/>
          <w:kern w:val="0"/>
          <w:highlight w:val="none"/>
        </w:rPr>
        <w:t>投标文件需按以下要求签字、盖章：电子投标文件：</w:t>
      </w:r>
    </w:p>
    <w:p>
      <w:pPr>
        <w:pStyle w:val="13"/>
        <w:wordWrap w:val="0"/>
        <w:adjustRightInd w:val="0"/>
        <w:snapToGrid w:val="0"/>
        <w:spacing w:line="400" w:lineRule="exact"/>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10.1.3.1</w:t>
      </w:r>
      <w:r>
        <w:rPr>
          <w:rFonts w:hint="eastAsia" w:hAnsi="宋体" w:cs="宋体"/>
          <w:snapToGrid w:val="0"/>
          <w:color w:val="auto"/>
          <w:kern w:val="0"/>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pPr>
        <w:pStyle w:val="13"/>
        <w:wordWrap w:val="0"/>
        <w:adjustRightInd w:val="0"/>
        <w:snapToGrid w:val="0"/>
        <w:spacing w:line="400" w:lineRule="exact"/>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10.1.3.2</w:t>
      </w:r>
      <w:r>
        <w:rPr>
          <w:rFonts w:hint="eastAsia" w:hAnsi="宋体" w:cs="宋体"/>
          <w:snapToGrid w:val="0"/>
          <w:color w:val="auto"/>
          <w:kern w:val="0"/>
          <w:szCs w:val="24"/>
          <w:highlight w:val="none"/>
        </w:rPr>
        <w:t>投标文件封套、封面、组成内容中凡要求录入投标人名称且注明“盖单位章”处盖单位法人公章（电子印章）。</w:t>
      </w:r>
    </w:p>
    <w:p>
      <w:pPr>
        <w:pStyle w:val="13"/>
        <w:wordWrap w:val="0"/>
        <w:adjustRightInd w:val="0"/>
        <w:snapToGrid w:val="0"/>
        <w:spacing w:line="440" w:lineRule="exact"/>
        <w:ind w:firstLineChars="0"/>
        <w:rPr>
          <w:rFonts w:ascii="Times New Roman"/>
          <w:snapToGrid w:val="0"/>
          <w:color w:val="auto"/>
          <w:kern w:val="0"/>
          <w:highlight w:val="none"/>
        </w:rPr>
      </w:pPr>
      <w:r>
        <w:rPr>
          <w:rFonts w:hint="eastAsia" w:hAnsi="宋体" w:cs="宋体"/>
          <w:b/>
          <w:bCs/>
          <w:snapToGrid w:val="0"/>
          <w:color w:val="auto"/>
          <w:kern w:val="0"/>
          <w:szCs w:val="24"/>
          <w:highlight w:val="none"/>
        </w:rPr>
        <w:t xml:space="preserve">10.1.3.3 </w:t>
      </w:r>
      <w:r>
        <w:rPr>
          <w:rFonts w:hint="eastAsia" w:hAnsi="宋体" w:cs="宋体"/>
          <w:snapToGrid w:val="0"/>
          <w:color w:val="auto"/>
          <w:kern w:val="0"/>
          <w:szCs w:val="24"/>
          <w:highlight w:val="none"/>
        </w:rPr>
        <w:t>投标文件的签字均为签字人本人亲笔署名或签章（电子印章），其余部分的复印件无须另行签字、盖章。</w:t>
      </w: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10.1.3.4</w:t>
      </w:r>
      <w:r>
        <w:rPr>
          <w:rFonts w:hint="eastAsia" w:ascii="Times New Roman"/>
          <w:snapToGrid w:val="0"/>
          <w:color w:val="auto"/>
          <w:kern w:val="0"/>
          <w:highlight w:val="none"/>
        </w:rPr>
        <w:t xml:space="preserve"> 联合体投标的，除</w:t>
      </w:r>
      <w:r>
        <w:rPr>
          <w:rFonts w:hint="eastAsia" w:ascii="Times New Roman"/>
          <w:snapToGrid w:val="0"/>
          <w:color w:val="auto"/>
          <w:kern w:val="0"/>
          <w:szCs w:val="18"/>
          <w:highlight w:val="none"/>
        </w:rPr>
        <w:t>《联合体协议书》外</w:t>
      </w:r>
      <w:r>
        <w:rPr>
          <w:rFonts w:hint="eastAsia" w:ascii="Times New Roman"/>
          <w:snapToGrid w:val="0"/>
          <w:color w:val="auto"/>
          <w:kern w:val="0"/>
          <w:highlight w:val="none"/>
        </w:rPr>
        <w:t>，由联合体牵头人按以上要求签</w:t>
      </w:r>
      <w:r>
        <w:rPr>
          <w:rFonts w:hint="eastAsia" w:hAnsi="宋体" w:cs="宋体"/>
          <w:snapToGrid w:val="0"/>
          <w:color w:val="auto"/>
          <w:kern w:val="0"/>
          <w:szCs w:val="24"/>
          <w:highlight w:val="none"/>
        </w:rPr>
        <w:t>亲笔署名或签章（电子印章）</w:t>
      </w:r>
      <w:r>
        <w:rPr>
          <w:rFonts w:hint="eastAsia" w:ascii="Times New Roman"/>
          <w:snapToGrid w:val="0"/>
          <w:color w:val="auto"/>
          <w:kern w:val="0"/>
          <w:highlight w:val="none"/>
        </w:rPr>
        <w:t>即可。</w:t>
      </w:r>
      <w:bookmarkStart w:id="87" w:name="_Toc257031159"/>
      <w:bookmarkStart w:id="88" w:name="_Toc29774"/>
      <w:bookmarkStart w:id="89" w:name="_Toc274313880"/>
    </w:p>
    <w:p>
      <w:pPr>
        <w:pStyle w:val="5"/>
        <w:keepNext w:val="0"/>
        <w:keepLines w:val="0"/>
        <w:wordWrap w:val="0"/>
        <w:adjustRightInd w:val="0"/>
        <w:snapToGrid w:val="0"/>
        <w:spacing w:before="0" w:after="0" w:line="440" w:lineRule="exact"/>
        <w:ind w:firstLine="482" w:firstLineChars="200"/>
        <w:jc w:val="both"/>
        <w:rPr>
          <w:rFonts w:ascii="Times New Roman"/>
          <w:b w:val="0"/>
          <w:bCs w:val="0"/>
          <w:snapToGrid w:val="0"/>
          <w:color w:val="auto"/>
          <w:kern w:val="0"/>
          <w:highlight w:val="none"/>
        </w:rPr>
      </w:pPr>
      <w:bookmarkStart w:id="90" w:name="_Toc2278"/>
      <w:bookmarkStart w:id="91" w:name="_Toc3004"/>
      <w:bookmarkStart w:id="92" w:name="_Toc27367"/>
      <w:r>
        <w:rPr>
          <w:rFonts w:hint="eastAsia" w:ascii="Times New Roman"/>
          <w:b/>
          <w:bCs/>
          <w:snapToGrid w:val="0"/>
          <w:color w:val="auto"/>
          <w:kern w:val="0"/>
          <w:highlight w:val="none"/>
        </w:rPr>
        <w:t xml:space="preserve">10.2 </w:t>
      </w:r>
      <w:r>
        <w:rPr>
          <w:rFonts w:hint="eastAsia" w:ascii="Times New Roman"/>
          <w:b w:val="0"/>
          <w:bCs w:val="0"/>
          <w:snapToGrid w:val="0"/>
          <w:color w:val="auto"/>
          <w:kern w:val="0"/>
          <w:highlight w:val="none"/>
        </w:rPr>
        <w:t>商务标书的编制要求</w:t>
      </w:r>
      <w:bookmarkEnd w:id="87"/>
      <w:bookmarkEnd w:id="88"/>
      <w:bookmarkEnd w:id="89"/>
      <w:bookmarkEnd w:id="90"/>
      <w:bookmarkEnd w:id="91"/>
      <w:bookmarkEnd w:id="92"/>
    </w:p>
    <w:p>
      <w:pPr>
        <w:wordWrap w:val="0"/>
        <w:adjustRightInd w:val="0"/>
        <w:snapToGrid w:val="0"/>
        <w:spacing w:line="440" w:lineRule="exact"/>
        <w:ind w:firstLine="482" w:firstLineChars="200"/>
        <w:rPr>
          <w:rFonts w:ascii="Times New Roman"/>
          <w:snapToGrid w:val="0"/>
          <w:color w:val="auto"/>
          <w:kern w:val="0"/>
          <w:highlight w:val="none"/>
          <w:u w:val="single"/>
        </w:rPr>
      </w:pPr>
      <w:r>
        <w:rPr>
          <w:rFonts w:hint="eastAsia" w:ascii="Times New Roman"/>
          <w:b/>
          <w:bCs/>
          <w:snapToGrid w:val="0"/>
          <w:color w:val="auto"/>
          <w:kern w:val="0"/>
          <w:highlight w:val="none"/>
        </w:rPr>
        <w:t>10.2.1</w:t>
      </w:r>
      <w:r>
        <w:rPr>
          <w:rFonts w:hint="eastAsia" w:ascii="Times New Roman"/>
          <w:snapToGrid w:val="0"/>
          <w:color w:val="auto"/>
          <w:kern w:val="0"/>
          <w:highlight w:val="none"/>
        </w:rPr>
        <w:t xml:space="preserve"> </w:t>
      </w:r>
      <w:r>
        <w:rPr>
          <w:rFonts w:hint="eastAsia" w:ascii="Times New Roman"/>
          <w:bCs/>
          <w:snapToGrid w:val="0"/>
          <w:color w:val="auto"/>
          <w:kern w:val="0"/>
          <w:highlight w:val="none"/>
        </w:rPr>
        <w:t>商务标书</w:t>
      </w:r>
      <w:r>
        <w:rPr>
          <w:rFonts w:hint="eastAsia" w:ascii="Times New Roman"/>
          <w:snapToGrid w:val="0"/>
          <w:color w:val="auto"/>
          <w:kern w:val="0"/>
          <w:highlight w:val="none"/>
        </w:rPr>
        <w:t>包括但不限于以下内容：</w:t>
      </w:r>
    </w:p>
    <w:p>
      <w:pPr>
        <w:wordWrap w:val="0"/>
        <w:adjustRightInd w:val="0"/>
        <w:snapToGrid w:val="0"/>
        <w:spacing w:line="440" w:lineRule="exact"/>
        <w:rPr>
          <w:rFonts w:hint="eastAsia" w:ascii="Times New Roman"/>
          <w:snapToGrid w:val="0"/>
          <w:color w:val="auto"/>
          <w:kern w:val="0"/>
          <w:szCs w:val="18"/>
          <w:highlight w:val="none"/>
        </w:rPr>
      </w:pPr>
      <w:r>
        <w:rPr>
          <w:rFonts w:hint="eastAsia" w:ascii="Times New Roman"/>
          <w:snapToGrid w:val="0"/>
          <w:color w:val="auto"/>
          <w:kern w:val="0"/>
          <w:highlight w:val="none"/>
        </w:rPr>
        <w:t xml:space="preserve">    </w:t>
      </w:r>
      <w:r>
        <w:rPr>
          <w:rFonts w:hint="eastAsia" w:ascii="Times New Roman"/>
          <w:snapToGrid w:val="0"/>
          <w:color w:val="auto"/>
          <w:kern w:val="0"/>
          <w:szCs w:val="18"/>
          <w:highlight w:val="none"/>
        </w:rPr>
        <w:t>（1）封面（格式一）；</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（2）目录；</w:t>
      </w:r>
      <w:r>
        <w:rPr>
          <w:rFonts w:hint="eastAsia" w:ascii="Times New Roman"/>
          <w:snapToGrid w:val="0"/>
          <w:color w:val="auto"/>
          <w:kern w:val="0"/>
          <w:highlight w:val="none"/>
        </w:rPr>
        <w:t xml:space="preserve"> </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（3）《</w:t>
      </w:r>
      <w:r>
        <w:rPr>
          <w:rFonts w:hint="eastAsia" w:ascii="Times New Roman"/>
          <w:snapToGrid w:val="0"/>
          <w:color w:val="auto"/>
          <w:kern w:val="0"/>
          <w:highlight w:val="none"/>
        </w:rPr>
        <w:t>投标函</w:t>
      </w:r>
      <w:r>
        <w:rPr>
          <w:rFonts w:hint="eastAsia" w:ascii="Times New Roman"/>
          <w:snapToGrid w:val="0"/>
          <w:color w:val="auto"/>
          <w:kern w:val="0"/>
          <w:szCs w:val="18"/>
          <w:highlight w:val="none"/>
        </w:rPr>
        <w:t>》（格式二）；</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highlight w:val="none"/>
        </w:rPr>
        <w:t>（4）《</w:t>
      </w:r>
      <w:r>
        <w:rPr>
          <w:rFonts w:hint="eastAsia" w:ascii="Times New Roman"/>
          <w:snapToGrid w:val="0"/>
          <w:color w:val="auto"/>
          <w:kern w:val="0"/>
          <w:szCs w:val="22"/>
          <w:highlight w:val="none"/>
        </w:rPr>
        <w:t>各项</w:t>
      </w:r>
      <w:r>
        <w:rPr>
          <w:rFonts w:hint="eastAsia" w:ascii="Times New Roman"/>
          <w:snapToGrid w:val="0"/>
          <w:color w:val="auto"/>
          <w:kern w:val="0"/>
          <w:highlight w:val="none"/>
        </w:rPr>
        <w:t>承诺一览表》（格式三）；</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（5）《授权委托书》（格式四）；</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（6）《法定代表人身份证明》（格式五）；</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（7）《联合体协议书》（格式六）及所附资料；</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8）投标保证缴纳证明（投标人采用投标保证金的，附建设工程交易系统《缴纳投标保证金通知书》页面截图打印件和银行转账单复印件；采用投标保证担保的，附银行保函复印件；采用投标保证保险的，附电子保单和</w:t>
      </w:r>
      <w:r>
        <w:rPr>
          <w:rFonts w:hAnsi="宋体" w:cs="宋体"/>
          <w:b/>
          <w:bCs/>
          <w:color w:val="auto"/>
          <w:szCs w:val="24"/>
          <w:highlight w:val="none"/>
        </w:rPr>
        <w:t>《</w:t>
      </w:r>
      <w:r>
        <w:rPr>
          <w:rFonts w:hint="eastAsia" w:hAnsi="宋体" w:cs="宋体"/>
          <w:b/>
          <w:bCs/>
          <w:color w:val="auto"/>
          <w:szCs w:val="24"/>
          <w:highlight w:val="none"/>
          <w:lang w:val="en-US" w:eastAsia="zh-CN"/>
        </w:rPr>
        <w:t>韶关市公共资源交易一体化平台保证金缴纳信息</w:t>
      </w:r>
      <w:r>
        <w:rPr>
          <w:rFonts w:hAnsi="宋体" w:cs="宋体"/>
          <w:b/>
          <w:bCs/>
          <w:color w:val="auto"/>
          <w:szCs w:val="24"/>
          <w:highlight w:val="none"/>
        </w:rPr>
        <w:t>》</w:t>
      </w:r>
      <w:r>
        <w:rPr>
          <w:rFonts w:hint="eastAsia" w:ascii="Times New Roman"/>
          <w:b/>
          <w:bCs/>
          <w:snapToGrid w:val="0"/>
          <w:color w:val="auto"/>
          <w:kern w:val="0"/>
          <w:szCs w:val="18"/>
          <w:highlight w:val="none"/>
        </w:rPr>
        <w:t>页面截图打印页</w:t>
      </w:r>
      <w:r>
        <w:rPr>
          <w:rFonts w:hint="eastAsia" w:ascii="Times New Roman"/>
          <w:snapToGrid w:val="0"/>
          <w:color w:val="auto"/>
          <w:kern w:val="0"/>
          <w:szCs w:val="18"/>
          <w:highlight w:val="none"/>
        </w:rPr>
        <w:t>）；</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（9）《投标人基本情况表》（格式七）及所附资料；</w:t>
      </w:r>
    </w:p>
    <w:p>
      <w:pPr>
        <w:wordWrap w:val="0"/>
        <w:adjustRightInd w:val="0"/>
        <w:snapToGrid w:val="0"/>
        <w:spacing w:line="440" w:lineRule="exact"/>
        <w:ind w:firstLine="480" w:firstLineChars="200"/>
        <w:rPr>
          <w:rFonts w:hint="eastAsia" w:ascii="Times New Roman"/>
          <w:strike/>
          <w:snapToGrid w:val="0"/>
          <w:color w:val="auto"/>
          <w:kern w:val="0"/>
          <w:szCs w:val="18"/>
          <w:highlight w:val="none"/>
        </w:rPr>
      </w:pPr>
      <w:r>
        <w:rPr>
          <w:rFonts w:hint="eastAsia" w:ascii="Times New Roman"/>
          <w:snapToGrid w:val="0"/>
          <w:color w:val="auto"/>
          <w:kern w:val="0"/>
          <w:szCs w:val="18"/>
          <w:highlight w:val="none"/>
        </w:rPr>
        <w:t>（10）《项目经理简历表》（格式八）及所附资料；</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（11）《项目经理任职声明》（格式九）；</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（12）《项目技术负责人简历表》（格式十）及所附资料；</w:t>
      </w:r>
    </w:p>
    <w:p>
      <w:pPr>
        <w:wordWrap w:val="0"/>
        <w:adjustRightInd w:val="0"/>
        <w:snapToGrid w:val="0"/>
        <w:spacing w:line="440" w:lineRule="exact"/>
        <w:ind w:firstLine="480" w:firstLineChars="200"/>
        <w:rPr>
          <w:rFonts w:hint="eastAsia" w:ascii="Times New Roman" w:eastAsia="宋体"/>
          <w:snapToGrid w:val="0"/>
          <w:color w:val="auto"/>
          <w:kern w:val="0"/>
          <w:szCs w:val="18"/>
          <w:highlight w:val="none"/>
          <w:lang w:eastAsia="zh-CN"/>
        </w:rPr>
      </w:pPr>
      <w:r>
        <w:rPr>
          <w:rFonts w:hint="eastAsia" w:ascii="Times New Roman"/>
          <w:snapToGrid w:val="0"/>
          <w:color w:val="auto"/>
          <w:kern w:val="0"/>
          <w:szCs w:val="18"/>
          <w:highlight w:val="none"/>
          <w:lang w:eastAsia="zh-CN"/>
        </w:rPr>
        <w:t>（</w:t>
      </w:r>
      <w:r>
        <w:rPr>
          <w:rFonts w:hint="eastAsia" w:ascii="Times New Roman"/>
          <w:snapToGrid w:val="0"/>
          <w:color w:val="auto"/>
          <w:kern w:val="0"/>
          <w:szCs w:val="18"/>
          <w:highlight w:val="none"/>
          <w:lang w:val="en-US" w:eastAsia="zh-CN"/>
        </w:rPr>
        <w:t>13</w:t>
      </w:r>
      <w:r>
        <w:rPr>
          <w:rFonts w:hint="eastAsia" w:ascii="Times New Roman"/>
          <w:snapToGrid w:val="0"/>
          <w:color w:val="auto"/>
          <w:kern w:val="0"/>
          <w:szCs w:val="18"/>
          <w:highlight w:val="none"/>
          <w:lang w:eastAsia="zh-CN"/>
        </w:rPr>
        <w:t>）《专职安全员简历表》</w:t>
      </w:r>
      <w:r>
        <w:rPr>
          <w:rFonts w:hint="eastAsia" w:ascii="Times New Roman"/>
          <w:snapToGrid w:val="0"/>
          <w:color w:val="auto"/>
          <w:kern w:val="0"/>
          <w:szCs w:val="18"/>
          <w:highlight w:val="none"/>
        </w:rPr>
        <w:t>（格式十一）及所附资料</w:t>
      </w:r>
      <w:r>
        <w:rPr>
          <w:rFonts w:hint="eastAsia" w:ascii="Times New Roman"/>
          <w:snapToGrid w:val="0"/>
          <w:color w:val="auto"/>
          <w:kern w:val="0"/>
          <w:szCs w:val="18"/>
          <w:highlight w:val="none"/>
          <w:lang w:eastAsia="zh-CN"/>
        </w:rPr>
        <w:t>；</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w:t>
      </w:r>
      <w:r>
        <w:rPr>
          <w:rFonts w:hint="eastAsia" w:ascii="Times New Roman"/>
          <w:snapToGrid w:val="0"/>
          <w:color w:val="auto"/>
          <w:kern w:val="0"/>
          <w:szCs w:val="18"/>
          <w:highlight w:val="none"/>
          <w:lang w:val="en-US" w:eastAsia="zh-CN"/>
        </w:rPr>
        <w:t>4</w:t>
      </w:r>
      <w:r>
        <w:rPr>
          <w:rFonts w:hint="eastAsia" w:ascii="Times New Roman"/>
          <w:snapToGrid w:val="0"/>
          <w:color w:val="auto"/>
          <w:kern w:val="0"/>
          <w:szCs w:val="18"/>
          <w:highlight w:val="none"/>
        </w:rPr>
        <w:t>）《项目管理机构组成表》（格式十</w:t>
      </w:r>
      <w:r>
        <w:rPr>
          <w:rFonts w:hint="eastAsia" w:ascii="Times New Roman"/>
          <w:snapToGrid w:val="0"/>
          <w:color w:val="auto"/>
          <w:kern w:val="0"/>
          <w:szCs w:val="18"/>
          <w:highlight w:val="none"/>
          <w:lang w:val="en-US" w:eastAsia="zh-CN"/>
        </w:rPr>
        <w:t>二</w:t>
      </w:r>
      <w:r>
        <w:rPr>
          <w:rFonts w:hint="eastAsia" w:ascii="Times New Roman"/>
          <w:snapToGrid w:val="0"/>
          <w:color w:val="auto"/>
          <w:kern w:val="0"/>
          <w:szCs w:val="18"/>
          <w:highlight w:val="none"/>
        </w:rPr>
        <w:t>）及所附资料；</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w:t>
      </w:r>
      <w:r>
        <w:rPr>
          <w:rFonts w:hint="eastAsia" w:ascii="Times New Roman"/>
          <w:snapToGrid w:val="0"/>
          <w:color w:val="auto"/>
          <w:kern w:val="0"/>
          <w:szCs w:val="18"/>
          <w:highlight w:val="none"/>
          <w:lang w:val="en-US" w:eastAsia="zh-CN"/>
        </w:rPr>
        <w:t>5</w:t>
      </w:r>
      <w:r>
        <w:rPr>
          <w:rFonts w:hint="eastAsia" w:ascii="Times New Roman"/>
          <w:snapToGrid w:val="0"/>
          <w:color w:val="auto"/>
          <w:kern w:val="0"/>
          <w:szCs w:val="18"/>
          <w:highlight w:val="none"/>
        </w:rPr>
        <w:t>）本节第</w:t>
      </w:r>
      <w:r>
        <w:rPr>
          <w:rFonts w:hint="eastAsia" w:ascii="Times New Roman"/>
          <w:b/>
          <w:bCs/>
          <w:snapToGrid w:val="0"/>
          <w:color w:val="auto"/>
          <w:kern w:val="0"/>
          <w:szCs w:val="18"/>
          <w:highlight w:val="none"/>
        </w:rPr>
        <w:t>15.5.1</w:t>
      </w:r>
      <w:r>
        <w:rPr>
          <w:rFonts w:hint="eastAsia" w:ascii="Times New Roman"/>
          <w:snapToGrid w:val="0"/>
          <w:color w:val="auto"/>
          <w:kern w:val="0"/>
          <w:szCs w:val="18"/>
          <w:highlight w:val="none"/>
        </w:rPr>
        <w:t>目“评标方法”要求提供的评审资料；</w:t>
      </w:r>
    </w:p>
    <w:p>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w:t>
      </w:r>
      <w:r>
        <w:rPr>
          <w:rFonts w:hint="eastAsia" w:ascii="Times New Roman"/>
          <w:snapToGrid w:val="0"/>
          <w:color w:val="auto"/>
          <w:kern w:val="0"/>
          <w:szCs w:val="18"/>
          <w:highlight w:val="none"/>
          <w:lang w:val="en-US" w:eastAsia="zh-CN"/>
        </w:rPr>
        <w:t>6</w:t>
      </w:r>
      <w:r>
        <w:rPr>
          <w:rFonts w:hint="eastAsia" w:ascii="Times New Roman"/>
          <w:snapToGrid w:val="0"/>
          <w:color w:val="auto"/>
          <w:kern w:val="0"/>
          <w:szCs w:val="18"/>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新冠肺炎疫情防控期间企业资质、人员资格有效期自动顺延或延期办理的相关文件等）</w:t>
      </w:r>
    </w:p>
    <w:p>
      <w:pPr>
        <w:wordWrap w:val="0"/>
        <w:adjustRightInd w:val="0"/>
        <w:snapToGrid w:val="0"/>
        <w:spacing w:line="440" w:lineRule="exact"/>
        <w:ind w:firstLine="482" w:firstLineChars="200"/>
        <w:rPr>
          <w:rFonts w:hint="eastAsia" w:ascii="Times New Roman"/>
          <w:b/>
          <w:bCs/>
          <w:snapToGrid w:val="0"/>
          <w:color w:val="auto"/>
          <w:kern w:val="0"/>
          <w:szCs w:val="18"/>
          <w:highlight w:val="none"/>
        </w:rPr>
      </w:pPr>
      <w:r>
        <w:rPr>
          <w:rFonts w:hint="eastAsia" w:ascii="Times New Roman"/>
          <w:b/>
          <w:bCs/>
          <w:snapToGrid w:val="0"/>
          <w:color w:val="auto"/>
          <w:kern w:val="0"/>
          <w:szCs w:val="18"/>
          <w:highlight w:val="none"/>
        </w:rPr>
        <w:t>10.2.2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10.2.1</w:t>
      </w:r>
      <w:r>
        <w:rPr>
          <w:rFonts w:hint="eastAsia" w:ascii="Times New Roman"/>
          <w:snapToGrid w:val="0"/>
          <w:color w:val="auto"/>
          <w:kern w:val="0"/>
          <w:szCs w:val="18"/>
          <w:highlight w:val="none"/>
        </w:rPr>
        <w:t>目中所列出的商务标书组成内容中，第（1）至第（13）项所有投标人均应提供，</w:t>
      </w:r>
      <w:r>
        <w:rPr>
          <w:rFonts w:hint="eastAsia" w:ascii="Times New Roman"/>
          <w:b/>
          <w:bCs/>
          <w:snapToGrid w:val="0"/>
          <w:color w:val="auto"/>
          <w:kern w:val="0"/>
          <w:szCs w:val="18"/>
          <w:highlight w:val="none"/>
        </w:rPr>
        <w:t>但非联合体投标的，无需提供第（7）项内容。</w:t>
      </w:r>
    </w:p>
    <w:p>
      <w:pPr>
        <w:wordWrap w:val="0"/>
        <w:adjustRightInd w:val="0"/>
        <w:snapToGrid w:val="0"/>
        <w:spacing w:line="440" w:lineRule="exact"/>
        <w:ind w:firstLine="482" w:firstLineChars="200"/>
        <w:rPr>
          <w:rFonts w:hint="eastAsia"/>
          <w:highlight w:val="none"/>
        </w:rPr>
      </w:pPr>
      <w:r>
        <w:rPr>
          <w:rFonts w:hint="eastAsia" w:ascii="Times New Roman"/>
          <w:b/>
          <w:bCs/>
          <w:snapToGrid w:val="0"/>
          <w:kern w:val="0"/>
          <w:highlight w:val="none"/>
        </w:rPr>
        <w:t>10.2.3</w:t>
      </w:r>
      <w:r>
        <w:rPr>
          <w:rFonts w:hint="eastAsia" w:ascii="Times New Roman"/>
          <w:snapToGrid w:val="0"/>
          <w:kern w:val="0"/>
          <w:szCs w:val="18"/>
          <w:highlight w:val="none"/>
        </w:rPr>
        <w:t>本节第</w:t>
      </w:r>
      <w:r>
        <w:rPr>
          <w:rFonts w:hint="eastAsia" w:ascii="Times New Roman"/>
          <w:b/>
          <w:bCs/>
          <w:snapToGrid w:val="0"/>
          <w:kern w:val="0"/>
          <w:szCs w:val="18"/>
          <w:highlight w:val="none"/>
        </w:rPr>
        <w:t>10.2.1</w:t>
      </w:r>
      <w:r>
        <w:rPr>
          <w:rFonts w:hint="eastAsia" w:ascii="Times New Roman"/>
          <w:snapToGrid w:val="0"/>
          <w:kern w:val="0"/>
          <w:szCs w:val="18"/>
          <w:highlight w:val="none"/>
        </w:rPr>
        <w:t>目中所列出的商务标书组成内容中，第（1）至第（13）项所有投标人均应提供</w:t>
      </w:r>
      <w:r>
        <w:rPr>
          <w:rFonts w:hint="eastAsia" w:ascii="Times New Roman"/>
          <w:b/>
          <w:bCs/>
          <w:snapToGrid w:val="0"/>
          <w:kern w:val="0"/>
          <w:szCs w:val="18"/>
          <w:highlight w:val="none"/>
        </w:rPr>
        <w:t>，</w:t>
      </w:r>
      <w:r>
        <w:rPr>
          <w:rFonts w:hint="eastAsia" w:ascii="Times New Roman"/>
          <w:snapToGrid w:val="0"/>
          <w:kern w:val="0"/>
          <w:szCs w:val="18"/>
          <w:highlight w:val="none"/>
        </w:rPr>
        <w:t>应按顺序整理、编排后，逐页（页码起始从封面开始）连续标记页码。</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10.2.</w:t>
      </w:r>
      <w:r>
        <w:rPr>
          <w:rFonts w:hint="eastAsia" w:ascii="Times New Roman"/>
          <w:b/>
          <w:bCs/>
          <w:snapToGrid w:val="0"/>
          <w:color w:val="auto"/>
          <w:kern w:val="0"/>
          <w:highlight w:val="none"/>
          <w:lang w:val="en-US" w:eastAsia="zh-CN"/>
        </w:rPr>
        <w:t>4</w:t>
      </w:r>
      <w:r>
        <w:rPr>
          <w:rFonts w:hint="eastAsia" w:ascii="Times New Roman"/>
          <w:bCs/>
          <w:snapToGrid w:val="0"/>
          <w:color w:val="auto"/>
          <w:kern w:val="0"/>
          <w:highlight w:val="none"/>
        </w:rPr>
        <w:t>商务标书</w:t>
      </w:r>
      <w:r>
        <w:rPr>
          <w:rFonts w:hint="eastAsia" w:ascii="Times New Roman"/>
          <w:snapToGrid w:val="0"/>
          <w:color w:val="auto"/>
          <w:kern w:val="0"/>
          <w:highlight w:val="none"/>
        </w:rPr>
        <w:t>电子文件制作要求</w:t>
      </w:r>
    </w:p>
    <w:p>
      <w:pPr>
        <w:wordWrap w:val="0"/>
        <w:adjustRightInd w:val="0"/>
        <w:snapToGrid w:val="0"/>
        <w:spacing w:line="440" w:lineRule="exact"/>
        <w:ind w:firstLine="480" w:firstLineChars="200"/>
        <w:rPr>
          <w:rFonts w:hint="eastAsia" w:ascii="Times New Roman"/>
          <w:b/>
          <w:strike/>
          <w:snapToGrid w:val="0"/>
          <w:color w:val="auto"/>
          <w:kern w:val="0"/>
          <w:highlight w:val="none"/>
        </w:rPr>
      </w:pPr>
      <w:r>
        <w:rPr>
          <w:rFonts w:hint="eastAsia" w:ascii="Times New Roman"/>
          <w:snapToGrid w:val="0"/>
          <w:color w:val="auto"/>
          <w:kern w:val="0"/>
          <w:highlight w:val="none"/>
        </w:rPr>
        <w:t>投标人应将</w:t>
      </w:r>
      <w:r>
        <w:rPr>
          <w:rFonts w:hint="eastAsia" w:ascii="Times New Roman"/>
          <w:bCs/>
          <w:snapToGrid w:val="0"/>
          <w:color w:val="auto"/>
          <w:kern w:val="0"/>
          <w:highlight w:val="none"/>
        </w:rPr>
        <w:t>商务标书正本的</w:t>
      </w:r>
      <w:r>
        <w:rPr>
          <w:rFonts w:hint="eastAsia" w:ascii="Times New Roman"/>
          <w:snapToGrid w:val="0"/>
          <w:color w:val="auto"/>
          <w:kern w:val="0"/>
          <w:highlight w:val="none"/>
        </w:rPr>
        <w:t>所有内容按本节第</w:t>
      </w:r>
      <w:r>
        <w:rPr>
          <w:rFonts w:hint="eastAsia" w:ascii="Times New Roman"/>
          <w:b/>
          <w:bCs/>
          <w:snapToGrid w:val="0"/>
          <w:color w:val="auto"/>
          <w:kern w:val="0"/>
          <w:highlight w:val="none"/>
        </w:rPr>
        <w:t>10.2.1</w:t>
      </w:r>
      <w:r>
        <w:rPr>
          <w:rFonts w:hint="eastAsia" w:ascii="Times New Roman"/>
          <w:snapToGrid w:val="0"/>
          <w:color w:val="auto"/>
          <w:kern w:val="0"/>
          <w:highlight w:val="none"/>
        </w:rPr>
        <w:t>目规定的顺序整理、编排后，从封面开始标记页码，作成一个PDF格式电子文件</w:t>
      </w:r>
      <w:r>
        <w:rPr>
          <w:rFonts w:hint="eastAsia" w:ascii="Times New Roman"/>
          <w:snapToGrid w:val="0"/>
          <w:color w:val="auto"/>
          <w:kern w:val="0"/>
          <w:highlight w:val="none"/>
          <w:lang w:eastAsia="zh-CN"/>
        </w:rPr>
        <w:t>。</w:t>
      </w:r>
      <w:bookmarkStart w:id="93" w:name="_Hlt69670029"/>
      <w:bookmarkEnd w:id="93"/>
      <w:bookmarkStart w:id="94" w:name="_Hlt87783273"/>
      <w:bookmarkEnd w:id="94"/>
      <w:bookmarkStart w:id="95" w:name="_Toc274313881"/>
      <w:bookmarkStart w:id="96" w:name="_Toc23486"/>
    </w:p>
    <w:p>
      <w:pPr>
        <w:pStyle w:val="5"/>
        <w:keepNext w:val="0"/>
        <w:keepLines w:val="0"/>
        <w:wordWrap w:val="0"/>
        <w:adjustRightInd w:val="0"/>
        <w:snapToGrid w:val="0"/>
        <w:spacing w:before="0" w:after="0" w:line="440" w:lineRule="exact"/>
        <w:ind w:firstLine="482" w:firstLineChars="200"/>
        <w:jc w:val="both"/>
        <w:rPr>
          <w:rFonts w:hint="eastAsia" w:ascii="Times New Roman"/>
          <w:b/>
          <w:bCs/>
          <w:snapToGrid w:val="0"/>
          <w:color w:val="auto"/>
          <w:kern w:val="0"/>
          <w:highlight w:val="none"/>
        </w:rPr>
      </w:pPr>
      <w:bookmarkStart w:id="97" w:name="_Toc24061"/>
      <w:bookmarkStart w:id="98" w:name="_Toc30069"/>
      <w:bookmarkStart w:id="99" w:name="_Toc6621"/>
    </w:p>
    <w:p>
      <w:pPr>
        <w:pStyle w:val="5"/>
        <w:keepNext w:val="0"/>
        <w:keepLines w:val="0"/>
        <w:wordWrap w:val="0"/>
        <w:adjustRightInd w:val="0"/>
        <w:snapToGrid w:val="0"/>
        <w:spacing w:before="0" w:after="0" w:line="440" w:lineRule="exact"/>
        <w:ind w:firstLine="482" w:firstLineChars="200"/>
        <w:jc w:val="both"/>
        <w:rPr>
          <w:rFonts w:ascii="Times New Roman"/>
          <w:b/>
          <w:bCs/>
          <w:snapToGrid w:val="0"/>
          <w:color w:val="auto"/>
          <w:kern w:val="0"/>
          <w:highlight w:val="none"/>
        </w:rPr>
      </w:pPr>
      <w:r>
        <w:rPr>
          <w:rFonts w:hint="eastAsia" w:ascii="Times New Roman"/>
          <w:b/>
          <w:bCs/>
          <w:snapToGrid w:val="0"/>
          <w:color w:val="auto"/>
          <w:kern w:val="0"/>
          <w:highlight w:val="none"/>
        </w:rPr>
        <w:t>10.3</w:t>
      </w:r>
      <w:bookmarkStart w:id="100" w:name="_Hlt69670035"/>
      <w:bookmarkEnd w:id="100"/>
      <w:r>
        <w:rPr>
          <w:rFonts w:hint="eastAsia" w:ascii="Times New Roman"/>
          <w:b/>
          <w:bCs/>
          <w:snapToGrid w:val="0"/>
          <w:color w:val="auto"/>
          <w:kern w:val="0"/>
          <w:highlight w:val="none"/>
        </w:rPr>
        <w:t xml:space="preserve"> 经济标书的编制要求</w:t>
      </w:r>
      <w:bookmarkEnd w:id="95"/>
      <w:bookmarkEnd w:id="96"/>
      <w:bookmarkEnd w:id="97"/>
      <w:bookmarkEnd w:id="98"/>
      <w:bookmarkEnd w:id="99"/>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10.3.1</w:t>
      </w:r>
      <w:r>
        <w:rPr>
          <w:rFonts w:hint="eastAsia" w:ascii="Times New Roman"/>
          <w:snapToGrid w:val="0"/>
          <w:color w:val="auto"/>
          <w:kern w:val="0"/>
          <w:highlight w:val="none"/>
        </w:rPr>
        <w:t xml:space="preserve"> 经济标书包括以下内容：</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（2）目录；</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（3）《投标总价》；</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说明：《投标总价》的格式按照《建设工程工程量清单计价规范》（GB50500—2013）执行，并应满足以下要求：</w:t>
      </w:r>
    </w:p>
    <w:p>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a</w:t>
      </w:r>
      <w:r>
        <w:rPr>
          <w:rFonts w:hint="eastAsia" w:ascii="Times New Roman"/>
          <w:snapToGrid w:val="0"/>
          <w:color w:val="auto"/>
          <w:kern w:val="0"/>
          <w:highlight w:val="none"/>
        </w:rPr>
        <w:t>．《投标总价扉页》（即扉—3）后应附编制人的造价工程师注册证书复印件或打印件（须复印或打印至变更注册栏）；投标人委托造价咨询单位编制《投标总价》的，在该扉页“投标人”栏目加盖造价咨询人公章，并在该扉页后附造价咨询人的营业执照副本复印件（或打印件）。</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．《总说明》（即表—01）中的填写内容除按照《建设工程工程量清单计价规范》（GB50500—2013）第</w:t>
      </w:r>
      <w:r>
        <w:rPr>
          <w:rFonts w:hint="eastAsia" w:ascii="Times New Roman"/>
          <w:b/>
          <w:bCs/>
          <w:snapToGrid w:val="0"/>
          <w:color w:val="auto"/>
          <w:kern w:val="0"/>
          <w:highlight w:val="none"/>
        </w:rPr>
        <w:t>16.0.4</w:t>
      </w:r>
      <w:r>
        <w:rPr>
          <w:rFonts w:hint="eastAsia" w:ascii="Times New Roman"/>
          <w:snapToGrid w:val="0"/>
          <w:color w:val="auto"/>
          <w:kern w:val="0"/>
          <w:highlight w:val="none"/>
        </w:rPr>
        <w:t>条第</w:t>
      </w:r>
      <w:r>
        <w:rPr>
          <w:rFonts w:hint="eastAsia" w:ascii="Times New Roman"/>
          <w:b/>
          <w:bCs/>
          <w:snapToGrid w:val="0"/>
          <w:color w:val="auto"/>
          <w:kern w:val="0"/>
          <w:highlight w:val="none"/>
        </w:rPr>
        <w:t>3</w:t>
      </w:r>
      <w:r>
        <w:rPr>
          <w:rFonts w:hint="eastAsia" w:ascii="Times New Roman"/>
          <w:snapToGrid w:val="0"/>
          <w:color w:val="auto"/>
          <w:kern w:val="0"/>
          <w:highlight w:val="none"/>
        </w:rPr>
        <w:t>项执行外，尚应就造价软件的名称、版本、加密锁编号作出专项说明。</w:t>
      </w:r>
      <w:bookmarkStart w:id="101" w:name="_Hlt69699579"/>
      <w:bookmarkEnd w:id="101"/>
    </w:p>
    <w:p>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szCs w:val="18"/>
          <w:highlight w:val="none"/>
        </w:rPr>
        <w:t>（4）投标人认为有必要补充的其他资料（例如关于投标总价下浮率超过15%的书面说明和佐证材料）。</w:t>
      </w:r>
    </w:p>
    <w:p>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b/>
          <w:bCs/>
          <w:snapToGrid w:val="0"/>
          <w:color w:val="auto"/>
          <w:kern w:val="0"/>
          <w:szCs w:val="18"/>
          <w:highlight w:val="none"/>
        </w:rPr>
        <w:t>10.3.2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10.3.1</w:t>
      </w:r>
      <w:r>
        <w:rPr>
          <w:rFonts w:hint="eastAsia" w:ascii="Times New Roman"/>
          <w:snapToGrid w:val="0"/>
          <w:color w:val="auto"/>
          <w:kern w:val="0"/>
          <w:szCs w:val="18"/>
          <w:highlight w:val="none"/>
        </w:rPr>
        <w:t>目中所列出的经济标书组成内容中，第（1）至第（3）项所有投标人均应提供</w:t>
      </w:r>
      <w:bookmarkStart w:id="102" w:name="_Hlt145127239"/>
      <w:bookmarkEnd w:id="102"/>
      <w:bookmarkStart w:id="103" w:name="_Toc7035"/>
      <w:r>
        <w:rPr>
          <w:rFonts w:hint="eastAsia" w:ascii="Times New Roman"/>
          <w:snapToGrid w:val="0"/>
          <w:color w:val="auto"/>
          <w:kern w:val="0"/>
          <w:szCs w:val="18"/>
          <w:highlight w:val="none"/>
        </w:rPr>
        <w:t>。</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10.3.3</w:t>
      </w:r>
      <w:r>
        <w:rPr>
          <w:rFonts w:hint="eastAsia" w:ascii="Times New Roman"/>
          <w:snapToGrid w:val="0"/>
          <w:color w:val="auto"/>
          <w:kern w:val="0"/>
          <w:highlight w:val="none"/>
        </w:rPr>
        <w:t xml:space="preserve"> </w:t>
      </w:r>
      <w:r>
        <w:rPr>
          <w:color w:val="auto"/>
          <w:highlight w:val="none"/>
        </w:rPr>
        <w:t>经济标书的组成内容按本节第10.3.1目规定的顺序整理、编排后，逐页（页码起始从封面开始）连续标记页码。</w:t>
      </w:r>
    </w:p>
    <w:p>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
          <w:bCs/>
          <w:snapToGrid w:val="0"/>
          <w:color w:val="auto"/>
          <w:kern w:val="0"/>
          <w:highlight w:val="none"/>
        </w:rPr>
        <w:t>10.4</w:t>
      </w:r>
      <w:r>
        <w:rPr>
          <w:rFonts w:hint="eastAsia" w:ascii="Times New Roman"/>
          <w:bCs/>
          <w:snapToGrid w:val="0"/>
          <w:color w:val="auto"/>
          <w:kern w:val="0"/>
          <w:highlight w:val="none"/>
        </w:rPr>
        <w:t xml:space="preserve"> 施工组织设计的编制要求</w:t>
      </w:r>
    </w:p>
    <w:p>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
          <w:snapToGrid w:val="0"/>
          <w:color w:val="auto"/>
          <w:kern w:val="0"/>
          <w:highlight w:val="none"/>
        </w:rPr>
        <w:t>10.4.1</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施工组织设计的编制依据包括且不限于</w:t>
      </w:r>
      <w:r>
        <w:rPr>
          <w:rFonts w:hint="eastAsia" w:ascii="Times New Roman"/>
          <w:bCs/>
          <w:snapToGrid w:val="0"/>
          <w:color w:val="auto"/>
          <w:kern w:val="0"/>
          <w:highlight w:val="none"/>
        </w:rPr>
        <w:t>：</w:t>
      </w:r>
    </w:p>
    <w:p>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（1）招标文件及</w:t>
      </w:r>
      <w:r>
        <w:rPr>
          <w:rFonts w:hint="eastAsia" w:ascii="Times New Roman"/>
          <w:snapToGrid w:val="0"/>
          <w:color w:val="auto"/>
          <w:kern w:val="0"/>
          <w:highlight w:val="none"/>
        </w:rPr>
        <w:t>其答疑（或修改）公告；</w:t>
      </w:r>
    </w:p>
    <w:p>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（2）施工图及相关资料；</w:t>
      </w:r>
    </w:p>
    <w:p>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（3）施工现场情况、工程特点；</w:t>
      </w:r>
    </w:p>
    <w:p>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（4）相关法律、法规、规定；</w:t>
      </w:r>
    </w:p>
    <w:p>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Cs/>
          <w:snapToGrid w:val="0"/>
          <w:color w:val="auto"/>
          <w:kern w:val="0"/>
          <w:highlight w:val="none"/>
        </w:rPr>
        <w:t>（6）企业内部标准、工法。</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10.4.2</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施工组织设计包括但不限于以下内容：</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（2）目录；</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（3）总体概述（包括施工程序总体设想及施工段划分等内容）；</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（4）施工总进度计划及保证措施（包括进度管理目标；以横道图或标明关键线路的网络进度计划；保障进度计划需要的人、材、机需求计划及保证措施；违约责任承诺等内容）；</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（5）质量保证措施（包括质量管理目标；相应保证措施；违约责任承诺等内容）；</w:t>
      </w:r>
    </w:p>
    <w:p>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（6）施工技术措施（包括关键施工技术、工艺及工程项目实施的重点、难点分析和解决方案；新技术应用与承诺等内容）；</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（7）绿色施工、安全防护、文明施工措施计划；</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pPr>
        <w:wordWrap w:val="0"/>
        <w:adjustRightInd w:val="0"/>
        <w:snapToGrid w:val="0"/>
        <w:spacing w:line="440" w:lineRule="exact"/>
        <w:ind w:firstLine="480" w:firstLineChars="200"/>
        <w:rPr>
          <w:rFonts w:hint="eastAsia" w:ascii="Times New Roman"/>
          <w:i/>
          <w:iCs/>
          <w:snapToGrid w:val="0"/>
          <w:color w:val="auto"/>
          <w:kern w:val="0"/>
          <w:highlight w:val="none"/>
        </w:rPr>
      </w:pPr>
      <w:r>
        <w:rPr>
          <w:rFonts w:hint="eastAsia" w:ascii="Times New Roman"/>
          <w:snapToGrid w:val="0"/>
          <w:color w:val="auto"/>
          <w:kern w:val="0"/>
          <w:highlight w:val="none"/>
        </w:rPr>
        <w:t>（9）项目管理机构。</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（10）投标人认为有必要补充的其他内容（例如对总包管理的认识以及对专业分包工程的管理、协调、配合、服务方案）。</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10.4.3</w:t>
      </w:r>
      <w:r>
        <w:rPr>
          <w:rFonts w:hint="eastAsia" w:ascii="Times New Roman"/>
          <w:snapToGrid w:val="0"/>
          <w:color w:val="auto"/>
          <w:kern w:val="0"/>
          <w:highlight w:val="none"/>
        </w:rPr>
        <w:t xml:space="preserve"> 本节第</w:t>
      </w:r>
      <w:r>
        <w:rPr>
          <w:rFonts w:hint="eastAsia" w:ascii="Times New Roman"/>
          <w:b/>
          <w:bCs/>
          <w:snapToGrid w:val="0"/>
          <w:color w:val="auto"/>
          <w:kern w:val="0"/>
          <w:highlight w:val="none"/>
        </w:rPr>
        <w:t>10.4.2</w:t>
      </w:r>
      <w:r>
        <w:rPr>
          <w:rFonts w:hint="eastAsia" w:ascii="Times New Roman"/>
          <w:snapToGrid w:val="0"/>
          <w:color w:val="auto"/>
          <w:kern w:val="0"/>
          <w:highlight w:val="none"/>
        </w:rPr>
        <w:t>目中所列出的施工组织设计组成内容中，第（1）至第（9）项</w:t>
      </w:r>
      <w:r>
        <w:rPr>
          <w:rFonts w:hint="eastAsia" w:ascii="Times New Roman"/>
          <w:snapToGrid w:val="0"/>
          <w:color w:val="auto"/>
          <w:kern w:val="0"/>
          <w:szCs w:val="18"/>
          <w:highlight w:val="none"/>
        </w:rPr>
        <w:t>所有投标人均应提供</w:t>
      </w:r>
      <w:r>
        <w:rPr>
          <w:rFonts w:hint="eastAsia" w:ascii="Times New Roman"/>
          <w:snapToGrid w:val="0"/>
          <w:color w:val="auto"/>
          <w:kern w:val="0"/>
          <w:highlight w:val="none"/>
        </w:rPr>
        <w:t>。</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10.4.4</w:t>
      </w:r>
      <w:r>
        <w:rPr>
          <w:rFonts w:hint="eastAsia" w:ascii="Times New Roman"/>
          <w:snapToGrid w:val="0"/>
          <w:color w:val="auto"/>
          <w:kern w:val="0"/>
          <w:highlight w:val="none"/>
        </w:rPr>
        <w:t xml:space="preserve"> </w:t>
      </w:r>
      <w:r>
        <w:rPr>
          <w:color w:val="auto"/>
          <w:highlight w:val="none"/>
        </w:rPr>
        <w:t>施工组织设计的组成内容按本节第10.4.2目规定的顺序整理、编排后，逐页（页码起始从封面开始）连续标记页码。</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10.4.5</w:t>
      </w:r>
      <w:r>
        <w:rPr>
          <w:rFonts w:hint="eastAsia" w:ascii="Times New Roman"/>
          <w:snapToGrid w:val="0"/>
          <w:color w:val="auto"/>
          <w:kern w:val="0"/>
          <w:highlight w:val="none"/>
        </w:rPr>
        <w:t xml:space="preserve"> 施工组织设计的正文除施工现场平面布置图和进度计划图用白色标准A3纸设置外，其他内容一律用白色标准A4纸设置。施工组织设计的正文建议不超过500页。  </w:t>
      </w:r>
    </w:p>
    <w:bookmarkEnd w:id="103"/>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outlineLvl w:val="1"/>
        <w:rPr>
          <w:rFonts w:hint="eastAsia" w:ascii="Times New Roman"/>
          <w:b/>
          <w:snapToGrid w:val="0"/>
          <w:color w:val="auto"/>
          <w:highlight w:val="none"/>
        </w:rPr>
      </w:pPr>
      <w:bookmarkStart w:id="104" w:name="_Toc18012"/>
      <w:bookmarkStart w:id="105" w:name="_Toc32203"/>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outlineLvl w:val="1"/>
        <w:rPr>
          <w:rFonts w:hint="eastAsia" w:ascii="Times New Roman"/>
          <w:bCs/>
          <w:snapToGrid w:val="0"/>
          <w:color w:val="auto"/>
          <w:highlight w:val="none"/>
        </w:rPr>
      </w:pPr>
      <w:r>
        <w:rPr>
          <w:rFonts w:hint="eastAsia" w:ascii="Times New Roman"/>
          <w:b/>
          <w:snapToGrid w:val="0"/>
          <w:color w:val="auto"/>
          <w:highlight w:val="none"/>
        </w:rPr>
        <w:t>11.</w:t>
      </w:r>
      <w:r>
        <w:rPr>
          <w:rFonts w:hint="eastAsia" w:ascii="Times New Roman"/>
          <w:bCs/>
          <w:snapToGrid w:val="0"/>
          <w:color w:val="auto"/>
          <w:highlight w:val="none"/>
        </w:rPr>
        <w:t>电子投标：</w:t>
      </w:r>
      <w:bookmarkEnd w:id="104"/>
    </w:p>
    <w:p>
      <w:pPr>
        <w:wordWrap w:val="0"/>
        <w:adjustRightInd w:val="0"/>
        <w:spacing w:line="400" w:lineRule="exact"/>
        <w:ind w:firstLine="482" w:firstLineChars="200"/>
        <w:rPr>
          <w:rFonts w:hint="eastAsia" w:hAnsi="宋体" w:cs="宋体"/>
          <w:b/>
          <w:snapToGrid w:val="0"/>
          <w:color w:val="auto"/>
          <w:szCs w:val="24"/>
          <w:highlight w:val="none"/>
        </w:rPr>
      </w:pPr>
      <w:bookmarkStart w:id="106" w:name="_Hlt88627590"/>
      <w:bookmarkEnd w:id="106"/>
      <w:r>
        <w:rPr>
          <w:rFonts w:hint="eastAsia" w:hAnsi="宋体" w:cs="宋体"/>
          <w:b/>
          <w:bCs w:val="0"/>
          <w:snapToGrid w:val="0"/>
          <w:color w:val="auto"/>
          <w:szCs w:val="24"/>
          <w:highlight w:val="none"/>
        </w:rPr>
        <w:t>11.1</w:t>
      </w:r>
      <w:r>
        <w:rPr>
          <w:rFonts w:hint="eastAsia" w:hAnsi="宋体" w:cs="宋体"/>
          <w:bCs/>
          <w:snapToGrid w:val="0"/>
          <w:color w:val="auto"/>
          <w:szCs w:val="24"/>
          <w:highlight w:val="none"/>
        </w:rPr>
        <w:t>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hAnsi="宋体" w:cs="宋体"/>
          <w:bCs/>
          <w:snapToGrid w:val="0"/>
          <w:color w:val="auto"/>
          <w:szCs w:val="24"/>
          <w:highlight w:val="none"/>
          <w:lang w:val="en-US" w:eastAsia="zh-CN"/>
        </w:rPr>
        <w:t>-招标人</w:t>
      </w:r>
      <w:r>
        <w:rPr>
          <w:rFonts w:hint="eastAsia" w:hAnsi="宋体" w:cs="宋体"/>
          <w:bCs/>
          <w:snapToGrid w:val="0"/>
          <w:color w:val="auto"/>
          <w:szCs w:val="24"/>
          <w:highlight w:val="none"/>
        </w:rPr>
        <w:t>操作指引》。本项目评标采用全流程电子化进行招标投标（投标人应根据韶关市公共资源建设工程交易系统</w:t>
      </w:r>
      <w:r>
        <w:rPr>
          <w:rFonts w:hint="eastAsia" w:hAnsi="宋体" w:cs="宋体"/>
          <w:bCs/>
          <w:snapToGrid w:val="0"/>
          <w:color w:val="auto"/>
          <w:szCs w:val="24"/>
          <w:highlight w:val="none"/>
          <w:lang w:val="en-US" w:eastAsia="zh-CN"/>
        </w:rPr>
        <w:t>-招标人</w:t>
      </w:r>
      <w:r>
        <w:rPr>
          <w:rFonts w:hint="eastAsia" w:hAnsi="宋体" w:cs="宋体"/>
          <w:bCs/>
          <w:snapToGrid w:val="0"/>
          <w:color w:val="auto"/>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pPr>
        <w:wordWrap w:val="0"/>
        <w:adjustRightInd w:val="0"/>
        <w:spacing w:line="400" w:lineRule="exact"/>
        <w:ind w:firstLine="482" w:firstLineChars="200"/>
        <w:rPr>
          <w:rFonts w:hint="eastAsia"/>
          <w:b/>
          <w:bCs/>
          <w:snapToGrid w:val="0"/>
          <w:color w:val="auto"/>
          <w:kern w:val="0"/>
          <w:sz w:val="24"/>
          <w:highlight w:val="none"/>
        </w:rPr>
      </w:pPr>
      <w:bookmarkStart w:id="107" w:name="_Hlt127590288"/>
      <w:bookmarkEnd w:id="107"/>
      <w:r>
        <w:rPr>
          <w:rFonts w:hint="eastAsia" w:hAnsi="宋体" w:cs="宋体"/>
          <w:b/>
          <w:bCs w:val="0"/>
          <w:snapToGrid w:val="0"/>
          <w:color w:val="auto"/>
          <w:szCs w:val="24"/>
          <w:highlight w:val="none"/>
        </w:rPr>
        <w:t>11.2</w:t>
      </w:r>
      <w:r>
        <w:rPr>
          <w:rFonts w:hint="eastAsia" w:hAnsi="宋体" w:cs="宋体"/>
          <w:bCs/>
          <w:snapToGrid w:val="0"/>
          <w:color w:val="auto"/>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05"/>
    </w:p>
    <w:p>
      <w:pPr>
        <w:pStyle w:val="136"/>
        <w:wordWrap w:val="0"/>
        <w:adjustRightInd w:val="0"/>
        <w:snapToGrid w:val="0"/>
        <w:spacing w:line="440" w:lineRule="exact"/>
        <w:ind w:firstLine="482" w:firstLineChars="200"/>
        <w:jc w:val="left"/>
        <w:rPr>
          <w:rFonts w:hint="eastAsia"/>
          <w:b/>
          <w:bCs/>
          <w:snapToGrid w:val="0"/>
          <w:color w:val="auto"/>
          <w:kern w:val="0"/>
          <w:sz w:val="24"/>
          <w:highlight w:val="none"/>
        </w:rPr>
      </w:pPr>
      <w:r>
        <w:rPr>
          <w:rFonts w:hint="eastAsia"/>
          <w:b/>
          <w:bCs/>
          <w:snapToGrid w:val="0"/>
          <w:color w:val="auto"/>
          <w:kern w:val="0"/>
          <w:sz w:val="24"/>
          <w:highlight w:val="none"/>
        </w:rPr>
        <w:t>12电子投标及投标解密失败及突发情况的补救方案</w:t>
      </w:r>
    </w:p>
    <w:p>
      <w:pPr>
        <w:wordWrap w:val="0"/>
        <w:adjustRightInd w:val="0"/>
        <w:spacing w:line="400" w:lineRule="exact"/>
        <w:ind w:firstLine="482" w:firstLineChars="200"/>
        <w:rPr>
          <w:rFonts w:hint="eastAsia" w:hAnsi="宋体" w:cs="宋体"/>
          <w:bCs/>
          <w:snapToGrid w:val="0"/>
          <w:color w:val="auto"/>
          <w:szCs w:val="24"/>
          <w:highlight w:val="none"/>
        </w:rPr>
      </w:pPr>
      <w:r>
        <w:rPr>
          <w:rFonts w:hint="eastAsia" w:ascii="Times New Roman" w:hAnsi="Times New Roman" w:eastAsia="宋体" w:cs="Times New Roman"/>
          <w:b/>
          <w:bCs/>
          <w:snapToGrid w:val="0"/>
          <w:color w:val="auto"/>
          <w:kern w:val="0"/>
          <w:sz w:val="24"/>
          <w:szCs w:val="20"/>
          <w:highlight w:val="none"/>
          <w:lang w:val="en-US" w:eastAsia="zh-CN" w:bidi="ar-SA"/>
        </w:rPr>
        <w:t>12.1</w:t>
      </w:r>
      <w:r>
        <w:rPr>
          <w:rFonts w:hint="eastAsia" w:hAnsi="宋体" w:cs="宋体"/>
          <w:bCs/>
          <w:snapToGrid w:val="0"/>
          <w:color w:val="auto"/>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pPr>
        <w:wordWrap w:val="0"/>
        <w:adjustRightInd w:val="0"/>
        <w:spacing w:line="400" w:lineRule="exact"/>
        <w:ind w:firstLine="482" w:firstLineChars="200"/>
        <w:rPr>
          <w:rFonts w:hint="eastAsia" w:hAnsi="宋体" w:cs="宋体"/>
          <w:bCs/>
          <w:snapToGrid w:val="0"/>
          <w:color w:val="auto"/>
          <w:szCs w:val="24"/>
          <w:highlight w:val="none"/>
        </w:rPr>
      </w:pPr>
      <w:r>
        <w:rPr>
          <w:rFonts w:hint="eastAsia" w:ascii="Times New Roman" w:hAnsi="Times New Roman" w:eastAsia="宋体" w:cs="Times New Roman"/>
          <w:b/>
          <w:bCs/>
          <w:snapToGrid w:val="0"/>
          <w:color w:val="auto"/>
          <w:kern w:val="0"/>
          <w:sz w:val="24"/>
          <w:szCs w:val="20"/>
          <w:highlight w:val="none"/>
          <w:lang w:val="en-US" w:eastAsia="zh-CN" w:bidi="ar-SA"/>
        </w:rPr>
        <w:t>12.2</w:t>
      </w:r>
      <w:r>
        <w:rPr>
          <w:rFonts w:hint="eastAsia" w:hAnsi="宋体" w:cs="宋体"/>
          <w:bCs/>
          <w:snapToGrid w:val="0"/>
          <w:color w:val="auto"/>
          <w:szCs w:val="24"/>
          <w:highlight w:val="none"/>
        </w:rPr>
        <w:t>补救方案：</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bCs/>
          <w:snapToGrid w:val="0"/>
          <w:color w:val="auto"/>
          <w:szCs w:val="24"/>
          <w:highlight w:val="none"/>
        </w:rPr>
      </w:pPr>
      <w:r>
        <w:rPr>
          <w:rFonts w:hint="eastAsia" w:hAnsi="宋体" w:cs="宋体"/>
          <w:bCs/>
          <w:snapToGrid w:val="0"/>
          <w:color w:val="auto"/>
          <w:szCs w:val="24"/>
          <w:highlight w:val="none"/>
        </w:rPr>
        <w:t>投标文件解密失败的补救方案：</w:t>
      </w:r>
    </w:p>
    <w:p>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（2）评标时突发情况的补救方案</w:t>
      </w:r>
    </w:p>
    <w:p>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pPr>
        <w:wordWrap w:val="0"/>
        <w:adjustRightInd w:val="0"/>
        <w:spacing w:line="400" w:lineRule="exact"/>
        <w:ind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szCs w:val="24"/>
          <w:highlight w:val="none"/>
        </w:rPr>
        <w:t>（</w:t>
      </w:r>
      <w:r>
        <w:rPr>
          <w:rFonts w:hint="eastAsia" w:ascii="宋体" w:hAnsi="宋体" w:eastAsia="宋体" w:cs="宋体"/>
          <w:bCs/>
          <w:snapToGrid w:val="0"/>
          <w:color w:val="auto"/>
          <w:szCs w:val="24"/>
          <w:highlight w:val="none"/>
          <w:lang w:val="en-US" w:eastAsia="zh-CN"/>
        </w:rPr>
        <w:t>3</w:t>
      </w:r>
      <w:r>
        <w:rPr>
          <w:rFonts w:hint="eastAsia" w:ascii="宋体" w:hAnsi="宋体" w:eastAsia="宋体" w:cs="宋体"/>
          <w:bCs/>
          <w:snapToGrid w:val="0"/>
          <w:color w:val="auto"/>
          <w:szCs w:val="24"/>
          <w:highlight w:val="none"/>
        </w:rPr>
        <w:t>）</w:t>
      </w: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pPr>
        <w:pStyle w:val="136"/>
        <w:numPr>
          <w:ilvl w:val="0"/>
          <w:numId w:val="0"/>
        </w:numPr>
        <w:wordWrap w:val="0"/>
        <w:adjustRightInd w:val="0"/>
        <w:snapToGrid w:val="0"/>
        <w:spacing w:line="440" w:lineRule="exact"/>
        <w:ind w:leftChars="200"/>
        <w:jc w:val="left"/>
        <w:rPr>
          <w:rFonts w:hint="eastAsia" w:ascii="Times New Roman"/>
          <w:snapToGrid w:val="0"/>
          <w:color w:val="auto"/>
          <w:kern w:val="0"/>
          <w:highlight w:val="none"/>
        </w:rPr>
      </w:pPr>
      <w:r>
        <w:rPr>
          <w:rFonts w:hint="eastAsia"/>
          <w:b/>
          <w:bCs/>
          <w:snapToGrid w:val="0"/>
          <w:color w:val="auto"/>
          <w:kern w:val="0"/>
          <w:sz w:val="24"/>
          <w:szCs w:val="20"/>
          <w:highlight w:val="none"/>
        </w:rPr>
        <w:t>12.4</w:t>
      </w:r>
      <w:r>
        <w:rPr>
          <w:rFonts w:hint="eastAsia"/>
          <w:snapToGrid w:val="0"/>
          <w:color w:val="auto"/>
          <w:kern w:val="0"/>
          <w:sz w:val="24"/>
          <w:highlight w:val="none"/>
        </w:rPr>
        <w:t xml:space="preserve"> 联合体投标的，由联合体牵头人按以上要求递交投标文件和相关资料。</w:t>
      </w:r>
    </w:p>
    <w:p>
      <w:pPr>
        <w:wordWrap w:val="0"/>
        <w:adjustRightInd w:val="0"/>
        <w:snapToGrid w:val="0"/>
        <w:spacing w:line="440" w:lineRule="exact"/>
        <w:ind w:firstLine="482" w:firstLineChars="200"/>
        <w:rPr>
          <w:rFonts w:hint="eastAsia" w:ascii="Times New Roman"/>
          <w:snapToGrid w:val="0"/>
          <w:color w:val="auto"/>
          <w:kern w:val="0"/>
          <w:szCs w:val="22"/>
          <w:highlight w:val="none"/>
        </w:rPr>
      </w:pPr>
      <w:r>
        <w:rPr>
          <w:rFonts w:hint="eastAsia" w:ascii="Times New Roman"/>
          <w:b/>
          <w:bCs/>
          <w:snapToGrid w:val="0"/>
          <w:color w:val="auto"/>
          <w:kern w:val="0"/>
          <w:highlight w:val="none"/>
        </w:rPr>
        <w:t>12.5</w:t>
      </w:r>
      <w:r>
        <w:rPr>
          <w:rFonts w:hint="eastAsia" w:ascii="Times New Roman"/>
          <w:snapToGrid w:val="0"/>
          <w:color w:val="auto"/>
          <w:kern w:val="0"/>
          <w:highlight w:val="none"/>
        </w:rPr>
        <w:t xml:space="preserve"> 招标人或其授权的招标代理机构核对、接收投标人递交的投标文件和相关资料后，应向投标人出具标明签收人和签收时间的凭证，并妥善保管。</w:t>
      </w:r>
    </w:p>
    <w:p>
      <w:pPr>
        <w:wordWrap w:val="0"/>
        <w:adjustRightInd w:val="0"/>
        <w:snapToGrid w:val="0"/>
        <w:spacing w:line="440" w:lineRule="exact"/>
        <w:ind w:firstLine="482" w:firstLineChars="200"/>
        <w:rPr>
          <w:rFonts w:hint="eastAsia" w:ascii="Times New Roman"/>
          <w:b/>
          <w:snapToGrid w:val="0"/>
          <w:color w:val="auto"/>
          <w:kern w:val="0"/>
          <w:highlight w:val="none"/>
        </w:rPr>
      </w:pP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13．</w:t>
      </w:r>
      <w:r>
        <w:rPr>
          <w:rFonts w:hint="eastAsia" w:ascii="Times New Roman"/>
          <w:b/>
          <w:snapToGrid w:val="0"/>
          <w:color w:val="auto"/>
          <w:highlight w:val="none"/>
        </w:rPr>
        <w:t>投标文件的提交</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13.1</w:t>
      </w:r>
      <w:r>
        <w:rPr>
          <w:rFonts w:hint="eastAsia" w:ascii="Times New Roman"/>
          <w:snapToGrid w:val="0"/>
          <w:color w:val="auto"/>
          <w:kern w:val="0"/>
          <w:highlight w:val="none"/>
        </w:rPr>
        <w:t>在投标文件提交截止时间前，投标人通过</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提交已加密投标文件。逾期提交的电子投标文件，</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将予以拒收。</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13.2</w:t>
      </w:r>
      <w:r>
        <w:rPr>
          <w:rFonts w:hint="eastAsia" w:ascii="Times New Roman"/>
          <w:snapToGrid w:val="0"/>
          <w:color w:val="auto"/>
          <w:kern w:val="0"/>
          <w:highlight w:val="none"/>
        </w:rPr>
        <w:t>提交时间和地点：见本章第二节“重要事项时间地点一览表”</w:t>
      </w:r>
    </w:p>
    <w:p>
      <w:pPr>
        <w:pStyle w:val="10"/>
        <w:keepNext w:val="0"/>
        <w:keepLines w:val="0"/>
        <w:pageBreakBefore w:val="0"/>
        <w:widowControl w:val="0"/>
        <w:kinsoku/>
        <w:overflowPunct/>
        <w:topLinePunct w:val="0"/>
        <w:autoSpaceDE/>
        <w:autoSpaceDN/>
        <w:bidi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highlight w:val="none"/>
        </w:rPr>
        <w:t xml:space="preserve">13.3 </w:t>
      </w:r>
      <w:r>
        <w:rPr>
          <w:rFonts w:hint="eastAsia" w:hAnsi="宋体" w:cs="宋体"/>
          <w:bCs/>
          <w:snapToGrid w:val="0"/>
          <w:color w:val="auto"/>
          <w:szCs w:val="24"/>
          <w:highlight w:val="none"/>
        </w:rPr>
        <w:t>投标人法定代表人或其委托代理人（以下简称“投标人代表”）应在指定的时间和地点递交投标相关资料（如有）。</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rPr>
          <w:rFonts w:hint="eastAsia" w:ascii="Times New Roman"/>
          <w:strike/>
          <w:dstrike w:val="0"/>
          <w:snapToGrid w:val="0"/>
          <w:color w:val="auto"/>
          <w:kern w:val="0"/>
          <w:highlight w:val="none"/>
        </w:rPr>
      </w:pPr>
      <w:r>
        <w:rPr>
          <w:rFonts w:hint="eastAsia" w:ascii="Times New Roman"/>
          <w:b/>
          <w:bCs/>
          <w:snapToGrid w:val="0"/>
          <w:color w:val="auto"/>
          <w:kern w:val="0"/>
          <w:highlight w:val="none"/>
        </w:rPr>
        <w:t>13.4</w:t>
      </w:r>
      <w:r>
        <w:rPr>
          <w:rFonts w:hint="eastAsia" w:ascii="Times New Roman"/>
          <w:snapToGrid w:val="0"/>
          <w:color w:val="auto"/>
          <w:kern w:val="0"/>
          <w:highlight w:val="none"/>
        </w:rPr>
        <w:t>在投标文件提交截止时间前，投标人通过</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建设工程交易系统提交已加密投标文件。逾期提交的电子投标文件，</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建设工程交易系统将予以拒收</w:t>
      </w:r>
      <w:r>
        <w:rPr>
          <w:rFonts w:hint="eastAsia" w:ascii="Times New Roman"/>
          <w:snapToGrid w:val="0"/>
          <w:color w:val="auto"/>
          <w:kern w:val="0"/>
          <w:highlight w:val="none"/>
          <w:lang w:eastAsia="zh-CN"/>
        </w:rPr>
        <w:t>。</w:t>
      </w:r>
    </w:p>
    <w:p>
      <w:pPr>
        <w:keepNext w:val="0"/>
        <w:keepLines w:val="0"/>
        <w:pageBreakBefore w:val="0"/>
        <w:widowControl w:val="0"/>
        <w:kinsoku/>
        <w:overflowPunct/>
        <w:topLinePunct w:val="0"/>
        <w:autoSpaceDE/>
        <w:autoSpaceDN/>
        <w:bidi w:val="0"/>
        <w:spacing w:line="440" w:lineRule="exact"/>
        <w:ind w:firstLine="482" w:firstLineChars="200"/>
        <w:rPr>
          <w:rFonts w:hint="eastAsia" w:ascii="Times New Roman"/>
          <w:snapToGrid w:val="0"/>
          <w:color w:val="auto"/>
          <w:kern w:val="0"/>
          <w:highlight w:val="none"/>
        </w:rPr>
      </w:pPr>
      <w:r>
        <w:rPr>
          <w:rFonts w:hint="eastAsia"/>
          <w:b/>
          <w:bCs/>
          <w:color w:val="auto"/>
          <w:highlight w:val="none"/>
        </w:rPr>
        <w:t>1</w:t>
      </w:r>
      <w:r>
        <w:rPr>
          <w:rFonts w:hint="eastAsia" w:ascii="Times New Roman"/>
          <w:b/>
          <w:bCs/>
          <w:snapToGrid w:val="0"/>
          <w:color w:val="auto"/>
          <w:kern w:val="0"/>
          <w:highlight w:val="none"/>
        </w:rPr>
        <w:t>3.5</w:t>
      </w:r>
      <w:r>
        <w:rPr>
          <w:rFonts w:hint="eastAsia" w:ascii="Times New Roman"/>
          <w:snapToGrid w:val="0"/>
          <w:color w:val="auto"/>
          <w:kern w:val="0"/>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lang w:val="en-US" w:eastAsia="zh-CN"/>
        </w:rPr>
        <w:t>13.6</w:t>
      </w:r>
      <w:r>
        <w:rPr>
          <w:rFonts w:hint="eastAsia" w:ascii="Times New Roman"/>
          <w:snapToGrid w:val="0"/>
          <w:color w:val="auto"/>
          <w:kern w:val="0"/>
          <w:highlight w:val="none"/>
        </w:rPr>
        <w:t>代理机构对因不可抗力事件造成的投标文件的损坏、丢失的，不承担责任。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13.</w:t>
      </w:r>
      <w:r>
        <w:rPr>
          <w:rFonts w:hint="eastAsia" w:ascii="Times New Roman"/>
          <w:b/>
          <w:bCs/>
          <w:snapToGrid w:val="0"/>
          <w:color w:val="auto"/>
          <w:kern w:val="0"/>
          <w:highlight w:val="none"/>
          <w:lang w:val="en-US" w:eastAsia="zh-CN"/>
        </w:rPr>
        <w:t>7</w:t>
      </w:r>
      <w:r>
        <w:rPr>
          <w:rFonts w:hint="eastAsia" w:ascii="Times New Roman"/>
          <w:snapToGrid w:val="0"/>
          <w:color w:val="auto"/>
          <w:kern w:val="0"/>
          <w:highlight w:val="none"/>
        </w:rPr>
        <w:t>出现下述情形之一，属于未成功提交投标文件，按无效投标处理：</w:t>
      </w:r>
    </w:p>
    <w:p>
      <w:pPr>
        <w:keepNext w:val="0"/>
        <w:keepLines w:val="0"/>
        <w:pageBreakBefore w:val="0"/>
        <w:widowControl w:val="0"/>
        <w:numPr>
          <w:ilvl w:val="0"/>
          <w:numId w:val="3"/>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lang w:val="en-US" w:eastAsia="zh-CN"/>
        </w:rPr>
        <w:t>)</w:t>
      </w:r>
      <w:r>
        <w:rPr>
          <w:rFonts w:hint="eastAsia" w:ascii="Times New Roman"/>
          <w:snapToGrid w:val="0"/>
          <w:color w:val="auto"/>
          <w:kern w:val="0"/>
          <w:highlight w:val="none"/>
        </w:rPr>
        <w:t>至提交投标文件截止时，投标文件未完整上传及提交标书；</w:t>
      </w:r>
    </w:p>
    <w:p>
      <w:pPr>
        <w:keepNext w:val="0"/>
        <w:keepLines w:val="0"/>
        <w:pageBreakBefore w:val="0"/>
        <w:widowControl w:val="0"/>
        <w:numPr>
          <w:ilvl w:val="0"/>
          <w:numId w:val="3"/>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rPr>
        <w:t>投标文件未按投标格式中注明需签字盖章的要求进行签名（含电子签名）和加盖电子印章，或签名（含电子签名）或电子印章不完整的；</w:t>
      </w:r>
    </w:p>
    <w:p>
      <w:pPr>
        <w:keepNext w:val="0"/>
        <w:keepLines w:val="0"/>
        <w:pageBreakBefore w:val="0"/>
        <w:widowControl w:val="0"/>
        <w:numPr>
          <w:ilvl w:val="0"/>
          <w:numId w:val="3"/>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rPr>
        <w:t>解密失败且在规定时间内未重新提交投标文件的</w:t>
      </w:r>
      <w:r>
        <w:rPr>
          <w:rFonts w:hint="eastAsia" w:ascii="Times New Roman"/>
          <w:snapToGrid w:val="0"/>
          <w:color w:val="auto"/>
          <w:kern w:val="0"/>
          <w:highlight w:val="none"/>
          <w:lang w:eastAsia="zh-CN"/>
        </w:rPr>
        <w:t>；</w:t>
      </w:r>
    </w:p>
    <w:p>
      <w:pPr>
        <w:keepNext w:val="0"/>
        <w:keepLines w:val="0"/>
        <w:pageBreakBefore w:val="0"/>
        <w:widowControl w:val="0"/>
        <w:numPr>
          <w:ilvl w:val="0"/>
          <w:numId w:val="3"/>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rPr>
        <w:t>投标文件损坏或格式不正确的；</w:t>
      </w:r>
    </w:p>
    <w:p>
      <w:pPr>
        <w:keepNext w:val="0"/>
        <w:keepLines w:val="0"/>
        <w:pageBreakBefore w:val="0"/>
        <w:widowControl w:val="0"/>
        <w:numPr>
          <w:ilvl w:val="0"/>
          <w:numId w:val="3"/>
        </w:numPr>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ascii="Times New Roman"/>
          <w:snapToGrid w:val="0"/>
          <w:color w:val="auto"/>
          <w:kern w:val="0"/>
          <w:highlight w:val="none"/>
        </w:rPr>
        <w:t>未在指定的时间递交相关资料的（如有）；</w:t>
      </w:r>
    </w:p>
    <w:p>
      <w:pPr>
        <w:keepNext w:val="0"/>
        <w:keepLines w:val="0"/>
        <w:pageBreakBefore w:val="0"/>
        <w:widowControl w:val="0"/>
        <w:numPr>
          <w:ilvl w:val="0"/>
          <w:numId w:val="0"/>
        </w:numPr>
        <w:kinsoku/>
        <w:overflowPunct/>
        <w:topLinePunct w:val="0"/>
        <w:autoSpaceDE/>
        <w:autoSpaceDN/>
        <w:bidi w:val="0"/>
        <w:spacing w:line="440" w:lineRule="exact"/>
        <w:ind w:firstLine="482" w:firstLineChars="200"/>
        <w:textAlignment w:val="auto"/>
        <w:rPr>
          <w:rFonts w:hint="eastAsia"/>
          <w:color w:val="auto"/>
          <w:highlight w:val="none"/>
        </w:rPr>
      </w:pPr>
      <w:r>
        <w:rPr>
          <w:rFonts w:hint="eastAsia"/>
          <w:b/>
          <w:bCs/>
          <w:color w:val="auto"/>
          <w:highlight w:val="none"/>
        </w:rPr>
        <w:t>13.</w:t>
      </w:r>
      <w:r>
        <w:rPr>
          <w:rFonts w:hint="eastAsia"/>
          <w:b/>
          <w:bCs/>
          <w:color w:val="auto"/>
          <w:highlight w:val="none"/>
          <w:lang w:val="en-US" w:eastAsia="zh-CN"/>
        </w:rPr>
        <w:t>8</w:t>
      </w:r>
      <w:r>
        <w:rPr>
          <w:rFonts w:hint="eastAsia"/>
          <w:b/>
          <w:bCs/>
          <w:color w:val="auto"/>
          <w:highlight w:val="none"/>
        </w:rPr>
        <w:t xml:space="preserve"> </w:t>
      </w:r>
      <w:r>
        <w:rPr>
          <w:rFonts w:hint="eastAsia"/>
          <w:color w:val="auto"/>
          <w:highlight w:val="none"/>
        </w:rPr>
        <w:t>投标人代表尚应递交以下的资料（如有）：</w:t>
      </w:r>
    </w:p>
    <w:p>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color w:val="auto"/>
          <w:highlight w:val="none"/>
        </w:rPr>
        <w:t xml:space="preserve"> 招标文件要求提交的用于评审的证书、证件、证明原件（附一式</w:t>
      </w:r>
      <w:r>
        <w:rPr>
          <w:rFonts w:hint="eastAsia"/>
          <w:color w:val="auto"/>
          <w:highlight w:val="none"/>
          <w:lang w:val="en-US" w:eastAsia="zh-CN"/>
        </w:rPr>
        <w:t>两</w:t>
      </w:r>
      <w:r>
        <w:rPr>
          <w:rFonts w:hint="eastAsia"/>
          <w:color w:val="auto"/>
          <w:highlight w:val="none"/>
        </w:rPr>
        <w:t>份清单）。</w:t>
      </w:r>
    </w:p>
    <w:p>
      <w:pPr>
        <w:keepNext w:val="0"/>
        <w:keepLines w:val="0"/>
        <w:pageBreakBefore w:val="0"/>
        <w:widowControl w:val="0"/>
        <w:kinsoku/>
        <w:overflowPunct/>
        <w:topLinePunct w:val="0"/>
        <w:autoSpaceDE/>
        <w:autoSpaceDN/>
        <w:bidi w:val="0"/>
        <w:spacing w:line="440" w:lineRule="exact"/>
        <w:ind w:firstLine="482" w:firstLineChars="200"/>
        <w:textAlignment w:val="auto"/>
        <w:rPr>
          <w:rFonts w:hint="eastAsia"/>
          <w:color w:val="auto"/>
          <w:highlight w:val="none"/>
        </w:rPr>
      </w:pPr>
      <w:r>
        <w:rPr>
          <w:rFonts w:hint="eastAsia"/>
          <w:b/>
          <w:bCs/>
          <w:color w:val="auto"/>
          <w:highlight w:val="none"/>
        </w:rPr>
        <w:t>13.9</w:t>
      </w:r>
      <w:r>
        <w:rPr>
          <w:rFonts w:hint="eastAsia"/>
          <w:color w:val="auto"/>
          <w:highlight w:val="none"/>
        </w:rPr>
        <w:t>招标人或其授权的招标代理机构核对、接收投标人递交的投标相关资料后，应向投标人出具标明签收人和签收时间的凭证，并妥善保管。</w:t>
      </w:r>
    </w:p>
    <w:p>
      <w:pPr>
        <w:spacing w:line="240" w:lineRule="auto"/>
        <w:ind w:firstLine="482" w:firstLineChars="200"/>
        <w:rPr>
          <w:rFonts w:hint="eastAsia" w:ascii="Times New Roman"/>
          <w:b/>
          <w:snapToGrid w:val="0"/>
          <w:color w:val="auto"/>
          <w:kern w:val="0"/>
          <w:highlight w:val="none"/>
        </w:rPr>
      </w:pPr>
      <w:r>
        <w:rPr>
          <w:rFonts w:hint="eastAsia" w:ascii="宋体" w:hAnsi="Times New Roman" w:eastAsia="宋体" w:cs="Times New Roman"/>
          <w:b/>
          <w:bCs/>
          <w:highlight w:val="none"/>
        </w:rPr>
        <w:t>13.10</w:t>
      </w:r>
      <w:r>
        <w:rPr>
          <w:rFonts w:hint="eastAsia" w:ascii="宋体" w:hAnsi="Times New Roman" w:eastAsia="宋体" w:cs="Times New Roman"/>
          <w:highlight w:val="none"/>
        </w:rPr>
        <w:t>本次招标投标有效期为</w:t>
      </w:r>
      <w:r>
        <w:rPr>
          <w:rFonts w:hint="eastAsia" w:ascii="宋体" w:eastAsia="宋体" w:cs="Times New Roman"/>
          <w:highlight w:val="none"/>
          <w:lang w:val="en-US" w:eastAsia="zh-CN"/>
        </w:rPr>
        <w:t>90</w:t>
      </w:r>
      <w:r>
        <w:rPr>
          <w:rFonts w:hint="eastAsia" w:ascii="宋体" w:hAnsi="Times New Roman" w:eastAsia="宋体" w:cs="Times New Roman"/>
          <w:highlight w:val="none"/>
        </w:rPr>
        <w:t>个日历天，投标有效期从提交投标文件的截止之日起计算。在此期间，投标人不得撤销或修改其投标文件，否则其投标保证不予退还。</w:t>
      </w:r>
    </w:p>
    <w:p>
      <w:pPr>
        <w:wordWrap w:val="0"/>
        <w:adjustRightInd w:val="0"/>
        <w:snapToGrid w:val="0"/>
        <w:spacing w:line="240" w:lineRule="auto"/>
        <w:ind w:firstLine="482" w:firstLineChars="200"/>
        <w:rPr>
          <w:rFonts w:hint="eastAsia" w:ascii="Times New Roman"/>
          <w:b/>
          <w:snapToGrid w:val="0"/>
          <w:color w:val="auto"/>
          <w:kern w:val="0"/>
          <w:highlight w:val="none"/>
        </w:rPr>
      </w:pPr>
    </w:p>
    <w:p>
      <w:pPr>
        <w:wordWrap w:val="0"/>
        <w:adjustRightInd w:val="0"/>
        <w:snapToGrid w:val="0"/>
        <w:spacing w:line="240" w:lineRule="auto"/>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14．开标</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14.1</w:t>
      </w:r>
      <w:r>
        <w:rPr>
          <w:rFonts w:hint="eastAsia"/>
          <w:snapToGrid w:val="0"/>
          <w:color w:val="auto"/>
          <w:kern w:val="0"/>
          <w:sz w:val="24"/>
          <w:highlight w:val="none"/>
        </w:rPr>
        <w:t xml:space="preserve"> 招标人邀请所有正确</w:t>
      </w:r>
      <w:r>
        <w:rPr>
          <w:rFonts w:hint="eastAsia" w:ascii="宋体" w:hAnsi="宋体" w:cs="宋体"/>
          <w:snapToGrid w:val="0"/>
          <w:color w:val="auto"/>
          <w:kern w:val="0"/>
          <w:sz w:val="24"/>
          <w:highlight w:val="none"/>
        </w:rPr>
        <w:t>获取招标文件、</w:t>
      </w:r>
      <w:r>
        <w:rPr>
          <w:rFonts w:hint="eastAsia"/>
          <w:snapToGrid w:val="0"/>
          <w:color w:val="auto"/>
          <w:kern w:val="0"/>
          <w:sz w:val="24"/>
          <w:highlight w:val="none"/>
        </w:rPr>
        <w:t>电子投标、缴纳投标保证的投标人参加开标，投标人可自主决定是否参加。</w:t>
      </w:r>
      <w:r>
        <w:rPr>
          <w:rFonts w:hint="eastAsia" w:ascii="宋体" w:hAnsi="宋体" w:cs="宋体"/>
          <w:snapToGrid w:val="0"/>
          <w:color w:val="auto"/>
          <w:kern w:val="0"/>
          <w:sz w:val="24"/>
          <w:highlight w:val="none"/>
        </w:rPr>
        <w:t>投标人可登陆交易平台观看开标实况、提出异议或进行澄清、确认等操作（具体按招标文件和系统操作手册为准）。</w:t>
      </w:r>
      <w:r>
        <w:rPr>
          <w:rFonts w:hint="eastAsia"/>
          <w:snapToGrid w:val="0"/>
          <w:color w:val="auto"/>
          <w:kern w:val="0"/>
          <w:sz w:val="24"/>
          <w:highlight w:val="none"/>
        </w:rPr>
        <w:t>投标人不参加开标的，视其默认开标结果，以及放弃在开标期间见证、监督、投诉、申辩的权利。</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14.1.1</w:t>
      </w:r>
      <w:r>
        <w:rPr>
          <w:rFonts w:hint="eastAsia"/>
          <w:snapToGrid w:val="0"/>
          <w:color w:val="auto"/>
          <w:kern w:val="0"/>
          <w:sz w:val="24"/>
          <w:highlight w:val="none"/>
        </w:rPr>
        <w:t xml:space="preserve"> 开标时间和地点：见本章第二节“重要事项时间地点一览表”。</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14.1.2</w:t>
      </w:r>
      <w:r>
        <w:rPr>
          <w:rFonts w:hint="eastAsia"/>
          <w:snapToGrid w:val="0"/>
          <w:color w:val="auto"/>
          <w:kern w:val="0"/>
          <w:sz w:val="24"/>
          <w:highlight w:val="none"/>
        </w:rPr>
        <w:t xml:space="preserve"> </w:t>
      </w:r>
      <w:r>
        <w:rPr>
          <w:rFonts w:hint="eastAsia" w:ascii="宋体" w:hAnsi="宋体" w:cs="宋体"/>
          <w:snapToGrid w:val="0"/>
          <w:color w:val="auto"/>
          <w:kern w:val="0"/>
          <w:sz w:val="24"/>
          <w:highlight w:val="none"/>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cs="宋体"/>
          <w:snapToGrid w:val="0"/>
          <w:color w:val="auto"/>
          <w:kern w:val="0"/>
          <w:sz w:val="24"/>
          <w:highlight w:val="none"/>
          <w:lang w:eastAsia="zh-CN"/>
        </w:rPr>
        <w:t>全国公共资源交易平台（广东省·韶关市）（https://ygp.gdzwfw.gov.cn/ggzy-portal/#/440200/index）</w:t>
      </w:r>
      <w:r>
        <w:rPr>
          <w:rFonts w:hint="eastAsia" w:ascii="宋体" w:hAnsi="宋体" w:cs="宋体"/>
          <w:snapToGrid w:val="0"/>
          <w:color w:val="auto"/>
          <w:kern w:val="0"/>
          <w:sz w:val="24"/>
          <w:highlight w:val="none"/>
        </w:rPr>
        <w:t>查询是否发布了取消开标活动的相关信息。</w:t>
      </w:r>
    </w:p>
    <w:p>
      <w:pPr>
        <w:wordWrap w:val="0"/>
        <w:adjustRightInd w:val="0"/>
        <w:snapToGrid w:val="0"/>
        <w:spacing w:line="440" w:lineRule="exact"/>
        <w:ind w:firstLine="480"/>
        <w:rPr>
          <w:rFonts w:hint="eastAsia"/>
          <w:color w:val="auto"/>
          <w:highlight w:val="none"/>
        </w:rPr>
      </w:pPr>
      <w:r>
        <w:rPr>
          <w:rFonts w:hint="eastAsia" w:hAnsi="宋体" w:cs="宋体"/>
          <w:b/>
          <w:bCs/>
          <w:snapToGrid w:val="0"/>
          <w:color w:val="auto"/>
          <w:kern w:val="0"/>
          <w:highlight w:val="none"/>
        </w:rPr>
        <w:t>14.1.3</w:t>
      </w:r>
      <w:r>
        <w:rPr>
          <w:rFonts w:hint="eastAsia" w:hAnsi="宋体" w:cs="宋体"/>
          <w:snapToGrid w:val="0"/>
          <w:color w:val="auto"/>
          <w:kern w:val="0"/>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pPr>
        <w:wordWrap w:val="0"/>
        <w:adjustRightInd w:val="0"/>
        <w:snapToGrid w:val="0"/>
        <w:spacing w:line="440" w:lineRule="exact"/>
        <w:ind w:firstLine="482" w:firstLineChars="200"/>
        <w:rPr>
          <w:rFonts w:hint="eastAsia" w:ascii="Times New Roman"/>
          <w:b/>
          <w:bCs/>
          <w:snapToGrid w:val="0"/>
          <w:color w:val="auto"/>
          <w:kern w:val="0"/>
          <w:highlight w:val="none"/>
        </w:rPr>
      </w:pP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14.2</w:t>
      </w:r>
      <w:r>
        <w:rPr>
          <w:rFonts w:hint="eastAsia" w:ascii="Times New Roman"/>
          <w:snapToGrid w:val="0"/>
          <w:color w:val="auto"/>
          <w:kern w:val="0"/>
          <w:highlight w:val="none"/>
        </w:rPr>
        <w:t xml:space="preserve"> 开标程序</w:t>
      </w:r>
      <w:bookmarkStart w:id="108" w:name="_Toc7418"/>
      <w:bookmarkStart w:id="109" w:name="_Toc1282"/>
    </w:p>
    <w:p>
      <w:pPr>
        <w:wordWrap w:val="0"/>
        <w:adjustRightInd w:val="0"/>
        <w:snapToGrid w:val="0"/>
        <w:spacing w:line="440" w:lineRule="exact"/>
        <w:ind w:left="480" w:leftChars="200" w:firstLine="0" w:firstLineChars="0"/>
        <w:rPr>
          <w:rFonts w:hint="eastAsia" w:ascii="Times New Roman"/>
          <w:snapToGrid w:val="0"/>
          <w:color w:val="auto"/>
          <w:kern w:val="0"/>
          <w:highlight w:val="none"/>
        </w:rPr>
      </w:pPr>
      <w:r>
        <w:rPr>
          <w:rFonts w:hint="eastAsia" w:ascii="Times New Roman"/>
          <w:snapToGrid w:val="0"/>
          <w:color w:val="auto"/>
          <w:kern w:val="0"/>
          <w:highlight w:val="none"/>
        </w:rPr>
        <w:t>（1）主持人（招标人代表或招标人授权的招标代理机构人员）宣读开标纪律。</w:t>
      </w:r>
      <w:bookmarkEnd w:id="108"/>
      <w:bookmarkEnd w:id="109"/>
      <w:bookmarkStart w:id="110" w:name="_Toc4807"/>
      <w:bookmarkStart w:id="111" w:name="_Toc30474"/>
      <w:r>
        <w:rPr>
          <w:rFonts w:hint="eastAsia" w:ascii="Times New Roman"/>
          <w:snapToGrid w:val="0"/>
          <w:color w:val="auto"/>
          <w:kern w:val="0"/>
          <w:highlight w:val="none"/>
        </w:rPr>
        <w:t>（2）主持人宣布唱标人、记录人、见证人、监督人等有关人员姓名。</w:t>
      </w:r>
      <w:bookmarkEnd w:id="110"/>
      <w:bookmarkEnd w:id="111"/>
      <w:bookmarkStart w:id="112" w:name="_Toc3180"/>
      <w:bookmarkStart w:id="113" w:name="_Toc28242"/>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（3）唱标人公布在投标截止时间前进行投标文件的投标人数量和名称，并现场核实参加开标的投标人数量和名称。投标人未参加开标的，招标代理机构应将有关情形在《开标一览表》“备注”栏中注明。</w:t>
      </w:r>
      <w:bookmarkEnd w:id="112"/>
      <w:bookmarkEnd w:id="113"/>
      <w:bookmarkStart w:id="114" w:name="_Toc29778"/>
      <w:bookmarkStart w:id="115" w:name="_Toc10498"/>
    </w:p>
    <w:p>
      <w:pPr>
        <w:wordWrap w:val="0"/>
        <w:adjustRightInd w:val="0"/>
        <w:snapToGrid w:val="0"/>
        <w:spacing w:line="440" w:lineRule="exact"/>
        <w:ind w:firstLine="480" w:firstLineChars="200"/>
        <w:rPr>
          <w:rFonts w:hint="eastAsia"/>
          <w:b/>
          <w:bCs/>
          <w:color w:val="auto"/>
          <w:highlight w:val="none"/>
        </w:rPr>
      </w:pPr>
      <w:r>
        <w:rPr>
          <w:rFonts w:hint="eastAsia" w:ascii="Times New Roman"/>
          <w:snapToGrid w:val="0"/>
          <w:color w:val="auto"/>
          <w:kern w:val="0"/>
          <w:highlight w:val="none"/>
        </w:rPr>
        <w:t>（4）招标代理机构会同交易场所工作人员对投标人的电子投标信息进行解密，建设工程交易系统自动生成《投标保证缴纳情况表》和《开标一览表》。</w:t>
      </w:r>
      <w:bookmarkEnd w:id="114"/>
      <w:bookmarkEnd w:id="115"/>
    </w:p>
    <w:p>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b/>
          <w:bCs/>
          <w:color w:val="auto"/>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14.3</w:t>
      </w:r>
      <w:r>
        <w:rPr>
          <w:rFonts w:hint="eastAsia" w:ascii="Times New Roman"/>
          <w:snapToGrid w:val="0"/>
          <w:color w:val="auto"/>
          <w:kern w:val="0"/>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14.4</w:t>
      </w:r>
      <w:r>
        <w:rPr>
          <w:rFonts w:hint="eastAsia" w:ascii="Times New Roman"/>
          <w:snapToGrid w:val="0"/>
          <w:color w:val="auto"/>
          <w:kern w:val="0"/>
          <w:highlight w:val="none"/>
        </w:rPr>
        <w:t xml:space="preserve"> 施工组织设计采用“暗标”方式进行评审的，在开标结束并清场后，由招标人代表在见证人或监督人见证下对施工组织设计文本及对应保密信封进行编号。号码可为随机数字或字母，但应确保同一投标人的施工组织设计文本编号与保密信封编号保持一致。招标人代表编号完毕后，将所有投标人的保密信封取出并装入同一个密封袋，并用封条密封。</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14.5</w:t>
      </w:r>
      <w:r>
        <w:rPr>
          <w:rFonts w:hint="eastAsia" w:ascii="Times New Roman"/>
          <w:snapToGrid w:val="0"/>
          <w:color w:val="auto"/>
          <w:kern w:val="0"/>
          <w:highlight w:val="none"/>
        </w:rPr>
        <w:t xml:space="preserve"> </w:t>
      </w:r>
      <w:bookmarkStart w:id="116" w:name="_Hlt127093805"/>
      <w:bookmarkEnd w:id="116"/>
      <w:r>
        <w:rPr>
          <w:rFonts w:hint="eastAsia" w:ascii="Times New Roman"/>
          <w:snapToGrid w:val="0"/>
          <w:color w:val="auto"/>
          <w:kern w:val="0"/>
          <w:highlight w:val="none"/>
        </w:rPr>
        <w:t>招标代理机构将资料原件</w:t>
      </w:r>
      <w:r>
        <w:rPr>
          <w:rFonts w:hint="eastAsia" w:ascii="Times New Roman"/>
          <w:snapToGrid w:val="0"/>
          <w:color w:val="auto"/>
          <w:kern w:val="0"/>
          <w:highlight w:val="none"/>
          <w:lang w:eastAsia="zh-CN"/>
        </w:rPr>
        <w:t>（如有）</w:t>
      </w:r>
      <w:r>
        <w:rPr>
          <w:rFonts w:hint="eastAsia" w:ascii="Times New Roman"/>
          <w:snapToGrid w:val="0"/>
          <w:color w:val="auto"/>
          <w:kern w:val="0"/>
          <w:highlight w:val="none"/>
        </w:rPr>
        <w:t>、《开标一览表》以及其他有关资料移交评标委员会。</w:t>
      </w:r>
    </w:p>
    <w:p>
      <w:pPr>
        <w:wordWrap w:val="0"/>
        <w:adjustRightInd w:val="0"/>
        <w:snapToGrid w:val="0"/>
        <w:spacing w:line="440" w:lineRule="exact"/>
        <w:ind w:firstLine="482" w:firstLineChars="200"/>
        <w:rPr>
          <w:rFonts w:hint="eastAsia" w:ascii="Times New Roman"/>
          <w:b/>
          <w:snapToGrid w:val="0"/>
          <w:color w:val="auto"/>
          <w:kern w:val="0"/>
          <w:highlight w:val="none"/>
        </w:rPr>
      </w:pPr>
    </w:p>
    <w:p>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snapToGrid w:val="0"/>
          <w:color w:val="auto"/>
          <w:kern w:val="0"/>
          <w:highlight w:val="none"/>
        </w:rPr>
        <w:t>15．评标</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Times New Roman"/>
          <w:snapToGrid w:val="0"/>
          <w:color w:val="auto"/>
          <w:kern w:val="0"/>
          <w:highlight w:val="none"/>
          <w:u w:val="single"/>
        </w:rPr>
        <w:t xml:space="preserve"> 3 </w:t>
      </w:r>
      <w:r>
        <w:rPr>
          <w:rFonts w:hint="eastAsia" w:ascii="Times New Roman"/>
          <w:snapToGrid w:val="0"/>
          <w:color w:val="auto"/>
          <w:kern w:val="0"/>
          <w:highlight w:val="none"/>
        </w:rPr>
        <w:t>个中标候选人，并向招标人提交由全体评标委员会成员签字的评标报告。</w:t>
      </w:r>
    </w:p>
    <w:p>
      <w:pPr>
        <w:wordWrap w:val="0"/>
        <w:adjustRightInd w:val="0"/>
        <w:snapToGrid w:val="0"/>
        <w:spacing w:line="440" w:lineRule="exact"/>
        <w:ind w:firstLine="482" w:firstLineChars="200"/>
        <w:rPr>
          <w:rFonts w:hint="eastAsia" w:ascii="Times New Roman"/>
          <w:bCs/>
          <w:snapToGrid w:val="0"/>
          <w:color w:val="auto"/>
          <w:kern w:val="0"/>
          <w:highlight w:val="none"/>
        </w:rPr>
      </w:pPr>
      <w:r>
        <w:rPr>
          <w:rFonts w:hint="eastAsia" w:ascii="Times New Roman"/>
          <w:b/>
          <w:bCs/>
          <w:snapToGrid w:val="0"/>
          <w:color w:val="auto"/>
          <w:kern w:val="0"/>
          <w:highlight w:val="none"/>
        </w:rPr>
        <w:t>15.1</w:t>
      </w:r>
      <w:r>
        <w:rPr>
          <w:rFonts w:hint="eastAsia" w:ascii="Times New Roman"/>
          <w:bCs/>
          <w:snapToGrid w:val="0"/>
          <w:color w:val="auto"/>
          <w:kern w:val="0"/>
          <w:highlight w:val="none"/>
        </w:rPr>
        <w:t xml:space="preserve"> 评标委员会</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15.1.1</w:t>
      </w:r>
      <w:r>
        <w:rPr>
          <w:rFonts w:hint="eastAsia" w:ascii="Times New Roman"/>
          <w:snapToGrid w:val="0"/>
          <w:color w:val="auto"/>
          <w:kern w:val="0"/>
          <w:highlight w:val="none"/>
        </w:rPr>
        <w:t xml:space="preserve"> </w:t>
      </w:r>
      <w:r>
        <w:rPr>
          <w:rFonts w:hAnsi="宋体" w:cs="宋体"/>
          <w:snapToGrid w:val="0"/>
          <w:color w:val="auto"/>
          <w:kern w:val="0"/>
          <w:highlight w:val="none"/>
        </w:rPr>
        <w:t>评标委员会由</w:t>
      </w:r>
      <w:r>
        <w:rPr>
          <w:rFonts w:hAnsi="宋体" w:cs="宋体"/>
          <w:snapToGrid w:val="0"/>
          <w:color w:val="auto"/>
          <w:kern w:val="0"/>
          <w:highlight w:val="none"/>
          <w:u w:val="single"/>
        </w:rPr>
        <w:t>5</w:t>
      </w:r>
      <w:r>
        <w:rPr>
          <w:rFonts w:hAnsi="宋体" w:cs="宋体"/>
          <w:snapToGrid w:val="0"/>
          <w:color w:val="auto"/>
          <w:kern w:val="0"/>
          <w:highlight w:val="none"/>
        </w:rPr>
        <w:t>人组成，其中招标人代表</w:t>
      </w:r>
      <w:r>
        <w:rPr>
          <w:rFonts w:hAnsi="宋体" w:cs="宋体"/>
          <w:snapToGrid w:val="0"/>
          <w:color w:val="auto"/>
          <w:kern w:val="0"/>
          <w:highlight w:val="none"/>
          <w:u w:val="single"/>
        </w:rPr>
        <w:t>0</w:t>
      </w:r>
      <w:r>
        <w:rPr>
          <w:rFonts w:hAnsi="宋体" w:cs="宋体"/>
          <w:snapToGrid w:val="0"/>
          <w:color w:val="auto"/>
          <w:kern w:val="0"/>
          <w:highlight w:val="none"/>
        </w:rPr>
        <w:t>人，专家</w:t>
      </w:r>
      <w:r>
        <w:rPr>
          <w:rFonts w:hAnsi="宋体" w:cs="宋体"/>
          <w:snapToGrid w:val="0"/>
          <w:color w:val="auto"/>
          <w:kern w:val="0"/>
          <w:highlight w:val="none"/>
          <w:u w:val="single"/>
        </w:rPr>
        <w:t>5</w:t>
      </w:r>
      <w:r>
        <w:rPr>
          <w:rFonts w:hAnsi="宋体" w:cs="宋体"/>
          <w:snapToGrid w:val="0"/>
          <w:color w:val="auto"/>
          <w:kern w:val="0"/>
          <w:highlight w:val="none"/>
        </w:rPr>
        <w:t>人。</w:t>
      </w:r>
      <w:r>
        <w:rPr>
          <w:rFonts w:hAnsi="宋体" w:cs="宋体"/>
          <w:b/>
          <w:bCs/>
          <w:snapToGrid w:val="0"/>
          <w:color w:val="auto"/>
          <w:kern w:val="0"/>
          <w:highlight w:val="none"/>
        </w:rPr>
        <w:t>专家从广东省综合评标评审专家库-韶关市区域中随机抽取</w:t>
      </w:r>
      <w:r>
        <w:rPr>
          <w:rFonts w:hAnsi="宋体" w:cs="宋体"/>
          <w:snapToGrid w:val="0"/>
          <w:color w:val="auto"/>
          <w:kern w:val="0"/>
          <w:highlight w:val="none"/>
        </w:rPr>
        <w:t>，其中技术类专家</w:t>
      </w:r>
      <w:r>
        <w:rPr>
          <w:rFonts w:hAnsi="宋体" w:cs="宋体"/>
          <w:snapToGrid w:val="0"/>
          <w:color w:val="auto"/>
          <w:kern w:val="0"/>
          <w:highlight w:val="none"/>
          <w:u w:val="single"/>
        </w:rPr>
        <w:t>3</w:t>
      </w:r>
      <w:r>
        <w:rPr>
          <w:rFonts w:hAnsi="宋体" w:cs="宋体"/>
          <w:snapToGrid w:val="0"/>
          <w:color w:val="auto"/>
          <w:kern w:val="0"/>
          <w:highlight w:val="none"/>
        </w:rPr>
        <w:t>人，经济类专家</w:t>
      </w:r>
      <w:r>
        <w:rPr>
          <w:rFonts w:hAnsi="宋体" w:cs="宋体"/>
          <w:snapToGrid w:val="0"/>
          <w:color w:val="auto"/>
          <w:kern w:val="0"/>
          <w:highlight w:val="none"/>
          <w:u w:val="single"/>
        </w:rPr>
        <w:t xml:space="preserve"> 2 </w:t>
      </w:r>
      <w:r>
        <w:rPr>
          <w:rFonts w:hAnsi="宋体" w:cs="宋体"/>
          <w:snapToGrid w:val="0"/>
          <w:color w:val="auto"/>
          <w:kern w:val="0"/>
          <w:highlight w:val="none"/>
        </w:rPr>
        <w:t>人。评标委员会设负责人，由评标委员会成员推举产生。评标委员会负责人与评标委员会的其他成员有同等的表决权。</w:t>
      </w:r>
    </w:p>
    <w:p>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15.1.2</w:t>
      </w:r>
      <w:r>
        <w:rPr>
          <w:rFonts w:hint="eastAsia" w:ascii="Times New Roman"/>
          <w:snapToGrid w:val="0"/>
          <w:color w:val="auto"/>
          <w:kern w:val="0"/>
          <w:highlight w:val="none"/>
        </w:rPr>
        <w:t xml:space="preserve"> 评标委员会应认真、公正、诚实、廉洁地履行职责。有下列情形之一的，不得担任评标委员会成员：</w:t>
      </w:r>
    </w:p>
    <w:p>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（1）投标人或投标人主要负责人的近亲属；</w:t>
      </w:r>
    </w:p>
    <w:p>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（2）项目主管部门或者行政监督部门的人员；</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（3）与投标人有经济利益关系，可能影响对投标公正评审的；</w:t>
      </w:r>
    </w:p>
    <w:p>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（4）曾因在招标、评标以及其他与招标投标有关活动中从事违法行为而受过行政处罚或刑事处罚的。</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评标委员会成员有以上情形之一的，应主动提出回避。</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15.1.3</w:t>
      </w:r>
      <w:r>
        <w:rPr>
          <w:rFonts w:hint="eastAsia" w:ascii="Times New Roman"/>
          <w:snapToGrid w:val="0"/>
          <w:color w:val="auto"/>
          <w:kern w:val="0"/>
          <w:highlight w:val="none"/>
        </w:rPr>
        <w:t xml:space="preserve"> 评标全过程实行封闭式管理，在中标结果公布前，禁止评标委员会成员以任何方式私下接触投标人。</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15.1.4</w:t>
      </w:r>
      <w:r>
        <w:rPr>
          <w:rFonts w:hint="eastAsia" w:ascii="Times New Roman"/>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pPr>
        <w:wordWrap w:val="0"/>
        <w:adjustRightInd w:val="0"/>
        <w:snapToGrid w:val="0"/>
        <w:spacing w:line="440" w:lineRule="exact"/>
        <w:ind w:firstLine="562"/>
        <w:rPr>
          <w:rFonts w:hint="eastAsia" w:ascii="Times New Roman"/>
          <w:b/>
          <w:snapToGrid w:val="0"/>
          <w:color w:val="auto"/>
          <w:kern w:val="0"/>
          <w:szCs w:val="22"/>
          <w:highlight w:val="none"/>
        </w:rPr>
      </w:pPr>
      <w:r>
        <w:rPr>
          <w:rFonts w:hint="eastAsia" w:ascii="Times New Roman"/>
          <w:b/>
          <w:bCs/>
          <w:snapToGrid w:val="0"/>
          <w:color w:val="auto"/>
          <w:kern w:val="0"/>
          <w:highlight w:val="none"/>
        </w:rPr>
        <w:t>15.1.5</w:t>
      </w:r>
      <w:r>
        <w:rPr>
          <w:rFonts w:hint="eastAsia" w:ascii="Times New Roman"/>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pPr>
        <w:wordWrap w:val="0"/>
        <w:adjustRightInd w:val="0"/>
        <w:snapToGrid w:val="0"/>
        <w:spacing w:line="440" w:lineRule="exact"/>
        <w:ind w:firstLine="561"/>
        <w:rPr>
          <w:rFonts w:hint="eastAsia" w:ascii="Times New Roman"/>
          <w:b/>
          <w:bCs/>
          <w:snapToGrid w:val="0"/>
          <w:color w:val="auto"/>
          <w:kern w:val="0"/>
          <w:highlight w:val="none"/>
        </w:rPr>
      </w:pPr>
    </w:p>
    <w:p>
      <w:pPr>
        <w:wordWrap w:val="0"/>
        <w:adjustRightInd w:val="0"/>
        <w:snapToGrid w:val="0"/>
        <w:spacing w:line="440" w:lineRule="exact"/>
        <w:ind w:firstLine="561"/>
        <w:rPr>
          <w:rFonts w:hint="eastAsia" w:ascii="Times New Roman"/>
          <w:bCs/>
          <w:snapToGrid w:val="0"/>
          <w:color w:val="auto"/>
          <w:kern w:val="0"/>
          <w:highlight w:val="none"/>
        </w:rPr>
      </w:pPr>
      <w:r>
        <w:rPr>
          <w:rFonts w:hint="eastAsia" w:ascii="Times New Roman"/>
          <w:b/>
          <w:bCs/>
          <w:snapToGrid w:val="0"/>
          <w:color w:val="auto"/>
          <w:kern w:val="0"/>
          <w:highlight w:val="none"/>
        </w:rPr>
        <w:t>15.2</w:t>
      </w:r>
      <w:r>
        <w:rPr>
          <w:rFonts w:hint="eastAsia" w:ascii="Times New Roman"/>
          <w:bCs/>
          <w:snapToGrid w:val="0"/>
          <w:color w:val="auto"/>
          <w:kern w:val="0"/>
          <w:szCs w:val="22"/>
          <w:highlight w:val="none"/>
        </w:rPr>
        <w:t xml:space="preserve"> 评标方法</w:t>
      </w: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根据有关法律、法规的相关规定，结合本招标项目资金来源和规模特点，本次招标采用</w:t>
      </w:r>
      <w:r>
        <w:rPr>
          <w:rFonts w:hint="eastAsia" w:ascii="Times New Roman"/>
          <w:snapToGrid w:val="0"/>
          <w:color w:val="auto"/>
          <w:kern w:val="0"/>
          <w:highlight w:val="none"/>
          <w:u w:val="single"/>
        </w:rPr>
        <w:t xml:space="preserve"> </w:t>
      </w:r>
      <w:r>
        <w:rPr>
          <w:rFonts w:hAnsi="宋体" w:cs="宋体"/>
          <w:b/>
          <w:bCs/>
          <w:snapToGrid w:val="0"/>
          <w:color w:val="auto"/>
          <w:kern w:val="0"/>
          <w:highlight w:val="none"/>
          <w:u w:val="single"/>
        </w:rPr>
        <w:t>综合评估法</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（评标方法名称）进行评标。</w:t>
      </w:r>
    </w:p>
    <w:p>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 xml:space="preserve">    15.3 </w:t>
      </w:r>
      <w:r>
        <w:rPr>
          <w:rFonts w:hint="eastAsia" w:ascii="Times New Roman"/>
          <w:snapToGrid w:val="0"/>
          <w:color w:val="auto"/>
          <w:kern w:val="0"/>
          <w:highlight w:val="none"/>
        </w:rPr>
        <w:t>评审范围：评标委员会应对所有投标人的投标文件进行评审。</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15.4</w:t>
      </w:r>
      <w:r>
        <w:rPr>
          <w:rFonts w:hint="eastAsia" w:ascii="Times New Roman"/>
          <w:snapToGrid w:val="0"/>
          <w:color w:val="auto"/>
          <w:kern w:val="0"/>
          <w:highlight w:val="none"/>
        </w:rPr>
        <w:t xml:space="preserve"> 初步评审阶段</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初步评审阶段分为资格评审、形式评审和响应性评审三个环节。</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2" w:firstLineChars="20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15.4.1</w:t>
      </w:r>
      <w:r>
        <w:rPr>
          <w:rFonts w:hint="eastAsia" w:ascii="Times New Roman"/>
          <w:snapToGrid w:val="0"/>
          <w:color w:val="auto"/>
          <w:kern w:val="0"/>
          <w:highlight w:val="none"/>
        </w:rPr>
        <w:t xml:space="preserve"> 资格评审环节</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Times New Roman"/>
          <w:snapToGrid w:val="0"/>
          <w:color w:val="auto"/>
          <w:kern w:val="0"/>
          <w:highlight w:val="none"/>
        </w:rPr>
      </w:pPr>
      <w:r>
        <w:rPr>
          <w:rFonts w:hint="eastAsia" w:ascii="Times New Roman"/>
          <w:snapToGrid w:val="0"/>
          <w:color w:val="auto"/>
          <w:kern w:val="0"/>
          <w:highlight w:val="none"/>
        </w:rPr>
        <w:t>资格评审事项包括：</w:t>
      </w:r>
    </w:p>
    <w:p>
      <w:pPr>
        <w:wordWrap w:val="0"/>
        <w:adjustRightInd w:val="0"/>
        <w:snapToGrid w:val="0"/>
        <w:spacing w:line="420" w:lineRule="exact"/>
        <w:ind w:firstLine="480" w:firstLineChars="200"/>
        <w:rPr>
          <w:rFonts w:hint="eastAsia" w:ascii="Times New Roman"/>
          <w:snapToGrid w:val="0"/>
          <w:color w:val="auto"/>
          <w:kern w:val="0"/>
          <w:highlight w:val="none"/>
        </w:rPr>
      </w:pPr>
      <w:r>
        <w:rPr>
          <w:rFonts w:ascii="Times New Roman"/>
          <w:snapToGrid w:val="0"/>
          <w:color w:val="auto"/>
          <w:kern w:val="0"/>
          <w:highlight w:val="none"/>
        </w:rPr>
        <w:t>（1）</w:t>
      </w:r>
      <w:r>
        <w:rPr>
          <w:rFonts w:hint="eastAsia" w:ascii="Times New Roman"/>
          <w:snapToGrid w:val="0"/>
          <w:color w:val="auto"/>
          <w:kern w:val="0"/>
          <w:highlight w:val="none"/>
        </w:rPr>
        <w:t>投标人是否符合本章第三节第2.4条“禁止投标条款”规定。</w:t>
      </w:r>
    </w:p>
    <w:p>
      <w:pPr>
        <w:wordWrap w:val="0"/>
        <w:adjustRightInd w:val="0"/>
        <w:snapToGrid w:val="0"/>
        <w:spacing w:line="42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注：如果“禁止投标条款”包括严重失信主体的，投标人信用信息的获取采用现场实时查询的方式实施。由招标代理机构工作人员在评标委员会成员、交易场所工作人员共同见证下，登录信用中国网站（https://www.creditchina.gov.cn），在企业查询界面下载《法人和非法人组织公共信用信息报告》，作为评审依据移交评标委员会。</w:t>
      </w:r>
    </w:p>
    <w:p>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（2）</w:t>
      </w:r>
      <w:r>
        <w:rPr>
          <w:rFonts w:hint="eastAsia" w:ascii="Times New Roman"/>
          <w:snapToGrid w:val="0"/>
          <w:color w:val="auto"/>
          <w:kern w:val="0"/>
          <w:highlight w:val="none"/>
        </w:rPr>
        <w:t>投标人名称是否与营业执照、资质证书、安全生产许可证一致。</w:t>
      </w:r>
    </w:p>
    <w:p>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（3）</w:t>
      </w:r>
      <w:r>
        <w:rPr>
          <w:rFonts w:hint="eastAsia" w:ascii="Times New Roman"/>
          <w:snapToGrid w:val="0"/>
          <w:color w:val="auto"/>
          <w:kern w:val="0"/>
          <w:highlight w:val="none"/>
        </w:rPr>
        <w:t>投标人的资质是否符合招标文件规定；其营业执照、资质证书、安全生产许可证是否合法、有效、准确。</w:t>
      </w:r>
    </w:p>
    <w:p>
      <w:pPr>
        <w:wordWrap w:val="0"/>
        <w:adjustRightInd w:val="0"/>
        <w:snapToGrid w:val="0"/>
        <w:spacing w:line="400" w:lineRule="exact"/>
        <w:ind w:firstLine="480" w:firstLineChars="200"/>
        <w:jc w:val="left"/>
        <w:rPr>
          <w:rFonts w:hint="eastAsia" w:ascii="宋体" w:hAnsi="宋体" w:eastAsia="宋体" w:cs="宋体"/>
          <w:snapToGrid w:val="0"/>
          <w:color w:val="auto"/>
          <w:kern w:val="0"/>
          <w:highlight w:val="none"/>
        </w:rPr>
      </w:pPr>
      <w:r>
        <w:rPr>
          <w:rFonts w:ascii="Times New Roman"/>
          <w:snapToGrid w:val="0"/>
          <w:color w:val="auto"/>
          <w:kern w:val="0"/>
          <w:highlight w:val="none"/>
        </w:rPr>
        <w:t>（4）</w:t>
      </w:r>
      <w:r>
        <w:rPr>
          <w:rFonts w:hint="eastAsia" w:ascii="宋体" w:hAnsi="宋体" w:eastAsia="宋体" w:cs="宋体"/>
          <w:color w:val="auto"/>
          <w:highlight w:val="none"/>
        </w:rPr>
        <w:t>《项目经理简历表》中拟派项目经理是否与《开标一览表》一致。</w:t>
      </w:r>
    </w:p>
    <w:p>
      <w:pPr>
        <w:wordWrap w:val="0"/>
        <w:adjustRightInd w:val="0"/>
        <w:snapToGrid w:val="0"/>
        <w:spacing w:line="400" w:lineRule="exact"/>
        <w:ind w:firstLine="480" w:firstLineChars="200"/>
        <w:rPr>
          <w:snapToGrid w:val="0"/>
          <w:color w:val="auto"/>
          <w:kern w:val="0"/>
          <w:szCs w:val="24"/>
          <w:highlight w:val="none"/>
        </w:rPr>
      </w:pPr>
      <w:r>
        <w:rPr>
          <w:rFonts w:ascii="Times New Roman"/>
          <w:snapToGrid w:val="0"/>
          <w:color w:val="auto"/>
          <w:kern w:val="0"/>
          <w:highlight w:val="none"/>
        </w:rPr>
        <w:t>（5）</w:t>
      </w:r>
      <w:r>
        <w:rPr>
          <w:rFonts w:hint="eastAsia" w:ascii="Times New Roman"/>
          <w:snapToGrid w:val="0"/>
          <w:color w:val="auto"/>
          <w:kern w:val="0"/>
          <w:highlight w:val="none"/>
        </w:rPr>
        <w:t>拟派项目经理、项目技术负责人、专职安全员的条件是否符合招标文件规定；项目管理机构组成人员的各类证书、证件、证明是否合法、有效、准确；是否擅自修改、遗漏《项目经理任职声明》的实质性内容。</w:t>
      </w:r>
    </w:p>
    <w:p>
      <w:pPr>
        <w:pStyle w:val="136"/>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（6）投标人为外省建筑企业的，是否按规定在“进粤企业和人员诚信信息登记平台”录入企业及其拟派人员有关信息并通过数据规范检查。</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2" w:firstLineChars="200"/>
        <w:jc w:val="left"/>
        <w:textAlignment w:val="auto"/>
        <w:rPr>
          <w:rFonts w:hint="eastAsia" w:ascii="Times New Roman"/>
          <w:b/>
          <w:bCs/>
          <w:snapToGrid w:val="0"/>
          <w:color w:val="auto"/>
          <w:kern w:val="0"/>
          <w:highlight w:val="none"/>
        </w:rPr>
      </w:pPr>
    </w:p>
    <w:p>
      <w:pPr>
        <w:keepNext w:val="0"/>
        <w:keepLines w:val="0"/>
        <w:pageBreakBefore w:val="0"/>
        <w:widowControl w:val="0"/>
        <w:kinsoku/>
        <w:wordWrap w:val="0"/>
        <w:overflowPunct/>
        <w:topLinePunct w:val="0"/>
        <w:autoSpaceDE/>
        <w:autoSpaceDN/>
        <w:bidi w:val="0"/>
        <w:adjustRightInd w:val="0"/>
        <w:snapToGrid w:val="0"/>
        <w:spacing w:line="420" w:lineRule="exact"/>
        <w:ind w:firstLine="482" w:firstLineChars="200"/>
        <w:jc w:val="left"/>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15.4.2</w:t>
      </w:r>
      <w:r>
        <w:rPr>
          <w:rFonts w:hint="eastAsia" w:ascii="Times New Roman"/>
          <w:snapToGrid w:val="0"/>
          <w:color w:val="auto"/>
          <w:kern w:val="0"/>
          <w:highlight w:val="none"/>
        </w:rPr>
        <w:t xml:space="preserve"> 形式评审环节</w:t>
      </w:r>
    </w:p>
    <w:p>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形式评审事项包括：</w:t>
      </w:r>
    </w:p>
    <w:p>
      <w:pPr>
        <w:wordWrap w:val="0"/>
        <w:adjustRightInd w:val="0"/>
        <w:snapToGrid w:val="0"/>
        <w:spacing w:line="440" w:lineRule="exact"/>
        <w:ind w:firstLine="480" w:firstLineChars="200"/>
        <w:rPr>
          <w:rFonts w:hint="eastAsia" w:ascii="Times New Roman" w:hAnsi="Times New Roman" w:eastAsia="宋体" w:cs="Times New Roman"/>
          <w:snapToGrid w:val="0"/>
          <w:color w:val="auto"/>
          <w:kern w:val="0"/>
          <w:highlight w:val="none"/>
        </w:rPr>
      </w:pPr>
      <w:r>
        <w:rPr>
          <w:rFonts w:hint="eastAsia" w:ascii="Times New Roman" w:hAnsi="Times New Roman" w:eastAsia="宋体" w:cs="Times New Roman"/>
          <w:snapToGrid w:val="0"/>
          <w:color w:val="auto"/>
          <w:kern w:val="0"/>
          <w:highlight w:val="none"/>
          <w:lang w:eastAsia="zh-CN"/>
        </w:rPr>
        <w:t>（</w:t>
      </w:r>
      <w:r>
        <w:rPr>
          <w:rFonts w:hint="eastAsia" w:ascii="Times New Roman" w:hAnsi="Times New Roman" w:eastAsia="宋体" w:cs="Times New Roman"/>
          <w:snapToGrid w:val="0"/>
          <w:color w:val="auto"/>
          <w:kern w:val="0"/>
          <w:highlight w:val="none"/>
          <w:lang w:val="en-US" w:eastAsia="zh-CN"/>
        </w:rPr>
        <w:t>1</w:t>
      </w:r>
      <w:r>
        <w:rPr>
          <w:rFonts w:hint="eastAsia" w:ascii="Times New Roman" w:hAnsi="Times New Roman" w:eastAsia="宋体" w:cs="Times New Roman"/>
          <w:snapToGrid w:val="0"/>
          <w:color w:val="auto"/>
          <w:kern w:val="0"/>
          <w:highlight w:val="none"/>
          <w:lang w:eastAsia="zh-CN"/>
        </w:rPr>
        <w:t>）</w:t>
      </w:r>
      <w:r>
        <w:rPr>
          <w:rFonts w:hint="eastAsia" w:ascii="Times New Roman" w:hAnsi="Times New Roman" w:eastAsia="宋体" w:cs="Times New Roman"/>
          <w:snapToGrid w:val="0"/>
          <w:color w:val="auto"/>
          <w:kern w:val="0"/>
          <w:highlight w:val="none"/>
        </w:rPr>
        <w:t>各分册是否按招标文件规定加盖电子印章。</w:t>
      </w:r>
    </w:p>
    <w:p>
      <w:pPr>
        <w:wordWrap w:val="0"/>
        <w:adjustRightInd w:val="0"/>
        <w:snapToGrid w:val="0"/>
        <w:spacing w:line="440" w:lineRule="exact"/>
        <w:ind w:firstLine="480" w:firstLineChars="200"/>
        <w:rPr>
          <w:rFonts w:hint="eastAsia" w:ascii="Times New Roman" w:hAnsi="Times New Roman" w:eastAsia="宋体" w:cs="Times New Roman"/>
          <w:snapToGrid w:val="0"/>
          <w:color w:val="auto"/>
          <w:kern w:val="0"/>
          <w:highlight w:val="none"/>
          <w:lang w:eastAsia="zh-CN"/>
        </w:rPr>
      </w:pPr>
      <w:r>
        <w:rPr>
          <w:rFonts w:hint="eastAsia" w:ascii="Times New Roman" w:hAnsi="Times New Roman" w:eastAsia="宋体" w:cs="Times New Roman"/>
          <w:snapToGrid w:val="0"/>
          <w:color w:val="auto"/>
          <w:kern w:val="0"/>
          <w:highlight w:val="none"/>
        </w:rPr>
        <w:t>（</w:t>
      </w:r>
      <w:r>
        <w:rPr>
          <w:rFonts w:hint="eastAsia" w:ascii="Times New Roman" w:hAnsi="Times New Roman" w:eastAsia="宋体" w:cs="Times New Roman"/>
          <w:snapToGrid w:val="0"/>
          <w:color w:val="auto"/>
          <w:kern w:val="0"/>
          <w:highlight w:val="none"/>
          <w:lang w:val="en-US" w:eastAsia="zh-CN"/>
        </w:rPr>
        <w:t>2</w:t>
      </w:r>
      <w:r>
        <w:rPr>
          <w:rFonts w:hint="eastAsia" w:ascii="Times New Roman" w:hAnsi="Times New Roman" w:eastAsia="宋体" w:cs="Times New Roman"/>
          <w:snapToGrid w:val="0"/>
          <w:color w:val="auto"/>
          <w:kern w:val="0"/>
          <w:highlight w:val="none"/>
        </w:rPr>
        <w:t>）本节第10.2.2目、第10.3.2目、第10.4.3目中规定的“所有投标人均应提供”的组成内容（包括该组成内容的所附资料）是否完整、齐全</w:t>
      </w:r>
      <w:r>
        <w:rPr>
          <w:rFonts w:hint="eastAsia" w:ascii="Times New Roman" w:hAnsi="Times New Roman" w:eastAsia="宋体" w:cs="Times New Roman"/>
          <w:snapToGrid w:val="0"/>
          <w:color w:val="auto"/>
          <w:kern w:val="0"/>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2" w:firstLineChars="200"/>
        <w:textAlignment w:val="auto"/>
        <w:rPr>
          <w:rFonts w:hint="eastAsia" w:ascii="Times New Roman"/>
          <w:b/>
          <w:bCs/>
          <w:snapToGrid w:val="0"/>
          <w:color w:val="auto"/>
          <w:kern w:val="0"/>
          <w:highlight w:val="none"/>
        </w:rPr>
      </w:pPr>
    </w:p>
    <w:p>
      <w:pPr>
        <w:keepNext w:val="0"/>
        <w:keepLines w:val="0"/>
        <w:pageBreakBefore w:val="0"/>
        <w:widowControl w:val="0"/>
        <w:kinsoku/>
        <w:wordWrap w:val="0"/>
        <w:overflowPunct/>
        <w:topLinePunct w:val="0"/>
        <w:autoSpaceDE/>
        <w:autoSpaceDN/>
        <w:bidi w:val="0"/>
        <w:adjustRightInd w:val="0"/>
        <w:snapToGrid w:val="0"/>
        <w:spacing w:line="420" w:lineRule="exact"/>
        <w:ind w:firstLine="482" w:firstLineChars="20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15.4.3</w:t>
      </w:r>
      <w:r>
        <w:rPr>
          <w:rFonts w:hint="eastAsia" w:ascii="Times New Roman"/>
          <w:snapToGrid w:val="0"/>
          <w:color w:val="auto"/>
          <w:kern w:val="0"/>
          <w:highlight w:val="none"/>
        </w:rPr>
        <w:t xml:space="preserve"> 响应性评审环节</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Times New Roman"/>
          <w:snapToGrid w:val="0"/>
          <w:color w:val="auto"/>
          <w:kern w:val="0"/>
          <w:highlight w:val="none"/>
        </w:rPr>
      </w:pPr>
      <w:r>
        <w:rPr>
          <w:rFonts w:hint="eastAsia" w:ascii="Times New Roman"/>
          <w:snapToGrid w:val="0"/>
          <w:color w:val="auto"/>
          <w:kern w:val="0"/>
          <w:highlight w:val="none"/>
        </w:rPr>
        <w:t>响应性评审事项包括：</w:t>
      </w:r>
    </w:p>
    <w:p>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（1）投标有效期、质量标准、工期等是否响应招标文件实质性要求；是否擅自修改、遗漏《投标函》《各项承诺一览表》的实质性内容。</w:t>
      </w:r>
    </w:p>
    <w:p>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（2）编制《投标总价》的造价工程师，其注册证书是否合法、有效。</w:t>
      </w:r>
    </w:p>
    <w:p>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（3）投标人委托造价咨询单位编制《投标总价》的，是否在《投标总价扉页》（即扉—3）“投标人”栏目加盖造价咨询人公章；是否提供造价咨询人的营业执照副本复印件（或打印件）；</w:t>
      </w:r>
    </w:p>
    <w:p>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（4）投标总价是否唯一；投标总价是否超出招标控制价；绿色施工安全防护措施费是否达到最低要求；暂列金额、暂估价是否按照招标工程量清单统一报价；投标人是否以低于成本的价格竞标。</w:t>
      </w:r>
    </w:p>
    <w:p>
      <w:pPr>
        <w:wordWrap w:val="0"/>
        <w:adjustRightInd w:val="0"/>
        <w:snapToGrid w:val="0"/>
        <w:spacing w:line="440" w:lineRule="exact"/>
        <w:ind w:firstLine="562"/>
        <w:rPr>
          <w:rFonts w:hAnsi="宋体" w:cs="宋体"/>
          <w:b/>
          <w:bCs/>
          <w:snapToGrid w:val="0"/>
          <w:color w:val="auto"/>
          <w:kern w:val="0"/>
          <w:highlight w:val="none"/>
        </w:rPr>
      </w:pPr>
      <w:r>
        <w:rPr>
          <w:rFonts w:hAnsi="宋体" w:cs="宋体"/>
          <w:b/>
          <w:bCs/>
          <w:snapToGrid w:val="0"/>
          <w:color w:val="auto"/>
          <w:kern w:val="0"/>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pPr>
        <w:wordWrap w:val="0"/>
        <w:adjustRightInd w:val="0"/>
        <w:spacing w:line="288" w:lineRule="auto"/>
        <w:ind w:firstLine="562"/>
        <w:rPr>
          <w:rFonts w:hint="eastAsia" w:ascii="Times New Roman"/>
          <w:b/>
          <w:bCs/>
          <w:snapToGrid w:val="0"/>
          <w:color w:val="auto"/>
          <w:kern w:val="0"/>
          <w:highlight w:val="none"/>
        </w:rPr>
      </w:pPr>
      <w:r>
        <w:rPr>
          <w:rFonts w:hAnsi="宋体" w:cs="宋体"/>
          <w:snapToGrid w:val="0"/>
          <w:color w:val="auto"/>
          <w:kern w:val="0"/>
          <w:highlight w:val="none"/>
        </w:rPr>
        <w:t xml:space="preserve">（5）施工组织设计的质量、进度保障措施是否符合国家和省市现行有关规范、规定、标准，是否能实现工程质量、进度管理目标。  </w:t>
      </w: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15.4.4</w:t>
      </w:r>
      <w:r>
        <w:rPr>
          <w:rFonts w:hint="eastAsia" w:ascii="Times New Roman"/>
          <w:snapToGrid w:val="0"/>
          <w:color w:val="auto"/>
          <w:kern w:val="0"/>
          <w:highlight w:val="none"/>
        </w:rPr>
        <w:t xml:space="preserve"> 否决投标说明</w:t>
      </w:r>
    </w:p>
    <w:p>
      <w:pPr>
        <w:wordWrap w:val="0"/>
        <w:adjustRightInd w:val="0"/>
        <w:snapToGrid w:val="0"/>
        <w:spacing w:line="440" w:lineRule="exact"/>
        <w:ind w:firstLine="562"/>
        <w:rPr>
          <w:rFonts w:hint="eastAsia" w:ascii="Times New Roman"/>
          <w:b/>
          <w:bCs/>
          <w:snapToGrid w:val="0"/>
          <w:color w:val="auto"/>
          <w:kern w:val="0"/>
          <w:highlight w:val="none"/>
        </w:rPr>
      </w:pPr>
      <w:r>
        <w:rPr>
          <w:rFonts w:hint="eastAsia" w:ascii="Times New Roman"/>
          <w:snapToGrid w:val="0"/>
          <w:color w:val="auto"/>
          <w:kern w:val="0"/>
          <w:highlight w:val="none"/>
        </w:rPr>
        <w:t>初步评审阶段各个环节否决投标的全部条件，在本章第四节“否决投标条件”第</w:t>
      </w:r>
      <w:r>
        <w:rPr>
          <w:rFonts w:hint="eastAsia" w:ascii="Times New Roman"/>
          <w:b/>
          <w:bCs/>
          <w:snapToGrid w:val="0"/>
          <w:color w:val="auto"/>
          <w:kern w:val="0"/>
          <w:highlight w:val="none"/>
        </w:rPr>
        <w:t>1</w:t>
      </w:r>
      <w:r>
        <w:rPr>
          <w:rFonts w:hint="eastAsia" w:ascii="Times New Roman"/>
          <w:snapToGrid w:val="0"/>
          <w:color w:val="auto"/>
          <w:kern w:val="0"/>
          <w:highlight w:val="none"/>
        </w:rPr>
        <w:t>条至第</w:t>
      </w:r>
      <w:r>
        <w:rPr>
          <w:rFonts w:hint="eastAsia" w:ascii="Times New Roman"/>
          <w:b/>
          <w:bCs/>
          <w:snapToGrid w:val="0"/>
          <w:color w:val="auto"/>
          <w:kern w:val="0"/>
          <w:highlight w:val="none"/>
        </w:rPr>
        <w:t>4</w:t>
      </w:r>
      <w:r>
        <w:rPr>
          <w:rFonts w:hint="eastAsia" w:ascii="Times New Roman"/>
          <w:snapToGrid w:val="0"/>
          <w:color w:val="auto"/>
          <w:kern w:val="0"/>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pPr>
        <w:wordWrap w:val="0"/>
        <w:adjustRightInd w:val="0"/>
        <w:snapToGrid w:val="0"/>
        <w:spacing w:line="440" w:lineRule="exact"/>
        <w:ind w:firstLine="562"/>
        <w:rPr>
          <w:rFonts w:hint="eastAsia" w:ascii="Times New Roman"/>
          <w:b/>
          <w:bCs/>
          <w:snapToGrid w:val="0"/>
          <w:color w:val="auto"/>
          <w:kern w:val="0"/>
          <w:highlight w:val="none"/>
        </w:rPr>
      </w:pPr>
    </w:p>
    <w:p>
      <w:pPr>
        <w:wordWrap w:val="0"/>
        <w:adjustRightInd w:val="0"/>
        <w:snapToGrid w:val="0"/>
        <w:spacing w:line="440" w:lineRule="exact"/>
        <w:ind w:firstLine="562"/>
        <w:rPr>
          <w:rFonts w:hint="eastAsia" w:ascii="Times New Roman"/>
          <w:snapToGrid w:val="0"/>
          <w:color w:val="auto"/>
          <w:kern w:val="0"/>
          <w:szCs w:val="24"/>
          <w:highlight w:val="none"/>
        </w:rPr>
      </w:pPr>
      <w:r>
        <w:rPr>
          <w:rFonts w:hint="eastAsia" w:ascii="Times New Roman"/>
          <w:b/>
          <w:bCs/>
          <w:snapToGrid w:val="0"/>
          <w:color w:val="auto"/>
          <w:kern w:val="0"/>
          <w:highlight w:val="none"/>
        </w:rPr>
        <w:t>15.5</w:t>
      </w:r>
      <w:r>
        <w:rPr>
          <w:rFonts w:hint="eastAsia" w:ascii="Times New Roman"/>
          <w:snapToGrid w:val="0"/>
          <w:color w:val="auto"/>
          <w:kern w:val="0"/>
          <w:highlight w:val="none"/>
        </w:rPr>
        <w:t xml:space="preserve"> 详细评审</w:t>
      </w:r>
      <w:bookmarkStart w:id="117" w:name="_Hlt121629839"/>
      <w:r>
        <w:rPr>
          <w:rFonts w:hint="eastAsia" w:ascii="Times New Roman"/>
          <w:snapToGrid w:val="0"/>
          <w:color w:val="auto"/>
          <w:kern w:val="0"/>
          <w:highlight w:val="none"/>
        </w:rPr>
        <w:t>阶段</w:t>
      </w:r>
    </w:p>
    <w:p>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 xml:space="preserve">    15.5.1</w:t>
      </w:r>
      <w:r>
        <w:rPr>
          <w:rFonts w:hint="eastAsia" w:ascii="Times New Roman"/>
          <w:bCs/>
          <w:snapToGrid w:val="0"/>
          <w:color w:val="auto"/>
          <w:kern w:val="0"/>
          <w:highlight w:val="none"/>
        </w:rPr>
        <w:t xml:space="preserve"> “综合评估法”评审程序</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评审内容分为商务技术和投标报价两大部分。其中，商务技术合计满分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100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分，权重为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40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%；投标报价满分100分，权重为</w:t>
      </w:r>
      <w:r>
        <w:rPr>
          <w:rFonts w:hint="eastAsia" w:ascii="Times New Roman"/>
          <w:snapToGrid w:val="0"/>
          <w:color w:val="auto"/>
          <w:kern w:val="0"/>
          <w:highlight w:val="none"/>
          <w:u w:val="single"/>
          <w:lang w:val="en-US" w:eastAsia="zh-CN"/>
        </w:rPr>
        <w:t>60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%。两大部分权重之和应为100%。</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除特别注明外，综合得分以及商务技术得分、投标报价得分的中间过程计算值和最终值，均按“四舍五入”原则精确到两位小数。</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（1）商务技术得分M</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．评标委员会按照《综合评分表》商务部分指定的评分标准对各评分因素进行打分。各评分因素得分之和即为某投标人的商务得分M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Times New Roman"/>
          <w:snapToGrid w:val="0"/>
          <w:color w:val="auto"/>
          <w:kern w:val="0"/>
          <w:highlight w:val="none"/>
          <w:vertAlign w:val="subscript"/>
        </w:rPr>
        <w:t>2</w:t>
      </w:r>
      <w:r>
        <w:rPr>
          <w:rFonts w:hint="eastAsia" w:ascii="Times New Roman"/>
          <w:snapToGrid w:val="0"/>
          <w:color w:val="auto"/>
          <w:kern w:val="0"/>
          <w:highlight w:val="none"/>
        </w:rPr>
        <w:t>。</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c</w:t>
      </w:r>
      <w:r>
        <w:rPr>
          <w:rFonts w:hint="eastAsia" w:ascii="Times New Roman"/>
          <w:snapToGrid w:val="0"/>
          <w:color w:val="auto"/>
          <w:kern w:val="0"/>
          <w:highlight w:val="none"/>
        </w:rPr>
        <w:t>．M＝M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＋M</w:t>
      </w:r>
      <w:r>
        <w:rPr>
          <w:rFonts w:hint="eastAsia" w:ascii="Times New Roman"/>
          <w:snapToGrid w:val="0"/>
          <w:color w:val="auto"/>
          <w:kern w:val="0"/>
          <w:highlight w:val="none"/>
          <w:vertAlign w:val="subscript"/>
        </w:rPr>
        <w:t>2</w:t>
      </w:r>
    </w:p>
    <w:p>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式中：M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为某投标人的商务得分，M</w:t>
      </w:r>
      <w:r>
        <w:rPr>
          <w:rFonts w:hint="eastAsia" w:ascii="Times New Roman"/>
          <w:snapToGrid w:val="0"/>
          <w:color w:val="auto"/>
          <w:kern w:val="0"/>
          <w:highlight w:val="none"/>
          <w:vertAlign w:val="subscript"/>
        </w:rPr>
        <w:t>2</w:t>
      </w:r>
      <w:r>
        <w:rPr>
          <w:rFonts w:hint="eastAsia" w:ascii="Times New Roman"/>
          <w:snapToGrid w:val="0"/>
          <w:color w:val="auto"/>
          <w:kern w:val="0"/>
          <w:highlight w:val="none"/>
        </w:rPr>
        <w:t>为某投标人的技术得分。</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（2）投标报价得分N</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．评标委员会按照《综合评分表》投标报价部分指定的方法计算评标基准价D。</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．采用内插法计算某投标人的投标报价得分N，即当投标人的投标总价等于评标基准价时得100分，每高于评标基准价一个百分点扣</w:t>
      </w:r>
      <w:r>
        <w:rPr>
          <w:rFonts w:hint="eastAsia" w:ascii="Times New Roman"/>
          <w:b/>
          <w:bCs/>
          <w:snapToGrid w:val="0"/>
          <w:color w:val="auto"/>
          <w:kern w:val="0"/>
          <w:highlight w:val="none"/>
          <w:lang w:val="en-US" w:eastAsia="zh-CN"/>
        </w:rPr>
        <w:t>5</w:t>
      </w:r>
      <w:r>
        <w:rPr>
          <w:rFonts w:hint="eastAsia" w:ascii="Times New Roman"/>
          <w:b/>
          <w:bCs/>
          <w:snapToGrid w:val="0"/>
          <w:color w:val="auto"/>
          <w:kern w:val="0"/>
          <w:highlight w:val="none"/>
        </w:rPr>
        <w:t>分,</w:t>
      </w:r>
      <w:r>
        <w:rPr>
          <w:rFonts w:hint="eastAsia" w:ascii="Times New Roman"/>
          <w:snapToGrid w:val="0"/>
          <w:color w:val="auto"/>
          <w:kern w:val="0"/>
          <w:highlight w:val="none"/>
        </w:rPr>
        <w:t xml:space="preserve"> 每低于评标基准价一个百分点扣</w:t>
      </w:r>
      <w:r>
        <w:rPr>
          <w:rFonts w:hint="eastAsia" w:ascii="Times New Roman"/>
          <w:b/>
          <w:bCs/>
          <w:snapToGrid w:val="0"/>
          <w:color w:val="auto"/>
          <w:kern w:val="0"/>
          <w:highlight w:val="none"/>
          <w:lang w:val="en-US" w:eastAsia="zh-CN"/>
        </w:rPr>
        <w:t>2</w:t>
      </w:r>
      <w:r>
        <w:rPr>
          <w:rFonts w:hint="eastAsia" w:ascii="Times New Roman"/>
          <w:b/>
          <w:bCs/>
          <w:snapToGrid w:val="0"/>
          <w:color w:val="auto"/>
          <w:kern w:val="0"/>
          <w:highlight w:val="none"/>
        </w:rPr>
        <w:t>分</w:t>
      </w:r>
      <w:r>
        <w:rPr>
          <w:rFonts w:hint="eastAsia" w:ascii="Times New Roman"/>
          <w:snapToGrid w:val="0"/>
          <w:color w:val="auto"/>
          <w:kern w:val="0"/>
          <w:highlight w:val="none"/>
        </w:rPr>
        <w:t>，扣完为止。公式如下：</w:t>
      </w:r>
    </w:p>
    <w:p>
      <w:pPr>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N＝100－（| Di－D | ÷D）×100×E</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式中：D为评标基准价；Di为某投标人的投标总价；E为扣分因子，当Di＞D时，E＝</w:t>
      </w:r>
      <w:r>
        <w:rPr>
          <w:rFonts w:hint="eastAsia" w:ascii="Times New Roman"/>
          <w:b/>
          <w:bCs/>
          <w:snapToGrid w:val="0"/>
          <w:color w:val="auto"/>
          <w:kern w:val="0"/>
          <w:highlight w:val="none"/>
          <w:lang w:val="en-US" w:eastAsia="zh-CN"/>
        </w:rPr>
        <w:t>5</w:t>
      </w:r>
      <w:r>
        <w:rPr>
          <w:rFonts w:hint="eastAsia" w:ascii="Times New Roman"/>
          <w:b/>
          <w:bCs/>
          <w:snapToGrid w:val="0"/>
          <w:color w:val="auto"/>
          <w:kern w:val="0"/>
          <w:highlight w:val="none"/>
        </w:rPr>
        <w:t>；</w:t>
      </w:r>
      <w:r>
        <w:rPr>
          <w:rFonts w:hint="eastAsia" w:ascii="Times New Roman"/>
          <w:snapToGrid w:val="0"/>
          <w:color w:val="auto"/>
          <w:kern w:val="0"/>
          <w:highlight w:val="none"/>
        </w:rPr>
        <w:t>当Di＜D时，E</w:t>
      </w:r>
      <w:r>
        <w:rPr>
          <w:rFonts w:hint="eastAsia" w:ascii="Times New Roman"/>
          <w:b/>
          <w:bCs/>
          <w:snapToGrid w:val="0"/>
          <w:color w:val="auto"/>
          <w:kern w:val="0"/>
          <w:highlight w:val="none"/>
        </w:rPr>
        <w:t>＝</w:t>
      </w:r>
      <w:r>
        <w:rPr>
          <w:rFonts w:hint="eastAsia" w:ascii="Times New Roman"/>
          <w:b/>
          <w:bCs/>
          <w:snapToGrid w:val="0"/>
          <w:color w:val="auto"/>
          <w:kern w:val="0"/>
          <w:highlight w:val="none"/>
          <w:lang w:val="en-US" w:eastAsia="zh-CN"/>
        </w:rPr>
        <w:t>2</w:t>
      </w:r>
      <w:r>
        <w:rPr>
          <w:rFonts w:hint="eastAsia" w:ascii="Times New Roman"/>
          <w:b/>
          <w:bCs/>
          <w:snapToGrid w:val="0"/>
          <w:color w:val="auto"/>
          <w:kern w:val="0"/>
          <w:highlight w:val="none"/>
        </w:rPr>
        <w:t>。</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（3）综合得分</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综合得分换算为百分制，满分100分，公式如下：</w:t>
      </w:r>
    </w:p>
    <w:p>
      <w:pPr>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综合得分＝M÷商务技术合计满分×100×商务技术权重＋N×投标报价权重</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式中：M为商务技术得分，N为投标报价得分。</w:t>
      </w:r>
    </w:p>
    <w:p>
      <w:pPr>
        <w:wordWrap w:val="0"/>
        <w:adjustRightInd w:val="0"/>
        <w:snapToGrid w:val="0"/>
        <w:spacing w:line="440" w:lineRule="exact"/>
        <w:ind w:firstLine="480" w:firstLineChars="200"/>
        <w:rPr>
          <w:rFonts w:hint="eastAsia"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kern w:val="0"/>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ascii="Times New Roman"/>
          <w:snapToGrid w:val="0"/>
          <w:color w:val="auto"/>
          <w:kern w:val="0"/>
          <w:szCs w:val="24"/>
          <w:highlight w:val="none"/>
        </w:rPr>
        <w:t>由评标委员会投票确定。</w:t>
      </w:r>
    </w:p>
    <w:p>
      <w:pPr>
        <w:wordWrap w:val="0"/>
        <w:adjustRightInd w:val="0"/>
        <w:snapToGrid w:val="0"/>
        <w:spacing w:before="260" w:after="260" w:line="440" w:lineRule="exact"/>
        <w:ind w:firstLine="602" w:firstLineChars="200"/>
        <w:jc w:val="center"/>
        <w:rPr>
          <w:rFonts w:hint="eastAsia" w:ascii="Times New Roman"/>
          <w:b/>
          <w:bCs/>
          <w:snapToGrid w:val="0"/>
          <w:color w:val="auto"/>
          <w:kern w:val="0"/>
          <w:sz w:val="30"/>
          <w:szCs w:val="30"/>
          <w:highlight w:val="none"/>
        </w:rPr>
      </w:pPr>
      <w:r>
        <w:rPr>
          <w:rFonts w:hint="eastAsia" w:ascii="Times New Roman"/>
          <w:b/>
          <w:bCs/>
          <w:snapToGrid w:val="0"/>
          <w:color w:val="auto"/>
          <w:kern w:val="0"/>
          <w:sz w:val="30"/>
          <w:szCs w:val="30"/>
          <w:highlight w:val="none"/>
        </w:rPr>
        <w:t>综合评分表</w:t>
      </w:r>
    </w:p>
    <w:tbl>
      <w:tblPr>
        <w:tblStyle w:val="30"/>
        <w:tblW w:w="0" w:type="auto"/>
        <w:jc w:val="center"/>
        <w:tblLayout w:type="fixed"/>
        <w:tblCellMar>
          <w:top w:w="0" w:type="dxa"/>
          <w:left w:w="108" w:type="dxa"/>
          <w:bottom w:w="0" w:type="dxa"/>
          <w:right w:w="108" w:type="dxa"/>
        </w:tblCellMar>
      </w:tblPr>
      <w:tblGrid>
        <w:gridCol w:w="1493"/>
        <w:gridCol w:w="3643"/>
        <w:gridCol w:w="4824"/>
      </w:tblGrid>
      <w:tr>
        <w:tblPrEx>
          <w:tblCellMar>
            <w:top w:w="0" w:type="dxa"/>
            <w:left w:w="108" w:type="dxa"/>
            <w:bottom w:w="0" w:type="dxa"/>
            <w:right w:w="108" w:type="dxa"/>
          </w:tblCellMar>
        </w:tblPrEx>
        <w:trPr>
          <w:trHeight w:val="634" w:hRule="exact"/>
          <w:jc w:val="center"/>
        </w:trPr>
        <w:tc>
          <w:tcPr>
            <w:tcW w:w="9960"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pPr>
              <w:pStyle w:val="11"/>
              <w:tabs>
                <w:tab w:val="left" w:pos="1354"/>
                <w:tab w:val="left" w:pos="1459"/>
                <w:tab w:val="center" w:pos="3902"/>
                <w:tab w:val="right" w:pos="7805"/>
              </w:tabs>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商务部分，满分：</w:t>
            </w:r>
            <w:r>
              <w:rPr>
                <w:rFonts w:hint="eastAsia" w:hAnsi="宋体" w:cs="宋体"/>
                <w:snapToGrid w:val="0"/>
                <w:color w:val="auto"/>
                <w:kern w:val="0"/>
                <w:sz w:val="21"/>
                <w:szCs w:val="21"/>
                <w:highlight w:val="none"/>
                <w:u w:val="single"/>
                <w:lang w:val="en-US" w:eastAsia="zh-CN"/>
              </w:rPr>
              <w:t>87.5</w:t>
            </w:r>
            <w:r>
              <w:rPr>
                <w:rFonts w:hint="eastAsia" w:hAnsi="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rPr>
              <w:t>分。</w:t>
            </w:r>
          </w:p>
        </w:tc>
      </w:tr>
      <w:tr>
        <w:tblPrEx>
          <w:tblCellMar>
            <w:top w:w="0" w:type="dxa"/>
            <w:left w:w="108" w:type="dxa"/>
            <w:bottom w:w="0" w:type="dxa"/>
            <w:right w:w="108" w:type="dxa"/>
          </w:tblCellMar>
        </w:tblPrEx>
        <w:trPr>
          <w:trHeight w:val="634" w:hRule="exac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tabs>
                <w:tab w:val="left" w:pos="1354"/>
                <w:tab w:val="left" w:pos="1459"/>
                <w:tab w:val="center" w:pos="3902"/>
                <w:tab w:val="right" w:pos="7805"/>
              </w:tabs>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评分因素</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
              <w:tabs>
                <w:tab w:val="left" w:pos="1354"/>
                <w:tab w:val="left" w:pos="1459"/>
                <w:tab w:val="center" w:pos="3902"/>
                <w:tab w:val="right" w:pos="7805"/>
              </w:tabs>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评分标准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tabs>
                <w:tab w:val="left" w:pos="1354"/>
                <w:tab w:val="left" w:pos="1459"/>
                <w:tab w:val="center" w:pos="3902"/>
                <w:tab w:val="right" w:pos="7805"/>
              </w:tabs>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备注</w:t>
            </w:r>
          </w:p>
        </w:tc>
      </w:tr>
      <w:tr>
        <w:tblPrEx>
          <w:tblCellMar>
            <w:top w:w="0" w:type="dxa"/>
            <w:left w:w="108" w:type="dxa"/>
            <w:bottom w:w="0" w:type="dxa"/>
            <w:right w:w="108" w:type="dxa"/>
          </w:tblCellMar>
        </w:tblPrEx>
        <w:trPr>
          <w:trHeight w:val="2205"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jc w:val="center"/>
              <w:rPr>
                <w:rFonts w:hAnsi="宋体" w:cs="宋体"/>
                <w:snapToGrid w:val="0"/>
                <w:color w:val="auto"/>
                <w:kern w:val="0"/>
                <w:sz w:val="21"/>
                <w:szCs w:val="21"/>
                <w:highlight w:val="none"/>
              </w:rPr>
            </w:pPr>
            <w:r>
              <w:rPr>
                <w:rFonts w:hAnsi="宋体" w:cs="宋体"/>
                <w:color w:val="auto"/>
                <w:sz w:val="21"/>
                <w:szCs w:val="21"/>
                <w:highlight w:val="none"/>
              </w:rPr>
              <w:t>企业获得奖项（</w:t>
            </w:r>
            <w:r>
              <w:rPr>
                <w:rFonts w:hint="eastAsia" w:hAnsi="宋体" w:cs="宋体"/>
                <w:color w:val="auto"/>
                <w:sz w:val="21"/>
                <w:szCs w:val="21"/>
                <w:highlight w:val="none"/>
                <w:lang w:val="en-US" w:eastAsia="zh-CN"/>
              </w:rPr>
              <w:t>10</w:t>
            </w:r>
            <w:r>
              <w:rPr>
                <w:rFonts w:hAnsi="宋体" w:cs="宋体"/>
                <w:color w:val="auto"/>
                <w:sz w:val="21"/>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2017年1月1日至今企业获奖（不含参建奖项）：</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1．获得房屋建筑类地市级或以上（含市级）奖项的得</w:t>
            </w:r>
            <w:r>
              <w:rPr>
                <w:rFonts w:hint="eastAsia" w:hAnsi="宋体" w:cs="宋体"/>
                <w:snapToGrid w:val="0"/>
                <w:color w:val="auto"/>
                <w:kern w:val="0"/>
                <w:sz w:val="21"/>
                <w:szCs w:val="21"/>
                <w:highlight w:val="none"/>
                <w:lang w:val="en-US" w:eastAsia="zh-CN"/>
              </w:rPr>
              <w:t>10</w:t>
            </w:r>
            <w:r>
              <w:rPr>
                <w:rFonts w:hint="eastAsia" w:hAnsi="宋体" w:cs="宋体"/>
                <w:snapToGrid w:val="0"/>
                <w:color w:val="auto"/>
                <w:kern w:val="0"/>
                <w:sz w:val="21"/>
                <w:szCs w:val="21"/>
                <w:highlight w:val="none"/>
              </w:rPr>
              <w:t>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2．未获得以上奖项的不得分。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说明：本项最高得</w:t>
            </w:r>
            <w:r>
              <w:rPr>
                <w:rFonts w:hint="eastAsia" w:hAnsi="宋体" w:cs="宋体"/>
                <w:snapToGrid w:val="0"/>
                <w:color w:val="auto"/>
                <w:kern w:val="0"/>
                <w:sz w:val="21"/>
                <w:szCs w:val="21"/>
                <w:highlight w:val="none"/>
                <w:lang w:val="en-US" w:eastAsia="zh-CN"/>
              </w:rPr>
              <w:t>10</w:t>
            </w:r>
            <w:r>
              <w:rPr>
                <w:rFonts w:hint="eastAsia" w:hAnsi="宋体" w:cs="宋体"/>
                <w:snapToGrid w:val="0"/>
                <w:color w:val="auto"/>
                <w:kern w:val="0"/>
                <w:sz w:val="21"/>
                <w:szCs w:val="21"/>
                <w:highlight w:val="none"/>
              </w:rPr>
              <w:t>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1．需附有关奖项证明复印件（或打印件）。</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2．颁发机构限定建设行政主管部门或建筑（业）协会。</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3．获奖时间以奖项证明的落款日期为准。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4．奖项类别、颁发机构、获奖时间不符合评分标准和备注规定的，不计分。</w:t>
            </w:r>
          </w:p>
        </w:tc>
      </w:tr>
      <w:tr>
        <w:tblPrEx>
          <w:tblCellMar>
            <w:top w:w="0" w:type="dxa"/>
            <w:left w:w="108" w:type="dxa"/>
            <w:bottom w:w="0" w:type="dxa"/>
            <w:right w:w="108" w:type="dxa"/>
          </w:tblCellMar>
        </w:tblPrEx>
        <w:trPr>
          <w:trHeight w:val="3805"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jc w:val="center"/>
              <w:rPr>
                <w:rFonts w:hint="eastAsia" w:hAnsi="宋体" w:cs="宋体"/>
                <w:color w:val="auto"/>
                <w:kern w:val="0"/>
                <w:sz w:val="21"/>
                <w:szCs w:val="21"/>
                <w:highlight w:val="none"/>
              </w:rPr>
            </w:pPr>
            <w:r>
              <w:rPr>
                <w:rFonts w:hint="eastAsia" w:hAnsi="宋体" w:cs="宋体"/>
                <w:color w:val="auto"/>
                <w:kern w:val="0"/>
                <w:sz w:val="21"/>
                <w:szCs w:val="21"/>
                <w:highlight w:val="none"/>
              </w:rPr>
              <w:t>企业</w:t>
            </w:r>
          </w:p>
          <w:p>
            <w:pPr>
              <w:pStyle w:val="11"/>
              <w:wordWrap w:val="0"/>
              <w:adjustRightInd w:val="0"/>
              <w:snapToGrid w:val="0"/>
              <w:jc w:val="center"/>
              <w:rPr>
                <w:rFonts w:hint="eastAsia" w:hAnsi="宋体" w:cs="宋体"/>
                <w:color w:val="auto"/>
                <w:kern w:val="0"/>
                <w:sz w:val="21"/>
                <w:szCs w:val="21"/>
                <w:highlight w:val="none"/>
              </w:rPr>
            </w:pPr>
            <w:r>
              <w:rPr>
                <w:rFonts w:hint="eastAsia" w:hAnsi="宋体" w:cs="宋体"/>
                <w:color w:val="auto"/>
                <w:kern w:val="0"/>
                <w:sz w:val="21"/>
                <w:szCs w:val="21"/>
                <w:highlight w:val="none"/>
              </w:rPr>
              <w:t>财务状况</w:t>
            </w:r>
          </w:p>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color w:val="auto"/>
                <w:kern w:val="0"/>
                <w:sz w:val="21"/>
                <w:szCs w:val="21"/>
                <w:highlight w:val="none"/>
              </w:rPr>
              <w:t>（</w:t>
            </w:r>
            <w:r>
              <w:rPr>
                <w:rFonts w:hint="eastAsia" w:hAnsi="宋体" w:cs="宋体"/>
                <w:color w:val="auto"/>
                <w:kern w:val="0"/>
                <w:sz w:val="21"/>
                <w:szCs w:val="21"/>
                <w:highlight w:val="none"/>
                <w:lang w:val="en-US" w:eastAsia="zh-CN"/>
              </w:rPr>
              <w:t>5</w:t>
            </w:r>
            <w:r>
              <w:rPr>
                <w:rFonts w:hint="eastAsia" w:hAnsi="宋体" w:cs="宋体"/>
                <w:color w:val="auto"/>
                <w:kern w:val="0"/>
                <w:sz w:val="21"/>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58"/>
              <w:wordWrap w:val="0"/>
              <w:adjustRightInd w:val="0"/>
              <w:snapToGri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1．经有资质的审计机构审核的年度财务报告最近三个年度（20</w:t>
            </w:r>
            <w:r>
              <w:rPr>
                <w:rFonts w:hint="eastAsia" w:ascii="宋体" w:hAnsi="宋体" w:eastAsia="宋体" w:cs="宋体"/>
                <w:color w:val="auto"/>
                <w:kern w:val="0"/>
                <w:szCs w:val="21"/>
                <w:highlight w:val="none"/>
                <w:lang w:val="en-US" w:eastAsia="zh-CN"/>
              </w:rPr>
              <w:t>19</w:t>
            </w:r>
            <w:r>
              <w:rPr>
                <w:rFonts w:hint="eastAsia" w:ascii="宋体" w:hAnsi="宋体" w:eastAsia="宋体" w:cs="宋体"/>
                <w:color w:val="auto"/>
                <w:kern w:val="0"/>
                <w:szCs w:val="21"/>
                <w:highlight w:val="none"/>
              </w:rPr>
              <w:t>年度、20</w:t>
            </w:r>
            <w:r>
              <w:rPr>
                <w:rFonts w:hint="eastAsia" w:ascii="宋体" w:hAnsi="宋体" w:eastAsia="宋体" w:cs="宋体"/>
                <w:color w:val="auto"/>
                <w:kern w:val="0"/>
                <w:szCs w:val="21"/>
                <w:highlight w:val="none"/>
                <w:lang w:val="en-US" w:eastAsia="zh-CN"/>
              </w:rPr>
              <w:t>20</w:t>
            </w:r>
            <w:r>
              <w:rPr>
                <w:rFonts w:hint="eastAsia" w:ascii="宋体" w:hAnsi="宋体" w:eastAsia="宋体" w:cs="宋体"/>
                <w:color w:val="auto"/>
                <w:kern w:val="0"/>
                <w:szCs w:val="21"/>
                <w:highlight w:val="none"/>
              </w:rPr>
              <w:t>年度、202</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年度）均盈利的，得</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w:t>
            </w:r>
          </w:p>
          <w:p>
            <w:pPr>
              <w:pStyle w:val="58"/>
              <w:wordWrap w:val="0"/>
              <w:adjustRightInd w:val="0"/>
              <w:snapToGri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2．经有资质的审计机构审核的年度财务报告最近两个年度（20</w:t>
            </w:r>
            <w:r>
              <w:rPr>
                <w:rFonts w:hint="eastAsia" w:ascii="宋体" w:hAnsi="宋体" w:eastAsia="宋体" w:cs="宋体"/>
                <w:color w:val="auto"/>
                <w:kern w:val="0"/>
                <w:szCs w:val="21"/>
                <w:highlight w:val="none"/>
                <w:lang w:val="en-US" w:eastAsia="zh-CN"/>
              </w:rPr>
              <w:t>20</w:t>
            </w:r>
            <w:r>
              <w:rPr>
                <w:rFonts w:hint="eastAsia" w:ascii="宋体" w:hAnsi="宋体" w:eastAsia="宋体" w:cs="宋体"/>
                <w:color w:val="auto"/>
                <w:kern w:val="0"/>
                <w:szCs w:val="21"/>
                <w:highlight w:val="none"/>
              </w:rPr>
              <w:t>年度、202</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年度）均盈利的，得</w:t>
            </w:r>
            <w:r>
              <w:rPr>
                <w:rFonts w:hint="eastAsia" w:ascii="宋体" w:hAnsi="宋体" w:eastAsia="宋体" w:cs="宋体"/>
                <w:color w:val="auto"/>
                <w:kern w:val="0"/>
                <w:szCs w:val="21"/>
                <w:highlight w:val="none"/>
                <w:lang w:val="en-US" w:eastAsia="zh-CN"/>
              </w:rPr>
              <w:t>2.5</w:t>
            </w:r>
            <w:r>
              <w:rPr>
                <w:rFonts w:hint="eastAsia" w:ascii="宋体" w:hAnsi="宋体" w:eastAsia="宋体" w:cs="宋体"/>
                <w:color w:val="auto"/>
                <w:kern w:val="0"/>
                <w:szCs w:val="21"/>
                <w:highlight w:val="none"/>
              </w:rPr>
              <w:t>分；</w:t>
            </w:r>
          </w:p>
          <w:p>
            <w:pPr>
              <w:pStyle w:val="58"/>
              <w:wordWrap w:val="0"/>
              <w:adjustRightInd w:val="0"/>
              <w:snapToGri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 经有资质的审计机构审核的年度财务报告最近一个年度（202</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年度）盈利的，得</w:t>
            </w:r>
            <w:r>
              <w:rPr>
                <w:rFonts w:hint="eastAsia" w:ascii="宋体" w:hAnsi="宋体" w:eastAsia="宋体" w:cs="宋体"/>
                <w:color w:val="auto"/>
                <w:kern w:val="0"/>
                <w:szCs w:val="21"/>
                <w:highlight w:val="none"/>
                <w:lang w:val="en-US" w:eastAsia="zh-CN"/>
              </w:rPr>
              <w:t>1.25</w:t>
            </w:r>
            <w:r>
              <w:rPr>
                <w:rFonts w:hint="eastAsia" w:ascii="宋体" w:hAnsi="宋体" w:eastAsia="宋体" w:cs="宋体"/>
                <w:color w:val="auto"/>
                <w:kern w:val="0"/>
                <w:szCs w:val="21"/>
                <w:highlight w:val="none"/>
              </w:rPr>
              <w:t>分；</w:t>
            </w:r>
          </w:p>
          <w:p>
            <w:pPr>
              <w:pStyle w:val="58"/>
              <w:wordWrap w:val="0"/>
              <w:adjustRightInd w:val="0"/>
              <w:snapToGrid w:val="0"/>
              <w:spacing w:line="360" w:lineRule="auto"/>
              <w:jc w:val="left"/>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Cs w:val="21"/>
                <w:highlight w:val="none"/>
              </w:rPr>
              <w:t>4.以上证明均未提供的，不予计分。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1．需附有效的有关证明复印件（或打印件）。</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color w:val="auto"/>
                <w:kern w:val="0"/>
                <w:sz w:val="21"/>
                <w:szCs w:val="21"/>
                <w:highlight w:val="none"/>
              </w:rPr>
              <w:t>2．不符合评分标准和备注规定的，按第4项标准处理。</w:t>
            </w:r>
          </w:p>
        </w:tc>
      </w:tr>
      <w:tr>
        <w:tblPrEx>
          <w:tblCellMar>
            <w:top w:w="0" w:type="dxa"/>
            <w:left w:w="108" w:type="dxa"/>
            <w:bottom w:w="0" w:type="dxa"/>
            <w:right w:w="108" w:type="dxa"/>
          </w:tblCellMar>
        </w:tblPrEx>
        <w:trPr>
          <w:trHeight w:val="2936"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企业业绩</w:t>
            </w:r>
          </w:p>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10</w:t>
            </w:r>
            <w:r>
              <w:rPr>
                <w:rFonts w:hint="eastAsia" w:hAnsi="宋体" w:cs="宋体"/>
                <w:snapToGrid w:val="0"/>
                <w:color w:val="auto"/>
                <w:kern w:val="0"/>
                <w:sz w:val="21"/>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r>
              <w:rPr>
                <w:rFonts w:hint="eastAsia" w:hAnsi="宋体" w:cs="宋体"/>
                <w:color w:val="auto"/>
                <w:sz w:val="21"/>
                <w:szCs w:val="21"/>
                <w:highlight w:val="none"/>
              </w:rPr>
              <w:t>2017年1月1日至今</w:t>
            </w:r>
            <w:r>
              <w:rPr>
                <w:rFonts w:hint="eastAsia" w:hAnsi="宋体" w:cs="宋体"/>
                <w:snapToGrid w:val="0"/>
                <w:color w:val="auto"/>
                <w:kern w:val="0"/>
                <w:sz w:val="21"/>
                <w:szCs w:val="21"/>
                <w:highlight w:val="none"/>
                <w:u w:val="single"/>
              </w:rPr>
              <w:t xml:space="preserve"> 完成 </w:t>
            </w:r>
            <w:r>
              <w:rPr>
                <w:rFonts w:hint="eastAsia" w:hAnsi="宋体" w:cs="宋体"/>
                <w:snapToGrid w:val="0"/>
                <w:color w:val="auto"/>
                <w:kern w:val="0"/>
                <w:sz w:val="21"/>
                <w:szCs w:val="21"/>
                <w:highlight w:val="none"/>
              </w:rPr>
              <w:t>过类似工程的，每个得</w:t>
            </w:r>
            <w:r>
              <w:rPr>
                <w:rFonts w:hint="eastAsia" w:hAnsi="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5</w:t>
            </w:r>
            <w:r>
              <w:rPr>
                <w:rFonts w:hint="eastAsia" w:hAnsi="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rPr>
              <w:t>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r>
              <w:rPr>
                <w:rFonts w:hint="eastAsia" w:hAnsi="宋体" w:cs="宋体"/>
                <w:color w:val="auto"/>
                <w:sz w:val="21"/>
                <w:szCs w:val="21"/>
                <w:highlight w:val="none"/>
              </w:rPr>
              <w:t>2017年1月1日至今</w:t>
            </w:r>
            <w:r>
              <w:rPr>
                <w:rFonts w:hint="eastAsia" w:hAnsi="宋体" w:cs="宋体"/>
                <w:snapToGrid w:val="0"/>
                <w:color w:val="auto"/>
                <w:kern w:val="0"/>
                <w:sz w:val="21"/>
                <w:szCs w:val="21"/>
                <w:highlight w:val="none"/>
              </w:rPr>
              <w:t>未</w:t>
            </w:r>
            <w:r>
              <w:rPr>
                <w:rFonts w:hint="eastAsia" w:hAnsi="宋体" w:cs="宋体"/>
                <w:snapToGrid w:val="0"/>
                <w:color w:val="auto"/>
                <w:kern w:val="0"/>
                <w:sz w:val="21"/>
                <w:szCs w:val="21"/>
                <w:highlight w:val="none"/>
                <w:u w:val="single"/>
              </w:rPr>
              <w:t xml:space="preserve"> 完成</w:t>
            </w:r>
            <w:r>
              <w:rPr>
                <w:rFonts w:hint="eastAsia" w:hAnsi="宋体" w:cs="宋体"/>
                <w:snapToGrid w:val="0"/>
                <w:color w:val="auto"/>
                <w:kern w:val="0"/>
                <w:sz w:val="21"/>
                <w:szCs w:val="21"/>
                <w:highlight w:val="none"/>
              </w:rPr>
              <w:t>过类似工程的，不予计分。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说明：本项最高得</w:t>
            </w:r>
            <w:r>
              <w:rPr>
                <w:rFonts w:hint="eastAsia" w:hAnsi="宋体" w:cs="宋体"/>
                <w:snapToGrid w:val="0"/>
                <w:color w:val="auto"/>
                <w:kern w:val="0"/>
                <w:sz w:val="21"/>
                <w:szCs w:val="21"/>
                <w:highlight w:val="none"/>
                <w:lang w:val="en-US" w:eastAsia="zh-CN"/>
              </w:rPr>
              <w:t>10</w:t>
            </w:r>
            <w:r>
              <w:rPr>
                <w:rFonts w:hint="eastAsia" w:hAnsi="宋体" w:cs="宋体"/>
                <w:snapToGrid w:val="0"/>
                <w:color w:val="auto"/>
                <w:kern w:val="0"/>
                <w:sz w:val="21"/>
                <w:szCs w:val="21"/>
                <w:highlight w:val="none"/>
              </w:rPr>
              <w:t xml:space="preserve">分。 </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rPr>
                <w:rFonts w:hint="eastAsia" w:hAnsi="宋体" w:cs="宋体"/>
                <w:snapToGrid w:val="0"/>
                <w:color w:val="FF0000"/>
                <w:kern w:val="0"/>
                <w:sz w:val="21"/>
                <w:szCs w:val="21"/>
                <w:highlight w:val="none"/>
              </w:rPr>
            </w:pPr>
            <w:r>
              <w:rPr>
                <w:rFonts w:hint="eastAsia" w:hAnsi="宋体" w:cs="宋体"/>
                <w:snapToGrid w:val="0"/>
                <w:color w:val="auto"/>
                <w:kern w:val="0"/>
                <w:sz w:val="21"/>
                <w:szCs w:val="21"/>
                <w:highlight w:val="none"/>
              </w:rPr>
              <w:t>1．类似工程指：</w:t>
            </w:r>
            <w:r>
              <w:rPr>
                <w:rFonts w:hint="eastAsia" w:hAnsi="宋体" w:cs="宋体"/>
                <w:snapToGrid w:val="0"/>
                <w:color w:val="auto"/>
                <w:kern w:val="0"/>
                <w:sz w:val="21"/>
                <w:szCs w:val="21"/>
                <w:highlight w:val="none"/>
                <w:u w:val="single"/>
              </w:rPr>
              <w:t>工程造价达1</w:t>
            </w:r>
            <w:r>
              <w:rPr>
                <w:rFonts w:hint="eastAsia" w:hAnsi="宋体" w:cs="宋体"/>
                <w:snapToGrid w:val="0"/>
                <w:color w:val="auto"/>
                <w:kern w:val="0"/>
                <w:sz w:val="21"/>
                <w:szCs w:val="21"/>
                <w:highlight w:val="none"/>
                <w:u w:val="single"/>
                <w:lang w:val="en-US" w:eastAsia="zh-CN"/>
              </w:rPr>
              <w:t>5</w:t>
            </w:r>
            <w:r>
              <w:rPr>
                <w:rFonts w:hint="eastAsia" w:hAnsi="宋体" w:cs="宋体"/>
                <w:snapToGrid w:val="0"/>
                <w:color w:val="auto"/>
                <w:kern w:val="0"/>
                <w:sz w:val="21"/>
                <w:szCs w:val="21"/>
                <w:highlight w:val="none"/>
                <w:u w:val="single"/>
              </w:rPr>
              <w:t xml:space="preserve">00万元以上的房屋建筑工程 </w:t>
            </w:r>
            <w:r>
              <w:rPr>
                <w:rFonts w:hint="eastAsia" w:hAnsi="宋体" w:cs="宋体"/>
                <w:snapToGrid w:val="0"/>
                <w:color w:val="auto"/>
                <w:kern w:val="0"/>
                <w:sz w:val="21"/>
                <w:szCs w:val="21"/>
                <w:highlight w:val="none"/>
              </w:rPr>
              <w:t>。</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2．需附有关业绩（仅限于已竣工验收的项目）合同协议书和竣工验收报告的复印件（或打印件）。</w:t>
            </w:r>
          </w:p>
          <w:p>
            <w:pPr>
              <w:pStyle w:val="11"/>
              <w:wordWrap w:val="0"/>
              <w:adjustRightInd w:val="0"/>
              <w:snapToGrid w:val="0"/>
              <w:spacing w:after="0"/>
              <w:rPr>
                <w:rFonts w:hint="eastAsia" w:hAnsi="宋体" w:cs="宋体"/>
                <w:i/>
                <w:iCs/>
                <w:snapToGrid w:val="0"/>
                <w:color w:val="auto"/>
                <w:kern w:val="0"/>
                <w:sz w:val="21"/>
                <w:szCs w:val="21"/>
                <w:highlight w:val="none"/>
              </w:rPr>
            </w:pPr>
            <w:r>
              <w:rPr>
                <w:rFonts w:hint="eastAsia" w:hAnsi="宋体" w:cs="宋体"/>
                <w:snapToGrid w:val="0"/>
                <w:color w:val="auto"/>
                <w:kern w:val="0"/>
                <w:sz w:val="21"/>
                <w:szCs w:val="21"/>
                <w:highlight w:val="none"/>
              </w:rPr>
              <w:t>3．业绩时间以竣工验收报告日期为准。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4．业绩不属于类似工程的；未竣工验收的；业绩时间不符合评分标准和备注规定的，不计分。</w:t>
            </w:r>
          </w:p>
        </w:tc>
      </w:tr>
      <w:tr>
        <w:tblPrEx>
          <w:tblCellMar>
            <w:top w:w="0" w:type="dxa"/>
            <w:left w:w="108" w:type="dxa"/>
            <w:bottom w:w="0" w:type="dxa"/>
            <w:right w:w="108" w:type="dxa"/>
          </w:tblCellMar>
        </w:tblPrEx>
        <w:trPr>
          <w:trHeight w:val="4131"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企业信誉</w:t>
            </w:r>
          </w:p>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15</w:t>
            </w:r>
            <w:r>
              <w:rPr>
                <w:rFonts w:hint="eastAsia" w:hAnsi="宋体" w:cs="宋体"/>
                <w:snapToGrid w:val="0"/>
                <w:color w:val="auto"/>
                <w:kern w:val="0"/>
                <w:sz w:val="21"/>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施工企业202</w:t>
            </w:r>
            <w:r>
              <w:rPr>
                <w:rFonts w:hint="eastAsia" w:hAnsi="宋体" w:cs="宋体"/>
                <w:snapToGrid w:val="0"/>
                <w:color w:val="auto"/>
                <w:kern w:val="0"/>
                <w:sz w:val="21"/>
                <w:szCs w:val="21"/>
                <w:highlight w:val="none"/>
                <w:lang w:val="en-US" w:eastAsia="zh-CN"/>
              </w:rPr>
              <w:t>1</w:t>
            </w:r>
            <w:r>
              <w:rPr>
                <w:rFonts w:hint="eastAsia" w:hAnsi="宋体" w:cs="宋体"/>
                <w:snapToGrid w:val="0"/>
                <w:color w:val="auto"/>
                <w:kern w:val="0"/>
                <w:sz w:val="21"/>
                <w:szCs w:val="21"/>
                <w:highlight w:val="none"/>
              </w:rPr>
              <w:t>年度建筑企业信誉等级情况：</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1．获得AAA级建筑企业信誉等级的得</w:t>
            </w:r>
            <w:r>
              <w:rPr>
                <w:rFonts w:hint="eastAsia" w:hAnsi="宋体" w:cs="宋体"/>
                <w:snapToGrid w:val="0"/>
                <w:color w:val="auto"/>
                <w:kern w:val="0"/>
                <w:sz w:val="21"/>
                <w:szCs w:val="21"/>
                <w:highlight w:val="none"/>
                <w:lang w:val="en-US" w:eastAsia="zh-CN"/>
              </w:rPr>
              <w:t>15</w:t>
            </w:r>
            <w:r>
              <w:rPr>
                <w:rFonts w:hint="eastAsia" w:hAnsi="宋体" w:cs="宋体"/>
                <w:snapToGrid w:val="0"/>
                <w:color w:val="auto"/>
                <w:kern w:val="0"/>
                <w:sz w:val="21"/>
                <w:szCs w:val="21"/>
                <w:highlight w:val="none"/>
              </w:rPr>
              <w:t>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2．获得AA级建筑企业信誉等级的得</w:t>
            </w:r>
            <w:r>
              <w:rPr>
                <w:rFonts w:hint="eastAsia" w:hAnsi="宋体" w:cs="宋体"/>
                <w:snapToGrid w:val="0"/>
                <w:color w:val="auto"/>
                <w:kern w:val="0"/>
                <w:sz w:val="21"/>
                <w:szCs w:val="21"/>
                <w:highlight w:val="none"/>
                <w:lang w:val="en-US" w:eastAsia="zh-CN"/>
              </w:rPr>
              <w:t>7.5</w:t>
            </w:r>
            <w:r>
              <w:rPr>
                <w:rFonts w:hint="eastAsia" w:hAnsi="宋体" w:cs="宋体"/>
                <w:snapToGrid w:val="0"/>
                <w:color w:val="auto"/>
                <w:kern w:val="0"/>
                <w:sz w:val="21"/>
                <w:szCs w:val="21"/>
                <w:highlight w:val="none"/>
              </w:rPr>
              <w:t>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3．获得A级建筑企业信誉等级的得</w:t>
            </w:r>
            <w:r>
              <w:rPr>
                <w:rFonts w:hint="eastAsia" w:hAnsi="宋体" w:cs="宋体"/>
                <w:snapToGrid w:val="0"/>
                <w:color w:val="auto"/>
                <w:kern w:val="0"/>
                <w:sz w:val="21"/>
                <w:szCs w:val="21"/>
                <w:highlight w:val="none"/>
                <w:lang w:val="en-US" w:eastAsia="zh-CN"/>
              </w:rPr>
              <w:t>2.5</w:t>
            </w:r>
            <w:r>
              <w:rPr>
                <w:rFonts w:hint="eastAsia" w:hAnsi="宋体" w:cs="宋体"/>
                <w:snapToGrid w:val="0"/>
                <w:color w:val="auto"/>
                <w:kern w:val="0"/>
                <w:sz w:val="21"/>
                <w:szCs w:val="21"/>
                <w:highlight w:val="none"/>
              </w:rPr>
              <w:t>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4．未获得信誉评级的，不予计分。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1．需附建筑协会颁发的证书复印件（或打印件）。</w:t>
            </w:r>
          </w:p>
          <w:p>
            <w:pPr>
              <w:pStyle w:val="11"/>
              <w:wordWrap w:val="0"/>
              <w:adjustRightInd w:val="0"/>
              <w:snapToGrid w:val="0"/>
              <w:spacing w:after="0"/>
              <w:rPr>
                <w:rFonts w:hint="eastAsia" w:hAnsi="宋体" w:cs="宋体"/>
                <w:i/>
                <w:iCs/>
                <w:snapToGrid w:val="0"/>
                <w:color w:val="auto"/>
                <w:kern w:val="0"/>
                <w:sz w:val="21"/>
                <w:szCs w:val="21"/>
                <w:highlight w:val="none"/>
              </w:rPr>
            </w:pPr>
            <w:r>
              <w:rPr>
                <w:rFonts w:hint="eastAsia" w:hAnsi="宋体" w:cs="宋体"/>
                <w:snapToGrid w:val="0"/>
                <w:color w:val="auto"/>
                <w:kern w:val="0"/>
                <w:sz w:val="21"/>
                <w:szCs w:val="21"/>
                <w:highlight w:val="none"/>
              </w:rPr>
              <w:t>2．颁发机构不符合评分标准和备注规定的，不计分。</w:t>
            </w:r>
          </w:p>
        </w:tc>
      </w:tr>
      <w:tr>
        <w:tblPrEx>
          <w:tblCellMar>
            <w:top w:w="0" w:type="dxa"/>
            <w:left w:w="108" w:type="dxa"/>
            <w:bottom w:w="0" w:type="dxa"/>
            <w:right w:w="108" w:type="dxa"/>
          </w:tblCellMar>
        </w:tblPrEx>
        <w:trPr>
          <w:trHeight w:val="7324"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widowControl/>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企业</w:t>
            </w:r>
          </w:p>
          <w:p>
            <w:pPr>
              <w:pStyle w:val="11"/>
              <w:widowControl/>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合同履约</w:t>
            </w:r>
          </w:p>
          <w:p>
            <w:pPr>
              <w:pStyle w:val="11"/>
              <w:widowControl/>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15</w:t>
            </w:r>
            <w:r>
              <w:rPr>
                <w:rFonts w:hint="eastAsia" w:hAnsi="宋体" w:cs="宋体"/>
                <w:snapToGrid w:val="0"/>
                <w:color w:val="auto"/>
                <w:kern w:val="0"/>
                <w:sz w:val="21"/>
                <w:szCs w:val="21"/>
                <w:highlight w:val="none"/>
              </w:rPr>
              <w:t>分）</w:t>
            </w:r>
          </w:p>
          <w:p>
            <w:pPr>
              <w:pStyle w:val="11"/>
              <w:wordWrap w:val="0"/>
              <w:adjustRightInd w:val="0"/>
              <w:snapToGrid w:val="0"/>
              <w:spacing w:after="0"/>
              <w:jc w:val="center"/>
              <w:rPr>
                <w:rFonts w:hint="eastAsia" w:hAnsi="宋体" w:cs="宋体"/>
                <w:snapToGrid w:val="0"/>
                <w:color w:val="auto"/>
                <w:kern w:val="0"/>
                <w:sz w:val="21"/>
                <w:szCs w:val="21"/>
                <w:highlight w:val="none"/>
              </w:rPr>
            </w:pP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color w:val="auto"/>
                <w:kern w:val="0"/>
                <w:sz w:val="21"/>
                <w:szCs w:val="21"/>
                <w:highlight w:val="none"/>
              </w:rPr>
              <w:t>1</w:t>
            </w:r>
            <w:r>
              <w:rPr>
                <w:rFonts w:hint="eastAsia" w:hAnsi="宋体" w:cs="宋体"/>
                <w:snapToGrid w:val="0"/>
                <w:color w:val="auto"/>
                <w:kern w:val="0"/>
                <w:sz w:val="21"/>
                <w:szCs w:val="21"/>
                <w:highlight w:val="none"/>
              </w:rPr>
              <w:t xml:space="preserve">．守合同重信用连续15年的得 </w:t>
            </w:r>
            <w:r>
              <w:rPr>
                <w:rFonts w:hint="eastAsia" w:hAnsi="宋体" w:cs="宋体"/>
                <w:snapToGrid w:val="0"/>
                <w:color w:val="auto"/>
                <w:kern w:val="0"/>
                <w:sz w:val="21"/>
                <w:szCs w:val="21"/>
                <w:highlight w:val="none"/>
                <w:lang w:val="en-US" w:eastAsia="zh-CN"/>
              </w:rPr>
              <w:t>12.5</w:t>
            </w:r>
            <w:r>
              <w:rPr>
                <w:rFonts w:hint="eastAsia" w:hAnsi="宋体" w:cs="宋体"/>
                <w:snapToGrid w:val="0"/>
                <w:color w:val="auto"/>
                <w:kern w:val="0"/>
                <w:sz w:val="21"/>
                <w:szCs w:val="21"/>
                <w:highlight w:val="none"/>
              </w:rPr>
              <w:t>分（其中必须有2020年度），超过15年的，每增加1年加</w:t>
            </w:r>
            <w:r>
              <w:rPr>
                <w:rFonts w:hint="eastAsia" w:hAnsi="宋体" w:cs="宋体"/>
                <w:snapToGrid w:val="0"/>
                <w:color w:val="auto"/>
                <w:kern w:val="0"/>
                <w:sz w:val="21"/>
                <w:szCs w:val="21"/>
                <w:highlight w:val="none"/>
                <w:lang w:val="en-US" w:eastAsia="zh-CN"/>
              </w:rPr>
              <w:t>0.5</w:t>
            </w:r>
            <w:r>
              <w:rPr>
                <w:rFonts w:hint="eastAsia" w:hAnsi="宋体" w:cs="宋体"/>
                <w:snapToGrid w:val="0"/>
                <w:color w:val="auto"/>
                <w:kern w:val="0"/>
                <w:sz w:val="21"/>
                <w:szCs w:val="21"/>
                <w:highlight w:val="none"/>
              </w:rPr>
              <w:t>；最高得</w:t>
            </w:r>
            <w:r>
              <w:rPr>
                <w:rFonts w:hint="eastAsia" w:hAnsi="宋体" w:cs="宋体"/>
                <w:snapToGrid w:val="0"/>
                <w:color w:val="auto"/>
                <w:kern w:val="0"/>
                <w:sz w:val="21"/>
                <w:szCs w:val="21"/>
                <w:highlight w:val="none"/>
                <w:lang w:val="en-US" w:eastAsia="zh-CN"/>
              </w:rPr>
              <w:t>15</w:t>
            </w:r>
            <w:r>
              <w:rPr>
                <w:rFonts w:hint="eastAsia" w:hAnsi="宋体" w:cs="宋体"/>
                <w:snapToGrid w:val="0"/>
                <w:color w:val="auto"/>
                <w:kern w:val="0"/>
                <w:sz w:val="21"/>
                <w:szCs w:val="21"/>
                <w:highlight w:val="none"/>
              </w:rPr>
              <w:t>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 守合同重信用连续11～14年的得</w:t>
            </w:r>
            <w:r>
              <w:rPr>
                <w:rFonts w:hint="eastAsia" w:hAnsi="宋体" w:cs="宋体"/>
                <w:snapToGrid w:val="0"/>
                <w:color w:val="auto"/>
                <w:kern w:val="0"/>
                <w:sz w:val="21"/>
                <w:szCs w:val="21"/>
                <w:highlight w:val="none"/>
                <w:lang w:val="en-US" w:eastAsia="zh-CN"/>
              </w:rPr>
              <w:t>10</w:t>
            </w:r>
            <w:r>
              <w:rPr>
                <w:rFonts w:hint="eastAsia" w:hAnsi="宋体" w:cs="宋体"/>
                <w:snapToGrid w:val="0"/>
                <w:color w:val="auto"/>
                <w:kern w:val="0"/>
                <w:sz w:val="21"/>
                <w:szCs w:val="21"/>
                <w:highlight w:val="none"/>
              </w:rPr>
              <w:t>分（其中必须有2020年度）；</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3．守合同重信用连续6～10年的得</w:t>
            </w:r>
            <w:r>
              <w:rPr>
                <w:rFonts w:hint="eastAsia" w:hAnsi="宋体" w:cs="宋体"/>
                <w:snapToGrid w:val="0"/>
                <w:color w:val="auto"/>
                <w:kern w:val="0"/>
                <w:sz w:val="21"/>
                <w:szCs w:val="21"/>
                <w:highlight w:val="none"/>
                <w:lang w:val="en-US" w:eastAsia="zh-CN"/>
              </w:rPr>
              <w:t>7.5</w:t>
            </w:r>
            <w:r>
              <w:rPr>
                <w:rFonts w:hint="eastAsia" w:hAnsi="宋体" w:cs="宋体"/>
                <w:snapToGrid w:val="0"/>
                <w:color w:val="auto"/>
                <w:kern w:val="0"/>
                <w:sz w:val="21"/>
                <w:szCs w:val="21"/>
                <w:highlight w:val="none"/>
              </w:rPr>
              <w:t>分（其中必须有2020年度）；</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4．守合同重信用连续3～5年的得</w:t>
            </w:r>
            <w:r>
              <w:rPr>
                <w:rFonts w:hint="eastAsia" w:hAnsi="宋体" w:cs="宋体"/>
                <w:snapToGrid w:val="0"/>
                <w:color w:val="auto"/>
                <w:kern w:val="0"/>
                <w:sz w:val="21"/>
                <w:szCs w:val="21"/>
                <w:highlight w:val="none"/>
                <w:lang w:val="en-US" w:eastAsia="zh-CN"/>
              </w:rPr>
              <w:t>5</w:t>
            </w:r>
            <w:r>
              <w:rPr>
                <w:rFonts w:hint="eastAsia" w:hAnsi="宋体" w:cs="宋体"/>
                <w:snapToGrid w:val="0"/>
                <w:color w:val="auto"/>
                <w:kern w:val="0"/>
                <w:sz w:val="21"/>
                <w:szCs w:val="21"/>
                <w:highlight w:val="none"/>
              </w:rPr>
              <w:t>分（其中必须有2020年度）；</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5．守合同重信用连续1～2年得</w:t>
            </w:r>
            <w:r>
              <w:rPr>
                <w:rFonts w:hint="eastAsia" w:hAnsi="宋体" w:cs="宋体"/>
                <w:snapToGrid w:val="0"/>
                <w:color w:val="auto"/>
                <w:kern w:val="0"/>
                <w:sz w:val="21"/>
                <w:szCs w:val="21"/>
                <w:highlight w:val="none"/>
                <w:lang w:val="en-US" w:eastAsia="zh-CN"/>
              </w:rPr>
              <w:t>2.5</w:t>
            </w:r>
            <w:r>
              <w:rPr>
                <w:rFonts w:hint="eastAsia" w:hAnsi="宋体" w:cs="宋体"/>
                <w:snapToGrid w:val="0"/>
                <w:color w:val="auto"/>
                <w:kern w:val="0"/>
                <w:sz w:val="21"/>
                <w:szCs w:val="21"/>
                <w:highlight w:val="none"/>
              </w:rPr>
              <w:t>分（其中必须有2020年度）；</w:t>
            </w:r>
          </w:p>
          <w:p>
            <w:pPr>
              <w:pStyle w:val="11"/>
              <w:wordWrap w:val="0"/>
              <w:adjustRightInd w:val="0"/>
              <w:snapToGrid w:val="0"/>
              <w:spacing w:after="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6．未获得过“守合同重信用”评定的，不予计分。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1．守合同重信用企业证书须由</w:t>
            </w:r>
            <w:r>
              <w:rPr>
                <w:rFonts w:hint="eastAsia" w:hAnsi="宋体" w:cs="宋体"/>
                <w:snapToGrid w:val="0"/>
                <w:color w:val="auto"/>
                <w:kern w:val="0"/>
                <w:sz w:val="21"/>
                <w:szCs w:val="21"/>
                <w:highlight w:val="none"/>
                <w:u w:val="single"/>
              </w:rPr>
              <w:t>市场监督行政主管部门（原工商行政主管部门）</w:t>
            </w:r>
            <w:r>
              <w:rPr>
                <w:rFonts w:hint="eastAsia" w:hAnsi="宋体" w:cs="宋体"/>
                <w:snapToGrid w:val="0"/>
                <w:color w:val="auto"/>
                <w:kern w:val="0"/>
                <w:sz w:val="21"/>
                <w:szCs w:val="21"/>
                <w:highlight w:val="none"/>
              </w:rPr>
              <w:t>颁发。</w:t>
            </w:r>
          </w:p>
          <w:p>
            <w:pPr>
              <w:pStyle w:val="11"/>
              <w:wordWrap w:val="0"/>
              <w:adjustRightInd w:val="0"/>
              <w:snapToGrid w:val="0"/>
              <w:rPr>
                <w:rFonts w:hint="eastAsia" w:hAnsi="宋体" w:cs="宋体"/>
                <w:color w:val="auto"/>
                <w:sz w:val="21"/>
                <w:szCs w:val="21"/>
                <w:highlight w:val="none"/>
              </w:rPr>
            </w:pPr>
            <w:r>
              <w:rPr>
                <w:rFonts w:hint="eastAsia" w:hAnsi="宋体" w:cs="宋体"/>
                <w:color w:val="auto"/>
                <w:sz w:val="21"/>
                <w:szCs w:val="21"/>
                <w:highlight w:val="none"/>
              </w:rPr>
              <w:t>2.提供证书复印件及网上查询截图，否则不得分。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color w:val="auto"/>
                <w:sz w:val="21"/>
                <w:szCs w:val="21"/>
                <w:highlight w:val="none"/>
              </w:rPr>
              <w:t>3.</w:t>
            </w:r>
            <w:r>
              <w:rPr>
                <w:rFonts w:hint="eastAsia" w:hAnsi="宋体" w:cs="宋体"/>
                <w:snapToGrid w:val="0"/>
                <w:color w:val="auto"/>
                <w:kern w:val="0"/>
                <w:sz w:val="21"/>
                <w:szCs w:val="21"/>
                <w:highlight w:val="none"/>
              </w:rPr>
              <w:t>颁发机构不符合评分标准和备注规定的，不计分。</w:t>
            </w:r>
          </w:p>
        </w:tc>
      </w:tr>
      <w:tr>
        <w:tblPrEx>
          <w:tblCellMar>
            <w:top w:w="0" w:type="dxa"/>
            <w:left w:w="108" w:type="dxa"/>
            <w:bottom w:w="0" w:type="dxa"/>
            <w:right w:w="108" w:type="dxa"/>
          </w:tblCellMar>
        </w:tblPrEx>
        <w:trPr>
          <w:trHeight w:val="4521"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lang w:bidi="ar"/>
              </w:rPr>
            </w:pPr>
            <w:r>
              <w:rPr>
                <w:rFonts w:hint="eastAsia" w:hAnsi="宋体" w:cs="宋体"/>
                <w:snapToGrid w:val="0"/>
                <w:color w:val="auto"/>
                <w:kern w:val="0"/>
                <w:sz w:val="21"/>
                <w:szCs w:val="21"/>
                <w:highlight w:val="none"/>
                <w:lang w:bidi="ar"/>
              </w:rPr>
              <w:t>企业获得体系认证证书</w:t>
            </w:r>
          </w:p>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lang w:bidi="ar"/>
              </w:rPr>
              <w:t>（</w:t>
            </w:r>
            <w:r>
              <w:rPr>
                <w:rFonts w:hint="eastAsia" w:hAnsi="宋体" w:cs="宋体"/>
                <w:snapToGrid w:val="0"/>
                <w:color w:val="auto"/>
                <w:kern w:val="0"/>
                <w:sz w:val="21"/>
                <w:szCs w:val="21"/>
                <w:highlight w:val="none"/>
                <w:lang w:val="en-US" w:eastAsia="zh-CN" w:bidi="ar"/>
              </w:rPr>
              <w:t>7.5</w:t>
            </w:r>
            <w:r>
              <w:rPr>
                <w:rFonts w:hint="eastAsia" w:hAnsi="宋体" w:cs="宋体"/>
                <w:snapToGrid w:val="0"/>
                <w:color w:val="auto"/>
                <w:kern w:val="0"/>
                <w:sz w:val="21"/>
                <w:szCs w:val="21"/>
                <w:highlight w:val="none"/>
                <w:lang w:bidi="ar"/>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质量管理体系认证证书、职业健康安全管理体系认证证书、环境管理体系认证证书、信息安全管理体系认证证书中：</w:t>
            </w:r>
          </w:p>
          <w:p>
            <w:pPr>
              <w:pStyle w:val="11"/>
              <w:wordWrap w:val="0"/>
              <w:adjustRightInd w:val="0"/>
              <w:snapToGrid w:val="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1．企业获得4项证书的得</w:t>
            </w:r>
            <w:r>
              <w:rPr>
                <w:rFonts w:hint="eastAsia" w:hAnsi="宋体" w:cs="宋体"/>
                <w:snapToGrid w:val="0"/>
                <w:color w:val="auto"/>
                <w:kern w:val="0"/>
                <w:sz w:val="21"/>
                <w:szCs w:val="21"/>
                <w:highlight w:val="none"/>
                <w:lang w:val="en-US" w:eastAsia="zh-CN"/>
              </w:rPr>
              <w:t>7.5</w:t>
            </w:r>
            <w:r>
              <w:rPr>
                <w:rFonts w:hint="eastAsia" w:hAnsi="宋体" w:cs="宋体"/>
                <w:snapToGrid w:val="0"/>
                <w:color w:val="auto"/>
                <w:kern w:val="0"/>
                <w:sz w:val="21"/>
                <w:szCs w:val="21"/>
                <w:highlight w:val="none"/>
              </w:rPr>
              <w:t>分；</w:t>
            </w:r>
          </w:p>
          <w:p>
            <w:pPr>
              <w:pStyle w:val="11"/>
              <w:wordWrap w:val="0"/>
              <w:adjustRightInd w:val="0"/>
              <w:snapToGrid w:val="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2．企业获得其中3项证书的得</w:t>
            </w:r>
            <w:r>
              <w:rPr>
                <w:rFonts w:hint="eastAsia" w:hAnsi="宋体" w:cs="宋体"/>
                <w:snapToGrid w:val="0"/>
                <w:color w:val="auto"/>
                <w:kern w:val="0"/>
                <w:sz w:val="21"/>
                <w:szCs w:val="21"/>
                <w:highlight w:val="none"/>
                <w:lang w:val="en-US" w:eastAsia="zh-CN"/>
              </w:rPr>
              <w:t>5</w:t>
            </w:r>
            <w:r>
              <w:rPr>
                <w:rFonts w:hint="eastAsia" w:hAnsi="宋体" w:cs="宋体"/>
                <w:snapToGrid w:val="0"/>
                <w:color w:val="auto"/>
                <w:kern w:val="0"/>
                <w:sz w:val="21"/>
                <w:szCs w:val="21"/>
                <w:highlight w:val="none"/>
              </w:rPr>
              <w:t>分；</w:t>
            </w:r>
          </w:p>
          <w:p>
            <w:pPr>
              <w:pStyle w:val="11"/>
              <w:wordWrap w:val="0"/>
              <w:adjustRightInd w:val="0"/>
              <w:snapToGrid w:val="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3．企业获得其中1-2项证书的得</w:t>
            </w:r>
            <w:r>
              <w:rPr>
                <w:rFonts w:hint="eastAsia" w:hAnsi="宋体" w:cs="宋体"/>
                <w:snapToGrid w:val="0"/>
                <w:color w:val="auto"/>
                <w:kern w:val="0"/>
                <w:sz w:val="21"/>
                <w:szCs w:val="21"/>
                <w:highlight w:val="none"/>
                <w:lang w:val="en-US" w:eastAsia="zh-CN"/>
              </w:rPr>
              <w:t>2.5</w:t>
            </w:r>
            <w:r>
              <w:rPr>
                <w:rFonts w:hint="eastAsia" w:hAnsi="宋体" w:cs="宋体"/>
                <w:snapToGrid w:val="0"/>
                <w:color w:val="auto"/>
                <w:kern w:val="0"/>
                <w:sz w:val="21"/>
                <w:szCs w:val="21"/>
                <w:highlight w:val="none"/>
              </w:rPr>
              <w:t>分；</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4. 以上认证证书均未获得的，不予计分。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1．需附在有效期内的体系认证证书复印件（或打印件）。</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2．证书不在有效期内的，不计分。</w:t>
            </w:r>
          </w:p>
        </w:tc>
      </w:tr>
      <w:tr>
        <w:tblPrEx>
          <w:tblCellMar>
            <w:top w:w="0" w:type="dxa"/>
            <w:left w:w="108" w:type="dxa"/>
            <w:bottom w:w="0" w:type="dxa"/>
            <w:right w:w="108" w:type="dxa"/>
          </w:tblCellMar>
        </w:tblPrEx>
        <w:trPr>
          <w:trHeight w:val="3302"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lang w:bidi="ar"/>
              </w:rPr>
            </w:pPr>
            <w:r>
              <w:rPr>
                <w:rFonts w:hint="eastAsia" w:hAnsi="宋体" w:cs="宋体"/>
                <w:snapToGrid w:val="0"/>
                <w:color w:val="auto"/>
                <w:kern w:val="0"/>
                <w:sz w:val="21"/>
                <w:szCs w:val="21"/>
                <w:highlight w:val="none"/>
                <w:lang w:bidi="ar"/>
              </w:rPr>
              <w:t>韶关地区</w:t>
            </w:r>
          </w:p>
          <w:p>
            <w:pPr>
              <w:pStyle w:val="11"/>
              <w:wordWrap w:val="0"/>
              <w:adjustRightInd w:val="0"/>
              <w:snapToGrid w:val="0"/>
              <w:spacing w:after="0"/>
              <w:jc w:val="center"/>
              <w:rPr>
                <w:rFonts w:hint="eastAsia" w:hAnsi="宋体" w:cs="宋体"/>
                <w:snapToGrid w:val="0"/>
                <w:color w:val="auto"/>
                <w:kern w:val="0"/>
                <w:sz w:val="21"/>
                <w:szCs w:val="21"/>
                <w:highlight w:val="none"/>
                <w:lang w:bidi="ar"/>
              </w:rPr>
            </w:pPr>
            <w:r>
              <w:rPr>
                <w:rFonts w:hint="eastAsia" w:hAnsi="宋体" w:cs="宋体"/>
                <w:snapToGrid w:val="0"/>
                <w:color w:val="auto"/>
                <w:kern w:val="0"/>
                <w:sz w:val="21"/>
                <w:szCs w:val="21"/>
                <w:highlight w:val="none"/>
                <w:lang w:bidi="ar"/>
              </w:rPr>
              <w:t>企业诚信</w:t>
            </w:r>
          </w:p>
          <w:p>
            <w:pPr>
              <w:pStyle w:val="11"/>
              <w:wordWrap w:val="0"/>
              <w:adjustRightInd w:val="0"/>
              <w:snapToGrid w:val="0"/>
              <w:spacing w:after="0"/>
              <w:jc w:val="center"/>
              <w:rPr>
                <w:rFonts w:hint="eastAsia" w:hAnsi="宋体" w:cs="宋体"/>
                <w:snapToGrid w:val="0"/>
                <w:color w:val="auto"/>
                <w:kern w:val="0"/>
                <w:sz w:val="21"/>
                <w:szCs w:val="21"/>
                <w:highlight w:val="none"/>
                <w:lang w:bidi="ar"/>
              </w:rPr>
            </w:pPr>
            <w:r>
              <w:rPr>
                <w:rFonts w:hint="eastAsia" w:hAnsi="宋体" w:cs="宋体"/>
                <w:snapToGrid w:val="0"/>
                <w:color w:val="auto"/>
                <w:kern w:val="0"/>
                <w:sz w:val="21"/>
                <w:szCs w:val="21"/>
                <w:highlight w:val="none"/>
                <w:lang w:bidi="ar"/>
              </w:rPr>
              <w:t>评价等级</w:t>
            </w:r>
          </w:p>
          <w:p>
            <w:pPr>
              <w:pStyle w:val="11"/>
              <w:wordWrap w:val="0"/>
              <w:adjustRightInd w:val="0"/>
              <w:snapToGrid w:val="0"/>
              <w:spacing w:after="0"/>
              <w:jc w:val="center"/>
              <w:rPr>
                <w:rFonts w:hint="eastAsia" w:hAnsi="宋体" w:cs="宋体"/>
                <w:snapToGrid w:val="0"/>
                <w:color w:val="auto"/>
                <w:kern w:val="0"/>
                <w:sz w:val="21"/>
                <w:szCs w:val="21"/>
                <w:highlight w:val="none"/>
                <w:lang w:bidi="ar"/>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10</w:t>
            </w:r>
            <w:r>
              <w:rPr>
                <w:rFonts w:hint="eastAsia" w:hAnsi="宋体" w:cs="宋体"/>
                <w:snapToGrid w:val="0"/>
                <w:color w:val="auto"/>
                <w:kern w:val="0"/>
                <w:sz w:val="21"/>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58"/>
              <w:wordWrap w:val="0"/>
              <w:adjustRightInd w:val="0"/>
              <w:snapToGri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韶关市建设行政主管部门发布的202</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年</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月至202</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年</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月连续获得韶关市建筑行业企业诚信综合考评等级情况：</w:t>
            </w:r>
          </w:p>
          <w:p>
            <w:pPr>
              <w:pStyle w:val="58"/>
              <w:wordWrap w:val="0"/>
              <w:adjustRightInd w:val="0"/>
              <w:snapToGri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1．连续三个月考评等级为AAA级的，得</w:t>
            </w: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rPr>
              <w:t>分。</w:t>
            </w:r>
          </w:p>
          <w:p>
            <w:pPr>
              <w:pStyle w:val="58"/>
              <w:wordWrap w:val="0"/>
              <w:adjustRightInd w:val="0"/>
              <w:snapToGri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2．连续三个月中，月考评等级不连续的。其中月考评等级为AAA级的，得</w:t>
            </w:r>
            <w:r>
              <w:rPr>
                <w:rFonts w:hint="eastAsia" w:ascii="宋体" w:hAnsi="宋体" w:eastAsia="宋体" w:cs="宋体"/>
                <w:color w:val="auto"/>
                <w:kern w:val="0"/>
                <w:szCs w:val="21"/>
                <w:highlight w:val="none"/>
                <w:lang w:val="en-US" w:eastAsia="zh-CN"/>
              </w:rPr>
              <w:t>2.5</w:t>
            </w:r>
            <w:r>
              <w:rPr>
                <w:rFonts w:hint="eastAsia" w:ascii="宋体" w:hAnsi="宋体" w:eastAsia="宋体" w:cs="宋体"/>
                <w:color w:val="auto"/>
                <w:kern w:val="0"/>
                <w:szCs w:val="21"/>
                <w:highlight w:val="none"/>
              </w:rPr>
              <w:t>分，月考评等级为AA级的，得</w:t>
            </w:r>
            <w:r>
              <w:rPr>
                <w:rFonts w:hint="eastAsia" w:ascii="宋体" w:hAnsi="宋体" w:eastAsia="宋体" w:cs="宋体"/>
                <w:color w:val="auto"/>
                <w:kern w:val="0"/>
                <w:szCs w:val="21"/>
                <w:highlight w:val="none"/>
                <w:lang w:val="en-US" w:eastAsia="zh-CN"/>
              </w:rPr>
              <w:t>1.25</w:t>
            </w:r>
            <w:r>
              <w:rPr>
                <w:rFonts w:hint="eastAsia" w:ascii="宋体" w:hAnsi="宋体" w:eastAsia="宋体" w:cs="宋体"/>
                <w:color w:val="auto"/>
                <w:kern w:val="0"/>
                <w:szCs w:val="21"/>
                <w:highlight w:val="none"/>
              </w:rPr>
              <w:t>分，月考评等级为A级的，得</w:t>
            </w:r>
            <w:r>
              <w:rPr>
                <w:rFonts w:hint="eastAsia" w:ascii="宋体" w:hAnsi="宋体" w:eastAsia="宋体" w:cs="宋体"/>
                <w:color w:val="auto"/>
                <w:kern w:val="0"/>
                <w:szCs w:val="21"/>
                <w:highlight w:val="none"/>
                <w:lang w:val="en-US" w:eastAsia="zh-CN"/>
              </w:rPr>
              <w:t>0.5</w:t>
            </w:r>
            <w:r>
              <w:rPr>
                <w:rFonts w:hint="eastAsia" w:ascii="宋体" w:hAnsi="宋体" w:eastAsia="宋体" w:cs="宋体"/>
                <w:color w:val="auto"/>
                <w:kern w:val="0"/>
                <w:szCs w:val="21"/>
                <w:highlight w:val="none"/>
              </w:rPr>
              <w:t>分，得分为三个月得分累加。</w:t>
            </w:r>
          </w:p>
          <w:p>
            <w:pPr>
              <w:pStyle w:val="58"/>
              <w:wordWrap w:val="0"/>
              <w:adjustRightInd w:val="0"/>
              <w:snapToGri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 其他不予计分。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1.需附《202</w:t>
            </w:r>
            <w:r>
              <w:rPr>
                <w:rFonts w:hint="eastAsia" w:hAnsi="宋体" w:cs="宋体"/>
                <w:snapToGrid w:val="0"/>
                <w:color w:val="auto"/>
                <w:kern w:val="0"/>
                <w:sz w:val="21"/>
                <w:szCs w:val="21"/>
                <w:highlight w:val="none"/>
                <w:lang w:val="en-US" w:eastAsia="zh-CN"/>
              </w:rPr>
              <w:t>3</w:t>
            </w:r>
            <w:r>
              <w:rPr>
                <w:rFonts w:hint="eastAsia" w:hAnsi="宋体" w:cs="宋体"/>
                <w:snapToGrid w:val="0"/>
                <w:color w:val="auto"/>
                <w:kern w:val="0"/>
                <w:sz w:val="21"/>
                <w:szCs w:val="21"/>
                <w:highlight w:val="none"/>
              </w:rPr>
              <w:t>年</w:t>
            </w:r>
            <w:r>
              <w:rPr>
                <w:rFonts w:hint="eastAsia" w:hAnsi="宋体" w:cs="宋体"/>
                <w:snapToGrid w:val="0"/>
                <w:color w:val="auto"/>
                <w:kern w:val="0"/>
                <w:sz w:val="21"/>
                <w:szCs w:val="21"/>
                <w:highlight w:val="none"/>
                <w:lang w:val="en-US" w:eastAsia="zh-CN"/>
              </w:rPr>
              <w:t>1</w:t>
            </w:r>
            <w:r>
              <w:rPr>
                <w:rFonts w:hint="eastAsia" w:hAnsi="宋体" w:cs="宋体"/>
                <w:snapToGrid w:val="0"/>
                <w:color w:val="auto"/>
                <w:kern w:val="0"/>
                <w:sz w:val="21"/>
                <w:szCs w:val="21"/>
                <w:highlight w:val="none"/>
              </w:rPr>
              <w:t>月韶关市建筑行业企业诚信综合考评等级》至《202</w:t>
            </w:r>
            <w:r>
              <w:rPr>
                <w:rFonts w:hint="eastAsia" w:hAnsi="宋体" w:cs="宋体"/>
                <w:snapToGrid w:val="0"/>
                <w:color w:val="auto"/>
                <w:kern w:val="0"/>
                <w:sz w:val="21"/>
                <w:szCs w:val="21"/>
                <w:highlight w:val="none"/>
                <w:lang w:val="en-US" w:eastAsia="zh-CN"/>
              </w:rPr>
              <w:t>3</w:t>
            </w:r>
            <w:r>
              <w:rPr>
                <w:rFonts w:hint="eastAsia" w:hAnsi="宋体" w:cs="宋体"/>
                <w:snapToGrid w:val="0"/>
                <w:color w:val="auto"/>
                <w:kern w:val="0"/>
                <w:sz w:val="21"/>
                <w:szCs w:val="21"/>
                <w:highlight w:val="none"/>
              </w:rPr>
              <w:t>年</w:t>
            </w:r>
            <w:r>
              <w:rPr>
                <w:rFonts w:hint="eastAsia" w:hAnsi="宋体" w:cs="宋体"/>
                <w:snapToGrid w:val="0"/>
                <w:color w:val="auto"/>
                <w:kern w:val="0"/>
                <w:sz w:val="21"/>
                <w:szCs w:val="21"/>
                <w:highlight w:val="none"/>
                <w:lang w:val="en-US" w:eastAsia="zh-CN"/>
              </w:rPr>
              <w:t>3</w:t>
            </w:r>
            <w:r>
              <w:rPr>
                <w:rFonts w:hint="eastAsia" w:hAnsi="宋体" w:cs="宋体"/>
                <w:snapToGrid w:val="0"/>
                <w:color w:val="auto"/>
                <w:kern w:val="0"/>
                <w:sz w:val="21"/>
                <w:szCs w:val="21"/>
                <w:highlight w:val="none"/>
              </w:rPr>
              <w:t>月韶关市建筑行业企业诚信综合考评等级》打印页、发布文件的网页截图打印页（应显示网站名称和网址）；</w:t>
            </w:r>
          </w:p>
          <w:p>
            <w:pPr>
              <w:pStyle w:val="11"/>
              <w:wordWrap w:val="0"/>
              <w:adjustRightInd w:val="0"/>
              <w:snapToGrid w:val="0"/>
              <w:spacing w:after="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2.发布机关、考评时间不符合要求的，不计分。</w:t>
            </w:r>
          </w:p>
        </w:tc>
      </w:tr>
      <w:tr>
        <w:tblPrEx>
          <w:tblCellMar>
            <w:top w:w="0" w:type="dxa"/>
            <w:left w:w="108" w:type="dxa"/>
            <w:bottom w:w="0" w:type="dxa"/>
            <w:right w:w="108" w:type="dxa"/>
          </w:tblCellMar>
        </w:tblPrEx>
        <w:trPr>
          <w:trHeight w:val="3912"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服务便利性</w:t>
            </w:r>
          </w:p>
          <w:p>
            <w:pPr>
              <w:pStyle w:val="11"/>
              <w:wordWrap w:val="0"/>
              <w:adjustRightInd w:val="0"/>
              <w:snapToGrid w:val="0"/>
              <w:spacing w:after="0"/>
              <w:jc w:val="center"/>
              <w:rPr>
                <w:rFonts w:hint="eastAsia" w:hAnsi="宋体" w:cs="宋体"/>
                <w:snapToGrid w:val="0"/>
                <w:color w:val="auto"/>
                <w:kern w:val="0"/>
                <w:sz w:val="21"/>
                <w:szCs w:val="21"/>
                <w:highlight w:val="none"/>
                <w:lang w:bidi="ar"/>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15</w:t>
            </w:r>
            <w:r>
              <w:rPr>
                <w:rFonts w:hint="eastAsia" w:hAnsi="宋体" w:cs="宋体"/>
                <w:snapToGrid w:val="0"/>
                <w:color w:val="auto"/>
                <w:kern w:val="0"/>
                <w:sz w:val="21"/>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对所有投标人的快速服务保障能力（包括保修期快速服务保障能力）进行横向比较：</w:t>
            </w:r>
          </w:p>
          <w:p>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1．快速服务保障能力优的得</w:t>
            </w:r>
            <w:r>
              <w:rPr>
                <w:rFonts w:hint="eastAsia" w:hAnsi="宋体" w:cs="宋体"/>
                <w:color w:val="auto"/>
                <w:kern w:val="0"/>
                <w:sz w:val="21"/>
                <w:szCs w:val="21"/>
                <w:highlight w:val="none"/>
                <w:lang w:val="en-US" w:eastAsia="zh-CN"/>
              </w:rPr>
              <w:t>15</w:t>
            </w:r>
            <w:r>
              <w:rPr>
                <w:rFonts w:hint="eastAsia" w:hAnsi="宋体" w:cs="宋体"/>
                <w:color w:val="auto"/>
                <w:kern w:val="0"/>
                <w:sz w:val="21"/>
                <w:szCs w:val="21"/>
                <w:highlight w:val="none"/>
              </w:rPr>
              <w:t>分；</w:t>
            </w:r>
          </w:p>
          <w:p>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2．快速服务保障能力良的得</w:t>
            </w:r>
            <w:r>
              <w:rPr>
                <w:rFonts w:hint="eastAsia" w:hAnsi="宋体" w:cs="宋体"/>
                <w:color w:val="auto"/>
                <w:kern w:val="0"/>
                <w:sz w:val="21"/>
                <w:szCs w:val="21"/>
                <w:highlight w:val="none"/>
                <w:lang w:val="en-US" w:eastAsia="zh-CN"/>
              </w:rPr>
              <w:t>7.5</w:t>
            </w:r>
            <w:r>
              <w:rPr>
                <w:rFonts w:hint="eastAsia" w:hAnsi="宋体" w:cs="宋体"/>
                <w:color w:val="auto"/>
                <w:kern w:val="0"/>
                <w:sz w:val="21"/>
                <w:szCs w:val="21"/>
                <w:highlight w:val="none"/>
              </w:rPr>
              <w:t>分；</w:t>
            </w:r>
          </w:p>
          <w:p>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3．快速服务保障能力一般的得</w:t>
            </w:r>
            <w:r>
              <w:rPr>
                <w:rFonts w:hint="eastAsia" w:hAnsi="宋体" w:cs="宋体"/>
                <w:color w:val="auto"/>
                <w:kern w:val="0"/>
                <w:sz w:val="21"/>
                <w:szCs w:val="21"/>
                <w:highlight w:val="none"/>
                <w:lang w:val="en-US" w:eastAsia="zh-CN"/>
              </w:rPr>
              <w:t>2.5</w:t>
            </w:r>
            <w:r>
              <w:rPr>
                <w:rFonts w:hint="eastAsia" w:hAnsi="宋体" w:cs="宋体"/>
                <w:color w:val="auto"/>
                <w:kern w:val="0"/>
                <w:sz w:val="21"/>
                <w:szCs w:val="21"/>
                <w:highlight w:val="none"/>
              </w:rPr>
              <w:t>分；</w:t>
            </w:r>
          </w:p>
          <w:p>
            <w:pPr>
              <w:adjustRightInd w:val="0"/>
              <w:rPr>
                <w:rFonts w:hAnsi="宋体" w:cs="宋体"/>
                <w:snapToGrid w:val="0"/>
                <w:color w:val="auto"/>
                <w:kern w:val="0"/>
                <w:sz w:val="21"/>
                <w:szCs w:val="21"/>
                <w:highlight w:val="none"/>
              </w:rPr>
            </w:pPr>
            <w:r>
              <w:rPr>
                <w:rFonts w:hAnsi="宋体" w:cs="宋体"/>
                <w:color w:val="auto"/>
                <w:kern w:val="0"/>
                <w:sz w:val="21"/>
                <w:szCs w:val="21"/>
                <w:highlight w:val="none"/>
              </w:rPr>
              <w:t>此项最高</w:t>
            </w:r>
            <w:r>
              <w:rPr>
                <w:rFonts w:hint="eastAsia" w:hAnsi="宋体" w:cs="宋体"/>
                <w:color w:val="auto"/>
                <w:kern w:val="0"/>
                <w:sz w:val="21"/>
                <w:szCs w:val="21"/>
                <w:highlight w:val="none"/>
                <w:lang w:val="en-US" w:eastAsia="zh-CN"/>
              </w:rPr>
              <w:t>15</w:t>
            </w:r>
            <w:r>
              <w:rPr>
                <w:rFonts w:hAnsi="宋体" w:cs="宋体"/>
                <w:color w:val="auto"/>
                <w:kern w:val="0"/>
                <w:sz w:val="21"/>
                <w:szCs w:val="21"/>
                <w:highlight w:val="none"/>
              </w:rPr>
              <w:t>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Lines="50"/>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注：投标人须提供快速服务保障能力的承诺函，承诺函中必须包含响应时间的承诺并提供相关佐证材料，承诺函格式自拟，投标人所在地距离招标人地点的百度地图路线网上截图、拟投入本项目的施工管理机构人员在投标人所在地办理的社保证明文件、投标人营业执照复印件、保修期服务。</w:t>
            </w:r>
          </w:p>
          <w:p>
            <w:pPr>
              <w:pStyle w:val="11"/>
              <w:wordWrap w:val="0"/>
              <w:adjustRightInd w:val="0"/>
              <w:snapToGrid w:val="0"/>
              <w:rPr>
                <w:rFonts w:hint="eastAsia" w:hAnsi="宋体" w:cs="宋体"/>
                <w:color w:val="auto"/>
                <w:kern w:val="0"/>
                <w:sz w:val="21"/>
                <w:szCs w:val="21"/>
                <w:highlight w:val="none"/>
              </w:rPr>
            </w:pPr>
            <w:r>
              <w:rPr>
                <w:rFonts w:hint="eastAsia" w:hAnsi="宋体" w:cs="宋体"/>
                <w:color w:val="auto"/>
                <w:kern w:val="0"/>
                <w:sz w:val="21"/>
                <w:szCs w:val="21"/>
                <w:highlight w:val="none"/>
              </w:rPr>
              <w:t>备注：其中</w:t>
            </w:r>
            <w:r>
              <w:rPr>
                <w:rFonts w:hint="eastAsia" w:hAnsi="宋体" w:cs="宋体"/>
                <w:snapToGrid w:val="0"/>
                <w:color w:val="auto"/>
                <w:kern w:val="0"/>
                <w:sz w:val="21"/>
                <w:szCs w:val="21"/>
                <w:highlight w:val="none"/>
              </w:rPr>
              <w:t>社保证明文件（投标截止前近三个月；</w:t>
            </w:r>
            <w:r>
              <w:rPr>
                <w:rFonts w:hint="eastAsia" w:hAnsi="宋体" w:cs="宋体"/>
                <w:color w:val="auto"/>
                <w:kern w:val="0"/>
                <w:sz w:val="21"/>
                <w:szCs w:val="21"/>
                <w:highlight w:val="none"/>
              </w:rPr>
              <w:t>必须有202</w:t>
            </w:r>
            <w:r>
              <w:rPr>
                <w:rFonts w:hint="eastAsia" w:hAnsi="宋体" w:cs="宋体"/>
                <w:color w:val="auto"/>
                <w:kern w:val="0"/>
                <w:sz w:val="21"/>
                <w:szCs w:val="21"/>
                <w:highlight w:val="none"/>
                <w:lang w:val="en-US" w:eastAsia="zh-CN"/>
              </w:rPr>
              <w:t>3</w:t>
            </w:r>
            <w:r>
              <w:rPr>
                <w:rFonts w:hint="eastAsia" w:hAnsi="宋体" w:cs="宋体"/>
                <w:color w:val="auto"/>
                <w:kern w:val="0"/>
                <w:sz w:val="21"/>
                <w:szCs w:val="21"/>
                <w:highlight w:val="none"/>
              </w:rPr>
              <w:t>年</w:t>
            </w:r>
            <w:r>
              <w:rPr>
                <w:rFonts w:hint="eastAsia" w:hAnsi="宋体" w:cs="宋体"/>
                <w:color w:val="auto"/>
                <w:kern w:val="0"/>
                <w:sz w:val="21"/>
                <w:szCs w:val="21"/>
                <w:highlight w:val="none"/>
                <w:lang w:val="en-US" w:eastAsia="zh-CN"/>
              </w:rPr>
              <w:t>3</w:t>
            </w:r>
            <w:r>
              <w:rPr>
                <w:rFonts w:hint="eastAsia" w:hAnsi="宋体" w:cs="宋体"/>
                <w:color w:val="auto"/>
                <w:kern w:val="0"/>
                <w:sz w:val="21"/>
                <w:szCs w:val="21"/>
                <w:highlight w:val="none"/>
              </w:rPr>
              <w:t>月）。</w:t>
            </w:r>
          </w:p>
          <w:p>
            <w:pPr>
              <w:pStyle w:val="11"/>
              <w:wordWrap w:val="0"/>
              <w:adjustRightInd w:val="0"/>
              <w:snapToGrid w:val="0"/>
              <w:spacing w:after="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不符合评分标准规定的不得分。</w:t>
            </w:r>
          </w:p>
        </w:tc>
      </w:tr>
      <w:tr>
        <w:tblPrEx>
          <w:tblCellMar>
            <w:top w:w="0" w:type="dxa"/>
            <w:left w:w="108" w:type="dxa"/>
            <w:bottom w:w="0" w:type="dxa"/>
            <w:right w:w="108" w:type="dxa"/>
          </w:tblCellMar>
        </w:tblPrEx>
        <w:trPr>
          <w:trHeight w:val="634" w:hRule="exact"/>
          <w:jc w:val="center"/>
        </w:trPr>
        <w:tc>
          <w:tcPr>
            <w:tcW w:w="99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pPr>
              <w:pStyle w:val="11"/>
              <w:wordWrap w:val="0"/>
              <w:adjustRightInd w:val="0"/>
              <w:snapToGrid w:val="0"/>
              <w:spacing w:after="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技术部分（施工组织设计），满分：</w:t>
            </w:r>
            <w:r>
              <w:rPr>
                <w:rFonts w:hint="eastAsia" w:hAnsi="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12.5</w:t>
            </w:r>
            <w:r>
              <w:rPr>
                <w:rFonts w:hint="eastAsia" w:hAnsi="宋体" w:cs="宋体"/>
                <w:snapToGrid w:val="0"/>
                <w:color w:val="auto"/>
                <w:kern w:val="0"/>
                <w:sz w:val="21"/>
                <w:szCs w:val="21"/>
                <w:highlight w:val="none"/>
              </w:rPr>
              <w:t>分。</w:t>
            </w:r>
          </w:p>
        </w:tc>
      </w:tr>
      <w:tr>
        <w:tblPrEx>
          <w:tblCellMar>
            <w:top w:w="0" w:type="dxa"/>
            <w:left w:w="108" w:type="dxa"/>
            <w:bottom w:w="0" w:type="dxa"/>
            <w:right w:w="108" w:type="dxa"/>
          </w:tblCellMar>
        </w:tblPrEx>
        <w:trPr>
          <w:trHeight w:val="634" w:hRule="exac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评分因素</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评分标准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备注</w:t>
            </w:r>
          </w:p>
        </w:tc>
      </w:tr>
      <w:tr>
        <w:tblPrEx>
          <w:tblCellMar>
            <w:top w:w="0" w:type="dxa"/>
            <w:left w:w="108" w:type="dxa"/>
            <w:bottom w:w="0" w:type="dxa"/>
            <w:right w:w="108" w:type="dxa"/>
          </w:tblCellMar>
        </w:tblPrEx>
        <w:trPr>
          <w:trHeight w:val="4887"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8"/>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总体概述</w:t>
            </w:r>
          </w:p>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r>
              <w:rPr>
                <w:rFonts w:hint="eastAsia" w:hAnsi="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1.25</w:t>
            </w:r>
            <w:r>
              <w:rPr>
                <w:rFonts w:hint="eastAsia" w:hAnsi="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33"/>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【优】得该项因素分的85%～100%（含85%）；</w:t>
            </w:r>
          </w:p>
          <w:p>
            <w:pPr>
              <w:pStyle w:val="133"/>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【良】得该项因素分的70%～85%（含70%）；</w:t>
            </w:r>
          </w:p>
          <w:p>
            <w:pPr>
              <w:pStyle w:val="133"/>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【中】得该项因素分的60%～70%（含60%）；</w:t>
            </w:r>
          </w:p>
          <w:p>
            <w:pPr>
              <w:pStyle w:val="11"/>
              <w:wordWrap w:val="0"/>
              <w:adjustRightInd w:val="0"/>
              <w:snapToGrid w:val="0"/>
              <w:spacing w:after="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【差】得该项因素分的0～60%（含0分）。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【优】对项目总体有深刻认识，表述清晰、完整、严谨、合理，措施先进、具体、有效、成熟，采用了新技术、新工艺、新材料、新设备；施工段划分呼应总体表述，划分清晰、合理，符合规范要求。 </w:t>
            </w:r>
          </w:p>
          <w:p>
            <w:pPr>
              <w:pStyle w:val="11"/>
              <w:wordWrap w:val="0"/>
              <w:adjustRightInd w:val="0"/>
              <w:snapToGrid w:val="0"/>
              <w:spacing w:after="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【良】对项目总体有一定认识，表述清晰、完整，措施具体有效；施工段划分呼应总体表述，划分清晰，符合规范要求。</w:t>
            </w:r>
          </w:p>
          <w:p>
            <w:pPr>
              <w:pStyle w:val="11"/>
              <w:wordWrap w:val="0"/>
              <w:adjustRightInd w:val="0"/>
              <w:snapToGrid w:val="0"/>
              <w:spacing w:after="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【中】对项目总体有认识，有一定的措施但部分不具体；施工段划分较合理，符合规范要求。</w:t>
            </w:r>
          </w:p>
          <w:p>
            <w:pPr>
              <w:pStyle w:val="11"/>
              <w:wordWrap w:val="0"/>
              <w:adjustRightInd w:val="0"/>
              <w:snapToGrid w:val="0"/>
              <w:spacing w:after="0"/>
              <w:jc w:val="lef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【差】对项目认识不足，表述不清晰，措施不具体；施工段划分不合理。</w:t>
            </w:r>
          </w:p>
        </w:tc>
      </w:tr>
      <w:tr>
        <w:tblPrEx>
          <w:tblCellMar>
            <w:top w:w="0" w:type="dxa"/>
            <w:left w:w="108" w:type="dxa"/>
            <w:bottom w:w="0" w:type="dxa"/>
            <w:right w:w="108" w:type="dxa"/>
          </w:tblCellMar>
        </w:tblPrEx>
        <w:trPr>
          <w:trHeight w:val="2042"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施工总进</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度计划及</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保证措施</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2.5</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【优】得该项因素分的85%～100%（含85%）；</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【良】得该项因素分的70%～85%（含70%）；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【中】得该项因素分的60%～70%（含60%）；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【差】得该项因素分的0～60%（含0分）。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最大。</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关键线路清晰、准确、完整，计划编制可行。关键节点的控制措施合理、可行。人、材、机需求和进场计划与进度计划相呼应，基本满足施工需要，调配投入计划基本合理、准确。进度违约责任承诺具体，经济赔偿次大。</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【差】关键线路不准确，计划编制不合理。关键节点的控制不可行。人、材、机需求和进场计划与进度计划不相呼应，不能满足施工需要。没有违约责任承诺。</w:t>
            </w:r>
          </w:p>
        </w:tc>
      </w:tr>
      <w:tr>
        <w:tblPrEx>
          <w:tblCellMar>
            <w:top w:w="0" w:type="dxa"/>
            <w:left w:w="108" w:type="dxa"/>
            <w:bottom w:w="0" w:type="dxa"/>
            <w:right w:w="108" w:type="dxa"/>
          </w:tblCellMar>
        </w:tblPrEx>
        <w:trPr>
          <w:trHeight w:val="4074"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质量</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保证措施</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2.5</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【优】得该项因素分的85%～100%（含85%）；</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【良】得该项因素分的70%～85%（含70%）；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【中】得该项因素分的60%～70%（含60%）；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【差】得该项因素分的0～60%（含0分）。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【优】应用新技术、新工艺、新材料、新设备，针对项目实际提出先进、可行、具体的保证措施。超过招标文件的质量要求。质量违约责任承诺具体，经济赔偿最大。</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【良】针对项目实际提出先进、可行、具体的保证措施。满足招标文件的质量要求。质量违约责任承诺具体，经济赔偿次大。</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【中】具体措施可行。满足招标文件的质量要求。质量违约责任承诺具体。</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【差】措施不可行，没有质量违约责任承诺。</w:t>
            </w:r>
          </w:p>
        </w:tc>
      </w:tr>
      <w:tr>
        <w:tblPrEx>
          <w:tblCellMar>
            <w:top w:w="0" w:type="dxa"/>
            <w:left w:w="108" w:type="dxa"/>
            <w:bottom w:w="0" w:type="dxa"/>
            <w:right w:w="108" w:type="dxa"/>
          </w:tblCellMar>
        </w:tblPrEx>
        <w:trPr>
          <w:trHeight w:val="366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施工</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技术措施</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1.25</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【优】得该项因素分的85%～100%（含85%）；</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【良】得该项因素分的70%～85%（含70%）；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【中】得该项因素分的60%～70%（含60%）；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【差】得该项因素分的0～60%（含0分）。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最大。</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次大。</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【差】对项目关键技术有表述，对重点、难点有建议，解决方案不可行。采用的新技术针对性不强或验证材料不可靠，对节约投资、工期没有具体收益。无违约责任承诺。</w:t>
            </w:r>
          </w:p>
        </w:tc>
      </w:tr>
      <w:tr>
        <w:tblPrEx>
          <w:tblCellMar>
            <w:top w:w="0" w:type="dxa"/>
            <w:left w:w="108" w:type="dxa"/>
            <w:bottom w:w="0" w:type="dxa"/>
            <w:right w:w="108" w:type="dxa"/>
          </w:tblCellMar>
        </w:tblPrEx>
        <w:trPr>
          <w:trHeight w:val="3261"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绿色施工、</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安全防护、</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文明施工</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措施计划</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2.5</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【优】得该项因素分的85%～100%（含85%）；</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【良】得该项因素分的70%～85%（含70%）；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【中】得该项因素分的60%～70%（含60%）；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【差】得该项因素分的0～60%（含0分）。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【优】针对项目实际情况，有先进、具体、完整、可行的措施，采用规范准确、清晰。</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【良】针对项目实际情况，有合理的措施且具体、完整，采用规范准确。</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【中】有基本合理的措施，采用规范准确。</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【差】措施不力，采用规范不正确。</w:t>
            </w:r>
          </w:p>
        </w:tc>
      </w:tr>
      <w:tr>
        <w:tblPrEx>
          <w:tblCellMar>
            <w:top w:w="0" w:type="dxa"/>
            <w:left w:w="108" w:type="dxa"/>
            <w:bottom w:w="0" w:type="dxa"/>
            <w:right w:w="108" w:type="dxa"/>
          </w:tblCellMar>
        </w:tblPrEx>
        <w:trPr>
          <w:trHeight w:val="3500"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施工平面</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布置和临时设施布置</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1.25</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【优】得该项因素分的85%～100%（含85%）；</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【良】得该项因素分的70%～85%（含70%）；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【中】得该项因素分的60%～70%（含60%）；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【差】得该项因素分的0～60%（含0分）。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【优】总体布置有针对性、合理，较好满足施工需要，符合绿色施工、安全防护、文明施工要求。</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【良】总体布置合理，能满足施工需要，基本符合绿色施工、安全防护、文明施工要求。</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【中】总体布置基本合理，基本满足施工需要。</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【差】总体布置不合理，不符合绿色施工、安全防护、文明施工要求。</w:t>
            </w:r>
          </w:p>
        </w:tc>
      </w:tr>
      <w:tr>
        <w:tblPrEx>
          <w:tblCellMar>
            <w:top w:w="0" w:type="dxa"/>
            <w:left w:w="108" w:type="dxa"/>
            <w:bottom w:w="0" w:type="dxa"/>
            <w:right w:w="108" w:type="dxa"/>
          </w:tblCellMar>
        </w:tblPrEx>
        <w:trPr>
          <w:trHeight w:val="6405"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管理机构</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1.25</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分）</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【优】得该项因素分的85%～100%（含85%）；</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【良】得该项因素分的70%～85%（含70%）；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【中】得该项因素分的60%～70%（含60%）；</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【差】得该项因素分的0～60%（含0分）。</w:t>
            </w:r>
          </w:p>
        </w:tc>
        <w:tc>
          <w:tcPr>
            <w:tcW w:w="4824" w:type="dxa"/>
            <w:tcBorders>
              <w:top w:val="single" w:color="auto" w:sz="4" w:space="0"/>
              <w:left w:val="single" w:color="auto" w:sz="4" w:space="0"/>
              <w:bottom w:val="single" w:color="auto" w:sz="4" w:space="0"/>
              <w:right w:val="single" w:color="auto" w:sz="4" w:space="0"/>
            </w:tcBorders>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【优】组织机构形式合理，有完善的指挥系统，生产及质量、绿色施工、安全、文明施工、创优达标监控系统、联络协调系统，人员配备齐全、专业分配合理。</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【良】组织机构形式合理，指挥系统，生产及质量、绿色施工、安全、文明施工、创优达标监控系统、联络协调系统齐全，人员配备齐全、专业分配合理。</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【中】组织机构形式基本合理，有指挥系统，生产及质量、绿色施工、安全、文明施工、创优达标监控系统、联络协调系统齐全，人员配备基本齐全、专业分配基本合理。</w:t>
            </w:r>
          </w:p>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【差】组织机构形式合理，指挥系统，生产及质量、绿色施工、安全、文明施工、创优达标监控系统、联络协调系统不齐全，人员配备不齐全、专业分配不合理。</w:t>
            </w:r>
          </w:p>
        </w:tc>
      </w:tr>
      <w:tr>
        <w:tblPrEx>
          <w:tblCellMar>
            <w:top w:w="0" w:type="dxa"/>
            <w:left w:w="108" w:type="dxa"/>
            <w:bottom w:w="0" w:type="dxa"/>
            <w:right w:w="108" w:type="dxa"/>
          </w:tblCellMar>
        </w:tblPrEx>
        <w:trPr>
          <w:trHeight w:val="634" w:hRule="exact"/>
          <w:jc w:val="center"/>
        </w:trPr>
        <w:tc>
          <w:tcPr>
            <w:tcW w:w="99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pPr>
              <w:pStyle w:val="115"/>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投标报价部分，满分：</w:t>
            </w:r>
            <w:r>
              <w:rPr>
                <w:rFonts w:hint="eastAsia" w:ascii="宋体" w:hAnsi="宋体" w:eastAsia="宋体" w:cs="宋体"/>
                <w:snapToGrid w:val="0"/>
                <w:color w:val="auto"/>
                <w:kern w:val="0"/>
                <w:szCs w:val="21"/>
                <w:highlight w:val="none"/>
                <w:lang w:val="en-US" w:eastAsia="zh-CN"/>
              </w:rPr>
              <w:t>100</w:t>
            </w:r>
            <w:r>
              <w:rPr>
                <w:rFonts w:hint="eastAsia" w:ascii="宋体" w:hAnsi="宋体" w:eastAsia="宋体" w:cs="宋体"/>
                <w:snapToGrid w:val="0"/>
                <w:color w:val="auto"/>
                <w:kern w:val="0"/>
                <w:szCs w:val="21"/>
                <w:highlight w:val="none"/>
              </w:rPr>
              <w:t>分。</w:t>
            </w:r>
          </w:p>
        </w:tc>
      </w:tr>
      <w:tr>
        <w:tblPrEx>
          <w:tblCellMar>
            <w:top w:w="0" w:type="dxa"/>
            <w:left w:w="108" w:type="dxa"/>
            <w:bottom w:w="0" w:type="dxa"/>
            <w:right w:w="108" w:type="dxa"/>
          </w:tblCellMar>
        </w:tblPrEx>
        <w:trPr>
          <w:trHeight w:val="634" w:hRule="exac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评分事项</w:t>
            </w:r>
          </w:p>
        </w:tc>
        <w:tc>
          <w:tcPr>
            <w:tcW w:w="8467" w:type="dxa"/>
            <w:gridSpan w:val="2"/>
            <w:tcBorders>
              <w:top w:val="single" w:color="auto" w:sz="4" w:space="0"/>
              <w:left w:val="single" w:color="auto" w:sz="4" w:space="0"/>
              <w:bottom w:val="single" w:color="auto" w:sz="4" w:space="0"/>
              <w:right w:val="single" w:color="auto" w:sz="4" w:space="0"/>
            </w:tcBorders>
            <w:noWrap w:val="0"/>
            <w:vAlign w:val="center"/>
          </w:tcPr>
          <w:p>
            <w:pPr>
              <w:pStyle w:val="11"/>
              <w:wordWrap w:val="0"/>
              <w:adjustRightInd w:val="0"/>
              <w:snapToGrid w:val="0"/>
              <w:spacing w:after="0"/>
              <w:jc w:val="center"/>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评分方法</w:t>
            </w:r>
          </w:p>
        </w:tc>
      </w:tr>
      <w:tr>
        <w:tblPrEx>
          <w:tblCellMar>
            <w:top w:w="0" w:type="dxa"/>
            <w:left w:w="108" w:type="dxa"/>
            <w:bottom w:w="0" w:type="dxa"/>
            <w:right w:w="108" w:type="dxa"/>
          </w:tblCellMar>
        </w:tblPrEx>
        <w:trPr>
          <w:trHeight w:val="3261"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评标基准价D</w:t>
            </w:r>
          </w:p>
        </w:tc>
        <w:tc>
          <w:tcPr>
            <w:tcW w:w="8467" w:type="dxa"/>
            <w:gridSpan w:val="2"/>
            <w:tcBorders>
              <w:top w:val="single" w:color="auto" w:sz="4" w:space="0"/>
              <w:left w:val="single" w:color="auto" w:sz="4" w:space="0"/>
              <w:bottom w:val="single" w:color="auto" w:sz="4" w:space="0"/>
              <w:right w:val="single" w:color="auto" w:sz="4" w:space="0"/>
            </w:tcBorders>
            <w:noWrap w:val="0"/>
            <w:vAlign w:val="center"/>
          </w:tcPr>
          <w:p>
            <w:pPr>
              <w:pStyle w:val="11"/>
              <w:widowControl/>
              <w:wordWrap w:val="0"/>
              <w:adjustRightInd w:val="0"/>
              <w:snapToGrid w:val="0"/>
              <w:spacing w:line="360" w:lineRule="auto"/>
              <w:rPr>
                <w:rFonts w:hint="eastAsia" w:ascii="宋体" w:hAnsi="宋体" w:eastAsia="宋体" w:cs="宋体"/>
                <w:snapToGrid w:val="0"/>
                <w:color w:val="auto"/>
                <w:kern w:val="0"/>
                <w:sz w:val="21"/>
                <w:szCs w:val="21"/>
                <w:highlight w:val="none"/>
                <w:lang w:val="en-US" w:eastAsia="zh-CN"/>
              </w:rPr>
            </w:pPr>
            <w:bookmarkStart w:id="118" w:name="OLE_LINK7"/>
            <w:r>
              <w:rPr>
                <w:rFonts w:hint="eastAsia" w:ascii="宋体" w:hAnsi="宋体" w:eastAsia="宋体" w:cs="宋体"/>
                <w:snapToGrid w:val="0"/>
                <w:color w:val="auto"/>
                <w:kern w:val="0"/>
                <w:sz w:val="21"/>
                <w:szCs w:val="21"/>
                <w:highlight w:val="none"/>
                <w:lang w:val="en-US" w:eastAsia="zh-CN"/>
              </w:rPr>
              <w:t>（1）确定招标控制价下浮系数n：用</w:t>
            </w:r>
            <w:r>
              <w:rPr>
                <w:rFonts w:hint="eastAsia" w:hAnsi="宋体" w:eastAsia="宋体" w:cs="宋体"/>
                <w:snapToGrid w:val="0"/>
                <w:color w:val="auto"/>
                <w:kern w:val="0"/>
                <w:sz w:val="21"/>
                <w:szCs w:val="21"/>
                <w:highlight w:val="none"/>
                <w:lang w:val="en-US" w:eastAsia="zh-CN"/>
              </w:rPr>
              <w:t>20</w:t>
            </w:r>
            <w:r>
              <w:rPr>
                <w:rFonts w:hint="eastAsia" w:ascii="宋体" w:hAnsi="宋体" w:eastAsia="宋体" w:cs="宋体"/>
                <w:snapToGrid w:val="0"/>
                <w:color w:val="auto"/>
                <w:kern w:val="0"/>
                <w:sz w:val="21"/>
                <w:szCs w:val="21"/>
                <w:highlight w:val="none"/>
                <w:lang w:val="en-US" w:eastAsia="zh-CN"/>
              </w:rPr>
              <w:t>～</w:t>
            </w:r>
            <w:r>
              <w:rPr>
                <w:rFonts w:hint="eastAsia" w:hAnsi="宋体" w:eastAsia="宋体" w:cs="宋体"/>
                <w:snapToGrid w:val="0"/>
                <w:color w:val="auto"/>
                <w:kern w:val="0"/>
                <w:sz w:val="21"/>
                <w:szCs w:val="21"/>
                <w:highlight w:val="none"/>
                <w:lang w:val="en-US" w:eastAsia="zh-CN"/>
              </w:rPr>
              <w:t>50</w:t>
            </w:r>
            <w:r>
              <w:rPr>
                <w:rFonts w:hint="eastAsia" w:ascii="宋体" w:hAnsi="宋体" w:eastAsia="宋体" w:cs="宋体"/>
                <w:snapToGrid w:val="0"/>
                <w:color w:val="auto"/>
                <w:kern w:val="0"/>
                <w:sz w:val="21"/>
                <w:szCs w:val="21"/>
                <w:highlight w:val="none"/>
                <w:lang w:val="en-US" w:eastAsia="zh-CN"/>
              </w:rPr>
              <w:t>号球分别代表一个下浮系数，由评委代表从这</w:t>
            </w: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1个号码中随机抽取</w:t>
            </w:r>
            <w:r>
              <w:rPr>
                <w:rFonts w:hint="eastAsia"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val="en-US" w:eastAsia="zh-CN"/>
              </w:rPr>
              <w:t>次，每次抽取1个号码，抽出的号球不参与下次抽取。所抽取的</w:t>
            </w:r>
            <w:r>
              <w:rPr>
                <w:rFonts w:hint="eastAsia"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val="en-US" w:eastAsia="zh-CN"/>
              </w:rPr>
              <w:t>个号码对应下浮系数的算术平均值作为招标控制价下浮系数n。具体号码对应的下浮系数可参考下表。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739"/>
              <w:gridCol w:w="794"/>
              <w:gridCol w:w="830"/>
              <w:gridCol w:w="864"/>
              <w:gridCol w:w="848"/>
              <w:gridCol w:w="882"/>
              <w:gridCol w:w="829"/>
              <w:gridCol w:w="819"/>
            </w:tblGrid>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号球</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20</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eastAsia="宋体" w:cs="宋体"/>
                      <w:snapToGrid w:val="0"/>
                      <w:color w:val="auto"/>
                      <w:kern w:val="0"/>
                      <w:sz w:val="21"/>
                      <w:szCs w:val="21"/>
                      <w:highlight w:val="none"/>
                      <w:lang w:val="en-US" w:eastAsia="zh-CN"/>
                    </w:rPr>
                    <w:t>1</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22</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23</w:t>
                  </w: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24</w:t>
                  </w: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25</w:t>
                  </w: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26</w:t>
                  </w:r>
                </w:p>
              </w:tc>
            </w:tr>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.0</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.1</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.2</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.3</w:t>
                  </w: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.4</w:t>
                  </w: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.5</w:t>
                  </w: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.6</w:t>
                  </w:r>
                </w:p>
              </w:tc>
            </w:tr>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号球</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27</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28</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29</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30</w:t>
                  </w: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31</w:t>
                  </w: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32</w:t>
                  </w: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33</w:t>
                  </w:r>
                </w:p>
              </w:tc>
            </w:tr>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.7</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.8</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.9</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.0</w:t>
                  </w: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.1</w:t>
                  </w: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.2</w:t>
                  </w: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.3</w:t>
                  </w:r>
                </w:p>
              </w:tc>
            </w:tr>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号球</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34</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35</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36</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37</w:t>
                  </w: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38</w:t>
                  </w: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39</w:t>
                  </w: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40</w:t>
                  </w:r>
                </w:p>
              </w:tc>
            </w:tr>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.4</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.5</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.6</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.7</w:t>
                  </w: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.8</w:t>
                  </w: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lang w:val="en-US" w:eastAsia="zh-CN"/>
                    </w:rPr>
                    <w:t>.9</w:t>
                  </w: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lang w:val="en-US" w:eastAsia="zh-CN"/>
                    </w:rPr>
                    <w:t>.0</w:t>
                  </w:r>
                </w:p>
              </w:tc>
            </w:tr>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号球</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41</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42</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43</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44</w:t>
                  </w: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45</w:t>
                  </w: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46</w:t>
                  </w: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47</w:t>
                  </w:r>
                </w:p>
              </w:tc>
            </w:tr>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4.1</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4.2</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4.3</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4.4</w:t>
                  </w: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4.5</w:t>
                  </w: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4.6</w:t>
                  </w: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4.7</w:t>
                  </w:r>
                </w:p>
              </w:tc>
            </w:tr>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号球</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48</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49</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50</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p>
              </w:tc>
            </w:tr>
            <w:tr>
              <w:trPr>
                <w:trHeight w:val="559" w:hRule="atLeast"/>
                <w:jc w:val="center"/>
              </w:trPr>
              <w:tc>
                <w:tcPr>
                  <w:tcW w:w="173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4.8</w:t>
                  </w:r>
                </w:p>
              </w:tc>
              <w:tc>
                <w:tcPr>
                  <w:tcW w:w="830"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4.9</w:t>
                  </w:r>
                </w:p>
              </w:tc>
              <w:tc>
                <w:tcPr>
                  <w:tcW w:w="864"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5.0</w:t>
                  </w:r>
                </w:p>
              </w:tc>
              <w:tc>
                <w:tcPr>
                  <w:tcW w:w="848"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p>
              </w:tc>
              <w:tc>
                <w:tcPr>
                  <w:tcW w:w="882"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p>
              </w:tc>
              <w:tc>
                <w:tcPr>
                  <w:tcW w:w="82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p>
              </w:tc>
              <w:tc>
                <w:tcPr>
                  <w:tcW w:w="819" w:type="dxa"/>
                  <w:tcBorders>
                    <w:top w:val="single" w:color="000000" w:sz="4" w:space="0"/>
                    <w:left w:val="single" w:color="000000" w:sz="4" w:space="0"/>
                    <w:bottom w:val="single" w:color="000000" w:sz="4" w:space="0"/>
                    <w:right w:val="single" w:color="000000" w:sz="4" w:space="0"/>
                  </w:tcBorders>
                  <w:noWrap w:val="0"/>
                  <w:vAlign w:val="bottom"/>
                </w:tcPr>
                <w:p>
                  <w:pPr>
                    <w:pStyle w:val="11"/>
                    <w:widowControl/>
                    <w:wordWrap w:val="0"/>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p>
              </w:tc>
            </w:tr>
          </w:tbl>
          <w:p>
            <w:pPr>
              <w:wordWrap w:val="0"/>
              <w:adjustRightInd w:val="0"/>
              <w:snapToGrid w:val="0"/>
              <w:ind w:firstLine="420" w:firstLineChars="200"/>
              <w:jc w:val="left"/>
              <w:rPr>
                <w:rFonts w:hAnsi="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（2）评标基准价D＝招标控制价×（1－n）</w:t>
            </w:r>
            <w:bookmarkEnd w:id="118"/>
          </w:p>
        </w:tc>
      </w:tr>
      <w:tr>
        <w:tblPrEx>
          <w:tblCellMar>
            <w:top w:w="0" w:type="dxa"/>
            <w:left w:w="108" w:type="dxa"/>
            <w:bottom w:w="0" w:type="dxa"/>
            <w:right w:w="108" w:type="dxa"/>
          </w:tblCellMar>
        </w:tblPrEx>
        <w:trPr>
          <w:trHeight w:val="2459"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投标报价</w:t>
            </w:r>
          </w:p>
          <w:p>
            <w:pPr>
              <w:pStyle w:val="66"/>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得分N</w:t>
            </w:r>
          </w:p>
        </w:tc>
        <w:tc>
          <w:tcPr>
            <w:tcW w:w="8467" w:type="dxa"/>
            <w:gridSpan w:val="2"/>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ind w:firstLine="420" w:firstLineChars="200"/>
              <w:jc w:val="left"/>
              <w:rPr>
                <w:rFonts w:hAnsi="宋体" w:cs="宋体"/>
                <w:snapToGrid w:val="0"/>
                <w:color w:val="auto"/>
                <w:kern w:val="0"/>
                <w:sz w:val="21"/>
                <w:szCs w:val="21"/>
                <w:highlight w:val="none"/>
              </w:rPr>
            </w:pPr>
            <w:r>
              <w:rPr>
                <w:rFonts w:hAnsi="宋体" w:cs="宋体"/>
                <w:snapToGrid w:val="0"/>
                <w:color w:val="auto"/>
                <w:kern w:val="0"/>
                <w:sz w:val="21"/>
                <w:szCs w:val="21"/>
                <w:highlight w:val="none"/>
              </w:rPr>
              <w:t>采用内插法计算某投标人的投标报价得分N，即当投标人的投标总价等于评标基准价时得</w:t>
            </w:r>
            <w:r>
              <w:rPr>
                <w:rFonts w:hint="eastAsia" w:hAnsi="宋体" w:cs="宋体"/>
                <w:snapToGrid w:val="0"/>
                <w:color w:val="auto"/>
                <w:kern w:val="0"/>
                <w:sz w:val="21"/>
                <w:szCs w:val="21"/>
                <w:highlight w:val="none"/>
                <w:lang w:val="en-US" w:eastAsia="zh-CN"/>
              </w:rPr>
              <w:t>100</w:t>
            </w:r>
            <w:r>
              <w:rPr>
                <w:rFonts w:hAnsi="宋体" w:cs="宋体"/>
                <w:snapToGrid w:val="0"/>
                <w:color w:val="auto"/>
                <w:kern w:val="0"/>
                <w:sz w:val="21"/>
                <w:szCs w:val="21"/>
                <w:highlight w:val="none"/>
              </w:rPr>
              <w:t>分，每高于评标基准价一个百分点扣</w:t>
            </w:r>
            <w:r>
              <w:rPr>
                <w:rFonts w:hint="eastAsia" w:hAnsi="宋体" w:cs="宋体"/>
                <w:snapToGrid w:val="0"/>
                <w:color w:val="auto"/>
                <w:kern w:val="0"/>
                <w:sz w:val="21"/>
                <w:szCs w:val="21"/>
                <w:highlight w:val="none"/>
                <w:lang w:val="en-US" w:eastAsia="zh-CN"/>
              </w:rPr>
              <w:t>5</w:t>
            </w:r>
            <w:r>
              <w:rPr>
                <w:rFonts w:hAnsi="宋体" w:cs="宋体"/>
                <w:snapToGrid w:val="0"/>
                <w:color w:val="auto"/>
                <w:kern w:val="0"/>
                <w:sz w:val="21"/>
                <w:szCs w:val="21"/>
                <w:highlight w:val="none"/>
              </w:rPr>
              <w:t>分, 每低于评标基准价一个百分点扣</w:t>
            </w:r>
            <w:r>
              <w:rPr>
                <w:rFonts w:hint="eastAsia" w:hAnsi="宋体" w:cs="宋体"/>
                <w:snapToGrid w:val="0"/>
                <w:color w:val="auto"/>
                <w:kern w:val="0"/>
                <w:sz w:val="21"/>
                <w:szCs w:val="21"/>
                <w:highlight w:val="none"/>
                <w:lang w:val="en-US" w:eastAsia="zh-CN"/>
              </w:rPr>
              <w:t>2</w:t>
            </w:r>
            <w:r>
              <w:rPr>
                <w:rFonts w:hAnsi="宋体" w:cs="宋体"/>
                <w:snapToGrid w:val="0"/>
                <w:color w:val="auto"/>
                <w:kern w:val="0"/>
                <w:sz w:val="21"/>
                <w:szCs w:val="21"/>
                <w:highlight w:val="none"/>
              </w:rPr>
              <w:t>分，扣完为止。公式如下：</w:t>
            </w:r>
          </w:p>
          <w:p>
            <w:pPr>
              <w:wordWrap w:val="0"/>
              <w:adjustRightInd w:val="0"/>
              <w:snapToGrid w:val="0"/>
              <w:ind w:firstLine="420" w:firstLineChars="200"/>
              <w:jc w:val="left"/>
              <w:rPr>
                <w:rFonts w:hAnsi="宋体" w:cs="宋体"/>
                <w:snapToGrid w:val="0"/>
                <w:color w:val="auto"/>
                <w:kern w:val="0"/>
                <w:sz w:val="21"/>
                <w:szCs w:val="21"/>
                <w:highlight w:val="none"/>
              </w:rPr>
            </w:pPr>
            <w:r>
              <w:rPr>
                <w:rFonts w:hAnsi="宋体" w:cs="宋体"/>
                <w:snapToGrid w:val="0"/>
                <w:color w:val="auto"/>
                <w:kern w:val="0"/>
                <w:sz w:val="21"/>
                <w:szCs w:val="21"/>
                <w:highlight w:val="none"/>
              </w:rPr>
              <w:t>N＝</w:t>
            </w:r>
            <w:r>
              <w:rPr>
                <w:rFonts w:hint="eastAsia" w:hAnsi="宋体" w:cs="宋体"/>
                <w:snapToGrid w:val="0"/>
                <w:color w:val="auto"/>
                <w:kern w:val="0"/>
                <w:sz w:val="21"/>
                <w:szCs w:val="21"/>
                <w:highlight w:val="none"/>
                <w:lang w:val="en-US" w:eastAsia="zh-CN"/>
              </w:rPr>
              <w:t>10</w:t>
            </w:r>
            <w:r>
              <w:rPr>
                <w:rFonts w:hAnsi="宋体" w:cs="宋体"/>
                <w:snapToGrid w:val="0"/>
                <w:color w:val="auto"/>
                <w:kern w:val="0"/>
                <w:sz w:val="21"/>
                <w:szCs w:val="21"/>
                <w:highlight w:val="none"/>
              </w:rPr>
              <w:t>0－（| Di－D | ÷D）×100×E</w:t>
            </w:r>
          </w:p>
          <w:p>
            <w:pPr>
              <w:wordWrap w:val="0"/>
              <w:adjustRightInd w:val="0"/>
              <w:snapToGrid w:val="0"/>
              <w:ind w:firstLine="420" w:firstLineChars="200"/>
              <w:jc w:val="left"/>
              <w:rPr>
                <w:rFonts w:hAnsi="宋体" w:cs="宋体"/>
                <w:snapToGrid w:val="0"/>
                <w:color w:val="auto"/>
                <w:kern w:val="0"/>
                <w:sz w:val="21"/>
                <w:szCs w:val="21"/>
                <w:highlight w:val="none"/>
              </w:rPr>
            </w:pPr>
            <w:r>
              <w:rPr>
                <w:rFonts w:hAnsi="宋体" w:cs="宋体"/>
                <w:snapToGrid w:val="0"/>
                <w:color w:val="auto"/>
                <w:kern w:val="0"/>
                <w:sz w:val="21"/>
                <w:szCs w:val="21"/>
                <w:highlight w:val="none"/>
              </w:rPr>
              <w:t>式中：D为评标基准价；Di为某投标人的投标总价；E为扣分因子，当Di＞D时，E＝</w:t>
            </w:r>
            <w:r>
              <w:rPr>
                <w:rFonts w:hint="eastAsia" w:hAnsi="宋体" w:cs="宋体"/>
                <w:snapToGrid w:val="0"/>
                <w:color w:val="auto"/>
                <w:kern w:val="0"/>
                <w:sz w:val="21"/>
                <w:szCs w:val="21"/>
                <w:highlight w:val="none"/>
                <w:lang w:val="en-US" w:eastAsia="zh-CN"/>
              </w:rPr>
              <w:t>5</w:t>
            </w:r>
            <w:r>
              <w:rPr>
                <w:rFonts w:hAnsi="宋体" w:cs="宋体"/>
                <w:snapToGrid w:val="0"/>
                <w:color w:val="auto"/>
                <w:kern w:val="0"/>
                <w:sz w:val="21"/>
                <w:szCs w:val="21"/>
                <w:highlight w:val="none"/>
              </w:rPr>
              <w:t>；当Di＜D时，E＝</w:t>
            </w:r>
            <w:r>
              <w:rPr>
                <w:rFonts w:hint="eastAsia" w:hAnsi="宋体" w:cs="宋体"/>
                <w:snapToGrid w:val="0"/>
                <w:color w:val="auto"/>
                <w:kern w:val="0"/>
                <w:sz w:val="21"/>
                <w:szCs w:val="21"/>
                <w:highlight w:val="none"/>
                <w:lang w:val="en-US" w:eastAsia="zh-CN"/>
              </w:rPr>
              <w:t>2</w:t>
            </w:r>
            <w:r>
              <w:rPr>
                <w:rFonts w:hAnsi="宋体" w:cs="宋体"/>
                <w:snapToGrid w:val="0"/>
                <w:color w:val="auto"/>
                <w:kern w:val="0"/>
                <w:sz w:val="21"/>
                <w:szCs w:val="21"/>
                <w:highlight w:val="none"/>
              </w:rPr>
              <w:t>。</w:t>
            </w:r>
          </w:p>
        </w:tc>
      </w:tr>
    </w:tbl>
    <w:p>
      <w:pPr>
        <w:wordWrap w:val="0"/>
        <w:adjustRightInd w:val="0"/>
        <w:snapToGrid w:val="0"/>
        <w:spacing w:line="440" w:lineRule="exact"/>
        <w:rPr>
          <w:rFonts w:ascii="Times New Roman"/>
          <w:b/>
          <w:bCs/>
          <w:snapToGrid w:val="0"/>
          <w:color w:val="auto"/>
          <w:kern w:val="0"/>
          <w:highlight w:val="none"/>
        </w:rPr>
      </w:pP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 xml:space="preserve">15.5.2 </w:t>
      </w:r>
      <w:r>
        <w:rPr>
          <w:rFonts w:hint="eastAsia" w:ascii="Times New Roman"/>
          <w:snapToGrid w:val="0"/>
          <w:color w:val="auto"/>
          <w:kern w:val="0"/>
          <w:highlight w:val="none"/>
        </w:rPr>
        <w:t>否决投标说明</w:t>
      </w: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详细评审阶段否决投标的全部条件，在本章第四节“否决投标条件”第</w:t>
      </w:r>
      <w:r>
        <w:rPr>
          <w:rFonts w:hint="eastAsia" w:ascii="Times New Roman"/>
          <w:b/>
          <w:bCs/>
          <w:snapToGrid w:val="0"/>
          <w:color w:val="auto"/>
          <w:kern w:val="0"/>
          <w:highlight w:val="none"/>
        </w:rPr>
        <w:t>4</w:t>
      </w:r>
      <w:r>
        <w:rPr>
          <w:rFonts w:hint="eastAsia" w:ascii="Times New Roman"/>
          <w:snapToGrid w:val="0"/>
          <w:color w:val="auto"/>
          <w:kern w:val="0"/>
          <w:highlight w:val="none"/>
        </w:rPr>
        <w:t>条中集中列示。投标人有其中所列任何一种情形的，由评标委员会否决其投标。经详细评审后，有效投标人数量不足3个时，招标人应依法重新组织招标。</w:t>
      </w:r>
    </w:p>
    <w:p>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pPr>
        <w:wordWrap w:val="0"/>
        <w:adjustRightInd w:val="0"/>
        <w:snapToGrid w:val="0"/>
        <w:spacing w:line="440" w:lineRule="exact"/>
        <w:ind w:firstLine="482" w:firstLineChars="200"/>
        <w:rPr>
          <w:rFonts w:hint="eastAsia" w:ascii="Times New Roman"/>
          <w:b/>
          <w:snapToGrid w:val="0"/>
          <w:color w:val="auto"/>
          <w:kern w:val="0"/>
          <w:highlight w:val="none"/>
        </w:rPr>
      </w:pP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16．中标候选人公示</w:t>
      </w:r>
    </w:p>
    <w:p>
      <w:pPr>
        <w:wordWrap w:val="0"/>
        <w:adjustRightInd w:val="0"/>
        <w:snapToGrid w:val="0"/>
        <w:spacing w:line="420" w:lineRule="exact"/>
        <w:ind w:firstLine="482" w:firstLineChars="200"/>
        <w:rPr>
          <w:rFonts w:hint="eastAsia" w:hAnsi="宋体" w:cs="宋体"/>
          <w:snapToGrid w:val="0"/>
          <w:color w:val="auto"/>
          <w:kern w:val="0"/>
          <w:szCs w:val="24"/>
          <w:highlight w:val="none"/>
        </w:rPr>
      </w:pPr>
      <w:r>
        <w:rPr>
          <w:rFonts w:hint="eastAsia" w:ascii="Times New Roman"/>
          <w:b/>
          <w:bCs/>
          <w:snapToGrid w:val="0"/>
          <w:color w:val="auto"/>
          <w:kern w:val="0"/>
          <w:highlight w:val="none"/>
        </w:rPr>
        <w:t>16.1</w:t>
      </w:r>
      <w:r>
        <w:rPr>
          <w:rFonts w:hint="eastAsia" w:ascii="Times New Roman"/>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n）、</w:t>
      </w:r>
      <w:r>
        <w:rPr>
          <w:rFonts w:hint="eastAsia" w:ascii="Times New Roman"/>
          <w:snapToGrid w:val="0"/>
          <w:color w:val="auto"/>
          <w:kern w:val="0"/>
          <w:highlight w:val="none"/>
          <w:lang w:eastAsia="zh-CN"/>
        </w:rPr>
        <w:t>全国公共资源交易平台（广东省·韶关市）（https://ygp.gdzwfw.gov.cn/ggzy-portal/#/440200/index）</w:t>
      </w:r>
      <w:r>
        <w:rPr>
          <w:rFonts w:hint="eastAsia" w:ascii="Times New Roman"/>
          <w:snapToGrid w:val="0"/>
          <w:color w:val="auto"/>
          <w:kern w:val="0"/>
          <w:highlight w:val="none"/>
        </w:rPr>
        <w:t>进行公示，公示期不得少于3天。</w:t>
      </w:r>
    </w:p>
    <w:p>
      <w:pPr>
        <w:wordWrap w:val="0"/>
        <w:adjustRightInd w:val="0"/>
        <w:snapToGrid w:val="0"/>
        <w:spacing w:line="440" w:lineRule="exact"/>
        <w:ind w:firstLine="480" w:firstLineChars="200"/>
        <w:rPr>
          <w:rFonts w:hint="eastAsia" w:hAnsi="宋体" w:cs="宋体"/>
          <w:i w:val="0"/>
          <w:iCs w:val="0"/>
          <w:snapToGrid w:val="0"/>
          <w:color w:val="auto"/>
          <w:kern w:val="0"/>
          <w:szCs w:val="24"/>
          <w:highlight w:val="none"/>
        </w:rPr>
      </w:pPr>
      <w:r>
        <w:rPr>
          <w:rFonts w:hint="eastAsia" w:hAnsi="宋体" w:cs="宋体"/>
          <w:i w:val="0"/>
          <w:iCs w:val="0"/>
          <w:snapToGrid w:val="0"/>
          <w:color w:val="auto"/>
          <w:kern w:val="0"/>
          <w:szCs w:val="24"/>
          <w:highlight w:val="none"/>
        </w:rPr>
        <w:t>备注：1.依据《</w:t>
      </w:r>
      <w:r>
        <w:rPr>
          <w:rFonts w:hAnsi="宋体" w:cs="宋体"/>
          <w:i w:val="0"/>
          <w:iCs w:val="0"/>
          <w:snapToGrid w:val="0"/>
          <w:color w:val="auto"/>
          <w:kern w:val="0"/>
          <w:szCs w:val="24"/>
          <w:highlight w:val="none"/>
        </w:rPr>
        <w:t>招标投标法》的规定,依法必须进行招标的项目,招标人应当自确定中标人之</w:t>
      </w:r>
      <w:r>
        <w:rPr>
          <w:rFonts w:hint="eastAsia" w:hAnsi="宋体" w:cs="宋体"/>
          <w:i w:val="0"/>
          <w:iCs w:val="0"/>
          <w:snapToGrid w:val="0"/>
          <w:color w:val="auto"/>
          <w:kern w:val="0"/>
          <w:szCs w:val="24"/>
          <w:highlight w:val="none"/>
        </w:rPr>
        <w:t>15日内向有关行政监督部门提交</w:t>
      </w:r>
      <w:r>
        <w:rPr>
          <w:rFonts w:hAnsi="宋体" w:cs="宋体"/>
          <w:i w:val="0"/>
          <w:iCs w:val="0"/>
          <w:snapToGrid w:val="0"/>
          <w:color w:val="auto"/>
          <w:kern w:val="0"/>
          <w:szCs w:val="24"/>
          <w:highlight w:val="none"/>
        </w:rPr>
        <w:t>招投标情况得书面报告</w:t>
      </w:r>
      <w:r>
        <w:rPr>
          <w:rFonts w:hint="eastAsia" w:hAnsi="宋体" w:cs="宋体"/>
          <w:i w:val="0"/>
          <w:iCs w:val="0"/>
          <w:snapToGrid w:val="0"/>
          <w:color w:val="auto"/>
          <w:kern w:val="0"/>
          <w:szCs w:val="24"/>
          <w:highlight w:val="none"/>
        </w:rPr>
        <w:t>。</w:t>
      </w:r>
    </w:p>
    <w:p>
      <w:pPr>
        <w:wordWrap w:val="0"/>
        <w:adjustRightInd w:val="0"/>
        <w:snapToGrid w:val="0"/>
        <w:spacing w:line="440" w:lineRule="exact"/>
        <w:ind w:firstLine="480" w:firstLineChars="200"/>
        <w:rPr>
          <w:color w:val="auto"/>
          <w:highlight w:val="none"/>
        </w:rPr>
      </w:pPr>
      <w:r>
        <w:rPr>
          <w:rFonts w:hint="eastAsia" w:hAnsi="宋体" w:cs="宋体"/>
          <w:i w:val="0"/>
          <w:iCs w:val="0"/>
          <w:snapToGrid w:val="0"/>
          <w:color w:val="auto"/>
          <w:kern w:val="0"/>
          <w:szCs w:val="24"/>
          <w:highlight w:val="none"/>
        </w:rPr>
        <w:t>2.项目招标代理应配合、协助招标人按时完成报送工作。取消招标文件事前备案后，没有及时在项目业主确认招标文件时仍未取得全流程监督意见的，未按时完成或者没有履行招标人责任制实现必要告知的，将按《韶关市建筑业企业及注册执业人员诚信管理管理办法》相关内容进行信用扣</w:t>
      </w:r>
      <w:r>
        <w:rPr>
          <w:rFonts w:ascii="微软雅黑" w:hAnsi="微软雅黑" w:eastAsia="微软雅黑" w:cs="微软雅黑"/>
          <w:i w:val="0"/>
          <w:iCs w:val="0"/>
          <w:color w:val="auto"/>
          <w:sz w:val="22"/>
          <w:szCs w:val="22"/>
          <w:highlight w:val="none"/>
          <w:shd w:val="clear" w:color="auto" w:fill="FFFFFF"/>
        </w:rPr>
        <w:t>分。</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16.3</w:t>
      </w:r>
      <w:r>
        <w:rPr>
          <w:rFonts w:hint="eastAsia" w:ascii="Times New Roman"/>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16.4</w:t>
      </w:r>
      <w:r>
        <w:rPr>
          <w:rFonts w:hint="eastAsia" w:ascii="Times New Roman"/>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pPr>
        <w:wordWrap w:val="0"/>
        <w:adjustRightInd w:val="0"/>
        <w:snapToGrid w:val="0"/>
        <w:spacing w:line="440" w:lineRule="exact"/>
        <w:ind w:firstLine="480" w:firstLineChars="200"/>
        <w:rPr>
          <w:rFonts w:hint="eastAsia"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第四节 否决投标条件</w:t>
      </w:r>
    </w:p>
    <w:p>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hint="eastAsia" w:ascii="Times New Roman"/>
          <w:snapToGrid w:val="0"/>
          <w:color w:val="auto"/>
          <w:kern w:val="0"/>
          <w:highlight w:val="none"/>
        </w:rPr>
      </w:pPr>
      <w:r>
        <w:rPr>
          <w:rFonts w:hint="eastAsia" w:ascii="Times New Roman"/>
          <w:snapToGrid w:val="0"/>
          <w:color w:val="auto"/>
          <w:kern w:val="0"/>
          <w:highlight w:val="none"/>
        </w:rPr>
        <w:t xml:space="preserve">    本节所集中列示的否决投标条件，是本章第三节“投标人须知正文”的组成部分，是对本章第三节所规定的否决投标条件的总结和补充。</w:t>
      </w:r>
      <w:r>
        <w:rPr>
          <w:rFonts w:hint="eastAsia" w:ascii="Times New Roman"/>
          <w:b/>
          <w:bCs/>
          <w:snapToGrid w:val="0"/>
          <w:color w:val="auto"/>
          <w:kern w:val="0"/>
          <w:highlight w:val="none"/>
        </w:rPr>
        <w:t>投标人未有列入本节情形的，评标时一律不得否决其投标。</w:t>
      </w:r>
      <w:r>
        <w:rPr>
          <w:rFonts w:hint="eastAsia" w:ascii="Times New Roman"/>
          <w:snapToGrid w:val="0"/>
          <w:color w:val="auto"/>
          <w:kern w:val="0"/>
          <w:highlight w:val="none"/>
        </w:rPr>
        <w:t>本节所称“规定”均指招标文件的规定。</w:t>
      </w:r>
    </w:p>
    <w:p>
      <w:pPr>
        <w:pStyle w:val="4"/>
        <w:wordWrap w:val="0"/>
        <w:autoSpaceDE/>
        <w:autoSpaceDN/>
        <w:snapToGrid w:val="0"/>
        <w:spacing w:line="440" w:lineRule="exact"/>
        <w:ind w:firstLine="480"/>
        <w:jc w:val="both"/>
        <w:rPr>
          <w:rFonts w:hint="eastAsia" w:ascii="Times New Roman"/>
          <w:b/>
          <w:snapToGrid w:val="0"/>
          <w:color w:val="auto"/>
          <w:highlight w:val="none"/>
        </w:rPr>
      </w:pPr>
      <w:bookmarkStart w:id="119" w:name="_Toc18351"/>
      <w:bookmarkStart w:id="120" w:name="_Toc28628"/>
      <w:bookmarkStart w:id="121" w:name="_Toc25780"/>
      <w:bookmarkStart w:id="122" w:name="_Toc867"/>
      <w:r>
        <w:rPr>
          <w:rFonts w:hint="eastAsia" w:ascii="Times New Roman"/>
          <w:b/>
          <w:snapToGrid w:val="0"/>
          <w:color w:val="auto"/>
          <w:highlight w:val="none"/>
        </w:rPr>
        <w:t>1．资格评审环节</w:t>
      </w:r>
      <w:bookmarkEnd w:id="119"/>
      <w:bookmarkEnd w:id="120"/>
      <w:bookmarkEnd w:id="121"/>
      <w:bookmarkEnd w:id="122"/>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投标人有下列情形之一的，评标委员会应否决其投标。被否决的投标人，不进入形式评审环节。</w:t>
      </w:r>
    </w:p>
    <w:p>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snapToGrid w:val="0"/>
          <w:color w:val="auto"/>
          <w:kern w:val="0"/>
          <w:highlight w:val="none"/>
        </w:rPr>
        <w:t>（1）有本章第三节第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条“禁止投标条款”规定的任何一种情形；</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（2）投标人资质不符合</w:t>
      </w:r>
      <w:r>
        <w:rPr>
          <w:rFonts w:hint="eastAsia" w:ascii="Times New Roman"/>
          <w:snapToGrid w:val="0"/>
          <w:color w:val="auto"/>
          <w:kern w:val="0"/>
          <w:szCs w:val="18"/>
          <w:highlight w:val="none"/>
        </w:rPr>
        <w:t>规定的；</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pPr>
        <w:pStyle w:val="148"/>
        <w:snapToGrid w:val="0"/>
        <w:spacing w:line="440" w:lineRule="exact"/>
        <w:ind w:firstLine="480"/>
        <w:jc w:val="left"/>
        <w:rPr>
          <w:rStyle w:val="149"/>
          <w:b/>
          <w:bCs/>
          <w:color w:val="auto"/>
          <w:kern w:val="0"/>
          <w:sz w:val="24"/>
          <w:szCs w:val="24"/>
          <w:highlight w:val="none"/>
        </w:rPr>
      </w:pPr>
      <w:r>
        <w:rPr>
          <w:rStyle w:val="149"/>
          <w:rFonts w:hint="eastAsia" w:cs="宋体"/>
          <w:b/>
          <w:bCs/>
          <w:color w:val="auto"/>
          <w:kern w:val="0"/>
          <w:sz w:val="24"/>
          <w:szCs w:val="24"/>
          <w:highlight w:val="none"/>
        </w:rPr>
        <w:t>根据有关文件精神，在新冠肺炎疫情防控期间，投标人的企业资质证书、安全生产许可证的有效期，按以下标准确定：</w:t>
      </w:r>
    </w:p>
    <w:p>
      <w:pPr>
        <w:wordWrap w:val="0"/>
        <w:adjustRightInd w:val="0"/>
        <w:snapToGrid w:val="0"/>
        <w:spacing w:line="440" w:lineRule="exact"/>
        <w:ind w:firstLine="240" w:firstLineChars="100"/>
        <w:rPr>
          <w:rFonts w:hint="eastAsia" w:ascii="Times New Roman"/>
          <w:snapToGrid w:val="0"/>
          <w:color w:val="auto"/>
          <w:kern w:val="0"/>
          <w:highlight w:val="none"/>
        </w:rPr>
      </w:pPr>
      <w:r>
        <w:rPr>
          <w:rFonts w:hint="eastAsia" w:ascii="Times New Roman" w:hAnsi="Times New Roman" w:eastAsia="宋体" w:cs="Times New Roman"/>
          <w:snapToGrid w:val="0"/>
          <w:color w:val="auto"/>
          <w:kern w:val="0"/>
          <w:highlight w:val="none"/>
        </w:rPr>
        <w:t xml:space="preserve">根据有关文件精神，在新冠肺炎疫情防控期间，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Times New Roman"/>
          <w:snapToGrid w:val="0"/>
          <w:color w:val="auto"/>
          <w:kern w:val="0"/>
          <w:highlight w:val="none"/>
        </w:rPr>
        <w:t xml:space="preserve">  </w:t>
      </w:r>
      <w:r>
        <w:rPr>
          <w:rFonts w:hint="eastAsia" w:ascii="Times New Roman"/>
          <w:snapToGrid w:val="0"/>
          <w:color w:val="auto"/>
          <w:kern w:val="0"/>
          <w:highlight w:val="none"/>
          <w:lang w:val="en-US" w:eastAsia="zh-CN"/>
        </w:rPr>
        <w:t xml:space="preserve">  </w:t>
      </w:r>
      <w:r>
        <w:rPr>
          <w:rFonts w:hint="eastAsia" w:ascii="Times New Roman"/>
          <w:snapToGrid w:val="0"/>
          <w:color w:val="auto"/>
          <w:kern w:val="0"/>
          <w:highlight w:val="none"/>
        </w:rPr>
        <w:t>（4）拟派项目经理、项目技术负责人、专职安全员的条件不符合规定的；拟派专职安全员数量不符合规定的；</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项目经理简历表》中拟派项目经理与《开标一览表》不一致的；一级建造师的注册证书不是国家住建部颁发的；二级建造师的电子注册证书不是广东省住建厅颁发的；建造师的注册单位与投标人不一致的；项目管理班子组成人员的各类证书、证件、证明不在有效期内的（建造师注册证书不在使用有效期内的）；擅自修改、遗漏《项目经理任职声明》实质性内容的；</w:t>
      </w:r>
    </w:p>
    <w:p>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注：投标人已经工商变更，但其员工执业资格注册证书的注册单位名称未完成变更的，不得否决其投标。</w:t>
      </w:r>
    </w:p>
    <w:p>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highlight w:val="none"/>
        </w:rPr>
        <w:t>（6）招标文件规定不接受联合体投标，但以联合体投标的；</w:t>
      </w:r>
    </w:p>
    <w:p>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highlight w:val="none"/>
        </w:rPr>
        <w:t>（7）联合体投标，未提交</w:t>
      </w:r>
      <w:r>
        <w:rPr>
          <w:rFonts w:hint="eastAsia" w:ascii="Times New Roman"/>
          <w:snapToGrid w:val="0"/>
          <w:color w:val="auto"/>
          <w:kern w:val="0"/>
          <w:szCs w:val="18"/>
          <w:highlight w:val="none"/>
        </w:rPr>
        <w:t>《联合体协议书》的；</w:t>
      </w:r>
      <w:r>
        <w:rPr>
          <w:rFonts w:hint="eastAsia" w:ascii="Times New Roman"/>
          <w:snapToGrid w:val="0"/>
          <w:color w:val="auto"/>
          <w:kern w:val="0"/>
          <w:highlight w:val="none"/>
        </w:rPr>
        <w:t>擅自修改、遗漏</w:t>
      </w:r>
      <w:r>
        <w:rPr>
          <w:rFonts w:hint="eastAsia" w:ascii="Times New Roman"/>
          <w:snapToGrid w:val="0"/>
          <w:color w:val="auto"/>
          <w:kern w:val="0"/>
          <w:szCs w:val="18"/>
          <w:highlight w:val="none"/>
        </w:rPr>
        <w:t>《联合体协议书》</w:t>
      </w:r>
      <w:r>
        <w:rPr>
          <w:rFonts w:hint="eastAsia" w:ascii="Times New Roman"/>
          <w:snapToGrid w:val="0"/>
          <w:color w:val="auto"/>
          <w:kern w:val="0"/>
          <w:highlight w:val="none"/>
        </w:rPr>
        <w:t>实质性内容的；</w:t>
      </w:r>
      <w:r>
        <w:rPr>
          <w:rFonts w:hint="eastAsia" w:ascii="Times New Roman"/>
          <w:snapToGrid w:val="0"/>
          <w:color w:val="auto"/>
          <w:kern w:val="0"/>
          <w:szCs w:val="18"/>
          <w:highlight w:val="none"/>
        </w:rPr>
        <w:t>联合体成员的数量、资质不符合规定的；联合体成员同时以自己名义单独投标或者参加其他联合体投标的；</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（8）投标人为外省建筑企业，但未提供“进粤企业和人员诚信信息登记平台”企业和拟派人员信息情况打印页或网页截图的。</w:t>
      </w:r>
    </w:p>
    <w:p>
      <w:pPr>
        <w:wordWrap w:val="0"/>
        <w:adjustRightInd w:val="0"/>
        <w:snapToGrid w:val="0"/>
        <w:spacing w:line="440" w:lineRule="exact"/>
        <w:ind w:firstLine="480"/>
        <w:rPr>
          <w:rFonts w:hint="eastAsia" w:ascii="Times New Roman"/>
          <w:snapToGrid w:val="0"/>
          <w:color w:val="auto"/>
          <w:kern w:val="0"/>
          <w:highlight w:val="none"/>
        </w:rPr>
      </w:pPr>
    </w:p>
    <w:p>
      <w:pPr>
        <w:pStyle w:val="4"/>
        <w:wordWrap w:val="0"/>
        <w:autoSpaceDE/>
        <w:autoSpaceDN/>
        <w:snapToGrid w:val="0"/>
        <w:spacing w:line="440" w:lineRule="exact"/>
        <w:ind w:firstLine="480"/>
        <w:jc w:val="both"/>
        <w:rPr>
          <w:rFonts w:ascii="Times New Roman"/>
          <w:b/>
          <w:snapToGrid w:val="0"/>
          <w:color w:val="auto"/>
          <w:highlight w:val="none"/>
        </w:rPr>
      </w:pPr>
      <w:bookmarkStart w:id="123" w:name="_Toc12980"/>
      <w:bookmarkStart w:id="124" w:name="_Toc3746"/>
      <w:bookmarkStart w:id="125" w:name="_Toc21442"/>
      <w:bookmarkStart w:id="126" w:name="_Toc30923"/>
      <w:r>
        <w:rPr>
          <w:rFonts w:hint="eastAsia" w:ascii="Times New Roman"/>
          <w:b/>
          <w:snapToGrid w:val="0"/>
          <w:color w:val="auto"/>
          <w:highlight w:val="none"/>
        </w:rPr>
        <w:t>2．形式评审环节</w:t>
      </w:r>
      <w:bookmarkEnd w:id="123"/>
      <w:bookmarkEnd w:id="124"/>
      <w:bookmarkEnd w:id="125"/>
      <w:bookmarkEnd w:id="126"/>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投标人有下列情形之一的，评标委员会应否决其投标。被否决的投标人，不进入响应性评审环节。</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1</w:t>
      </w:r>
      <w:r>
        <w:rPr>
          <w:rFonts w:hint="eastAsia" w:ascii="Times New Roman"/>
          <w:snapToGrid w:val="0"/>
          <w:color w:val="auto"/>
          <w:kern w:val="0"/>
          <w:highlight w:val="none"/>
        </w:rPr>
        <w:t>）</w:t>
      </w:r>
      <w:r>
        <w:rPr>
          <w:rStyle w:val="149"/>
          <w:rFonts w:hint="eastAsia" w:ascii="Times New Roman"/>
          <w:color w:val="auto"/>
          <w:kern w:val="0"/>
          <w:highlight w:val="none"/>
        </w:rPr>
        <w:t>投标文件的分册组成是否符合招标文件规定。</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）本章第三节第</w:t>
      </w:r>
      <w:r>
        <w:rPr>
          <w:rFonts w:hint="eastAsia" w:ascii="Times New Roman"/>
          <w:b/>
          <w:bCs/>
          <w:snapToGrid w:val="0"/>
          <w:color w:val="auto"/>
          <w:kern w:val="0"/>
          <w:szCs w:val="18"/>
          <w:highlight w:val="none"/>
        </w:rPr>
        <w:t>10.2.2</w:t>
      </w:r>
      <w:r>
        <w:rPr>
          <w:rFonts w:hint="eastAsia" w:ascii="Times New Roman"/>
          <w:snapToGrid w:val="0"/>
          <w:color w:val="auto"/>
          <w:kern w:val="0"/>
          <w:szCs w:val="18"/>
          <w:highlight w:val="none"/>
        </w:rPr>
        <w:t>目、</w:t>
      </w:r>
      <w:r>
        <w:rPr>
          <w:rFonts w:hint="eastAsia" w:ascii="Times New Roman"/>
          <w:snapToGrid w:val="0"/>
          <w:color w:val="auto"/>
          <w:kern w:val="0"/>
          <w:highlight w:val="none"/>
        </w:rPr>
        <w:t>第</w:t>
      </w:r>
      <w:r>
        <w:rPr>
          <w:rFonts w:hint="eastAsia" w:ascii="Times New Roman"/>
          <w:b/>
          <w:bCs/>
          <w:snapToGrid w:val="0"/>
          <w:color w:val="auto"/>
          <w:kern w:val="0"/>
          <w:szCs w:val="18"/>
          <w:highlight w:val="none"/>
        </w:rPr>
        <w:t>10.3.2</w:t>
      </w:r>
      <w:r>
        <w:rPr>
          <w:rFonts w:hint="eastAsia" w:ascii="Times New Roman"/>
          <w:snapToGrid w:val="0"/>
          <w:color w:val="auto"/>
          <w:kern w:val="0"/>
          <w:szCs w:val="18"/>
          <w:highlight w:val="none"/>
        </w:rPr>
        <w:t>目、第</w:t>
      </w:r>
      <w:r>
        <w:rPr>
          <w:rFonts w:hint="eastAsia" w:ascii="Times New Roman"/>
          <w:b/>
          <w:bCs/>
          <w:snapToGrid w:val="0"/>
          <w:color w:val="auto"/>
          <w:kern w:val="0"/>
          <w:highlight w:val="none"/>
        </w:rPr>
        <w:t>10.4.3</w:t>
      </w:r>
      <w:r>
        <w:rPr>
          <w:rFonts w:hint="eastAsia" w:ascii="Times New Roman"/>
          <w:snapToGrid w:val="0"/>
          <w:color w:val="auto"/>
          <w:kern w:val="0"/>
          <w:highlight w:val="none"/>
        </w:rPr>
        <w:t>目中规定的“</w:t>
      </w:r>
      <w:r>
        <w:rPr>
          <w:rFonts w:hint="eastAsia" w:ascii="Times New Roman"/>
          <w:snapToGrid w:val="0"/>
          <w:color w:val="auto"/>
          <w:kern w:val="0"/>
          <w:szCs w:val="18"/>
          <w:highlight w:val="none"/>
        </w:rPr>
        <w:t>所有投标人均应提供</w:t>
      </w:r>
      <w:r>
        <w:rPr>
          <w:rFonts w:hint="eastAsia" w:ascii="Times New Roman"/>
          <w:snapToGrid w:val="0"/>
          <w:color w:val="auto"/>
          <w:kern w:val="0"/>
          <w:highlight w:val="none"/>
        </w:rPr>
        <w:t>”的组成内容（包括该组成内容的所附资料）中，任何一项有缺漏的；</w:t>
      </w:r>
    </w:p>
    <w:p>
      <w:pPr>
        <w:wordWrap w:val="0"/>
        <w:adjustRightInd w:val="0"/>
        <w:snapToGrid w:val="0"/>
        <w:spacing w:line="440" w:lineRule="exact"/>
        <w:ind w:firstLine="480"/>
        <w:rPr>
          <w:rFonts w:hAnsi="宋体" w:cs="宋体"/>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rPr>
        <w:t>）关键字迹模糊、无法辨认，</w:t>
      </w:r>
      <w:r>
        <w:rPr>
          <w:rFonts w:hint="eastAsia" w:ascii="Times New Roman"/>
          <w:b/>
          <w:bCs/>
          <w:snapToGrid w:val="0"/>
          <w:color w:val="auto"/>
          <w:kern w:val="0"/>
          <w:highlight w:val="none"/>
        </w:rPr>
        <w:t>且该种过错将导致评标委员会无法判断投标文件是否响应招标文件实质性要求的</w:t>
      </w:r>
      <w:r>
        <w:rPr>
          <w:rFonts w:hint="eastAsia" w:ascii="Times New Roman"/>
          <w:snapToGrid w:val="0"/>
          <w:color w:val="auto"/>
          <w:kern w:val="0"/>
          <w:highlight w:val="none"/>
        </w:rPr>
        <w:t>；</w:t>
      </w:r>
      <w:r>
        <w:rPr>
          <w:rFonts w:hAnsi="宋体" w:cs="宋体"/>
          <w:snapToGrid w:val="0"/>
          <w:color w:val="auto"/>
          <w:kern w:val="0"/>
          <w:highlight w:val="none"/>
        </w:rPr>
        <w:t>有涂改、行间插字或删除，但未加盖单位章或由投标人的法定代表人或其委托代理人签字确认的；</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4</w:t>
      </w:r>
      <w:r>
        <w:rPr>
          <w:rFonts w:hint="eastAsia" w:ascii="Times New Roman"/>
          <w:snapToGrid w:val="0"/>
          <w:color w:val="auto"/>
          <w:kern w:val="0"/>
          <w:highlight w:val="none"/>
        </w:rPr>
        <w:t>）投标文件未按规定签字、盖章的；</w:t>
      </w:r>
    </w:p>
    <w:p>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w:t>
      </w:r>
      <w:r>
        <w:rPr>
          <w:rStyle w:val="149"/>
          <w:rFonts w:hint="eastAsia" w:ascii="Times New Roman" w:cs="Times New Roman"/>
          <w:color w:val="auto"/>
          <w:kern w:val="0"/>
          <w:highlight w:val="none"/>
          <w:lang w:val="en-US"/>
        </w:rPr>
        <w:t>5</w:t>
      </w:r>
      <w:r>
        <w:rPr>
          <w:rStyle w:val="149"/>
          <w:rFonts w:hint="eastAsia" w:ascii="Times New Roman"/>
          <w:color w:val="auto"/>
          <w:kern w:val="0"/>
          <w:highlight w:val="none"/>
        </w:rPr>
        <w:t>）招标文件规定施工组织设计采用</w:t>
      </w:r>
      <w:r>
        <w:rPr>
          <w:rStyle w:val="149"/>
          <w:rFonts w:hint="eastAsia" w:ascii="Times New Roman" w:cs="Times New Roman"/>
          <w:color w:val="auto"/>
          <w:kern w:val="0"/>
          <w:highlight w:val="none"/>
          <w:lang w:eastAsia="zh-CN"/>
        </w:rPr>
        <w:t>“</w:t>
      </w:r>
      <w:r>
        <w:rPr>
          <w:rStyle w:val="149"/>
          <w:rFonts w:hint="eastAsia" w:ascii="Times New Roman"/>
          <w:color w:val="auto"/>
          <w:kern w:val="0"/>
          <w:highlight w:val="none"/>
        </w:rPr>
        <w:t>暗标</w:t>
      </w:r>
      <w:r>
        <w:rPr>
          <w:rStyle w:val="149"/>
          <w:rFonts w:hint="eastAsia" w:ascii="Times New Roman" w:cs="Times New Roman"/>
          <w:color w:val="auto"/>
          <w:kern w:val="0"/>
          <w:highlight w:val="none"/>
          <w:lang w:eastAsia="zh-CN"/>
        </w:rPr>
        <w:t>”</w:t>
      </w:r>
      <w:r>
        <w:rPr>
          <w:rStyle w:val="149"/>
          <w:rFonts w:hint="eastAsia" w:ascii="Times New Roman"/>
          <w:color w:val="auto"/>
          <w:kern w:val="0"/>
          <w:highlight w:val="none"/>
        </w:rPr>
        <w:t>方式进行评审，但施工组织设计的规格颜色、文字排版、正文篇幅（如有）不符合规定的；其任何部位出现手写以及涂改、行间插字或删除痕迹的；其任何部位出现投标人的名称和其它可识别投标人身份的字符、徽标、人员名称以及其他特殊标记的。</w:t>
      </w:r>
    </w:p>
    <w:p>
      <w:pPr>
        <w:wordWrap w:val="0"/>
        <w:adjustRightInd w:val="0"/>
        <w:snapToGrid w:val="0"/>
        <w:spacing w:line="440" w:lineRule="exact"/>
        <w:ind w:firstLine="480"/>
        <w:rPr>
          <w:rFonts w:hint="eastAsia" w:ascii="Times New Roman"/>
          <w:snapToGrid w:val="0"/>
          <w:color w:val="auto"/>
          <w:kern w:val="0"/>
          <w:highlight w:val="none"/>
        </w:rPr>
      </w:pPr>
    </w:p>
    <w:p>
      <w:pPr>
        <w:pStyle w:val="4"/>
        <w:wordWrap w:val="0"/>
        <w:autoSpaceDE/>
        <w:autoSpaceDN/>
        <w:snapToGrid w:val="0"/>
        <w:spacing w:line="440" w:lineRule="exact"/>
        <w:ind w:firstLine="480"/>
        <w:jc w:val="both"/>
        <w:rPr>
          <w:rFonts w:hint="eastAsia" w:ascii="Times New Roman"/>
          <w:b/>
          <w:snapToGrid w:val="0"/>
          <w:color w:val="auto"/>
          <w:highlight w:val="none"/>
        </w:rPr>
      </w:pPr>
      <w:bookmarkStart w:id="127" w:name="_Toc27344"/>
      <w:bookmarkStart w:id="128" w:name="_Toc8201"/>
      <w:bookmarkStart w:id="129" w:name="_Toc31483"/>
      <w:bookmarkStart w:id="130" w:name="_Toc23068"/>
      <w:r>
        <w:rPr>
          <w:rFonts w:hint="eastAsia" w:ascii="Times New Roman"/>
          <w:b/>
          <w:snapToGrid w:val="0"/>
          <w:color w:val="auto"/>
          <w:highlight w:val="none"/>
        </w:rPr>
        <w:t>3．响应性评审环节</w:t>
      </w:r>
      <w:bookmarkEnd w:id="127"/>
      <w:bookmarkEnd w:id="128"/>
      <w:bookmarkEnd w:id="129"/>
      <w:bookmarkEnd w:id="130"/>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投标人有下列情形之一的，评标委员会应否决其投标。被否决的投标人，不进入详细评审阶段。</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1</w:t>
      </w:r>
      <w:r>
        <w:rPr>
          <w:rFonts w:hint="eastAsia" w:ascii="Times New Roman"/>
          <w:snapToGrid w:val="0"/>
          <w:color w:val="auto"/>
          <w:kern w:val="0"/>
          <w:highlight w:val="none"/>
        </w:rPr>
        <w:t>）承诺的投标有效期短于规定的；质量标准低于规定的；工期超出规定的；擅自修改、遗漏《投标函》《各项承诺一览表》实质性内容的；</w:t>
      </w:r>
    </w:p>
    <w:p>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）编制《投标总价》的</w:t>
      </w:r>
      <w:r>
        <w:rPr>
          <w:rFonts w:hint="eastAsia" w:ascii="Times New Roman"/>
          <w:snapToGrid w:val="0"/>
          <w:color w:val="auto"/>
          <w:kern w:val="0"/>
          <w:szCs w:val="18"/>
          <w:highlight w:val="none"/>
        </w:rPr>
        <w:t>造价工程师，其注册证书不是住建部门颁发的；其注册单位与投标人（或造价咨询人）不一致的；其注册证书</w:t>
      </w:r>
      <w:r>
        <w:rPr>
          <w:rFonts w:hint="eastAsia" w:ascii="Times New Roman"/>
          <w:snapToGrid w:val="0"/>
          <w:color w:val="auto"/>
          <w:kern w:val="0"/>
          <w:highlight w:val="none"/>
        </w:rPr>
        <w:t>不在有效期内的。</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注：投标人（或造价咨询人）已经工商变更，但其员工的执业资格注册证书的注册单位名称未完成变更的，不得否决其投标。</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rPr>
        <w:t>）投标人委托造价咨询单位编制《投标总价》，但未在《投标总价》封面（即封—3）加盖造价咨询人公章的；未提供造价咨询人的营业执照复印件（或打印件）的；</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4</w:t>
      </w:r>
      <w:r>
        <w:rPr>
          <w:rFonts w:hint="eastAsia" w:ascii="Times New Roman"/>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5</w:t>
      </w:r>
      <w:r>
        <w:rPr>
          <w:rFonts w:hint="eastAsia" w:ascii="Times New Roman"/>
          <w:snapToGrid w:val="0"/>
          <w:color w:val="auto"/>
          <w:kern w:val="0"/>
          <w:highlight w:val="none"/>
        </w:rPr>
        <w:t>）在施工组织设计评审中，评标委员会认定质量、进度保障措施与国家和省市现行有关规范、规定、标准有重大偏差，</w:t>
      </w:r>
      <w:r>
        <w:rPr>
          <w:rFonts w:hint="eastAsia" w:ascii="Times New Roman"/>
          <w:b/>
          <w:bCs/>
          <w:snapToGrid w:val="0"/>
          <w:color w:val="auto"/>
          <w:kern w:val="0"/>
          <w:highlight w:val="none"/>
        </w:rPr>
        <w:t>且该种过错将导致工程质量、进度管理目标无法实现的</w:t>
      </w:r>
      <w:r>
        <w:rPr>
          <w:rFonts w:hint="eastAsia" w:ascii="Times New Roman"/>
          <w:snapToGrid w:val="0"/>
          <w:color w:val="auto"/>
          <w:kern w:val="0"/>
          <w:highlight w:val="none"/>
        </w:rPr>
        <w:t>。</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pP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b/>
          <w:bCs/>
          <w:snapToGrid w:val="0"/>
          <w:color w:val="auto"/>
          <w:kern w:val="0"/>
          <w:highlight w:val="none"/>
        </w:rPr>
      </w:pPr>
      <w:r>
        <w:rPr>
          <w:rFonts w:hint="eastAsia" w:ascii="Times New Roman"/>
          <w:b/>
          <w:bCs/>
          <w:snapToGrid w:val="0"/>
          <w:color w:val="auto"/>
          <w:kern w:val="0"/>
          <w:highlight w:val="none"/>
        </w:rPr>
        <w:t>4．其他</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szCs w:val="22"/>
          <w:highlight w:val="none"/>
        </w:rPr>
      </w:pPr>
      <w:r>
        <w:rPr>
          <w:rFonts w:hint="eastAsia" w:ascii="Times New Roman"/>
          <w:snapToGrid w:val="0"/>
          <w:color w:val="auto"/>
          <w:kern w:val="0"/>
          <w:highlight w:val="none"/>
        </w:rPr>
        <w:t>在任何评标环节（或阶段），投标人有下列情形之一的，评标委员会应否决其投标。</w:t>
      </w:r>
      <w:r>
        <w:rPr>
          <w:rFonts w:hint="eastAsia" w:ascii="Times New Roman"/>
          <w:snapToGrid w:val="0"/>
          <w:color w:val="auto"/>
          <w:kern w:val="0"/>
          <w:szCs w:val="22"/>
          <w:highlight w:val="none"/>
        </w:rPr>
        <w:t>被否决的投标人，不进入下一环节（或阶段）。</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pPr>
      <w:r>
        <w:rPr>
          <w:rFonts w:hint="eastAsia" w:ascii="Times New Roman"/>
          <w:snapToGrid w:val="0"/>
          <w:color w:val="auto"/>
          <w:kern w:val="0"/>
          <w:highlight w:val="none"/>
        </w:rPr>
        <w:t>（1）不按评标委员会要求澄清、说明或补正的；</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pPr>
      <w:r>
        <w:rPr>
          <w:rFonts w:hint="eastAsia" w:ascii="Times New Roman"/>
          <w:snapToGrid w:val="0"/>
          <w:color w:val="auto"/>
          <w:kern w:val="0"/>
          <w:highlight w:val="none"/>
        </w:rPr>
        <w:t>（2）有下列情形之一，被评标委员会认定属于串通投标的：</w:t>
      </w:r>
    </w:p>
    <w:p>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ascii="Times New Roman"/>
          <w:snapToGrid w:val="0"/>
          <w:color w:val="auto"/>
          <w:kern w:val="0"/>
          <w:highlight w:val="none"/>
        </w:rPr>
      </w:pPr>
      <w:r>
        <w:rPr>
          <w:rFonts w:hint="eastAsia" w:ascii="Times New Roman"/>
          <w:snapToGrid w:val="0"/>
          <w:color w:val="auto"/>
          <w:kern w:val="0"/>
          <w:highlight w:val="none"/>
        </w:rPr>
        <w:t xml:space="preserve">    ①</w:t>
      </w:r>
      <w:r>
        <w:rPr>
          <w:rFonts w:ascii="Times New Roman"/>
          <w:snapToGrid w:val="0"/>
          <w:color w:val="auto"/>
          <w:kern w:val="0"/>
          <w:highlight w:val="none"/>
        </w:rPr>
        <w:t>不同投标人的投标文件两处以上（含两处）错、漏一致；</w:t>
      </w:r>
    </w:p>
    <w:p>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ascii="Times New Roman"/>
          <w:snapToGrid w:val="0"/>
          <w:color w:val="auto"/>
          <w:kern w:val="0"/>
          <w:highlight w:val="none"/>
        </w:rPr>
      </w:pPr>
      <w:r>
        <w:rPr>
          <w:rFonts w:hint="eastAsia" w:ascii="Times New Roman"/>
          <w:snapToGrid w:val="0"/>
          <w:color w:val="auto"/>
          <w:kern w:val="0"/>
          <w:highlight w:val="none"/>
        </w:rPr>
        <w:t xml:space="preserve">    ②</w:t>
      </w:r>
      <w:r>
        <w:rPr>
          <w:rFonts w:ascii="Times New Roman"/>
          <w:snapToGrid w:val="0"/>
          <w:color w:val="auto"/>
          <w:kern w:val="0"/>
          <w:highlight w:val="none"/>
        </w:rPr>
        <w:t>不同投标人的投标总价相近且各分项报价、综合单价分析表内容混乱不能相互对应、乱调乱压或乱抬的，而在询标时没有合理的解释或者不能提供计算依据和报价依据；</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③</w:t>
      </w:r>
      <w:r>
        <w:rPr>
          <w:rFonts w:ascii="Times New Roman"/>
          <w:snapToGrid w:val="0"/>
          <w:color w:val="auto"/>
          <w:kern w:val="0"/>
          <w:highlight w:val="none"/>
        </w:rPr>
        <w:t>不同投标人的投标各项报价存在异常一致或者呈规律性变化；</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④</w:t>
      </w:r>
      <w:r>
        <w:rPr>
          <w:rFonts w:ascii="Times New Roman"/>
          <w:snapToGrid w:val="0"/>
          <w:color w:val="auto"/>
          <w:kern w:val="0"/>
          <w:highlight w:val="none"/>
        </w:rPr>
        <w:t>不同投标人的投标文件由同一单位或者同一个人编制；</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⑤</w:t>
      </w:r>
      <w:r>
        <w:rPr>
          <w:rFonts w:ascii="Times New Roman"/>
          <w:snapToGrid w:val="0"/>
          <w:color w:val="auto"/>
          <w:kern w:val="0"/>
          <w:highlight w:val="none"/>
        </w:rPr>
        <w:t>不同投标人的投标文件中投标资料（包括电子资料）相互混装或项目班子成员出现同一人；</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⑥</w:t>
      </w:r>
      <w:r>
        <w:rPr>
          <w:rFonts w:ascii="Times New Roman"/>
          <w:snapToGrid w:val="0"/>
          <w:color w:val="auto"/>
          <w:kern w:val="0"/>
          <w:highlight w:val="none"/>
        </w:rPr>
        <w:t>不同投标人的投标文件由同一电脑编制或同一台附属设备打印，或投标报价用同一个预算编制软件密码锁制作或出自同一电子文档；</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⑦</w:t>
      </w:r>
      <w:r>
        <w:rPr>
          <w:rFonts w:ascii="Times New Roman"/>
          <w:snapToGrid w:val="0"/>
          <w:color w:val="auto"/>
          <w:kern w:val="0"/>
          <w:highlight w:val="none"/>
        </w:rPr>
        <w:t>不同投标人的投标保证由同一企业或同一账户资金缴纳；</w:t>
      </w:r>
    </w:p>
    <w:p>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kern w:val="0"/>
          <w:highlight w:val="none"/>
        </w:rPr>
        <w:t>⑧</w:t>
      </w:r>
      <w:r>
        <w:rPr>
          <w:rFonts w:ascii="Times New Roman"/>
          <w:snapToGrid w:val="0"/>
          <w:color w:val="auto"/>
          <w:kern w:val="0"/>
          <w:highlight w:val="none"/>
        </w:rPr>
        <w:t>不同投标人委托同一个人或注册在同一家企业的注册人员或同一家企业为其投标提供投标咨询、商务报价、技术咨询（招标</w:t>
      </w:r>
      <w:r>
        <w:rPr>
          <w:rFonts w:hint="eastAsia" w:ascii="Times New Roman"/>
          <w:snapToGrid w:val="0"/>
          <w:color w:val="auto"/>
          <w:kern w:val="0"/>
          <w:highlight w:val="none"/>
        </w:rPr>
        <w:t>项目</w:t>
      </w:r>
      <w:r>
        <w:rPr>
          <w:rFonts w:ascii="Times New Roman"/>
          <w:snapToGrid w:val="0"/>
          <w:color w:val="auto"/>
          <w:kern w:val="0"/>
          <w:highlight w:val="none"/>
        </w:rPr>
        <w:t>本身要求采用专有技术的除外）等服务。</w:t>
      </w:r>
      <w:bookmarkEnd w:id="117"/>
    </w:p>
    <w:p>
      <w:pPr>
        <w:keepNext w:val="0"/>
        <w:keepLines w:val="0"/>
        <w:pageBreakBefore w:val="0"/>
        <w:widowControl w:val="0"/>
        <w:kinsoku/>
        <w:wordWrap w:val="0"/>
        <w:overflowPunct/>
        <w:topLinePunct w:val="0"/>
        <w:autoSpaceDE/>
        <w:autoSpaceDN/>
        <w:bidi w:val="0"/>
        <w:adjustRightInd w:val="0"/>
        <w:snapToGrid w:val="0"/>
        <w:spacing w:line="440" w:lineRule="exact"/>
        <w:jc w:val="center"/>
        <w:textAlignment w:val="auto"/>
        <w:outlineLvl w:val="0"/>
        <w:rPr>
          <w:rFonts w:hint="eastAsia" w:ascii="Times New Roman" w:hAnsi="Times New Roman" w:eastAsia="宋体" w:cs="Times New Roman"/>
          <w:b/>
          <w:snapToGrid w:val="0"/>
          <w:color w:val="auto"/>
          <w:kern w:val="0"/>
          <w:sz w:val="24"/>
          <w:highlight w:val="none"/>
          <w:lang w:val="en-US" w:eastAsia="zh-CN" w:bidi="ar-SA"/>
        </w:rPr>
      </w:pPr>
      <w:bookmarkStart w:id="131" w:name="_Hlt70150994"/>
      <w:bookmarkEnd w:id="131"/>
      <w:bookmarkStart w:id="132" w:name="_Hlt87952408"/>
      <w:bookmarkEnd w:id="132"/>
      <w:bookmarkStart w:id="133" w:name="_Hlt112206772"/>
      <w:bookmarkEnd w:id="133"/>
      <w:bookmarkStart w:id="134" w:name="_Hlt69669771"/>
      <w:bookmarkEnd w:id="134"/>
      <w:bookmarkStart w:id="135" w:name="_Toc20451"/>
      <w:bookmarkStart w:id="136" w:name="_Toc11552"/>
      <w:bookmarkStart w:id="137" w:name="_Hlt69698722"/>
      <w:bookmarkStart w:id="138" w:name="_Hlt69698769"/>
      <w:bookmarkStart w:id="139" w:name="_Hlt69698741"/>
      <w:r>
        <w:rPr>
          <w:rFonts w:hint="eastAsia" w:ascii="Times New Roman" w:hAnsi="Times New Roman" w:eastAsia="宋体" w:cs="Times New Roman"/>
          <w:b/>
          <w:snapToGrid w:val="0"/>
          <w:color w:val="auto"/>
          <w:kern w:val="0"/>
          <w:sz w:val="24"/>
          <w:highlight w:val="none"/>
          <w:lang w:val="en-US" w:eastAsia="zh-CN" w:bidi="ar-SA"/>
        </w:rPr>
        <w:t>第</w:t>
      </w:r>
      <w:bookmarkStart w:id="140" w:name="_Hlt69669171"/>
      <w:bookmarkEnd w:id="140"/>
      <w:r>
        <w:rPr>
          <w:rFonts w:hint="eastAsia" w:ascii="Times New Roman" w:hAnsi="Times New Roman" w:eastAsia="宋体" w:cs="Times New Roman"/>
          <w:b/>
          <w:snapToGrid w:val="0"/>
          <w:color w:val="auto"/>
          <w:kern w:val="0"/>
          <w:sz w:val="24"/>
          <w:highlight w:val="none"/>
          <w:lang w:val="en-US" w:eastAsia="zh-CN" w:bidi="ar-SA"/>
        </w:rPr>
        <w:t>二章</w:t>
      </w:r>
      <w:bookmarkStart w:id="141" w:name="_Hlt87793839"/>
      <w:bookmarkEnd w:id="141"/>
      <w:r>
        <w:rPr>
          <w:rFonts w:hint="eastAsia" w:ascii="Times New Roman" w:hAnsi="Times New Roman" w:eastAsia="宋体" w:cs="Times New Roman"/>
          <w:b/>
          <w:snapToGrid w:val="0"/>
          <w:color w:val="auto"/>
          <w:kern w:val="0"/>
          <w:sz w:val="24"/>
          <w:highlight w:val="none"/>
          <w:lang w:val="en-US" w:eastAsia="zh-CN" w:bidi="ar-SA"/>
        </w:rPr>
        <w:t xml:space="preserve"> 中标人须知</w:t>
      </w:r>
      <w:bookmarkEnd w:id="135"/>
      <w:bookmarkEnd w:id="136"/>
    </w:p>
    <w:bookmarkEnd w:id="137"/>
    <w:bookmarkEnd w:id="138"/>
    <w:bookmarkEnd w:id="139"/>
    <w:p>
      <w:pPr>
        <w:wordWrap w:val="0"/>
        <w:adjustRightInd w:val="0"/>
        <w:snapToGrid w:val="0"/>
        <w:spacing w:line="440" w:lineRule="exact"/>
        <w:ind w:firstLine="562"/>
        <w:rPr>
          <w:rFonts w:hint="eastAsia" w:ascii="Times New Roman"/>
          <w:b/>
          <w:snapToGrid w:val="0"/>
          <w:color w:val="auto"/>
          <w:kern w:val="0"/>
          <w:highlight w:val="none"/>
        </w:rPr>
      </w:pP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snapToGrid w:val="0"/>
          <w:color w:val="auto"/>
          <w:kern w:val="0"/>
          <w:highlight w:val="none"/>
        </w:rPr>
        <w:t>1．中标通知书</w:t>
      </w: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pPr>
        <w:wordWrap w:val="0"/>
        <w:adjustRightInd w:val="0"/>
        <w:snapToGrid w:val="0"/>
        <w:spacing w:line="440" w:lineRule="exact"/>
        <w:ind w:firstLine="562"/>
        <w:rPr>
          <w:rFonts w:hint="eastAsia" w:ascii="Times New Roman"/>
          <w:snapToGrid w:val="0"/>
          <w:color w:val="auto"/>
          <w:kern w:val="0"/>
          <w:highlight w:val="none"/>
        </w:rPr>
      </w:pP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2．中标结果公示</w:t>
      </w: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中标通知书发出后15日内，招标人应将中标结果在广东省招标投标监管网（http://zbtb.gd.gov.cn）、</w:t>
      </w:r>
      <w:r>
        <w:rPr>
          <w:rFonts w:hint="eastAsia" w:ascii="Times New Roman"/>
          <w:snapToGrid w:val="0"/>
          <w:color w:val="auto"/>
          <w:kern w:val="0"/>
          <w:highlight w:val="none"/>
          <w:lang w:eastAsia="zh-CN"/>
        </w:rPr>
        <w:t>全国公共资源交易平台（广东省·韶关市）（https://ygp.gdzwfw.gov.cn/ggzy-portal/#/440200/index）</w:t>
      </w:r>
      <w:r>
        <w:rPr>
          <w:rFonts w:hint="eastAsia" w:ascii="Times New Roman"/>
          <w:snapToGrid w:val="0"/>
          <w:color w:val="auto"/>
          <w:kern w:val="0"/>
          <w:highlight w:val="none"/>
        </w:rPr>
        <w:t>进行公示。</w:t>
      </w:r>
    </w:p>
    <w:p>
      <w:pPr>
        <w:wordWrap w:val="0"/>
        <w:adjustRightInd w:val="0"/>
        <w:snapToGrid w:val="0"/>
        <w:spacing w:line="440" w:lineRule="exact"/>
        <w:ind w:firstLine="562"/>
        <w:rPr>
          <w:rFonts w:hint="eastAsia" w:ascii="Times New Roman"/>
          <w:snapToGrid w:val="0"/>
          <w:color w:val="auto"/>
          <w:kern w:val="0"/>
          <w:highlight w:val="none"/>
        </w:rPr>
      </w:pP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3．履约保证</w:t>
      </w: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3.1</w:t>
      </w:r>
      <w:r>
        <w:rPr>
          <w:rFonts w:hint="eastAsia" w:ascii="Times New Roman"/>
          <w:snapToGrid w:val="0"/>
          <w:color w:val="auto"/>
          <w:kern w:val="0"/>
          <w:highlight w:val="none"/>
        </w:rPr>
        <w:t xml:space="preserve"> 中标人须在领取中标通知书之日起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5</w:t>
      </w:r>
      <w:r>
        <w:rPr>
          <w:rFonts w:hint="eastAsia" w:ascii="Times New Roman"/>
          <w:snapToGrid w:val="0"/>
          <w:color w:val="auto"/>
          <w:kern w:val="0"/>
          <w:highlight w:val="none"/>
        </w:rPr>
        <w:t>个工作日内、签订合同前向招标人提交金额为中标价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5</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 的履约保证。 联合体中标的，由联合体牵头人提交。</w:t>
      </w:r>
    </w:p>
    <w:p>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3.2</w:t>
      </w:r>
      <w:r>
        <w:rPr>
          <w:rFonts w:hint="eastAsia" w:ascii="Times New Roman"/>
          <w:snapToGrid w:val="0"/>
          <w:color w:val="auto"/>
          <w:kern w:val="0"/>
          <w:highlight w:val="none"/>
        </w:rPr>
        <w:t xml:space="preserve"> 履约保证的形式包括履约保证金、履约保证担保、履约保证保险三种，由中标人自主选择。</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（1）采用履约保证金的，中标人须从其法人开户银行的账号将履约保证金划至招标人账户，并详细注明项目名称及用途。</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caps w:val="0"/>
          <w:smallCaps w:val="0"/>
          <w:snapToGrid w:val="0"/>
          <w:color w:val="auto"/>
          <w:spacing w:val="0"/>
          <w:kern w:val="0"/>
          <w:highlight w:val="none"/>
          <w:lang w:val="en-US" w:eastAsia="zh-CN"/>
        </w:rPr>
        <w:t>（2）采用履约保证担保或履约保证保险的，中标人应提交有效的商业保函、银行保函或保险合同（或保险单）原件，商业保函、银行保函或保险合同（或保险单）的有效期应当自合同生效之日起至项目通过竣工验收之日后28天止。如果中标人无法获得具体截止日期，商业保函、银行保函或保险合同（或保险单）中应当有“变更项目竣工日期的，保证期间按照变更后的竣工日期做相应调整”或类似约定的条款。</w:t>
      </w:r>
    </w:p>
    <w:p>
      <w:pPr>
        <w:wordWrap w:val="0"/>
        <w:adjustRightInd w:val="0"/>
        <w:snapToGrid w:val="0"/>
        <w:spacing w:line="440" w:lineRule="exact"/>
        <w:ind w:firstLine="562"/>
        <w:rPr>
          <w:rFonts w:hint="eastAsia" w:ascii="Times New Roman" w:hAnsi="Times New Roman" w:eastAsia="宋体" w:cs="Times New Roman"/>
          <w:snapToGrid w:val="0"/>
          <w:color w:val="auto"/>
          <w:kern w:val="0"/>
          <w:highlight w:val="none"/>
          <w:lang w:val="en-US" w:eastAsia="zh-CN"/>
        </w:rPr>
      </w:pPr>
      <w:r>
        <w:rPr>
          <w:rFonts w:hint="eastAsia" w:ascii="Times New Roman" w:hAnsi="Times New Roman" w:eastAsia="宋体" w:cs="Times New Roman"/>
          <w:snapToGrid w:val="0"/>
          <w:color w:val="auto"/>
          <w:kern w:val="0"/>
          <w:highlight w:val="none"/>
          <w:lang w:val="en-US" w:eastAsia="zh-CN"/>
        </w:rPr>
        <w:t>3.2.1由保证人为建设单位向施工单位提供保证业主支付工程的担保，担保形式包括银行保函、工程保证保险以及专业工程担保公司保函等。工程款支付担保金为中标价金额的</w:t>
      </w:r>
      <w:r>
        <w:rPr>
          <w:rFonts w:hint="eastAsia" w:ascii="Times New Roman" w:hAnsi="Times New Roman" w:eastAsia="宋体" w:cs="Times New Roman"/>
          <w:snapToGrid w:val="0"/>
          <w:color w:val="auto"/>
          <w:kern w:val="0"/>
          <w:highlight w:val="none"/>
          <w:u w:val="single"/>
        </w:rPr>
        <w:t xml:space="preserve"> </w:t>
      </w:r>
      <w:r>
        <w:rPr>
          <w:rFonts w:hint="eastAsia" w:ascii="Times New Roman" w:hAnsi="Times New Roman" w:eastAsia="宋体" w:cs="Times New Roman"/>
          <w:snapToGrid w:val="0"/>
          <w:color w:val="auto"/>
          <w:kern w:val="0"/>
          <w:highlight w:val="none"/>
          <w:u w:val="single"/>
          <w:lang w:val="en-US" w:eastAsia="zh-CN"/>
        </w:rPr>
        <w:t>5</w:t>
      </w:r>
      <w:r>
        <w:rPr>
          <w:rFonts w:hint="eastAsia" w:ascii="Times New Roman" w:hAnsi="Times New Roman" w:eastAsia="宋体" w:cs="Times New Roman"/>
          <w:snapToGrid w:val="0"/>
          <w:color w:val="auto"/>
          <w:kern w:val="0"/>
          <w:highlight w:val="none"/>
          <w:u w:val="single"/>
        </w:rPr>
        <w:t xml:space="preserve"> </w:t>
      </w:r>
      <w:r>
        <w:rPr>
          <w:rFonts w:hint="eastAsia" w:ascii="Times New Roman" w:hAnsi="Times New Roman" w:eastAsia="宋体" w:cs="Times New Roman"/>
          <w:snapToGrid w:val="0"/>
          <w:color w:val="auto"/>
          <w:kern w:val="0"/>
          <w:highlight w:val="none"/>
        </w:rPr>
        <w:t xml:space="preserve">% </w:t>
      </w:r>
      <w:r>
        <w:rPr>
          <w:rFonts w:hint="eastAsia" w:ascii="Times New Roman" w:hAnsi="Times New Roman" w:eastAsia="宋体" w:cs="Times New Roman"/>
          <w:snapToGrid w:val="0"/>
          <w:color w:val="auto"/>
          <w:kern w:val="0"/>
          <w:highlight w:val="none"/>
          <w:lang w:eastAsia="zh-CN"/>
        </w:rPr>
        <w:t>。</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3.3</w:t>
      </w:r>
      <w:r>
        <w:rPr>
          <w:rFonts w:hint="eastAsia" w:ascii="Times New Roman" w:hAnsi="Times New Roman" w:cs="Times New Roman"/>
          <w:caps w:val="0"/>
          <w:smallCaps w:val="0"/>
          <w:snapToGrid w:val="0"/>
          <w:color w:val="auto"/>
          <w:spacing w:val="0"/>
          <w:kern w:val="0"/>
          <w:highlight w:val="none"/>
          <w:lang w:val="en-US" w:eastAsia="zh-CN"/>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Times New Roman"/>
          <w:snapToGrid w:val="0"/>
          <w:color w:val="auto"/>
          <w:kern w:val="0"/>
          <w:highlight w:val="none"/>
        </w:rPr>
        <w:t>并由招标人通报建设行政管理部门。如采用</w:t>
      </w:r>
      <w:r>
        <w:rPr>
          <w:rFonts w:hint="eastAsia" w:ascii="Times New Roman"/>
          <w:snapToGrid w:val="0"/>
          <w:color w:val="auto"/>
          <w:kern w:val="0"/>
          <w:highlight w:val="none"/>
          <w:lang w:eastAsia="zh-CN"/>
        </w:rPr>
        <w:t>商业保函、银行保函或保险合同</w:t>
      </w:r>
      <w:r>
        <w:rPr>
          <w:rFonts w:hint="eastAsia" w:ascii="Times New Roman"/>
          <w:snapToGrid w:val="0"/>
          <w:color w:val="auto"/>
          <w:kern w:val="0"/>
          <w:highlight w:val="none"/>
        </w:rPr>
        <w:t>方式缴纳履约保证金，在保函或保险合同到期前一个月，中标人须主动办理续期手续或提交新的</w:t>
      </w:r>
      <w:r>
        <w:rPr>
          <w:rFonts w:hint="eastAsia" w:ascii="Times New Roman"/>
          <w:snapToGrid w:val="0"/>
          <w:color w:val="auto"/>
          <w:kern w:val="0"/>
          <w:highlight w:val="none"/>
          <w:lang w:eastAsia="zh-CN"/>
        </w:rPr>
        <w:t>商业保函、银行保函或保险合同。</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3.4</w:t>
      </w:r>
      <w:r>
        <w:rPr>
          <w:rFonts w:hint="eastAsia" w:ascii="Times New Roman"/>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3.5</w:t>
      </w:r>
      <w:r>
        <w:rPr>
          <w:rFonts w:hint="eastAsia" w:ascii="Times New Roman"/>
          <w:snapToGrid w:val="0"/>
          <w:color w:val="auto"/>
          <w:kern w:val="0"/>
          <w:highlight w:val="none"/>
        </w:rPr>
        <w:t xml:space="preserve"> 项目通过竣工验收之日后28天内，发包人将履约保证退还给承包人。</w:t>
      </w:r>
    </w:p>
    <w:p>
      <w:pPr>
        <w:wordWrap w:val="0"/>
        <w:adjustRightInd w:val="0"/>
        <w:snapToGrid w:val="0"/>
        <w:spacing w:line="440" w:lineRule="exact"/>
        <w:ind w:firstLine="480" w:firstLineChars="200"/>
        <w:rPr>
          <w:rFonts w:hint="eastAsia" w:ascii="Times New Roman"/>
          <w:snapToGrid w:val="0"/>
          <w:color w:val="auto"/>
          <w:kern w:val="0"/>
          <w:highlight w:val="none"/>
        </w:rPr>
      </w:pPr>
    </w:p>
    <w:p>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4．合同订立</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4.1</w:t>
      </w:r>
      <w:r>
        <w:rPr>
          <w:rFonts w:hint="eastAsia" w:ascii="Times New Roman"/>
          <w:snapToGrid w:val="0"/>
          <w:color w:val="auto"/>
          <w:kern w:val="0"/>
          <w:highlight w:val="none"/>
        </w:rPr>
        <w:t xml:space="preserve"> 招标人应当自中标通知书发出之日起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30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日内，按照招标文件、中标人的投标文件与中标人订立书面合同。</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w:t>
      </w:r>
      <w:r>
        <w:rPr>
          <w:rFonts w:hint="eastAsia" w:ascii="Times New Roman"/>
          <w:snapToGrid w:val="0"/>
          <w:color w:val="auto"/>
          <w:kern w:val="0"/>
          <w:highlight w:val="none"/>
        </w:rPr>
        <w:t xml:space="preserve"> 不正常报价的梳理和确认</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4.2.1</w:t>
      </w: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Times New Roman"/>
          <w:snapToGrid w:val="0"/>
          <w:color w:val="auto"/>
          <w:kern w:val="0"/>
          <w:highlight w:val="none"/>
        </w:rPr>
        <w:t>招标人不具备以上能力的，可授权编制本项目招标控制价的造价咨询单位实施。</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4.2.2</w:t>
      </w:r>
      <w:r>
        <w:rPr>
          <w:rFonts w:hint="eastAsia" w:ascii="Times New Roman"/>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4.2.3</w:t>
      </w:r>
      <w:r>
        <w:rPr>
          <w:rFonts w:hint="eastAsia" w:ascii="Times New Roman"/>
          <w:snapToGrid w:val="0"/>
          <w:color w:val="auto"/>
          <w:kern w:val="0"/>
          <w:highlight w:val="none"/>
        </w:rPr>
        <w:t xml:space="preserve"> 错漏项的认定。中标人已标价工程量清单中，任一清单项目未填报价格或价格为零的，视为错漏项。</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4.2.4</w:t>
      </w:r>
      <w:r>
        <w:rPr>
          <w:rFonts w:hint="eastAsia" w:ascii="Times New Roman"/>
          <w:snapToGrid w:val="0"/>
          <w:color w:val="auto"/>
          <w:kern w:val="0"/>
          <w:highlight w:val="none"/>
        </w:rPr>
        <w:t xml:space="preserve"> 不平衡报价的认定。经修正算术性错误后的中标人已标价工程量清单中，</w:t>
      </w:r>
      <w:r>
        <w:rPr>
          <w:rFonts w:hint="eastAsia" w:ascii="Times New Roman"/>
          <w:snapToGrid w:val="0"/>
          <w:color w:val="auto"/>
          <w:kern w:val="0"/>
          <w:highlight w:val="none"/>
          <w:u w:val="single"/>
        </w:rPr>
        <w:t xml:space="preserve">  </w:t>
      </w:r>
      <w:r>
        <w:rPr>
          <w:rFonts w:hint="eastAsia" w:ascii="Times New Roman"/>
          <w:b/>
          <w:bCs/>
          <w:snapToGrid w:val="0"/>
          <w:color w:val="auto"/>
          <w:kern w:val="0"/>
          <w:highlight w:val="none"/>
          <w:u w:val="single"/>
        </w:rPr>
        <w:t>分部分项工程量清单项目的投标综合单价与招标控制价分部分项工程量清单项目的综合单价偏差≥20%</w:t>
      </w:r>
      <w:r>
        <w:rPr>
          <w:rFonts w:ascii="Times New Roman"/>
          <w:snapToGrid w:val="0"/>
          <w:color w:val="auto"/>
          <w:kern w:val="0"/>
          <w:highlight w:val="none"/>
          <w:u w:val="single"/>
        </w:rPr>
        <w:t xml:space="preserve"> </w:t>
      </w:r>
      <w:r>
        <w:rPr>
          <w:rFonts w:hint="eastAsia" w:ascii="Times New Roman"/>
          <w:snapToGrid w:val="0"/>
          <w:color w:val="auto"/>
          <w:kern w:val="0"/>
          <w:highlight w:val="none"/>
        </w:rPr>
        <w:t>的清单项目，视为不平衡报价项目。</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4.2.5</w:t>
      </w:r>
      <w:r>
        <w:rPr>
          <w:rFonts w:hint="eastAsia" w:ascii="Times New Roman"/>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4.2.6</w:t>
      </w: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合同履行过程中，被认定为错漏项的清单项目，结算时按照第三章“拟签订合同的主要条款”第2.6条规定处理。</w:t>
      </w:r>
    </w:p>
    <w:p>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 xml:space="preserve">4.3 </w:t>
      </w:r>
      <w:r>
        <w:rPr>
          <w:rFonts w:hint="eastAsia" w:ascii="Times New Roman"/>
          <w:snapToGrid w:val="0"/>
          <w:color w:val="auto"/>
          <w:kern w:val="0"/>
          <w:highlight w:val="none"/>
        </w:rPr>
        <w:t>本招标项目合同计价方式为：</w:t>
      </w:r>
      <w:r>
        <w:rPr>
          <w:rFonts w:hint="eastAsia" w:ascii="Times New Roman"/>
          <w:snapToGrid w:val="0"/>
          <w:color w:val="auto"/>
          <w:kern w:val="0"/>
          <w:highlight w:val="none"/>
          <w:u w:val="single"/>
        </w:rPr>
        <w:t xml:space="preserve"> 单价 </w:t>
      </w:r>
      <w:r>
        <w:rPr>
          <w:rFonts w:hint="eastAsia" w:ascii="Times New Roman"/>
          <w:snapToGrid w:val="0"/>
          <w:color w:val="auto"/>
          <w:kern w:val="0"/>
          <w:highlight w:val="none"/>
        </w:rPr>
        <w:t>合同。</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4.4</w:t>
      </w:r>
      <w:r>
        <w:rPr>
          <w:rFonts w:hint="eastAsia" w:ascii="Times New Roman"/>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4.5</w:t>
      </w:r>
      <w:r>
        <w:rPr>
          <w:rFonts w:hint="eastAsia" w:ascii="Times New Roman"/>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4.6</w:t>
      </w:r>
      <w:r>
        <w:rPr>
          <w:rFonts w:hint="eastAsia" w:ascii="Times New Roman"/>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pPr>
        <w:wordWrap w:val="0"/>
        <w:adjustRightInd w:val="0"/>
        <w:snapToGrid w:val="0"/>
        <w:spacing w:line="440" w:lineRule="exact"/>
        <w:ind w:firstLine="482" w:firstLineChars="200"/>
        <w:rPr>
          <w:rFonts w:hint="eastAsia" w:ascii="Times New Roman"/>
          <w:b/>
          <w:bCs/>
          <w:snapToGrid w:val="0"/>
          <w:color w:val="auto"/>
          <w:kern w:val="0"/>
          <w:highlight w:val="none"/>
        </w:rPr>
      </w:pP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5．放弃中标的处理</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5.1</w:t>
      </w:r>
      <w:r>
        <w:rPr>
          <w:rFonts w:hint="eastAsia" w:ascii="Times New Roman"/>
          <w:snapToGrid w:val="0"/>
          <w:color w:val="auto"/>
          <w:kern w:val="0"/>
          <w:highlight w:val="none"/>
        </w:rPr>
        <w:t xml:space="preserve"> 中标人</w:t>
      </w:r>
      <w:r>
        <w:rPr>
          <w:snapToGrid w:val="0"/>
          <w:color w:val="auto"/>
          <w:highlight w:val="none"/>
        </w:rPr>
        <w:t>无正当理由</w:t>
      </w:r>
      <w:r>
        <w:rPr>
          <w:rFonts w:hint="eastAsia"/>
          <w:snapToGrid w:val="0"/>
          <w:color w:val="auto"/>
          <w:highlight w:val="none"/>
        </w:rPr>
        <w:t>放弃中标的，</w:t>
      </w:r>
      <w:r>
        <w:rPr>
          <w:rFonts w:hint="eastAsia" w:ascii="Times New Roman"/>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auto"/>
          <w:kern w:val="0"/>
          <w:highlight w:val="none"/>
        </w:rPr>
        <w:t>因此种情况造成招标人重新招标的</w:t>
      </w:r>
      <w:r>
        <w:rPr>
          <w:rFonts w:hint="eastAsia" w:ascii="Times New Roman"/>
          <w:snapToGrid w:val="0"/>
          <w:color w:val="auto"/>
          <w:kern w:val="0"/>
          <w:highlight w:val="none"/>
        </w:rPr>
        <w:t>，招标人可不接受该弃标人再次投标。同时，招标人应将该弃标人的失信行为向行政监督部门报告。</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pPr>
        <w:wordWrap w:val="0"/>
        <w:adjustRightInd w:val="0"/>
        <w:snapToGrid w:val="0"/>
        <w:spacing w:line="440" w:lineRule="exact"/>
        <w:ind w:firstLine="482" w:firstLineChars="200"/>
        <w:rPr>
          <w:rFonts w:hint="eastAsia" w:ascii="Times New Roman"/>
          <w:b/>
          <w:bCs/>
          <w:snapToGrid w:val="0"/>
          <w:color w:val="auto"/>
          <w:kern w:val="0"/>
          <w:highlight w:val="none"/>
        </w:rPr>
      </w:pP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6．专业工程分包</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pPr>
        <w:wordWrap w:val="0"/>
        <w:adjustRightInd w:val="0"/>
        <w:snapToGrid w:val="0"/>
        <w:spacing w:line="440" w:lineRule="exact"/>
        <w:ind w:firstLine="480" w:firstLineChars="200"/>
        <w:rPr>
          <w:rFonts w:hint="eastAsia" w:ascii="Times New Roman"/>
          <w:snapToGrid w:val="0"/>
          <w:color w:val="auto"/>
          <w:kern w:val="0"/>
          <w:highlight w:val="none"/>
        </w:rPr>
      </w:pPr>
    </w:p>
    <w:p>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7．工人工资支付专用账户</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7.1</w:t>
      </w:r>
      <w:r>
        <w:rPr>
          <w:rFonts w:hint="eastAsia" w:ascii="Times New Roman"/>
          <w:snapToGrid w:val="0"/>
          <w:color w:val="auto"/>
          <w:kern w:val="0"/>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pPr>
        <w:pStyle w:val="2"/>
        <w:keepNext/>
        <w:keepLines/>
        <w:pageBreakBefore w:val="0"/>
        <w:widowControl w:val="0"/>
        <w:kinsoku/>
        <w:wordWrap/>
        <w:overflowPunct/>
        <w:topLinePunct w:val="0"/>
        <w:autoSpaceDE/>
        <w:autoSpaceDN/>
        <w:bidi w:val="0"/>
        <w:adjustRightInd/>
        <w:snapToGrid/>
        <w:spacing w:before="0" w:after="0" w:line="375" w:lineRule="auto"/>
        <w:ind w:firstLine="482"/>
        <w:textAlignment w:val="auto"/>
        <w:rPr>
          <w:rFonts w:hint="eastAsia" w:ascii="Times New Roman" w:hAnsi="Times New Roman"/>
          <w:snapToGrid w:val="0"/>
          <w:color w:val="auto"/>
          <w:kern w:val="0"/>
          <w:highlight w:val="none"/>
        </w:rPr>
      </w:pPr>
      <w:bookmarkStart w:id="142" w:name="_Toc16391"/>
      <w:bookmarkStart w:id="143" w:name="_Toc10614"/>
      <w:r>
        <w:rPr>
          <w:rFonts w:hint="eastAsia" w:ascii="Times New Roman" w:hAnsi="Times New Roman"/>
          <w:b/>
          <w:bCs/>
          <w:snapToGrid w:val="0"/>
          <w:color w:val="auto"/>
          <w:kern w:val="0"/>
          <w:highlight w:val="none"/>
        </w:rPr>
        <w:t>7.2</w:t>
      </w:r>
      <w:r>
        <w:rPr>
          <w:rFonts w:hint="eastAsia" w:ascii="Times New Roman" w:hAnsi="Times New Roman"/>
          <w:snapToGrid w:val="0"/>
          <w:color w:val="auto"/>
          <w:kern w:val="0"/>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142"/>
      <w:bookmarkEnd w:id="143"/>
    </w:p>
    <w:p>
      <w:pPr>
        <w:pStyle w:val="2"/>
        <w:keepNext/>
        <w:keepLines/>
        <w:pageBreakBefore w:val="0"/>
        <w:widowControl w:val="0"/>
        <w:kinsoku/>
        <w:wordWrap/>
        <w:overflowPunct/>
        <w:topLinePunct w:val="0"/>
        <w:autoSpaceDE/>
        <w:autoSpaceDN/>
        <w:bidi w:val="0"/>
        <w:adjustRightInd/>
        <w:snapToGrid/>
        <w:spacing w:before="0" w:after="0" w:line="375" w:lineRule="auto"/>
        <w:ind w:firstLine="482"/>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7.3</w:t>
      </w:r>
      <w:r>
        <w:rPr>
          <w:rFonts w:hint="eastAsia" w:ascii="Times New Roman"/>
          <w:snapToGrid w:val="0"/>
          <w:color w:val="auto"/>
          <w:kern w:val="0"/>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pPr>
        <w:pStyle w:val="2"/>
        <w:keepNext/>
        <w:keepLines/>
        <w:pageBreakBefore w:val="0"/>
        <w:widowControl w:val="0"/>
        <w:kinsoku/>
        <w:wordWrap/>
        <w:overflowPunct/>
        <w:topLinePunct w:val="0"/>
        <w:autoSpaceDE/>
        <w:autoSpaceDN/>
        <w:bidi w:val="0"/>
        <w:adjustRightInd/>
        <w:snapToGrid/>
        <w:spacing w:before="0" w:after="0" w:line="375" w:lineRule="auto"/>
        <w:ind w:firstLine="482"/>
        <w:textAlignment w:val="auto"/>
        <w:rPr>
          <w:rFonts w:hint="eastAsia" w:ascii="Times New Roman"/>
          <w:b/>
          <w:bCs/>
          <w:snapToGrid w:val="0"/>
          <w:kern w:val="0"/>
          <w:highlight w:val="none"/>
        </w:rPr>
      </w:pPr>
      <w:r>
        <w:rPr>
          <w:rFonts w:hint="eastAsia" w:ascii="宋体" w:hAnsi="宋体" w:eastAsia="宋体" w:cs="宋体"/>
          <w:b w:val="0"/>
          <w:bCs w:val="0"/>
          <w:snapToGrid w:val="0"/>
          <w:color w:val="auto"/>
          <w:kern w:val="0"/>
          <w:highlight w:val="none"/>
        </w:rPr>
        <w:t>7.4</w:t>
      </w:r>
      <w:r>
        <w:rPr>
          <w:rFonts w:hint="eastAsia" w:ascii="宋体" w:hAnsi="宋体" w:eastAsia="宋体" w:cs="宋体"/>
          <w:b w:val="0"/>
          <w:bCs w:val="0"/>
          <w:snapToGrid w:val="0"/>
          <w:color w:val="auto"/>
          <w:kern w:val="0"/>
          <w:sz w:val="24"/>
          <w:szCs w:val="20"/>
          <w:highlight w:val="none"/>
          <w:lang w:val="en-US" w:eastAsia="zh-CN" w:bidi="ar-SA"/>
        </w:rPr>
        <w:t>农民工工资分账制：</w:t>
      </w:r>
      <w:r>
        <w:rPr>
          <w:rFonts w:hint="eastAsia" w:ascii="宋体" w:hAnsi="宋体" w:eastAsia="宋体" w:cs="宋体"/>
          <w:b w:val="0"/>
          <w:bCs w:val="0"/>
          <w:color w:val="auto"/>
          <w:szCs w:val="21"/>
          <w:highlight w:val="none"/>
          <w:lang w:val="zh-CN"/>
        </w:rPr>
        <w:t>依据2021年7月7日人力资源社会保障部等十部门关于印发《工程建设领域农民工工资专用账户管理暂行办法》的通知（人社部发〔2021〕53号），总包单位应当在工程施工合同签订之日起30日内开立专用账户，并与建设单位、开户银行签订资金管理三方协议。专用账户名称为总包单位名称加工程建设项目名称后加“农民工工资专用账户”。总包单位应当在专用账户开立后的30日内报项目所在地专用账户监管部门备案。若未按该办法执行，将上报省市</w:t>
      </w:r>
      <w:r>
        <w:rPr>
          <w:rFonts w:hint="eastAsia" w:ascii="宋体" w:hAnsi="宋体" w:cs="宋体"/>
          <w:b w:val="0"/>
          <w:bCs w:val="0"/>
          <w:color w:val="auto"/>
          <w:szCs w:val="21"/>
          <w:highlight w:val="none"/>
          <w:lang w:val="en-US" w:eastAsia="zh-CN"/>
        </w:rPr>
        <w:t>建设</w:t>
      </w:r>
      <w:r>
        <w:rPr>
          <w:rFonts w:hint="eastAsia" w:ascii="宋体" w:hAnsi="宋体" w:eastAsia="宋体" w:cs="宋体"/>
          <w:b w:val="0"/>
          <w:bCs w:val="0"/>
          <w:color w:val="auto"/>
          <w:szCs w:val="21"/>
          <w:highlight w:val="none"/>
          <w:lang w:val="zh-CN"/>
        </w:rPr>
        <w:t>行政主管部门将此行为列入不良信用记录</w:t>
      </w:r>
      <w:r>
        <w:rPr>
          <w:rFonts w:hint="eastAsia" w:ascii="宋体" w:hAnsi="宋体" w:eastAsia="宋体" w:cs="宋体"/>
          <w:b w:val="0"/>
          <w:bCs w:val="0"/>
          <w:color w:val="auto"/>
          <w:spacing w:val="2"/>
          <w:kern w:val="0"/>
          <w:szCs w:val="21"/>
          <w:highlight w:val="none"/>
        </w:rPr>
        <w:t>。</w:t>
      </w:r>
      <w:r>
        <w:rPr>
          <w:rFonts w:hint="eastAsia" w:ascii="宋体" w:hAnsi="宋体" w:eastAsia="宋体" w:cs="宋体"/>
          <w:b w:val="0"/>
          <w:bCs w:val="0"/>
          <w:color w:val="auto"/>
          <w:spacing w:val="2"/>
          <w:kern w:val="0"/>
          <w:szCs w:val="21"/>
          <w:highlight w:val="none"/>
          <w:lang w:val="zh-CN"/>
        </w:rPr>
        <w:t>根据工程人工工资所占比例，于每次拨付工程进度款时，按工程进度款的</w:t>
      </w:r>
      <w:r>
        <w:rPr>
          <w:rFonts w:hint="eastAsia" w:ascii="宋体" w:hAnsi="宋体" w:cs="宋体"/>
          <w:b w:val="0"/>
          <w:bCs w:val="0"/>
          <w:color w:val="auto"/>
          <w:spacing w:val="2"/>
          <w:kern w:val="0"/>
          <w:szCs w:val="21"/>
          <w:highlight w:val="none"/>
          <w:lang w:val="en-US" w:eastAsia="zh-CN"/>
        </w:rPr>
        <w:t>25</w:t>
      </w:r>
      <w:r>
        <w:rPr>
          <w:rFonts w:hint="eastAsia" w:ascii="宋体" w:hAnsi="宋体" w:eastAsia="宋体" w:cs="宋体"/>
          <w:b w:val="0"/>
          <w:bCs w:val="0"/>
          <w:color w:val="auto"/>
          <w:spacing w:val="2"/>
          <w:kern w:val="0"/>
          <w:szCs w:val="21"/>
          <w:highlight w:val="none"/>
          <w:lang w:val="en-US" w:eastAsia="zh-CN"/>
        </w:rPr>
        <w:t>%</w:t>
      </w:r>
      <w:r>
        <w:rPr>
          <w:rFonts w:hint="eastAsia" w:ascii="宋体" w:hAnsi="宋体" w:eastAsia="宋体" w:cs="宋体"/>
          <w:b w:val="0"/>
          <w:bCs w:val="0"/>
          <w:color w:val="auto"/>
          <w:spacing w:val="2"/>
          <w:kern w:val="0"/>
          <w:szCs w:val="21"/>
          <w:highlight w:val="none"/>
          <w:lang w:val="zh-CN"/>
        </w:rPr>
        <w:t>资金</w:t>
      </w:r>
      <w:r>
        <w:rPr>
          <w:rFonts w:hint="eastAsia" w:ascii="宋体" w:hAnsi="宋体" w:eastAsia="宋体" w:cs="宋体"/>
          <w:b w:val="0"/>
          <w:bCs w:val="0"/>
          <w:color w:val="auto"/>
          <w:highlight w:val="none"/>
          <w:shd w:val="clear" w:color="auto" w:fill="FFFFFF"/>
        </w:rPr>
        <w:t>（且不低于当月应发工人工资的金额）</w:t>
      </w:r>
      <w:r>
        <w:rPr>
          <w:rFonts w:hint="eastAsia" w:ascii="宋体" w:hAnsi="宋体" w:eastAsia="宋体" w:cs="宋体"/>
          <w:b w:val="0"/>
          <w:bCs w:val="0"/>
          <w:color w:val="auto"/>
          <w:spacing w:val="2"/>
          <w:kern w:val="0"/>
          <w:szCs w:val="21"/>
          <w:highlight w:val="none"/>
          <w:lang w:val="en-US" w:eastAsia="zh-CN"/>
        </w:rPr>
        <w:t>由中标人直接</w:t>
      </w:r>
      <w:r>
        <w:rPr>
          <w:rFonts w:hint="eastAsia" w:ascii="宋体" w:hAnsi="宋体" w:eastAsia="宋体" w:cs="宋体"/>
          <w:b w:val="0"/>
          <w:bCs w:val="0"/>
          <w:color w:val="auto"/>
          <w:spacing w:val="2"/>
          <w:kern w:val="0"/>
          <w:szCs w:val="21"/>
          <w:highlight w:val="none"/>
          <w:lang w:val="zh-CN"/>
        </w:rPr>
        <w:t>转存到中标单位开设的工人工资专用账户上，确保足额支付工人工资。</w:t>
      </w:r>
      <w:bookmarkStart w:id="144" w:name="_Toc13019"/>
    </w:p>
    <w:p>
      <w:pPr>
        <w:wordWrap w:val="0"/>
        <w:adjustRightInd w:val="0"/>
        <w:snapToGrid w:val="0"/>
        <w:spacing w:line="440" w:lineRule="exact"/>
        <w:ind w:firstLine="482" w:firstLineChars="200"/>
        <w:outlineLvl w:val="2"/>
        <w:rPr>
          <w:rFonts w:hint="eastAsia" w:ascii="Times New Roman"/>
          <w:snapToGrid w:val="0"/>
          <w:kern w:val="0"/>
          <w:highlight w:val="none"/>
        </w:rPr>
      </w:pPr>
      <w:r>
        <w:rPr>
          <w:rFonts w:hint="eastAsia" w:ascii="Times New Roman"/>
          <w:b/>
          <w:bCs/>
          <w:snapToGrid w:val="0"/>
          <w:kern w:val="0"/>
          <w:highlight w:val="none"/>
        </w:rPr>
        <w:t>8．诚信登记</w:t>
      </w:r>
      <w:bookmarkEnd w:id="144"/>
    </w:p>
    <w:p>
      <w:pPr>
        <w:wordWrap w:val="0"/>
        <w:adjustRightInd w:val="0"/>
        <w:snapToGrid w:val="0"/>
        <w:spacing w:line="440" w:lineRule="exact"/>
        <w:ind w:firstLine="480" w:firstLineChars="200"/>
        <w:outlineLvl w:val="9"/>
        <w:rPr>
          <w:rFonts w:hint="eastAsia" w:ascii="Times New Roman"/>
          <w:snapToGrid w:val="0"/>
          <w:kern w:val="0"/>
          <w:highlight w:val="none"/>
        </w:rPr>
      </w:pPr>
      <w:r>
        <w:rPr>
          <w:rFonts w:hint="eastAsia" w:ascii="Times New Roman"/>
          <w:snapToGrid w:val="0"/>
          <w:kern w:val="0"/>
          <w:highlight w:val="none"/>
        </w:rPr>
        <w:t>承包人在签订合同30日内，须按《韶关市住建管理局关于加强我市建筑行业企业及注册执业人员诚信管理的通知》（韶市建字〔2018）56号）的要求办理诚信登记，纳入诚信管理范围。</w:t>
      </w:r>
    </w:p>
    <w:p>
      <w:pPr>
        <w:wordWrap w:val="0"/>
        <w:adjustRightInd w:val="0"/>
        <w:snapToGrid w:val="0"/>
        <w:spacing w:line="440" w:lineRule="exact"/>
        <w:ind w:firstLine="482" w:firstLineChars="200"/>
        <w:rPr>
          <w:rFonts w:hint="eastAsia" w:ascii="Times New Roman"/>
          <w:b/>
          <w:bCs/>
          <w:snapToGrid w:val="0"/>
          <w:color w:val="auto"/>
          <w:kern w:val="0"/>
          <w:highlight w:val="none"/>
        </w:rPr>
      </w:pPr>
    </w:p>
    <w:p>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9．工期进度</w:t>
      </w:r>
    </w:p>
    <w:p>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w:t>
      </w:r>
      <w:r>
        <w:rPr>
          <w:rFonts w:ascii="Times New Roman"/>
          <w:b/>
          <w:bCs/>
          <w:snapToGrid w:val="0"/>
          <w:color w:val="auto"/>
          <w:kern w:val="0"/>
          <w:highlight w:val="none"/>
        </w:rPr>
        <w:t>.1</w:t>
      </w:r>
      <w:r>
        <w:rPr>
          <w:rFonts w:ascii="Times New Roman"/>
          <w:snapToGrid w:val="0"/>
          <w:color w:val="auto"/>
          <w:kern w:val="0"/>
          <w:highlight w:val="none"/>
        </w:rPr>
        <w:t xml:space="preserve"> </w:t>
      </w:r>
      <w:r>
        <w:rPr>
          <w:rFonts w:hint="eastAsia" w:ascii="Times New Roman"/>
          <w:snapToGrid w:val="0"/>
          <w:color w:val="auto"/>
          <w:kern w:val="0"/>
          <w:highlight w:val="none"/>
        </w:rPr>
        <w:t>本招标项目施工标准工期为</w:t>
      </w:r>
      <w:r>
        <w:rPr>
          <w:rFonts w:hint="eastAsia" w:ascii="Times New Roman"/>
          <w:snapToGrid w:val="0"/>
          <w:color w:val="auto"/>
          <w:kern w:val="0"/>
          <w:highlight w:val="none"/>
          <w:u w:val="single"/>
          <w:lang w:val="en-US" w:eastAsia="zh-CN"/>
        </w:rPr>
        <w:t>259</w:t>
      </w:r>
      <w:r>
        <w:rPr>
          <w:rFonts w:hint="eastAsia" w:ascii="Times New Roman"/>
          <w:snapToGrid w:val="0"/>
          <w:color w:val="auto"/>
          <w:kern w:val="0"/>
          <w:highlight w:val="none"/>
        </w:rPr>
        <w:t>个日历天，招标工期为</w:t>
      </w:r>
      <w:r>
        <w:rPr>
          <w:rFonts w:hint="eastAsia" w:ascii="Times New Roman"/>
          <w:snapToGrid w:val="0"/>
          <w:color w:val="auto"/>
          <w:kern w:val="0"/>
          <w:highlight w:val="none"/>
          <w:u w:val="single"/>
          <w:lang w:val="en-US" w:eastAsia="zh-CN"/>
        </w:rPr>
        <w:t>259</w:t>
      </w:r>
      <w:r>
        <w:rPr>
          <w:rFonts w:hint="eastAsia" w:ascii="Times New Roman"/>
          <w:snapToGrid w:val="0"/>
          <w:color w:val="auto"/>
          <w:kern w:val="0"/>
          <w:highlight w:val="none"/>
        </w:rPr>
        <w:t>个日历天，承包人必须在招标工期内完成招标范围内的全部内容。</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w:t>
      </w:r>
      <w:r>
        <w:rPr>
          <w:rFonts w:ascii="Times New Roman"/>
          <w:b/>
          <w:bCs/>
          <w:snapToGrid w:val="0"/>
          <w:color w:val="auto"/>
          <w:kern w:val="0"/>
          <w:highlight w:val="none"/>
        </w:rPr>
        <w:t>.2</w:t>
      </w:r>
      <w:r>
        <w:rPr>
          <w:rFonts w:ascii="Times New Roman"/>
          <w:snapToGrid w:val="0"/>
          <w:color w:val="auto"/>
          <w:kern w:val="0"/>
          <w:highlight w:val="none"/>
        </w:rPr>
        <w:t xml:space="preserve"> 施工工期从</w:t>
      </w:r>
      <w:r>
        <w:rPr>
          <w:rFonts w:hint="eastAsia" w:ascii="Times New Roman"/>
          <w:snapToGrid w:val="0"/>
          <w:color w:val="auto"/>
          <w:kern w:val="0"/>
          <w:highlight w:val="none"/>
        </w:rPr>
        <w:t>承包人</w:t>
      </w:r>
      <w:r>
        <w:rPr>
          <w:rFonts w:ascii="Times New Roman"/>
          <w:snapToGrid w:val="0"/>
          <w:color w:val="auto"/>
          <w:kern w:val="0"/>
          <w:highlight w:val="none"/>
        </w:rPr>
        <w:t>收到监理单位签发的开工令之日起计，至竣工验收合格之日止。</w:t>
      </w:r>
    </w:p>
    <w:p>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w:t>
      </w:r>
      <w:r>
        <w:rPr>
          <w:rFonts w:ascii="Times New Roman"/>
          <w:b/>
          <w:bCs/>
          <w:snapToGrid w:val="0"/>
          <w:color w:val="auto"/>
          <w:kern w:val="0"/>
          <w:highlight w:val="none"/>
        </w:rPr>
        <w:t>.3</w:t>
      </w:r>
      <w:r>
        <w:rPr>
          <w:rFonts w:ascii="Times New Roman"/>
          <w:snapToGrid w:val="0"/>
          <w:color w:val="auto"/>
          <w:kern w:val="0"/>
          <w:highlight w:val="none"/>
        </w:rPr>
        <w:t xml:space="preserve"> 由于</w:t>
      </w:r>
      <w:r>
        <w:rPr>
          <w:rFonts w:hint="eastAsia" w:ascii="Times New Roman"/>
          <w:snapToGrid w:val="0"/>
          <w:color w:val="auto"/>
          <w:kern w:val="0"/>
          <w:highlight w:val="none"/>
        </w:rPr>
        <w:t>承包</w:t>
      </w:r>
      <w:r>
        <w:rPr>
          <w:rFonts w:ascii="Times New Roman"/>
          <w:snapToGrid w:val="0"/>
          <w:color w:val="auto"/>
          <w:kern w:val="0"/>
          <w:highlight w:val="none"/>
        </w:rPr>
        <w:t>人原因造成</w:t>
      </w:r>
      <w:r>
        <w:rPr>
          <w:rFonts w:hint="eastAsia" w:ascii="Times New Roman"/>
          <w:snapToGrid w:val="0"/>
          <w:color w:val="auto"/>
          <w:kern w:val="0"/>
          <w:highlight w:val="none"/>
        </w:rPr>
        <w:t>工期延误的</w:t>
      </w:r>
      <w:r>
        <w:rPr>
          <w:rFonts w:ascii="Times New Roman"/>
          <w:snapToGrid w:val="0"/>
          <w:color w:val="auto"/>
          <w:kern w:val="0"/>
          <w:highlight w:val="none"/>
        </w:rPr>
        <w:t>，</w:t>
      </w:r>
      <w:r>
        <w:rPr>
          <w:rFonts w:hint="eastAsia" w:ascii="Times New Roman"/>
          <w:snapToGrid w:val="0"/>
          <w:color w:val="auto"/>
          <w:kern w:val="0"/>
          <w:highlight w:val="none"/>
        </w:rPr>
        <w:t>承包人</w:t>
      </w:r>
      <w:r>
        <w:rPr>
          <w:rFonts w:ascii="Times New Roman"/>
          <w:snapToGrid w:val="0"/>
          <w:color w:val="auto"/>
          <w:kern w:val="0"/>
          <w:highlight w:val="none"/>
        </w:rPr>
        <w:t>须在逾期第壹天起每天按合同价的</w:t>
      </w:r>
      <w:r>
        <w:rPr>
          <w:rFonts w:ascii="Times New Roman"/>
          <w:snapToGrid w:val="0"/>
          <w:color w:val="auto"/>
          <w:kern w:val="0"/>
          <w:highlight w:val="none"/>
          <w:u w:val="single"/>
        </w:rPr>
        <w:t xml:space="preserve">  </w:t>
      </w:r>
      <w:r>
        <w:rPr>
          <w:rFonts w:hAnsi="宋体" w:cs="宋体"/>
          <w:snapToGrid w:val="0"/>
          <w:color w:val="auto"/>
          <w:kern w:val="0"/>
          <w:highlight w:val="none"/>
          <w:u w:val="single"/>
        </w:rPr>
        <w:t>1</w:t>
      </w:r>
      <w:r>
        <w:rPr>
          <w:rFonts w:hint="default" w:ascii="Arial" w:hAnsi="Arial" w:cs="Arial"/>
          <w:snapToGrid w:val="0"/>
          <w:color w:val="auto"/>
          <w:kern w:val="0"/>
          <w:highlight w:val="none"/>
          <w:u w:val="single"/>
        </w:rPr>
        <w:t>‰</w:t>
      </w:r>
      <w:r>
        <w:rPr>
          <w:rFonts w:ascii="Times New Roman"/>
          <w:snapToGrid w:val="0"/>
          <w:color w:val="auto"/>
          <w:kern w:val="0"/>
          <w:highlight w:val="none"/>
          <w:u w:val="single"/>
        </w:rPr>
        <w:t xml:space="preserve"> </w:t>
      </w:r>
      <w:r>
        <w:rPr>
          <w:rFonts w:ascii="Times New Roman"/>
          <w:snapToGrid w:val="0"/>
          <w:color w:val="auto"/>
          <w:kern w:val="0"/>
          <w:highlight w:val="none"/>
        </w:rPr>
        <w:t>向招标人返纳逾期竣工违约金。</w:t>
      </w:r>
      <w:r>
        <w:rPr>
          <w:rFonts w:hAnsi="宋体" w:cs="宋体"/>
          <w:snapToGrid w:val="0"/>
          <w:color w:val="auto"/>
          <w:kern w:val="0"/>
          <w:highlight w:val="none"/>
        </w:rPr>
        <w:t>逾期竣工违约金的最高限额为合同价款的</w:t>
      </w:r>
      <w:r>
        <w:rPr>
          <w:rFonts w:hint="eastAsia" w:hAnsi="宋体" w:cs="宋体"/>
          <w:snapToGrid w:val="0"/>
          <w:color w:val="auto"/>
          <w:kern w:val="0"/>
          <w:highlight w:val="none"/>
          <w:u w:val="single"/>
          <w:lang w:val="en-US" w:eastAsia="zh-CN"/>
        </w:rPr>
        <w:t>5</w:t>
      </w:r>
      <w:r>
        <w:rPr>
          <w:rFonts w:hAnsi="宋体" w:cs="宋体"/>
          <w:snapToGrid w:val="0"/>
          <w:color w:val="auto"/>
          <w:kern w:val="0"/>
          <w:highlight w:val="none"/>
          <w:u w:val="single"/>
        </w:rPr>
        <w:t>%</w:t>
      </w:r>
      <w:r>
        <w:rPr>
          <w:rFonts w:hAnsi="宋体" w:cs="宋体"/>
          <w:iCs/>
          <w:snapToGrid w:val="0"/>
          <w:color w:val="auto"/>
          <w:kern w:val="0"/>
          <w:highlight w:val="none"/>
        </w:rPr>
        <w:t>。</w:t>
      </w:r>
    </w:p>
    <w:p>
      <w:pPr>
        <w:wordWrap w:val="0"/>
        <w:adjustRightInd w:val="0"/>
        <w:snapToGrid w:val="0"/>
        <w:spacing w:line="440" w:lineRule="exact"/>
        <w:ind w:firstLine="560"/>
        <w:rPr>
          <w:rFonts w:hint="eastAsia" w:ascii="Times New Roman"/>
          <w:snapToGrid w:val="0"/>
          <w:color w:val="auto"/>
          <w:kern w:val="0"/>
          <w:highlight w:val="none"/>
        </w:rPr>
      </w:pP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10．项目管理机构</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10.1</w:t>
      </w:r>
      <w:r>
        <w:rPr>
          <w:rFonts w:hint="eastAsia" w:ascii="Times New Roman"/>
          <w:snapToGrid w:val="0"/>
          <w:color w:val="auto"/>
          <w:kern w:val="0"/>
          <w:highlight w:val="none"/>
        </w:rPr>
        <w:t xml:space="preserve"> 承包人派驻的项目管理班子成员必须为其投标文件确定的人员，否则发包人有权终止合同。</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10.2</w:t>
      </w:r>
      <w:r>
        <w:rPr>
          <w:rFonts w:hint="eastAsia" w:ascii="Times New Roman"/>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pPr>
        <w:wordWrap w:val="0"/>
        <w:adjustRightInd w:val="0"/>
        <w:snapToGrid w:val="0"/>
        <w:ind w:firstLine="482" w:firstLineChars="200"/>
        <w:rPr>
          <w:rFonts w:hint="eastAsia" w:ascii="Times New Roman"/>
          <w:b/>
          <w:snapToGrid w:val="0"/>
          <w:color w:val="auto"/>
          <w:kern w:val="0"/>
          <w:highlight w:val="none"/>
        </w:rPr>
      </w:pPr>
      <w:r>
        <w:rPr>
          <w:rFonts w:hAnsi="宋体" w:cs="宋体"/>
          <w:b/>
          <w:bCs/>
          <w:snapToGrid w:val="0"/>
          <w:color w:val="auto"/>
          <w:kern w:val="0"/>
          <w:highlight w:val="none"/>
        </w:rPr>
        <w:t>10.3根据项目实施进度情况，发包人有权要求承包人增派项目管理人员，以满足项目的现场管理工作要求。</w:t>
      </w:r>
    </w:p>
    <w:p>
      <w:pPr>
        <w:wordWrap w:val="0"/>
        <w:adjustRightInd w:val="0"/>
        <w:snapToGrid w:val="0"/>
        <w:spacing w:line="440" w:lineRule="exact"/>
        <w:ind w:firstLine="482" w:firstLineChars="200"/>
        <w:rPr>
          <w:rFonts w:hint="eastAsia" w:ascii="Times New Roman"/>
          <w:strike/>
          <w:snapToGrid w:val="0"/>
          <w:color w:val="auto"/>
          <w:kern w:val="0"/>
          <w:highlight w:val="none"/>
        </w:rPr>
      </w:pPr>
      <w:r>
        <w:rPr>
          <w:rFonts w:hint="eastAsia" w:ascii="Times New Roman"/>
          <w:b/>
          <w:snapToGrid w:val="0"/>
          <w:color w:val="auto"/>
          <w:kern w:val="0"/>
          <w:highlight w:val="none"/>
        </w:rPr>
        <w:t>11．现场管理</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11.1</w:t>
      </w:r>
      <w:r>
        <w:rPr>
          <w:rFonts w:hint="eastAsia" w:ascii="Times New Roman"/>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11.2</w:t>
      </w:r>
      <w:r>
        <w:rPr>
          <w:rFonts w:hint="eastAsia" w:ascii="Times New Roman"/>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bCs/>
          <w:snapToGrid w:val="0"/>
          <w:color w:val="auto"/>
          <w:kern w:val="0"/>
          <w:highlight w:val="none"/>
        </w:rPr>
        <w:t>11.3</w:t>
      </w:r>
      <w:r>
        <w:rPr>
          <w:rFonts w:hint="eastAsia" w:ascii="Times New Roman"/>
          <w:snapToGrid w:val="0"/>
          <w:color w:val="auto"/>
          <w:kern w:val="0"/>
          <w:highlight w:val="none"/>
        </w:rPr>
        <w:t xml:space="preserve"> 为保证施工现场的环境卫生，承包人在本招标项目施工过程中，所有的车辆必须按发包人规定的行车路线行驶。</w:t>
      </w:r>
    </w:p>
    <w:p>
      <w:pPr>
        <w:wordWrap w:val="0"/>
        <w:adjustRightInd w:val="0"/>
        <w:snapToGrid w:val="0"/>
        <w:spacing w:line="440" w:lineRule="exact"/>
        <w:ind w:firstLine="482" w:firstLineChars="200"/>
        <w:rPr>
          <w:rFonts w:hint="eastAsia" w:ascii="Times New Roman"/>
          <w:b/>
          <w:snapToGrid w:val="0"/>
          <w:color w:val="auto"/>
          <w:kern w:val="0"/>
          <w:highlight w:val="none"/>
        </w:rPr>
      </w:pPr>
    </w:p>
    <w:p>
      <w:pPr>
        <w:wordWrap w:val="0"/>
        <w:adjustRightInd w:val="0"/>
        <w:snapToGrid w:val="0"/>
        <w:spacing w:line="440" w:lineRule="exact"/>
        <w:ind w:firstLine="482" w:firstLineChars="200"/>
        <w:rPr>
          <w:rFonts w:hint="eastAsia" w:ascii="Times New Roman"/>
          <w:strike/>
          <w:snapToGrid w:val="0"/>
          <w:color w:val="auto"/>
          <w:kern w:val="0"/>
          <w:highlight w:val="none"/>
        </w:rPr>
      </w:pPr>
      <w:r>
        <w:rPr>
          <w:rFonts w:hint="eastAsia" w:ascii="Times New Roman"/>
          <w:b/>
          <w:snapToGrid w:val="0"/>
          <w:color w:val="auto"/>
          <w:kern w:val="0"/>
          <w:highlight w:val="none"/>
        </w:rPr>
        <w:t>12．监督实施</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pPr>
        <w:wordWrap w:val="0"/>
        <w:adjustRightInd w:val="0"/>
        <w:snapToGrid w:val="0"/>
        <w:spacing w:line="440" w:lineRule="exact"/>
        <w:ind w:firstLine="560"/>
        <w:rPr>
          <w:rFonts w:hint="eastAsia" w:ascii="Times New Roman"/>
          <w:snapToGrid w:val="0"/>
          <w:color w:val="auto"/>
          <w:kern w:val="0"/>
          <w:highlight w:val="none"/>
        </w:rPr>
      </w:pPr>
    </w:p>
    <w:p>
      <w:pPr>
        <w:wordWrap w:val="0"/>
        <w:adjustRightInd w:val="0"/>
        <w:snapToGrid w:val="0"/>
        <w:spacing w:line="440" w:lineRule="exact"/>
        <w:ind w:firstLine="560"/>
        <w:rPr>
          <w:rFonts w:hint="eastAsia" w:ascii="Times New Roman"/>
          <w:b/>
          <w:snapToGrid w:val="0"/>
          <w:color w:val="auto"/>
          <w:kern w:val="0"/>
          <w:highlight w:val="none"/>
        </w:rPr>
      </w:pPr>
      <w:r>
        <w:rPr>
          <w:rFonts w:hint="eastAsia" w:ascii="Times New Roman"/>
          <w:b/>
          <w:snapToGrid w:val="0"/>
          <w:color w:val="auto"/>
          <w:kern w:val="0"/>
          <w:highlight w:val="none"/>
        </w:rPr>
        <w:t>13．主材的采购和使用</w:t>
      </w: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pPr>
        <w:wordWrap w:val="0"/>
        <w:adjustRightInd w:val="0"/>
        <w:snapToGrid w:val="0"/>
        <w:spacing w:line="440" w:lineRule="exact"/>
        <w:ind w:firstLine="560"/>
        <w:rPr>
          <w:rFonts w:hint="eastAsia" w:ascii="Times New Roman"/>
          <w:bCs/>
          <w:snapToGrid w:val="0"/>
          <w:color w:val="auto"/>
          <w:kern w:val="0"/>
          <w:highlight w:val="none"/>
        </w:rPr>
      </w:pP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snapToGrid w:val="0"/>
          <w:color w:val="auto"/>
          <w:kern w:val="0"/>
          <w:highlight w:val="none"/>
        </w:rPr>
        <w:t>14．竣工资料移交</w:t>
      </w: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项目竣工验收时，</w:t>
      </w:r>
      <w:r>
        <w:rPr>
          <w:rFonts w:hint="eastAsia" w:ascii="Times New Roman"/>
          <w:snapToGrid w:val="0"/>
          <w:color w:val="auto"/>
          <w:kern w:val="0"/>
          <w:highlight w:val="none"/>
        </w:rPr>
        <w:t>承包</w:t>
      </w:r>
      <w:r>
        <w:rPr>
          <w:rFonts w:hint="eastAsia" w:ascii="Times New Roman"/>
          <w:bCs/>
          <w:snapToGrid w:val="0"/>
          <w:color w:val="auto"/>
          <w:kern w:val="0"/>
          <w:highlight w:val="none"/>
        </w:rPr>
        <w:t>人应向监理单位和</w:t>
      </w:r>
      <w:r>
        <w:rPr>
          <w:rFonts w:hint="eastAsia" w:ascii="Times New Roman"/>
          <w:snapToGrid w:val="0"/>
          <w:color w:val="auto"/>
          <w:kern w:val="0"/>
          <w:highlight w:val="none"/>
        </w:rPr>
        <w:t>发包</w:t>
      </w:r>
      <w:r>
        <w:rPr>
          <w:rFonts w:hint="eastAsia" w:ascii="Times New Roman"/>
          <w:bCs/>
          <w:snapToGrid w:val="0"/>
          <w:color w:val="auto"/>
          <w:kern w:val="0"/>
          <w:highlight w:val="none"/>
        </w:rPr>
        <w:t>人提供符合国家档案部门备案要求的，编制成册的竣工图及有关的技术档案资料（含声像档案）一式</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u w:val="single"/>
          <w:lang w:val="en-US" w:eastAsia="zh-CN"/>
        </w:rPr>
        <w:t>八</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rPr>
        <w:t>份。</w:t>
      </w:r>
    </w:p>
    <w:p>
      <w:pPr>
        <w:wordWrap w:val="0"/>
        <w:adjustRightInd w:val="0"/>
        <w:snapToGrid w:val="0"/>
        <w:spacing w:line="440" w:lineRule="exact"/>
        <w:ind w:firstLine="560"/>
        <w:rPr>
          <w:rFonts w:hint="eastAsia" w:ascii="Times New Roman"/>
          <w:bCs/>
          <w:snapToGrid w:val="0"/>
          <w:color w:val="auto"/>
          <w:kern w:val="0"/>
          <w:highlight w:val="none"/>
        </w:rPr>
      </w:pP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snapToGrid w:val="0"/>
          <w:color w:val="auto"/>
          <w:kern w:val="0"/>
          <w:highlight w:val="none"/>
        </w:rPr>
        <w:t>15．质量保证</w:t>
      </w: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15.1</w:t>
      </w:r>
      <w:r>
        <w:rPr>
          <w:rFonts w:hint="eastAsia" w:ascii="Times New Roman"/>
          <w:bCs/>
          <w:snapToGrid w:val="0"/>
          <w:color w:val="auto"/>
          <w:kern w:val="0"/>
          <w:highlight w:val="none"/>
        </w:rPr>
        <w:t xml:space="preserve"> 本招标项目缺陷责任期为</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u w:val="single"/>
          <w:lang w:val="en-US" w:eastAsia="zh-CN"/>
        </w:rPr>
        <w:t>1</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rPr>
        <w:t>年（自通过竣工验收之日起计），在此期间预留金额为结算价</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u w:val="single"/>
          <w:lang w:val="en-US" w:eastAsia="zh-CN"/>
        </w:rPr>
        <w:t>3</w:t>
      </w:r>
      <w:r>
        <w:rPr>
          <w:rFonts w:hint="eastAsia" w:ascii="Times New Roman"/>
          <w:bCs/>
          <w:snapToGrid w:val="0"/>
          <w:color w:val="auto"/>
          <w:kern w:val="0"/>
          <w:highlight w:val="none"/>
          <w:u w:val="single"/>
        </w:rPr>
        <w:t xml:space="preserve">  % </w:t>
      </w:r>
      <w:r>
        <w:rPr>
          <w:rFonts w:hint="eastAsia" w:ascii="Times New Roman"/>
          <w:bCs/>
          <w:snapToGrid w:val="0"/>
          <w:color w:val="auto"/>
          <w:kern w:val="0"/>
          <w:highlight w:val="none"/>
        </w:rPr>
        <w:t>的质量保证。</w:t>
      </w: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15.2</w:t>
      </w:r>
      <w:r>
        <w:rPr>
          <w:rFonts w:hint="eastAsia" w:ascii="Times New Roman"/>
          <w:bCs/>
          <w:snapToGrid w:val="0"/>
          <w:color w:val="auto"/>
          <w:kern w:val="0"/>
          <w:highlight w:val="none"/>
        </w:rPr>
        <w:t xml:space="preserve"> 质量保证的形式包括质量保证金、质量保证担保、质量保证保险三种，由承包人自主选择。</w:t>
      </w: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（1）采用质量保证金形式的，在结清审定总造价时一次性扣留相应金额作为质量保证金。</w:t>
      </w: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hAnsi="Times New Roman" w:cs="Times New Roman"/>
          <w:b w:val="0"/>
          <w:bCs/>
          <w:caps w:val="0"/>
          <w:smallCaps w:val="0"/>
          <w:snapToGrid w:val="0"/>
          <w:color w:val="auto"/>
          <w:spacing w:val="0"/>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Times New Roman"/>
          <w:bCs/>
          <w:snapToGrid w:val="0"/>
          <w:color w:val="auto"/>
          <w:kern w:val="0"/>
          <w:highlight w:val="none"/>
        </w:rPr>
        <w:t>。</w:t>
      </w:r>
    </w:p>
    <w:p>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15.3</w:t>
      </w:r>
      <w:r>
        <w:rPr>
          <w:rFonts w:hint="eastAsia" w:ascii="Times New Roman"/>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pPr>
        <w:wordWrap w:val="0"/>
        <w:adjustRightInd w:val="0"/>
        <w:snapToGrid w:val="0"/>
        <w:spacing w:line="440" w:lineRule="exact"/>
        <w:ind w:firstLine="560"/>
        <w:rPr>
          <w:rFonts w:hint="eastAsia" w:ascii="Times New Roman"/>
          <w:bCs/>
          <w:snapToGrid w:val="0"/>
          <w:color w:val="auto"/>
          <w:kern w:val="0"/>
          <w:highlight w:val="none"/>
        </w:rPr>
      </w:pPr>
      <w:r>
        <w:rPr>
          <w:rFonts w:ascii="Times New Roman"/>
          <w:bCs/>
          <w:snapToGrid w:val="0"/>
          <w:color w:val="auto"/>
          <w:kern w:val="0"/>
          <w:highlight w:val="none"/>
        </w:rPr>
        <w:t>由他人原因造成的缺陷，发包人负责组织维修，承包人不承担费用，且发包人不得从</w:t>
      </w:r>
      <w:r>
        <w:rPr>
          <w:rFonts w:hint="eastAsia" w:ascii="Times New Roman"/>
          <w:bCs/>
          <w:snapToGrid w:val="0"/>
          <w:color w:val="auto"/>
          <w:kern w:val="0"/>
          <w:highlight w:val="none"/>
        </w:rPr>
        <w:t>质量</w:t>
      </w:r>
      <w:r>
        <w:rPr>
          <w:rFonts w:ascii="Times New Roman"/>
          <w:bCs/>
          <w:snapToGrid w:val="0"/>
          <w:color w:val="auto"/>
          <w:kern w:val="0"/>
          <w:highlight w:val="none"/>
        </w:rPr>
        <w:t>保证中扣除费用。</w:t>
      </w:r>
    </w:p>
    <w:p>
      <w:pPr>
        <w:wordWrap w:val="0"/>
        <w:adjustRightInd w:val="0"/>
        <w:snapToGrid w:val="0"/>
        <w:spacing w:line="440" w:lineRule="exact"/>
        <w:ind w:firstLine="560"/>
        <w:rPr>
          <w:rFonts w:ascii="Times New Roman"/>
          <w:bCs/>
          <w:snapToGrid w:val="0"/>
          <w:color w:val="auto"/>
          <w:kern w:val="0"/>
          <w:highlight w:val="none"/>
        </w:rPr>
      </w:pPr>
      <w:r>
        <w:rPr>
          <w:rFonts w:hint="eastAsia" w:ascii="Times New Roman"/>
          <w:b/>
          <w:bCs/>
          <w:snapToGrid w:val="0"/>
          <w:color w:val="auto"/>
          <w:kern w:val="0"/>
          <w:highlight w:val="none"/>
        </w:rPr>
        <w:t>15.4</w:t>
      </w:r>
      <w:r>
        <w:rPr>
          <w:rFonts w:hint="eastAsia" w:ascii="Times New Roman"/>
          <w:bCs/>
          <w:snapToGrid w:val="0"/>
          <w:color w:val="auto"/>
          <w:kern w:val="0"/>
          <w:highlight w:val="none"/>
        </w:rPr>
        <w:t xml:space="preserve"> </w:t>
      </w:r>
      <w:r>
        <w:rPr>
          <w:rFonts w:ascii="Times New Roman"/>
          <w:bCs/>
          <w:snapToGrid w:val="0"/>
          <w:color w:val="auto"/>
          <w:kern w:val="0"/>
          <w:highlight w:val="none"/>
        </w:rPr>
        <w:t>缺陷责任期内，承包人</w:t>
      </w:r>
      <w:r>
        <w:rPr>
          <w:rFonts w:hint="eastAsia" w:ascii="Times New Roman"/>
          <w:bCs/>
          <w:snapToGrid w:val="0"/>
          <w:color w:val="auto"/>
          <w:kern w:val="0"/>
          <w:highlight w:val="none"/>
        </w:rPr>
        <w:t>应</w:t>
      </w:r>
      <w:r>
        <w:rPr>
          <w:rFonts w:ascii="Times New Roman"/>
          <w:bCs/>
          <w:snapToGrid w:val="0"/>
          <w:color w:val="auto"/>
          <w:kern w:val="0"/>
          <w:highlight w:val="none"/>
        </w:rPr>
        <w:t>认真履行合同约定的责任</w:t>
      </w:r>
      <w:r>
        <w:rPr>
          <w:rFonts w:hint="eastAsia" w:ascii="Times New Roman"/>
          <w:bCs/>
          <w:snapToGrid w:val="0"/>
          <w:color w:val="auto"/>
          <w:kern w:val="0"/>
          <w:highlight w:val="none"/>
        </w:rPr>
        <w:t>。</w:t>
      </w:r>
      <w:r>
        <w:rPr>
          <w:rFonts w:ascii="Times New Roman"/>
          <w:bCs/>
          <w:snapToGrid w:val="0"/>
          <w:color w:val="auto"/>
          <w:kern w:val="0"/>
          <w:highlight w:val="none"/>
        </w:rPr>
        <w:t>缺陷责任期到期后，承包人向发包人申请</w:t>
      </w:r>
      <w:r>
        <w:rPr>
          <w:rFonts w:hint="eastAsia" w:ascii="Times New Roman"/>
          <w:bCs/>
          <w:snapToGrid w:val="0"/>
          <w:color w:val="auto"/>
          <w:kern w:val="0"/>
          <w:highlight w:val="none"/>
        </w:rPr>
        <w:t>退还质量</w:t>
      </w:r>
      <w:r>
        <w:rPr>
          <w:rFonts w:ascii="Times New Roman"/>
          <w:bCs/>
          <w:snapToGrid w:val="0"/>
          <w:color w:val="auto"/>
          <w:kern w:val="0"/>
          <w:highlight w:val="none"/>
        </w:rPr>
        <w:t>保证</w:t>
      </w:r>
      <w:r>
        <w:rPr>
          <w:rFonts w:hint="eastAsia" w:ascii="Times New Roman"/>
          <w:bCs/>
          <w:snapToGrid w:val="0"/>
          <w:color w:val="auto"/>
          <w:kern w:val="0"/>
          <w:highlight w:val="none"/>
        </w:rPr>
        <w:t>，发包人应按照《建设工程质量保证金管理办法》有关规定将质量</w:t>
      </w:r>
      <w:r>
        <w:rPr>
          <w:rFonts w:ascii="Times New Roman"/>
          <w:bCs/>
          <w:snapToGrid w:val="0"/>
          <w:color w:val="auto"/>
          <w:kern w:val="0"/>
          <w:highlight w:val="none"/>
        </w:rPr>
        <w:t>保证</w:t>
      </w:r>
      <w:r>
        <w:rPr>
          <w:rFonts w:hint="eastAsia" w:ascii="Times New Roman"/>
          <w:bCs/>
          <w:snapToGrid w:val="0"/>
          <w:color w:val="auto"/>
          <w:kern w:val="0"/>
          <w:highlight w:val="none"/>
        </w:rPr>
        <w:t>退还给承包人</w:t>
      </w:r>
      <w:r>
        <w:rPr>
          <w:rFonts w:ascii="Times New Roman"/>
          <w:bCs/>
          <w:snapToGrid w:val="0"/>
          <w:color w:val="auto"/>
          <w:kern w:val="0"/>
          <w:highlight w:val="none"/>
        </w:rPr>
        <w:t>。</w:t>
      </w:r>
    </w:p>
    <w:p>
      <w:pPr>
        <w:wordWrap w:val="0"/>
        <w:adjustRightInd w:val="0"/>
        <w:snapToGrid w:val="0"/>
        <w:spacing w:line="440" w:lineRule="exact"/>
        <w:ind w:firstLine="560"/>
        <w:rPr>
          <w:rFonts w:ascii="Times New Roman"/>
          <w:bCs/>
          <w:snapToGrid w:val="0"/>
          <w:color w:val="auto"/>
          <w:kern w:val="0"/>
          <w:highlight w:val="none"/>
        </w:rPr>
      </w:pPr>
    </w:p>
    <w:p>
      <w:pPr>
        <w:wordWrap w:val="0"/>
        <w:adjustRightInd w:val="0"/>
        <w:snapToGrid w:val="0"/>
        <w:spacing w:line="440" w:lineRule="exact"/>
        <w:ind w:firstLine="560"/>
        <w:rPr>
          <w:rFonts w:hint="eastAsia" w:ascii="Times New Roman"/>
          <w:strike/>
          <w:snapToGrid w:val="0"/>
          <w:color w:val="auto"/>
          <w:kern w:val="0"/>
          <w:highlight w:val="none"/>
        </w:rPr>
      </w:pPr>
      <w:r>
        <w:rPr>
          <w:rFonts w:hint="eastAsia" w:ascii="Times New Roman"/>
          <w:b/>
          <w:bCs/>
          <w:snapToGrid w:val="0"/>
          <w:color w:val="auto"/>
          <w:kern w:val="0"/>
          <w:highlight w:val="none"/>
        </w:rPr>
        <w:t>16</w:t>
      </w:r>
      <w:r>
        <w:rPr>
          <w:rFonts w:hint="eastAsia" w:ascii="Times New Roman"/>
          <w:b/>
          <w:snapToGrid w:val="0"/>
          <w:color w:val="auto"/>
          <w:kern w:val="0"/>
          <w:highlight w:val="none"/>
        </w:rPr>
        <w:t>．不良行为处理</w:t>
      </w:r>
    </w:p>
    <w:p>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（1）转包、违法分包或违反投标承诺分包工程的；</w:t>
      </w:r>
    </w:p>
    <w:p>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（2）非原参加投标中标的项目经理负责组织施工或在实施过程中擅自更换项目经理的、项目的其他主要管理人员与中标文件确定的人员不相符的；</w:t>
      </w:r>
    </w:p>
    <w:p>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（3）投标文件确定的大型机械设备没有进入施工现场的；</w:t>
      </w:r>
    </w:p>
    <w:p>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（4）与建设单位、监理单位串通，签认虚假工程量或工程造价的；</w:t>
      </w:r>
    </w:p>
    <w:p>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（5）项目经理施工现场管理不到位的；</w:t>
      </w:r>
    </w:p>
    <w:p>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（6）项目经理在非本人资格证书注册单位从事工程项目施工管理的；</w:t>
      </w:r>
    </w:p>
    <w:p>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（7）项目经理同时承担超过一项工程项目的；</w:t>
      </w:r>
    </w:p>
    <w:p>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（8）违反有关法律、法规、规章规定的其它行为。</w:t>
      </w:r>
    </w:p>
    <w:p>
      <w:pPr>
        <w:pStyle w:val="140"/>
        <w:wordWrap w:val="0"/>
        <w:adjustRightInd w:val="0"/>
        <w:snapToGrid w:val="0"/>
        <w:spacing w:line="440" w:lineRule="exact"/>
        <w:ind w:firstLine="480" w:firstLineChars="200"/>
        <w:jc w:val="left"/>
        <w:rPr>
          <w:rFonts w:hint="eastAsia"/>
          <w:snapToGrid w:val="0"/>
          <w:color w:val="auto"/>
          <w:kern w:val="0"/>
          <w:highlight w:val="none"/>
        </w:rPr>
      </w:pPr>
    </w:p>
    <w:p>
      <w:pPr>
        <w:pStyle w:val="140"/>
        <w:wordWrap w:val="0"/>
        <w:adjustRightInd w:val="0"/>
        <w:snapToGrid w:val="0"/>
        <w:spacing w:line="440" w:lineRule="exact"/>
        <w:ind w:firstLine="482" w:firstLineChars="200"/>
        <w:jc w:val="left"/>
        <w:rPr>
          <w:rFonts w:hint="eastAsia"/>
          <w:b/>
          <w:bCs/>
          <w:snapToGrid w:val="0"/>
          <w:color w:val="auto"/>
          <w:kern w:val="0"/>
          <w:szCs w:val="28"/>
          <w:highlight w:val="none"/>
        </w:rPr>
      </w:pPr>
      <w:r>
        <w:rPr>
          <w:rFonts w:hint="eastAsia"/>
          <w:b/>
          <w:bCs/>
          <w:snapToGrid w:val="0"/>
          <w:color w:val="auto"/>
          <w:kern w:val="0"/>
          <w:highlight w:val="none"/>
        </w:rPr>
        <w:t>17</w:t>
      </w:r>
      <w:r>
        <w:rPr>
          <w:rFonts w:hint="eastAsia"/>
          <w:b/>
          <w:snapToGrid w:val="0"/>
          <w:color w:val="auto"/>
          <w:kern w:val="0"/>
          <w:highlight w:val="none"/>
        </w:rPr>
        <w:t>．</w:t>
      </w:r>
      <w:r>
        <w:rPr>
          <w:rFonts w:hint="eastAsia"/>
          <w:b/>
          <w:bCs/>
          <w:snapToGrid w:val="0"/>
          <w:color w:val="auto"/>
          <w:kern w:val="0"/>
          <w:szCs w:val="28"/>
          <w:highlight w:val="none"/>
        </w:rPr>
        <w:t>信用评价条款内容</w:t>
      </w:r>
    </w:p>
    <w:p>
      <w:pPr>
        <w:pStyle w:val="102"/>
        <w:wordWrap w:val="0"/>
        <w:adjustRightInd w:val="0"/>
        <w:snapToGrid w:val="0"/>
        <w:spacing w:line="440" w:lineRule="exact"/>
        <w:ind w:firstLine="560"/>
        <w:rPr>
          <w:rFonts w:hint="eastAsia" w:ascii="Times New Roman"/>
          <w:snapToGrid w:val="0"/>
          <w:color w:val="auto"/>
          <w:kern w:val="0"/>
          <w:szCs w:val="28"/>
          <w:highlight w:val="none"/>
        </w:rPr>
      </w:pPr>
      <w:r>
        <w:rPr>
          <w:rFonts w:hint="eastAsia" w:ascii="Times New Roman"/>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pPr>
        <w:pStyle w:val="102"/>
        <w:wordWrap w:val="0"/>
        <w:adjustRightInd w:val="0"/>
        <w:snapToGrid w:val="0"/>
        <w:ind w:firstLine="482" w:firstLineChars="200"/>
        <w:rPr>
          <w:rFonts w:hint="eastAsia" w:hAnsi="宋体" w:cs="宋体"/>
          <w:b/>
          <w:bCs/>
          <w:snapToGrid w:val="0"/>
          <w:color w:val="auto"/>
          <w:kern w:val="0"/>
          <w:szCs w:val="28"/>
          <w:highlight w:val="none"/>
        </w:rPr>
      </w:pPr>
      <w:r>
        <w:rPr>
          <w:rFonts w:hint="eastAsia" w:hAnsi="宋体" w:cs="宋体"/>
          <w:b/>
          <w:bCs/>
          <w:snapToGrid w:val="0"/>
          <w:color w:val="auto"/>
          <w:kern w:val="0"/>
          <w:szCs w:val="28"/>
          <w:highlight w:val="none"/>
        </w:rPr>
        <w:t>认真贯彻执行国家关于环境保护的方针政策，遵守国家有关法规、规范、标准，确保出水各项指标均能达到乐昌市环保验收标准。</w:t>
      </w:r>
    </w:p>
    <w:p>
      <w:pPr>
        <w:pStyle w:val="102"/>
        <w:wordWrap w:val="0"/>
        <w:adjustRightInd w:val="0"/>
        <w:snapToGrid w:val="0"/>
        <w:spacing w:line="440" w:lineRule="exact"/>
        <w:ind w:firstLine="560"/>
        <w:rPr>
          <w:rFonts w:hint="eastAsia" w:ascii="Times New Roman"/>
          <w:b/>
          <w:bCs/>
          <w:snapToGrid w:val="0"/>
          <w:color w:val="auto"/>
          <w:kern w:val="0"/>
          <w:highlight w:val="none"/>
        </w:rPr>
      </w:pPr>
    </w:p>
    <w:p>
      <w:pPr>
        <w:pStyle w:val="102"/>
        <w:wordWrap w:val="0"/>
        <w:adjustRightInd w:val="0"/>
        <w:snapToGrid w:val="0"/>
        <w:spacing w:line="440" w:lineRule="exact"/>
        <w:ind w:firstLine="560"/>
        <w:rPr>
          <w:rFonts w:hint="eastAsia" w:ascii="Times New Roman"/>
          <w:b/>
          <w:bCs/>
          <w:snapToGrid w:val="0"/>
          <w:color w:val="auto"/>
          <w:kern w:val="0"/>
          <w:highlight w:val="none"/>
        </w:rPr>
      </w:pPr>
      <w:r>
        <w:rPr>
          <w:rFonts w:hint="eastAsia" w:ascii="Times New Roman"/>
          <w:b/>
          <w:bCs/>
          <w:snapToGrid w:val="0"/>
          <w:color w:val="auto"/>
          <w:kern w:val="0"/>
          <w:highlight w:val="none"/>
        </w:rPr>
        <w:t>18</w:t>
      </w:r>
      <w:r>
        <w:rPr>
          <w:rFonts w:hint="eastAsia" w:ascii="Times New Roman"/>
          <w:b/>
          <w:snapToGrid w:val="0"/>
          <w:color w:val="auto"/>
          <w:kern w:val="0"/>
          <w:highlight w:val="none"/>
        </w:rPr>
        <w:t>．</w:t>
      </w:r>
      <w:r>
        <w:rPr>
          <w:rFonts w:hint="eastAsia" w:ascii="Times New Roman"/>
          <w:b/>
          <w:bCs/>
          <w:snapToGrid w:val="0"/>
          <w:color w:val="auto"/>
          <w:kern w:val="0"/>
          <w:highlight w:val="none"/>
        </w:rPr>
        <w:t>其他事项（招标人自行补充）</w:t>
      </w:r>
    </w:p>
    <w:p>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18.1</w:t>
      </w:r>
      <w:r>
        <w:rPr>
          <w:rFonts w:hint="eastAsia" w:hAnsi="宋体"/>
          <w:color w:val="auto"/>
          <w:highlight w:val="none"/>
          <w:shd w:val="clear" w:color="auto" w:fill="FFFFFF"/>
        </w:rPr>
        <w:t xml:space="preserve"> 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pPr>
        <w:pStyle w:val="102"/>
        <w:keepNext w:val="0"/>
        <w:keepLines w:val="0"/>
        <w:pageBreakBefore w:val="0"/>
        <w:kinsoku/>
        <w:overflowPunct/>
        <w:topLinePunct w:val="0"/>
        <w:autoSpaceDE/>
        <w:autoSpaceDN/>
        <w:bidi w:val="0"/>
        <w:adjustRightInd w:val="0"/>
        <w:snapToGrid w:val="0"/>
        <w:spacing w:line="440" w:lineRule="exact"/>
        <w:ind w:firstLine="482" w:firstLineChars="200"/>
        <w:textAlignment w:val="auto"/>
        <w:rPr>
          <w:rFonts w:hint="eastAsia" w:ascii="Times New Roman"/>
          <w:b/>
          <w:bCs/>
          <w:snapToGrid w:val="0"/>
          <w:color w:val="auto"/>
          <w:kern w:val="0"/>
          <w:highlight w:val="none"/>
        </w:rPr>
      </w:pPr>
      <w:r>
        <w:rPr>
          <w:rFonts w:hint="eastAsia" w:hAnsi="宋体"/>
          <w:b/>
          <w:bCs/>
          <w:color w:val="auto"/>
          <w:highlight w:val="none"/>
          <w:shd w:val="clear" w:color="auto" w:fill="FFFFFF"/>
        </w:rPr>
        <w:t xml:space="preserve">18.2  </w:t>
      </w:r>
      <w:r>
        <w:rPr>
          <w:rFonts w:hint="eastAsia" w:ascii="Times New Roman"/>
          <w:snapToGrid w:val="0"/>
          <w:color w:val="auto"/>
          <w:kern w:val="0"/>
          <w:highlight w:val="none"/>
        </w:rPr>
        <w:t>中标人在工程实施过程中，按照国家、省、市的相关规定制定相关的专项安全施工方案（如高支模、基坑支护、沉井等），编制专项施工方案报监理人、招标人审批后方可开展专项工程的施工。</w:t>
      </w:r>
    </w:p>
    <w:p>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ascii="Times New Roman"/>
          <w:b/>
          <w:bCs/>
          <w:snapToGrid w:val="0"/>
          <w:color w:val="auto"/>
          <w:kern w:val="0"/>
          <w:highlight w:val="none"/>
        </w:rPr>
        <w:t xml:space="preserve">18.3 </w:t>
      </w:r>
      <w:r>
        <w:rPr>
          <w:rFonts w:hint="eastAsia" w:hAnsi="宋体"/>
          <w:color w:val="auto"/>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hAnsi="宋体"/>
          <w:color w:val="auto"/>
          <w:highlight w:val="none"/>
          <w:u w:val="single"/>
          <w:shd w:val="clear" w:color="auto" w:fill="FFFFFF"/>
        </w:rPr>
        <w:t xml:space="preserve"> </w:t>
      </w:r>
      <w:r>
        <w:rPr>
          <w:rFonts w:hint="eastAsia" w:hAnsi="宋体"/>
          <w:color w:val="auto"/>
          <w:highlight w:val="none"/>
          <w:u w:val="single"/>
          <w:shd w:val="clear" w:color="auto" w:fill="FFFFFF"/>
          <w:lang w:val="en-US" w:eastAsia="zh-CN"/>
        </w:rPr>
        <w:t>1</w:t>
      </w:r>
      <w:r>
        <w:rPr>
          <w:rFonts w:hint="eastAsia" w:hAnsi="宋体"/>
          <w:color w:val="auto"/>
          <w:highlight w:val="none"/>
          <w:u w:val="single"/>
          <w:shd w:val="clear" w:color="auto" w:fill="FFFFFF"/>
        </w:rPr>
        <w:t xml:space="preserve"> </w:t>
      </w:r>
      <w:r>
        <w:rPr>
          <w:rFonts w:hint="eastAsia" w:hAnsi="宋体"/>
          <w:color w:val="auto"/>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18.4 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18.5</w:t>
      </w:r>
      <w:r>
        <w:rPr>
          <w:rFonts w:hint="eastAsia" w:hAnsi="宋体"/>
          <w:color w:val="auto"/>
          <w:highlight w:val="none"/>
          <w:shd w:val="clear" w:color="auto" w:fill="FFFFFF"/>
        </w:rPr>
        <w:t>（一）用人单位应当在建设项目动工前，在建设项目所在地商业银行设立工人工资支付专用账户。</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（二）用人单位应当在用工之日起15日内为每一位工人办理个人银行账户。</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 xml:space="preserve">18.6 </w:t>
      </w:r>
      <w:r>
        <w:rPr>
          <w:rFonts w:hint="eastAsia" w:hAnsi="宋体"/>
          <w:color w:val="auto"/>
          <w:highlight w:val="none"/>
          <w:shd w:val="clear" w:color="auto" w:fill="FFFFFF"/>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18.7危险性较大的分部分项工程安全管理约定</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18.8 中标人中标后必须按规定及时缴交工人工资保证金、环保噪声排污费等。</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18.9工程质量保修期按《中华人民共和国建筑法》、《建设工程质量管理条例》等相关规定实施。</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18.10 如项目实施过程中发生了工程变更及工程签证，中标人需根据招标人发布的《工程变更管理办法》和《工程签证管理办法》完善工程变更签证相关程序。</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18.11 中标人需按相关规定要求，设置本工程符合相关要求的永久性标牌及规划公示牌，投标人在投标报价时综合考虑在报价内，招标人不另行支付该部分费用。</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18.12 中标人应在项目所在地住建管理部门办理诚信登记，招标人将严格按住建管理部门诚信登记管理办法对中标人履约情况进行考核。</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18.13 中标人应按韶关市住房和城乡建设管理局、韶关市人力资源和社会保障局等职能部门对用工实名制的相关规定,落实工人及相关软硬件设施要求。</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18.14 为有效防止新型冠状病毒感染的肺炎疫情在本项目实施期间扩散蔓延，切实维护群众生命安全和身体健康，根据《省疫情防控指挥部办公室关于实施企业提前复工报备制度的通知》（粤防疫指办明电〔2020〕11号）、《广东省住房和城乡建设厅关于对房屋市政工程申请提前复工实施报备管理的通知》（粤建质函〔2020〕17号）和《韶关市关于在做好疫情防控工作前提下全力支持和组织推动各类生产企业复工复产的工作实施方案》等相关文件要求，韶关市住建管理局结合实际制定了《韶关市房屋市政工程新型冠状病毒感染的肺炎疫情防控工作和复工指引》（韶市建字〔2020〕52号），中标人须贯彻落实，同时根据上级文件适时调整，积极配合相关工作。</w:t>
      </w:r>
    </w:p>
    <w:p>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18.15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履约保证金，直至中标人提交新的银行保函或达到履约保证金退还条件。</w:t>
      </w:r>
    </w:p>
    <w:p>
      <w:pPr>
        <w:keepNext w:val="0"/>
        <w:keepLines w:val="0"/>
        <w:pageBreakBefore w:val="0"/>
        <w:kinsoku/>
        <w:overflowPunct/>
        <w:topLinePunct w:val="0"/>
        <w:autoSpaceDE/>
        <w:autoSpaceDN/>
        <w:bidi w:val="0"/>
        <w:spacing w:line="440" w:lineRule="exact"/>
        <w:ind w:firstLine="482" w:firstLineChars="200"/>
        <w:textAlignment w:val="auto"/>
        <w:rPr>
          <w:rFonts w:hint="eastAsia"/>
          <w:bCs/>
          <w:color w:val="auto"/>
          <w:highlight w:val="none"/>
          <w:lang w:bidi="ar"/>
        </w:rPr>
      </w:pPr>
      <w:r>
        <w:rPr>
          <w:rFonts w:hint="eastAsia"/>
          <w:b/>
          <w:bCs/>
          <w:color w:val="auto"/>
          <w:highlight w:val="none"/>
        </w:rPr>
        <w:t xml:space="preserve">18.16 </w:t>
      </w:r>
      <w:r>
        <w:rPr>
          <w:rFonts w:hint="eastAsia"/>
          <w:bCs/>
          <w:color w:val="auto"/>
          <w:highlight w:val="none"/>
          <w:lang w:bidi="ar"/>
        </w:rPr>
        <w:t>根据粤人社规〔2015〕3号文件规定，中标人中标后，须到银行设立工人工资支付专用账户，用于支付工人工资。发包人支付工程款时，将按工程款（不含工人工资）和工人工资两部分分开支付，工人工资支付至专用账户。中标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pPr>
        <w:pStyle w:val="146"/>
        <w:keepNext w:val="0"/>
        <w:keepLines w:val="0"/>
        <w:pageBreakBefore w:val="0"/>
        <w:widowControl/>
        <w:kinsoku/>
        <w:overflowPunct/>
        <w:topLinePunct w:val="0"/>
        <w:autoSpaceDE/>
        <w:autoSpaceDN/>
        <w:bidi w:val="0"/>
        <w:spacing w:line="440" w:lineRule="exact"/>
        <w:ind w:firstLine="470" w:firstLineChars="0"/>
        <w:textAlignment w:val="auto"/>
        <w:rPr>
          <w:rFonts w:hint="eastAsia" w:ascii="宋体" w:hAnsi="Times New Roman"/>
          <w:bCs/>
          <w:color w:val="auto"/>
          <w:sz w:val="24"/>
          <w:szCs w:val="20"/>
          <w:highlight w:val="none"/>
          <w:lang w:bidi="ar"/>
        </w:rPr>
      </w:pPr>
      <w:r>
        <w:rPr>
          <w:rFonts w:hint="eastAsia" w:ascii="宋体" w:hAnsi="Times New Roman"/>
          <w:bCs/>
          <w:color w:val="auto"/>
          <w:sz w:val="24"/>
          <w:szCs w:val="20"/>
          <w:highlight w:val="none"/>
          <w:lang w:bidi="ar"/>
        </w:rPr>
        <w:t>根据《韶关市建设领域施工企业工人工资支付保证金管理办法》（韶人社〔2017〕133号）文件规定，中标人中标后，应在30个日历天内按承包合同工程造价5%的比例（不超过300万元）一次性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bookmarkStart w:id="145" w:name="_Toc29140"/>
      <w:bookmarkStart w:id="146" w:name="_Toc19632"/>
      <w:bookmarkStart w:id="147" w:name="_Toc28684"/>
      <w:bookmarkStart w:id="148" w:name="_Hlt69698765"/>
      <w:bookmarkStart w:id="149" w:name="_Hlt69698713"/>
      <w:bookmarkStart w:id="150" w:name="_Toc28918"/>
      <w:bookmarkStart w:id="151" w:name="_Hlt69698776"/>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ind w:left="884" w:hanging="884"/>
        <w:jc w:val="center"/>
        <w:textAlignment w:val="auto"/>
        <w:rPr>
          <w:rFonts w:hint="eastAsia" w:ascii="Times New Roman"/>
          <w:b/>
          <w:snapToGrid w:val="0"/>
          <w:color w:val="auto"/>
          <w:sz w:val="24"/>
          <w:highlight w:val="none"/>
        </w:rPr>
      </w:pPr>
    </w:p>
    <w:p>
      <w:pPr>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jc w:val="both"/>
        <w:textAlignment w:val="auto"/>
        <w:rPr>
          <w:rFonts w:hint="eastAsia" w:ascii="Times New Roman"/>
          <w:b/>
          <w:snapToGrid w:val="0"/>
          <w:color w:val="auto"/>
          <w:sz w:val="24"/>
          <w:highlight w:val="none"/>
        </w:rPr>
      </w:pPr>
    </w:p>
    <w:p>
      <w:pPr>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jc w:val="center"/>
        <w:textAlignment w:val="auto"/>
        <w:rPr>
          <w:rFonts w:hint="eastAsia" w:ascii="Times New Roman"/>
          <w:b/>
          <w:snapToGrid w:val="0"/>
          <w:color w:val="auto"/>
          <w:sz w:val="24"/>
          <w:highlight w:val="none"/>
        </w:rPr>
      </w:pPr>
    </w:p>
    <w:p>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440" w:lineRule="exact"/>
        <w:jc w:val="center"/>
        <w:textAlignment w:val="auto"/>
        <w:rPr>
          <w:rFonts w:ascii="Times New Roman"/>
          <w:b/>
          <w:snapToGrid w:val="0"/>
          <w:color w:val="auto"/>
          <w:sz w:val="24"/>
          <w:highlight w:val="none"/>
        </w:rPr>
      </w:pPr>
      <w:r>
        <w:rPr>
          <w:rFonts w:hint="eastAsia" w:ascii="Times New Roman"/>
          <w:b/>
          <w:snapToGrid w:val="0"/>
          <w:color w:val="auto"/>
          <w:sz w:val="24"/>
          <w:highlight w:val="none"/>
        </w:rPr>
        <w:t>第三章</w:t>
      </w:r>
      <w:bookmarkStart w:id="152" w:name="_Hlt87793831"/>
      <w:bookmarkEnd w:id="152"/>
      <w:r>
        <w:rPr>
          <w:rFonts w:hint="eastAsia" w:ascii="Times New Roman"/>
          <w:b/>
          <w:snapToGrid w:val="0"/>
          <w:color w:val="auto"/>
          <w:sz w:val="24"/>
          <w:highlight w:val="none"/>
        </w:rPr>
        <w:t xml:space="preserve"> 拟签订合同的主要条款</w:t>
      </w:r>
      <w:bookmarkEnd w:id="145"/>
      <w:bookmarkEnd w:id="146"/>
      <w:bookmarkEnd w:id="147"/>
    </w:p>
    <w:bookmarkEnd w:id="148"/>
    <w:bookmarkEnd w:id="149"/>
    <w:p>
      <w:pPr>
        <w:pStyle w:val="4"/>
        <w:wordWrap w:val="0"/>
        <w:autoSpaceDE/>
        <w:autoSpaceDN/>
        <w:snapToGrid w:val="0"/>
        <w:spacing w:line="440" w:lineRule="exact"/>
        <w:ind w:firstLine="480"/>
        <w:jc w:val="both"/>
        <w:rPr>
          <w:rFonts w:hint="eastAsia" w:ascii="Times New Roman"/>
          <w:b/>
          <w:snapToGrid w:val="0"/>
          <w:color w:val="auto"/>
          <w:highlight w:val="none"/>
        </w:rPr>
      </w:pPr>
      <w:bookmarkStart w:id="153" w:name="_Toc2688"/>
      <w:bookmarkStart w:id="154" w:name="_Toc326916629"/>
      <w:bookmarkStart w:id="155" w:name="_Toc322793288"/>
    </w:p>
    <w:p>
      <w:pPr>
        <w:pStyle w:val="4"/>
        <w:wordWrap w:val="0"/>
        <w:autoSpaceDE/>
        <w:autoSpaceDN/>
        <w:snapToGrid w:val="0"/>
        <w:spacing w:line="440" w:lineRule="exact"/>
        <w:ind w:firstLine="482" w:firstLineChars="200"/>
        <w:jc w:val="both"/>
        <w:rPr>
          <w:rFonts w:ascii="Times New Roman"/>
          <w:b/>
          <w:snapToGrid w:val="0"/>
          <w:color w:val="auto"/>
          <w:highlight w:val="none"/>
        </w:rPr>
      </w:pPr>
      <w:bookmarkStart w:id="156" w:name="_Toc12150"/>
      <w:bookmarkStart w:id="157" w:name="_Toc17021"/>
      <w:r>
        <w:rPr>
          <w:rFonts w:hint="eastAsia" w:ascii="Times New Roman"/>
          <w:b/>
          <w:snapToGrid w:val="0"/>
          <w:color w:val="auto"/>
          <w:highlight w:val="none"/>
        </w:rPr>
        <w:t>1．工程承包方式</w:t>
      </w:r>
      <w:bookmarkEnd w:id="153"/>
      <w:bookmarkEnd w:id="154"/>
      <w:bookmarkEnd w:id="155"/>
      <w:bookmarkEnd w:id="156"/>
      <w:bookmarkEnd w:id="157"/>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w:t>
      </w:r>
      <w:r>
        <w:rPr>
          <w:rFonts w:hint="eastAsia" w:ascii="Times New Roman"/>
          <w:snapToGrid w:val="0"/>
          <w:color w:val="auto"/>
          <w:kern w:val="0"/>
          <w:highlight w:val="none"/>
        </w:rPr>
        <w:t xml:space="preserve"> 承包人以中标价按包工</w:t>
      </w:r>
      <w:bookmarkStart w:id="158" w:name="_Hlt87948212"/>
      <w:bookmarkEnd w:id="158"/>
      <w:r>
        <w:rPr>
          <w:rFonts w:hint="eastAsia" w:ascii="Times New Roman"/>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1.1.1</w:t>
      </w:r>
      <w:r>
        <w:rPr>
          <w:rFonts w:hint="eastAsia" w:ascii="Times New Roman"/>
          <w:snapToGrid w:val="0"/>
          <w:color w:val="auto"/>
          <w:kern w:val="0"/>
          <w:highlight w:val="none"/>
        </w:rPr>
        <w:t xml:space="preserve"> 包工包料：材料符合招标文件要求并报验使用；办理用工保险。</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1.1.2</w:t>
      </w:r>
      <w:r>
        <w:rPr>
          <w:rFonts w:hint="eastAsia" w:ascii="Times New Roman"/>
          <w:snapToGrid w:val="0"/>
          <w:color w:val="auto"/>
          <w:kern w:val="0"/>
          <w:highlight w:val="none"/>
        </w:rPr>
        <w:t xml:space="preserve"> 包质量：符合招标文件要求。</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1.1.3</w:t>
      </w:r>
      <w:r>
        <w:rPr>
          <w:rFonts w:hint="eastAsia" w:ascii="Times New Roman"/>
          <w:snapToGrid w:val="0"/>
          <w:color w:val="auto"/>
          <w:kern w:val="0"/>
          <w:highlight w:val="none"/>
        </w:rPr>
        <w:t xml:space="preserve"> 包安全包文明施工：符合招标文件要求。</w:t>
      </w:r>
    </w:p>
    <w:p>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 xml:space="preserve">1.1.4 </w:t>
      </w:r>
      <w:r>
        <w:rPr>
          <w:rFonts w:hint="eastAsia" w:ascii="Times New Roman"/>
          <w:snapToGrid w:val="0"/>
          <w:color w:val="auto"/>
          <w:kern w:val="0"/>
          <w:highlight w:val="none"/>
        </w:rPr>
        <w:t>包工期：本招标项目施工必须在招标工期内完成。</w:t>
      </w:r>
    </w:p>
    <w:p>
      <w:pPr>
        <w:wordWrap w:val="0"/>
        <w:adjustRightInd w:val="0"/>
        <w:snapToGrid w:val="0"/>
        <w:spacing w:line="440" w:lineRule="exact"/>
        <w:ind w:firstLine="560"/>
        <w:rPr>
          <w:rFonts w:ascii="Times New Roman"/>
          <w:snapToGrid w:val="0"/>
          <w:color w:val="auto"/>
          <w:kern w:val="0"/>
          <w:highlight w:val="none"/>
        </w:rPr>
      </w:pPr>
    </w:p>
    <w:p>
      <w:pPr>
        <w:pStyle w:val="4"/>
        <w:wordWrap w:val="0"/>
        <w:autoSpaceDE/>
        <w:autoSpaceDN/>
        <w:snapToGrid w:val="0"/>
        <w:spacing w:line="440" w:lineRule="exact"/>
        <w:ind w:firstLine="480"/>
        <w:jc w:val="both"/>
        <w:rPr>
          <w:rFonts w:hint="eastAsia" w:ascii="Times New Roman"/>
          <w:b/>
          <w:snapToGrid w:val="0"/>
          <w:color w:val="auto"/>
          <w:highlight w:val="none"/>
        </w:rPr>
      </w:pPr>
      <w:bookmarkStart w:id="159" w:name="_2、工程结算原则"/>
      <w:bookmarkEnd w:id="159"/>
      <w:bookmarkStart w:id="160" w:name="_Toc322793289"/>
      <w:bookmarkStart w:id="161" w:name="_Toc21894"/>
      <w:bookmarkStart w:id="162" w:name="_Toc326916630"/>
      <w:bookmarkStart w:id="163" w:name="_Toc3107"/>
      <w:bookmarkStart w:id="164" w:name="_Toc9168"/>
      <w:bookmarkStart w:id="165" w:name="_Hlt87948447"/>
      <w:bookmarkStart w:id="166" w:name="_Hlt87948449"/>
      <w:r>
        <w:rPr>
          <w:rFonts w:hint="eastAsia" w:ascii="Times New Roman"/>
          <w:b/>
          <w:snapToGrid w:val="0"/>
          <w:color w:val="auto"/>
          <w:highlight w:val="none"/>
        </w:rPr>
        <w:t>2．工程结算原则</w:t>
      </w:r>
      <w:bookmarkEnd w:id="160"/>
      <w:bookmarkEnd w:id="161"/>
      <w:bookmarkEnd w:id="162"/>
      <w:bookmarkEnd w:id="163"/>
      <w:bookmarkEnd w:id="164"/>
    </w:p>
    <w:p>
      <w:pPr>
        <w:wordWrap w:val="0"/>
        <w:adjustRightInd w:val="0"/>
        <w:snapToGrid w:val="0"/>
        <w:spacing w:line="440" w:lineRule="exact"/>
        <w:ind w:firstLine="480"/>
        <w:rPr>
          <w:rFonts w:hint="eastAsia" w:ascii="Times New Roman"/>
          <w:snapToGrid w:val="0"/>
          <w:color w:val="auto"/>
          <w:kern w:val="0"/>
          <w:szCs w:val="24"/>
          <w:highlight w:val="none"/>
        </w:rPr>
      </w:pPr>
      <w:bookmarkStart w:id="167" w:name="_Hlt88974053"/>
      <w:bookmarkEnd w:id="167"/>
      <w:r>
        <w:rPr>
          <w:rFonts w:ascii="Times New Roman"/>
          <w:b/>
          <w:bCs/>
          <w:snapToGrid w:val="0"/>
          <w:color w:val="auto"/>
          <w:kern w:val="0"/>
          <w:szCs w:val="24"/>
          <w:highlight w:val="none"/>
        </w:rPr>
        <w:t>2.1</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人的投标总价为中标价，即为签约合同价。</w:t>
      </w:r>
    </w:p>
    <w:p>
      <w:pPr>
        <w:wordWrap w:val="0"/>
        <w:adjustRightInd w:val="0"/>
        <w:snapToGrid w:val="0"/>
        <w:spacing w:line="440" w:lineRule="exact"/>
        <w:ind w:firstLine="480"/>
        <w:rPr>
          <w:rFonts w:hint="eastAsia"/>
          <w:color w:val="auto"/>
          <w:highlight w:val="none"/>
        </w:rPr>
      </w:pPr>
      <w:r>
        <w:rPr>
          <w:rFonts w:hint="eastAsia" w:ascii="Times New Roman"/>
          <w:b/>
          <w:bCs/>
          <w:snapToGrid w:val="0"/>
          <w:color w:val="auto"/>
          <w:kern w:val="0"/>
          <w:szCs w:val="24"/>
          <w:highlight w:val="none"/>
        </w:rPr>
        <w:t>2.2</w:t>
      </w:r>
      <w:r>
        <w:rPr>
          <w:rFonts w:hint="eastAsia" w:ascii="Times New Roman"/>
          <w:snapToGrid w:val="0"/>
          <w:color w:val="auto"/>
          <w:kern w:val="0"/>
          <w:szCs w:val="24"/>
          <w:highlight w:val="none"/>
        </w:rPr>
        <w:t xml:space="preserve"> 招标工程量清单标明的工程量是投标人投标报价的共同基础，竣工结算的工程量按《建设工程工程量清单计价规范》（</w:t>
      </w:r>
      <w:r>
        <w:rPr>
          <w:rFonts w:ascii="Times New Roman"/>
          <w:snapToGrid w:val="0"/>
          <w:color w:val="auto"/>
          <w:kern w:val="0"/>
          <w:szCs w:val="24"/>
          <w:highlight w:val="none"/>
        </w:rPr>
        <w:t>GB50500</w:t>
      </w:r>
      <w:r>
        <w:rPr>
          <w:rFonts w:hint="eastAsia" w:ascii="Times New Roman"/>
          <w:snapToGrid w:val="0"/>
          <w:color w:val="auto"/>
          <w:kern w:val="0"/>
          <w:szCs w:val="24"/>
          <w:highlight w:val="none"/>
        </w:rPr>
        <w:t>—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pPr>
        <w:spacing w:line="240" w:lineRule="auto"/>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w:t>
      </w:r>
      <w:r>
        <w:rPr>
          <w:rFonts w:hint="eastAsia" w:ascii="Times New Roman"/>
          <w:snapToGrid w:val="0"/>
          <w:color w:val="auto"/>
          <w:kern w:val="0"/>
          <w:szCs w:val="24"/>
          <w:highlight w:val="none"/>
        </w:rPr>
        <w:t xml:space="preserve"> 施工合同履行期间，若出现下列情形的，发、承包双方应当按照以下规定调整合同价款：</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w:t>
      </w:r>
      <w:r>
        <w:rPr>
          <w:rFonts w:hint="eastAsia" w:ascii="Times New Roman"/>
          <w:snapToGrid w:val="0"/>
          <w:color w:val="auto"/>
          <w:kern w:val="0"/>
          <w:szCs w:val="24"/>
          <w:highlight w:val="none"/>
        </w:rPr>
        <w:t xml:space="preserve"> 法律法规变化</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2.3.1.1</w:t>
      </w:r>
      <w:r>
        <w:rPr>
          <w:rFonts w:hint="eastAsia" w:ascii="Times New Roman"/>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highlight w:val="none"/>
        </w:rPr>
        <w:t>注：本招标文件所称“基准日”，均指投标文件递交截止时间（见第一章第二节“重要事项时间地点一览表”）前28天。</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2.3.1.2</w:t>
      </w:r>
      <w:r>
        <w:rPr>
          <w:rFonts w:hint="eastAsia" w:ascii="Times New Roman"/>
          <w:snapToGrid w:val="0"/>
          <w:color w:val="auto"/>
          <w:kern w:val="0"/>
          <w:szCs w:val="24"/>
          <w:highlight w:val="none"/>
        </w:rPr>
        <w:t xml:space="preserve"> 因承包人原因导致工程延误，本章第</w:t>
      </w:r>
      <w:r>
        <w:rPr>
          <w:rFonts w:hint="eastAsia" w:ascii="Times New Roman"/>
          <w:b/>
          <w:bCs/>
          <w:snapToGrid w:val="0"/>
          <w:color w:val="auto"/>
          <w:kern w:val="0"/>
          <w:szCs w:val="24"/>
          <w:highlight w:val="none"/>
        </w:rPr>
        <w:t>2.3.1.1</w:t>
      </w:r>
      <w:r>
        <w:rPr>
          <w:rFonts w:hint="eastAsia" w:ascii="Times New Roman"/>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w:t>
      </w:r>
      <w:r>
        <w:rPr>
          <w:rFonts w:hint="eastAsia" w:ascii="Times New Roman"/>
          <w:snapToGrid w:val="0"/>
          <w:color w:val="auto"/>
          <w:kern w:val="0"/>
          <w:szCs w:val="24"/>
          <w:highlight w:val="none"/>
        </w:rPr>
        <w:t xml:space="preserve"> 工程量偏差或变化</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snapToGrid w:val="0"/>
          <w:color w:val="auto"/>
          <w:kern w:val="0"/>
          <w:szCs w:val="24"/>
          <w:highlight w:val="none"/>
        </w:rPr>
        <w:t>对于合理报价的清单项目，当工程量增加超过15%时，增加部分的工程量的综合单价以</w:t>
      </w:r>
      <w:r>
        <w:rPr>
          <w:rFonts w:hint="default" w:ascii="宋体" w:hAnsi="宋体" w:eastAsia="宋体" w:cs="宋体"/>
          <w:b/>
          <w:bCs/>
          <w:snapToGrid w:val="0"/>
          <w:color w:val="auto"/>
          <w:kern w:val="0"/>
          <w:sz w:val="24"/>
          <w:szCs w:val="24"/>
          <w:highlight w:val="none"/>
          <w:u w:val="single"/>
        </w:rPr>
        <w:t>该分部分项工程量清单项目原综合单价</w:t>
      </w:r>
      <w:r>
        <w:rPr>
          <w:rFonts w:hint="eastAsia" w:ascii="Times New Roman"/>
          <w:snapToGrid w:val="0"/>
          <w:color w:val="auto"/>
          <w:kern w:val="0"/>
          <w:szCs w:val="24"/>
          <w:highlight w:val="none"/>
        </w:rPr>
        <w:t>为基价调低</w:t>
      </w:r>
      <w:r>
        <w:rPr>
          <w:rFonts w:hint="default" w:ascii="宋体" w:hAnsi="宋体" w:eastAsia="宋体" w:cs="宋体"/>
          <w:b/>
          <w:bCs/>
          <w:snapToGrid w:val="0"/>
          <w:color w:val="auto"/>
          <w:kern w:val="0"/>
          <w:sz w:val="24"/>
          <w:szCs w:val="24"/>
          <w:highlight w:val="none"/>
          <w:u w:val="single"/>
        </w:rPr>
        <w:t>该分部分项工程量清单项目原综合单价的3</w:t>
      </w:r>
      <w:r>
        <w:rPr>
          <w:rFonts w:hint="eastAsia" w:ascii="Times New Roman"/>
          <w:snapToGrid w:val="0"/>
          <w:color w:val="auto"/>
          <w:kern w:val="0"/>
          <w:szCs w:val="24"/>
          <w:highlight w:val="none"/>
        </w:rPr>
        <w:t>%；当工程量</w:t>
      </w:r>
      <w:r>
        <w:rPr>
          <w:rFonts w:hint="eastAsia" w:ascii="Times New Roman"/>
          <w:snapToGrid w:val="0"/>
          <w:color w:val="auto"/>
          <w:kern w:val="0"/>
          <w:szCs w:val="24"/>
          <w:highlight w:val="none"/>
          <w:lang w:val="en-US" w:eastAsia="zh-CN"/>
        </w:rPr>
        <w:t>减少</w:t>
      </w:r>
      <w:r>
        <w:rPr>
          <w:rFonts w:hint="eastAsia" w:ascii="Times New Roman"/>
          <w:snapToGrid w:val="0"/>
          <w:color w:val="auto"/>
          <w:kern w:val="0"/>
          <w:szCs w:val="24"/>
          <w:highlight w:val="none"/>
        </w:rPr>
        <w:t>超过15%时，</w:t>
      </w:r>
      <w:r>
        <w:rPr>
          <w:rFonts w:hint="eastAsia" w:ascii="Times New Roman"/>
          <w:snapToGrid w:val="0"/>
          <w:color w:val="auto"/>
          <w:kern w:val="0"/>
          <w:szCs w:val="24"/>
          <w:highlight w:val="none"/>
          <w:lang w:val="en-US" w:eastAsia="zh-CN"/>
        </w:rPr>
        <w:t>减少后剩余</w:t>
      </w:r>
      <w:r>
        <w:rPr>
          <w:rFonts w:hint="eastAsia" w:ascii="Times New Roman"/>
          <w:snapToGrid w:val="0"/>
          <w:color w:val="auto"/>
          <w:kern w:val="0"/>
          <w:szCs w:val="24"/>
          <w:highlight w:val="none"/>
        </w:rPr>
        <w:t>部分的工程量的综合单价以</w:t>
      </w:r>
      <w:r>
        <w:rPr>
          <w:rFonts w:hint="default" w:ascii="宋体" w:hAnsi="宋体" w:eastAsia="宋体" w:cs="宋体"/>
          <w:b/>
          <w:bCs/>
          <w:snapToGrid w:val="0"/>
          <w:color w:val="auto"/>
          <w:kern w:val="0"/>
          <w:sz w:val="24"/>
          <w:szCs w:val="24"/>
          <w:highlight w:val="none"/>
          <w:u w:val="single"/>
        </w:rPr>
        <w:t>该分部分项工程量清单项目原综合单价</w:t>
      </w:r>
      <w:r>
        <w:rPr>
          <w:rFonts w:hint="default" w:ascii="宋体" w:hAnsi="宋体" w:eastAsia="宋体" w:cs="宋体"/>
          <w:snapToGrid w:val="0"/>
          <w:color w:val="auto"/>
          <w:kern w:val="0"/>
          <w:sz w:val="24"/>
          <w:szCs w:val="24"/>
          <w:highlight w:val="none"/>
        </w:rPr>
        <w:t>为基价调高</w:t>
      </w:r>
      <w:r>
        <w:rPr>
          <w:rFonts w:hint="default" w:ascii="宋体" w:hAnsi="宋体" w:eastAsia="宋体" w:cs="宋体"/>
          <w:b/>
          <w:bCs/>
          <w:snapToGrid w:val="0"/>
          <w:color w:val="auto"/>
          <w:kern w:val="0"/>
          <w:sz w:val="24"/>
          <w:szCs w:val="24"/>
          <w:highlight w:val="none"/>
          <w:u w:val="single"/>
        </w:rPr>
        <w:t>该分部分项工程量清单项目原综合单价的3</w:t>
      </w:r>
      <w:r>
        <w:rPr>
          <w:rFonts w:hint="default" w:ascii="宋体" w:hAnsi="宋体" w:eastAsia="宋体" w:cs="宋体"/>
          <w:snapToGrid w:val="0"/>
          <w:color w:val="auto"/>
          <w:kern w:val="0"/>
          <w:sz w:val="24"/>
          <w:szCs w:val="24"/>
          <w:highlight w:val="none"/>
        </w:rPr>
        <w:t>%</w:t>
      </w:r>
      <w:r>
        <w:rPr>
          <w:rFonts w:hint="eastAsia" w:ascii="Times New Roman"/>
          <w:snapToGrid w:val="0"/>
          <w:color w:val="auto"/>
          <w:kern w:val="0"/>
          <w:szCs w:val="24"/>
          <w:highlight w:val="none"/>
        </w:rPr>
        <w:t>。</w:t>
      </w:r>
    </w:p>
    <w:p>
      <w:pPr>
        <w:wordWrap w:val="0"/>
        <w:adjustRightInd w:val="0"/>
        <w:snapToGrid w:val="0"/>
        <w:spacing w:line="440" w:lineRule="exact"/>
        <w:ind w:firstLine="482" w:firstLineChars="200"/>
        <w:jc w:val="left"/>
        <w:rPr>
          <w:rFonts w:hint="default" w:ascii="宋体" w:hAnsi="宋体" w:eastAsia="宋体" w:cs="宋体"/>
          <w:snapToGrid w:val="0"/>
          <w:color w:val="auto"/>
          <w:kern w:val="0"/>
          <w:sz w:val="24"/>
          <w:szCs w:val="24"/>
          <w:highlight w:val="none"/>
        </w:rPr>
      </w:pPr>
      <w:r>
        <w:rPr>
          <w:rFonts w:hint="eastAsia" w:ascii="Times New Roman"/>
          <w:b/>
          <w:bCs/>
          <w:snapToGrid w:val="0"/>
          <w:color w:val="auto"/>
          <w:kern w:val="0"/>
          <w:szCs w:val="24"/>
          <w:highlight w:val="none"/>
        </w:rPr>
        <w:t>对于按照第二章“中标人须知”第4.2条被认定为不平衡报价的清单项目，其综合单价按照以下方法调整：</w:t>
      </w:r>
      <w:r>
        <w:rPr>
          <w:rFonts w:hint="default" w:ascii="宋体" w:hAnsi="宋体" w:eastAsia="宋体" w:cs="宋体"/>
          <w:snapToGrid w:val="0"/>
          <w:color w:val="auto"/>
          <w:kern w:val="0"/>
          <w:sz w:val="24"/>
          <w:szCs w:val="24"/>
          <w:highlight w:val="none"/>
          <w:u w:val="single"/>
        </w:rPr>
        <w:t>以招标控制价中的《分部分项工程和单价措施项目清单与计价表》子目相对应综合单价×（1-中标下浮率）</w:t>
      </w:r>
      <w:r>
        <w:rPr>
          <w:rFonts w:hint="default" w:ascii="宋体" w:hAnsi="宋体" w:eastAsia="宋体" w:cs="宋体"/>
          <w:snapToGrid w:val="0"/>
          <w:color w:val="auto"/>
          <w:kern w:val="0"/>
          <w:sz w:val="24"/>
          <w:szCs w:val="24"/>
          <w:highlight w:val="none"/>
        </w:rPr>
        <w:t>。</w:t>
      </w: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2.3.2.2</w:t>
      </w:r>
      <w:r>
        <w:rPr>
          <w:rFonts w:hint="eastAsia" w:ascii="Times New Roman"/>
          <w:snapToGrid w:val="0"/>
          <w:color w:val="auto"/>
          <w:kern w:val="0"/>
          <w:szCs w:val="24"/>
          <w:highlight w:val="none"/>
        </w:rPr>
        <w:t xml:space="preserve"> 如果工程量出现本章第</w:t>
      </w: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 xml:space="preserve"> 工程变更</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 xml:space="preserve"> 合同履行期间，因工程变更引起已标价工程量清单项目发生变化时，按照以下规定调整：</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（1）已标价工程量清单中有适用于变更工程项目的，采用该项目的单价。</w:t>
      </w:r>
      <w:r>
        <w:rPr>
          <w:rFonts w:hint="eastAsia" w:ascii="Times New Roman"/>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Times New Roman"/>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（2）已标价工程量清单中没有适用但有类似于变更工程项目的，可在合理范围内参照类似项目的单价。</w:t>
      </w:r>
      <w:r>
        <w:rPr>
          <w:rFonts w:hint="eastAsia" w:ascii="Times New Roman"/>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Times New Roman"/>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pPr>
        <w:wordWrap w:val="0"/>
        <w:adjustRightInd w:val="0"/>
        <w:snapToGrid w:val="0"/>
        <w:spacing w:line="440" w:lineRule="exact"/>
        <w:jc w:val="center"/>
        <w:rPr>
          <w:rFonts w:hint="eastAsia" w:ascii="Times New Roman"/>
          <w:snapToGrid w:val="0"/>
          <w:color w:val="auto"/>
          <w:kern w:val="0"/>
          <w:szCs w:val="24"/>
          <w:highlight w:val="none"/>
          <w:u w:val="wave"/>
        </w:rPr>
      </w:pPr>
      <w:r>
        <w:rPr>
          <w:rFonts w:hint="eastAsia" w:ascii="Times New Roman"/>
          <w:snapToGrid w:val="0"/>
          <w:color w:val="auto"/>
          <w:kern w:val="0"/>
          <w:szCs w:val="24"/>
          <w:highlight w:val="none"/>
        </w:rPr>
        <w:t>中标下浮率＝（1－中标价÷招标控制价）×100%</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（1）绿色施工安全防护措施费应按照实际发生变化的措施项目计算。</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（2）采用单价计算的措施项目费，应按照实际发生变化的措施项目，按本章第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（3）按总价或系数计算的措施项目费，应按照实际发生变化的措施项目费调整并考虑中标下浮率因素，即调整金额</w:t>
      </w:r>
      <w:r>
        <w:rPr>
          <w:rFonts w:hint="eastAsia" w:ascii="Times New Roman"/>
          <w:bCs/>
          <w:snapToGrid w:val="0"/>
          <w:color w:val="auto"/>
          <w:kern w:val="0"/>
          <w:szCs w:val="28"/>
          <w:highlight w:val="none"/>
        </w:rPr>
        <w:t>＝按照实际变化调整</w:t>
      </w:r>
      <w:r>
        <w:rPr>
          <w:rFonts w:hint="eastAsia" w:ascii="Times New Roman"/>
          <w:snapToGrid w:val="0"/>
          <w:color w:val="auto"/>
          <w:kern w:val="0"/>
          <w:szCs w:val="24"/>
          <w:highlight w:val="none"/>
        </w:rPr>
        <w:t>后的金额</w:t>
      </w:r>
      <w:r>
        <w:rPr>
          <w:rFonts w:hint="eastAsia" w:ascii="Times New Roman"/>
          <w:bCs/>
          <w:snapToGrid w:val="0"/>
          <w:color w:val="auto"/>
          <w:kern w:val="0"/>
          <w:szCs w:val="28"/>
          <w:highlight w:val="none"/>
        </w:rPr>
        <w:t>×（1-</w:t>
      </w:r>
      <w:r>
        <w:rPr>
          <w:rFonts w:hint="eastAsia" w:ascii="Times New Roman"/>
          <w:snapToGrid w:val="0"/>
          <w:color w:val="auto"/>
          <w:kern w:val="0"/>
          <w:szCs w:val="24"/>
          <w:highlight w:val="none"/>
        </w:rPr>
        <w:t>中标下浮率）。</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如果承包人未</w:t>
      </w:r>
      <w:r>
        <w:rPr>
          <w:rFonts w:ascii="Times New Roman"/>
          <w:snapToGrid w:val="0"/>
          <w:color w:val="auto"/>
          <w:kern w:val="0"/>
          <w:szCs w:val="24"/>
          <w:highlight w:val="none"/>
        </w:rPr>
        <w:t>事先将拟实施的方案提交发包人确认</w:t>
      </w:r>
      <w:r>
        <w:rPr>
          <w:rFonts w:hint="eastAsia" w:ascii="Times New Roman"/>
          <w:snapToGrid w:val="0"/>
          <w:color w:val="auto"/>
          <w:kern w:val="0"/>
          <w:szCs w:val="24"/>
          <w:highlight w:val="none"/>
        </w:rPr>
        <w:t>，视为工程变更不引起措施项目费的调整或承包人放弃调整措施项目费的权利。</w:t>
      </w: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2.3.3.3</w:t>
      </w:r>
      <w:r>
        <w:rPr>
          <w:rFonts w:hint="eastAsia" w:ascii="Times New Roman"/>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2.3.4</w:t>
      </w:r>
      <w:r>
        <w:rPr>
          <w:rFonts w:hint="eastAsia" w:ascii="Times New Roman"/>
          <w:snapToGrid w:val="0"/>
          <w:color w:val="auto"/>
          <w:kern w:val="0"/>
          <w:szCs w:val="24"/>
          <w:highlight w:val="none"/>
        </w:rPr>
        <w:t xml:space="preserve"> 项目特征不符</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目相关条款的规定重新确定相应工程量清单项目的综合单价，并调整合同价款。</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w:t>
      </w:r>
      <w:r>
        <w:rPr>
          <w:rFonts w:hint="eastAsia" w:ascii="Times New Roman"/>
          <w:snapToGrid w:val="0"/>
          <w:color w:val="auto"/>
          <w:kern w:val="0"/>
          <w:szCs w:val="24"/>
          <w:highlight w:val="none"/>
        </w:rPr>
        <w:t xml:space="preserve"> 招标工程量清单缺项</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2.3.5.1</w:t>
      </w:r>
      <w:r>
        <w:rPr>
          <w:rFonts w:hint="eastAsia" w:ascii="Times New Roman"/>
          <w:snapToGrid w:val="0"/>
          <w:color w:val="auto"/>
          <w:kern w:val="0"/>
          <w:szCs w:val="24"/>
          <w:highlight w:val="none"/>
        </w:rPr>
        <w:t xml:space="preserve"> 合同履行期间，由于招标工程量清单中缺项，新增分部分项工程清单项目，应按照本章第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子目的规定确定单价，并调整合同价款。</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2.3.5.2</w:t>
      </w:r>
      <w:r>
        <w:rPr>
          <w:rFonts w:hint="eastAsia" w:ascii="Times New Roman"/>
          <w:snapToGrid w:val="0"/>
          <w:color w:val="auto"/>
          <w:kern w:val="0"/>
          <w:szCs w:val="24"/>
          <w:highlight w:val="none"/>
        </w:rPr>
        <w:t xml:space="preserve"> 新增分部分项工程清单项目后，引起措施项目发生变化的，应按照本章第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子目的规定，在承包人提交的实施方案被发包人批准后调整合同价款。</w:t>
      </w: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2.3.5.3</w:t>
      </w:r>
      <w:r>
        <w:rPr>
          <w:rFonts w:hint="eastAsia" w:ascii="Times New Roman"/>
          <w:snapToGrid w:val="0"/>
          <w:color w:val="auto"/>
          <w:kern w:val="0"/>
          <w:szCs w:val="24"/>
          <w:highlight w:val="none"/>
        </w:rPr>
        <w:t xml:space="preserve"> 由于招标工程量清单中措施项目缺项，承包人应将新增措施项目实施方案提交发包人批准后，按照本章第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子目的规定调整合同价款。</w:t>
      </w:r>
    </w:p>
    <w:p>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2.3.6</w:t>
      </w:r>
      <w:r>
        <w:rPr>
          <w:rFonts w:hint="eastAsia" w:ascii="Times New Roman"/>
          <w:bCs/>
          <w:snapToGrid w:val="0"/>
          <w:color w:val="auto"/>
          <w:kern w:val="0"/>
          <w:szCs w:val="28"/>
          <w:highlight w:val="none"/>
        </w:rPr>
        <w:t xml:space="preserve"> 物价变化</w:t>
      </w:r>
    </w:p>
    <w:p>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2.3.6.1</w:t>
      </w:r>
      <w:r>
        <w:rPr>
          <w:rFonts w:hint="eastAsia" w:ascii="Times New Roman"/>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Times New Roman"/>
          <w:snapToGrid w:val="0"/>
          <w:color w:val="auto"/>
          <w:kern w:val="0"/>
          <w:szCs w:val="24"/>
          <w:highlight w:val="none"/>
        </w:rPr>
        <w:t>以下简称“中标人工费”</w:t>
      </w:r>
      <w:r>
        <w:rPr>
          <w:rFonts w:hint="eastAsia" w:ascii="Times New Roman"/>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bCs/>
          <w:snapToGrid w:val="0"/>
          <w:color w:val="auto"/>
          <w:kern w:val="0"/>
          <w:szCs w:val="28"/>
          <w:highlight w:val="none"/>
        </w:rPr>
        <w:t>结算人工费＝中标人工费×</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bCs/>
          <w:snapToGrid w:val="0"/>
          <w:color w:val="auto"/>
          <w:kern w:val="0"/>
          <w:szCs w:val="28"/>
          <w:highlight w:val="none"/>
        </w:rPr>
        <w:t>式中，F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为施工当月项目所在地工程造价管理机构发布的动态人工调整系数。</w:t>
      </w: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2.3.6.2</w:t>
      </w:r>
      <w:r>
        <w:rPr>
          <w:rFonts w:hint="eastAsia" w:ascii="Times New Roman"/>
          <w:snapToGrid w:val="0"/>
          <w:color w:val="auto"/>
          <w:kern w:val="0"/>
          <w:szCs w:val="24"/>
          <w:highlight w:val="none"/>
        </w:rPr>
        <w:t xml:space="preserve"> 本招标项目约定，材料、工程设备单价涨跌风险幅度值A为</w:t>
      </w:r>
      <w:r>
        <w:rPr>
          <w:rFonts w:hint="eastAsia" w:ascii="Times New Roman"/>
          <w:snapToGrid w:val="0"/>
          <w:color w:val="auto"/>
          <w:kern w:val="0"/>
          <w:szCs w:val="24"/>
          <w:highlight w:val="none"/>
          <w:u w:val="single"/>
        </w:rPr>
        <w:t xml:space="preserve"> 5% </w:t>
      </w:r>
      <w:r>
        <w:rPr>
          <w:rFonts w:hint="eastAsia" w:ascii="Times New Roman"/>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pPr>
        <w:spacing w:line="418"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T1l&#10;kNkAAAAJAQAADwAAAAAAAAABACAAAAAiAAAAZHJzL2Rvd25yZXYueG1sUEsBAhQAFAAAAAgAh07i&#10;QDLYJceTAgAAuQUAAA4AAAAAAAAAAQAgAAAAKAEAAGRycy9lMm9Eb2MueG1sUEsFBgAAAAAGAAYA&#10;WQEAAC0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a</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28"/>
          <w:szCs w:val="28"/>
          <w:highlight w:val="none"/>
        </w:rPr>
        <w:t>F</w:t>
      </w:r>
      <w:r>
        <w:rPr>
          <w:rFonts w:hAnsi="宋体" w:cs="宋体"/>
          <w:color w:val="auto"/>
          <w:spacing w:val="1"/>
          <w:szCs w:val="24"/>
          <w:highlight w:val="none"/>
        </w:rPr>
        <w:t>＋</w:t>
      </w:r>
      <w:r>
        <w:rPr>
          <w:rFonts w:ascii="Times New Roman" w:eastAsia="Times New Roman"/>
          <w:color w:val="auto"/>
          <w:sz w:val="28"/>
          <w:szCs w:val="28"/>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pPr>
        <w:pStyle w:val="11"/>
        <w:tabs>
          <w:tab w:val="left" w:pos="2817"/>
        </w:tabs>
        <w:spacing w:after="0" w:line="200" w:lineRule="exact"/>
        <w:ind w:left="2426"/>
        <w:jc w:val="left"/>
        <w:rPr>
          <w:color w:val="auto"/>
          <w:sz w:val="15"/>
          <w:szCs w:val="15"/>
          <w:highlight w:val="none"/>
        </w:rPr>
      </w:pPr>
      <w:r>
        <w:rPr>
          <w:color w:val="auto"/>
          <w:sz w:val="15"/>
          <w:szCs w:val="15"/>
          <w:highlight w:val="none"/>
        </w:rPr>
        <mc:AlternateContent>
          <mc:Choice Requires="wps">
            <w:drawing>
              <wp:anchor distT="0" distB="0" distL="114300" distR="114300" simplePos="0" relativeHeight="251660288"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55.65pt;margin-top:2.35pt;height:19.4pt;width:17.4pt;mso-position-horizontal-relative:page;z-index:-251656192;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bHiCdcAAAAIAQAADwAAAAAAAAABACAAAAAiAAAAZHJzL2Rvd25yZXYu&#10;eG1sUEsBAhQAFAAAAAgAh07iQIWXv2PDAQAAgAMAAA4AAAAAAAAAAQAgAAAAJgEAAGRycy9lMm9E&#10;b2MueG1sUEsFBgAAAAAGAAYAWQEAAFsFAAAAAA==&#10;">
                <v:fill on="f" focussize="0,0"/>
                <v:stroke on="f"/>
                <v:imagedata o:title=""/>
                <o:lock v:ext="edit" aspectratio="f"/>
                <v:textbox inset="0mm,0mm,0mm,0mm">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5"/>
          <w:szCs w:val="15"/>
          <w:highlight w:val="none"/>
        </w:rPr>
        <w:t>1</w:t>
      </w:r>
      <w:r>
        <w:rPr>
          <w:color w:val="auto"/>
          <w:sz w:val="15"/>
          <w:szCs w:val="15"/>
          <w:highlight w:val="none"/>
        </w:rPr>
        <w:tab/>
      </w:r>
      <w:r>
        <w:rPr>
          <w:color w:val="auto"/>
          <w:sz w:val="15"/>
          <w:szCs w:val="15"/>
          <w:highlight w:val="none"/>
        </w:rPr>
        <w:t>0</w:t>
      </w:r>
    </w:p>
    <w:p>
      <w:pPr>
        <w:pStyle w:val="11"/>
        <w:spacing w:after="0" w:line="240" w:lineRule="exact"/>
        <w:ind w:left="3454" w:right="4848"/>
        <w:jc w:val="center"/>
        <w:rPr>
          <w:color w:val="auto"/>
          <w:sz w:val="15"/>
          <w:szCs w:val="15"/>
          <w:highlight w:val="none"/>
        </w:rPr>
      </w:pPr>
    </w:p>
    <w:p>
      <w:pPr>
        <w:spacing w:before="4" w:line="170" w:lineRule="exact"/>
        <w:rPr>
          <w:color w:val="auto"/>
          <w:sz w:val="17"/>
          <w:szCs w:val="17"/>
          <w:highlight w:val="none"/>
        </w:rPr>
      </w:pPr>
    </w:p>
    <w:p>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SYse3ZAAAACQEAAA8AAAAAAAAAAQAgAAAAIgAAAGRycy9kb3ducmV2LnhtbFBLAQIUABQAAAAI&#10;AIdO4kAfLBSZlwIAALkFAAAOAAAAAAAAAAEAIAAAACgBAABkcnMvZTJvRG9jLnhtbFBLBQYAAAAA&#10;BgAGAFkBAAAx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0"/>
          <w:szCs w:val="30"/>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pPr>
        <w:pStyle w:val="11"/>
        <w:tabs>
          <w:tab w:val="left" w:pos="2870"/>
        </w:tabs>
        <w:spacing w:line="142" w:lineRule="exact"/>
        <w:ind w:left="249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pPr>
        <w:pStyle w:val="11"/>
        <w:spacing w:before="26"/>
        <w:ind w:left="3496" w:right="4830"/>
        <w:jc w:val="center"/>
        <w:rPr>
          <w:color w:val="auto"/>
          <w:highlight w:val="none"/>
        </w:rPr>
      </w:pPr>
    </w:p>
    <w:p>
      <w:pPr>
        <w:spacing w:before="6" w:line="170" w:lineRule="exact"/>
        <w:rPr>
          <w:color w:val="auto"/>
          <w:sz w:val="17"/>
          <w:szCs w:val="17"/>
          <w:highlight w:val="none"/>
        </w:rPr>
      </w:pPr>
    </w:p>
    <w:p>
      <w:pPr>
        <w:spacing w:line="404"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3RlF/2gAAAAkBAAAPAAAAAAAAAAEAIAAAACIAAABkcnMvZG93bnJldi54bWxQSwECFAAUAAAA&#10;CACHTuJAJF6YdJcCAAC5BQAADgAAAAAAAAABACAAAAApAQAAZHJzL2Uyb0RvYy54bWxQSwUGAAAA&#10;AAYABgBZAQAAMg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b</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5"/>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2"/>
          <w:szCs w:val="32"/>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7"/>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pPr>
        <w:pStyle w:val="11"/>
        <w:tabs>
          <w:tab w:val="left" w:pos="2815"/>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r>
                              <w:rPr>
                                <w:rFonts w:ascii="Times New Roman" w:eastAsia="Times New Roman"/>
                                <w:spacing w:val="-39"/>
                                <w:position w:val="15"/>
                                <w:szCs w:val="24"/>
                              </w:rPr>
                              <w:t>F</w:t>
                            </w:r>
                            <w:r>
                              <w:rPr>
                                <w:rFonts w:ascii="Times New Roman" w:eastAsia="Times New Roman"/>
                                <w:position w:val="9"/>
                                <w:sz w:val="14"/>
                                <w:szCs w:val="14"/>
                              </w:rPr>
                              <w:t>1</w:t>
                            </w:r>
                          </w:p>
                          <w:p/>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r>
                        <w:rPr>
                          <w:rFonts w:ascii="Times New Roman" w:eastAsia="Times New Roman"/>
                          <w:spacing w:val="-39"/>
                          <w:position w:val="15"/>
                          <w:szCs w:val="24"/>
                        </w:rPr>
                        <w:t>F</w:t>
                      </w:r>
                      <w:r>
                        <w:rPr>
                          <w:rFonts w:ascii="Times New Roman" w:eastAsia="Times New Roman"/>
                          <w:position w:val="9"/>
                          <w:sz w:val="14"/>
                          <w:szCs w:val="14"/>
                        </w:rPr>
                        <w:t>1</w:t>
                      </w:r>
                    </w:p>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pPr>
        <w:pStyle w:val="11"/>
        <w:spacing w:before="26"/>
        <w:ind w:left="3441" w:right="4885"/>
        <w:jc w:val="center"/>
        <w:rPr>
          <w:color w:val="auto"/>
          <w:highlight w:val="none"/>
        </w:rPr>
      </w:pPr>
    </w:p>
    <w:p>
      <w:pPr>
        <w:spacing w:before="3" w:line="170" w:lineRule="exact"/>
        <w:rPr>
          <w:color w:val="auto"/>
          <w:sz w:val="17"/>
          <w:szCs w:val="17"/>
          <w:highlight w:val="none"/>
        </w:rPr>
      </w:pPr>
    </w:p>
    <w:p>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LUoKJyYAgAAuwUAAA4AAAAAAAAAAQAgAAAAKQEAAGRycy9lMm9Eb2MueG1sUEsFBgAA&#10;AAAGAAYAWQEAADMGA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pPr>
        <w:pStyle w:val="11"/>
        <w:tabs>
          <w:tab w:val="left" w:pos="2884"/>
        </w:tabs>
        <w:spacing w:line="142" w:lineRule="exact"/>
        <w:ind w:firstLine="2520" w:firstLineChars="1800"/>
        <w:jc w:val="left"/>
        <w:rPr>
          <w:color w:val="auto"/>
          <w:highlight w:val="none"/>
        </w:rPr>
      </w:pPr>
      <w:r>
        <w:rPr>
          <w:color w:val="auto"/>
          <w:sz w:val="14"/>
          <w:szCs w:val="14"/>
          <w:highlight w:val="none"/>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pPr>
        <w:spacing w:before="4" w:line="110" w:lineRule="exact"/>
        <w:rPr>
          <w:color w:val="auto"/>
          <w:sz w:val="11"/>
          <w:szCs w:val="11"/>
          <w:highlight w:val="none"/>
        </w:rPr>
      </w:pPr>
    </w:p>
    <w:p>
      <w:pPr>
        <w:spacing w:line="200" w:lineRule="exact"/>
        <w:rPr>
          <w:color w:val="auto"/>
          <w:sz w:val="20"/>
          <w:highlight w:val="none"/>
        </w:rPr>
      </w:pPr>
    </w:p>
    <w:p>
      <w:pPr>
        <w:spacing w:line="200" w:lineRule="exact"/>
        <w:rPr>
          <w:color w:val="auto"/>
          <w:sz w:val="20"/>
          <w:highlight w:val="none"/>
        </w:rPr>
      </w:pPr>
    </w:p>
    <w:p>
      <w:pPr>
        <w:spacing w:line="404"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yHv72gAAAAkBAAAPAAAAAAAAAAEAIAAAACIAAABkcnMvZG93bnJldi54bWxQSwECFAAUAAAA&#10;CACHTuJA/tYtu5cCAAC7BQAADgAAAAAAAAABACAAAAApAQAAZHJzL2Uyb0RvYy54bWxQSwUGAAAA&#10;AAYABgBZAQAAMg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c</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pPr>
        <w:pStyle w:val="11"/>
        <w:tabs>
          <w:tab w:val="left" w:pos="2817"/>
        </w:tabs>
        <w:spacing w:line="142" w:lineRule="exact"/>
        <w:ind w:left="2424"/>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color w:val="auto"/>
          <w:sz w:val="14"/>
          <w:szCs w:val="14"/>
          <w:highlight w:val="none"/>
        </w:rPr>
        <w:tab/>
      </w:r>
      <w:r>
        <w:rPr>
          <w:color w:val="auto"/>
          <w:sz w:val="14"/>
          <w:szCs w:val="14"/>
          <w:highlight w:val="none"/>
        </w:rPr>
        <w:t>0</w:t>
      </w:r>
    </w:p>
    <w:p>
      <w:pPr>
        <w:pStyle w:val="11"/>
        <w:spacing w:before="26"/>
        <w:ind w:left="3454" w:right="4848"/>
        <w:jc w:val="center"/>
        <w:rPr>
          <w:color w:val="auto"/>
          <w:sz w:val="14"/>
          <w:szCs w:val="14"/>
          <w:highlight w:val="none"/>
        </w:rPr>
      </w:pPr>
    </w:p>
    <w:p>
      <w:pPr>
        <w:spacing w:before="4" w:line="170" w:lineRule="exact"/>
        <w:rPr>
          <w:color w:val="auto"/>
          <w:sz w:val="17"/>
          <w:szCs w:val="17"/>
          <w:highlight w:val="none"/>
        </w:rPr>
      </w:pPr>
    </w:p>
    <w:p>
      <w:pPr>
        <w:spacing w:line="405"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Iw65h2gAAAAkBAAAPAAAAAAAAAAEAIAAAACIAAABkcnMvZG93bnJldi54bWxQSwECFAAUAAAA&#10;CACHTuJAhAcWJZcCAAC7BQAADgAAAAAAAAABACAAAAApAQAAZHJzL2Uyb0RvYy54bWxQSwUGAAAA&#10;AAYABgBZAQAAMg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pPr>
        <w:pStyle w:val="11"/>
        <w:tabs>
          <w:tab w:val="left" w:pos="2884"/>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pPr>
        <w:pStyle w:val="11"/>
        <w:spacing w:before="26"/>
        <w:ind w:left="3521" w:right="4781"/>
        <w:jc w:val="center"/>
        <w:rPr>
          <w:color w:val="auto"/>
          <w:sz w:val="14"/>
          <w:szCs w:val="14"/>
          <w:highlight w:val="none"/>
        </w:rPr>
      </w:pPr>
    </w:p>
    <w:p>
      <w:pPr>
        <w:spacing w:before="3" w:line="120" w:lineRule="exact"/>
        <w:rPr>
          <w:color w:val="auto"/>
          <w:sz w:val="12"/>
          <w:szCs w:val="12"/>
          <w:highlight w:val="none"/>
        </w:rPr>
      </w:pPr>
    </w:p>
    <w:p>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hint="eastAsia" w:ascii="Times New Roman"/>
          <w:bCs/>
          <w:snapToGrid w:val="0"/>
          <w:color w:val="auto"/>
          <w:kern w:val="0"/>
          <w:szCs w:val="28"/>
          <w:highlight w:val="none"/>
        </w:rPr>
        <w:t>为基准单价；</w:t>
      </w:r>
      <w:r>
        <w:rPr>
          <w:rFonts w:ascii="Times New Roman"/>
          <w:bCs/>
          <w:snapToGrid w:val="0"/>
          <w:color w:val="auto"/>
          <w:kern w:val="0"/>
          <w:szCs w:val="28"/>
          <w:highlight w:val="none"/>
        </w:rPr>
        <w:t>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为施工当月项目所在地工程造价管理机构发布的材料、工程设备单价；A为合同约定的材料、工程设备单价涨跌风险幅度值。</w:t>
      </w:r>
    </w:p>
    <w:p>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bCs/>
          <w:snapToGrid w:val="0"/>
          <w:color w:val="auto"/>
          <w:kern w:val="0"/>
          <w:szCs w:val="24"/>
          <w:highlight w:val="none"/>
        </w:rPr>
        <w:t>2.3.6.3</w:t>
      </w:r>
      <w:r>
        <w:rPr>
          <w:rFonts w:hint="eastAsia" w:ascii="Times New Roman"/>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2.3.6.4</w:t>
      </w:r>
      <w:r>
        <w:rPr>
          <w:rFonts w:hint="eastAsia" w:ascii="Times New Roman"/>
          <w:snapToGrid w:val="0"/>
          <w:color w:val="auto"/>
          <w:kern w:val="0"/>
          <w:szCs w:val="24"/>
          <w:highlight w:val="none"/>
        </w:rPr>
        <w:t xml:space="preserve"> 本招标项目约定，施工机具台班单价涨跌风险幅度值B为</w:t>
      </w:r>
      <w:r>
        <w:rPr>
          <w:rFonts w:hint="eastAsia" w:ascii="Times New Roman"/>
          <w:snapToGrid w:val="0"/>
          <w:color w:val="auto"/>
          <w:kern w:val="0"/>
          <w:szCs w:val="24"/>
          <w:highlight w:val="none"/>
          <w:u w:val="single"/>
        </w:rPr>
        <w:t xml:space="preserve"> 10% </w:t>
      </w:r>
      <w:r>
        <w:rPr>
          <w:rFonts w:hint="eastAsia" w:ascii="Times New Roman"/>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pPr>
        <w:spacing w:line="418" w:lineRule="exact"/>
        <w:ind w:left="120" w:firstLine="241" w:firstLineChars="100"/>
        <w:jc w:val="left"/>
        <w:rPr>
          <w:rFonts w:hAnsi="宋体" w:cs="宋体"/>
          <w:color w:val="auto"/>
          <w:szCs w:val="24"/>
          <w:highlight w:val="none"/>
        </w:rPr>
      </w:pPr>
      <w:r>
        <w:rPr>
          <w:b/>
          <w:bCs/>
          <w:color w:val="auto"/>
          <w:highlight w:val="none"/>
        </w:rPr>
        <mc:AlternateContent>
          <mc:Choice Requires="wpg">
            <w:drawing>
              <wp:anchor distT="0" distB="0" distL="114300" distR="114300" simplePos="0" relativeHeight="251673600"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3600;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T1lkNkAAAAJAQAADwAAAAAAAAABACAAAAAiAAAAZHJzL2Rvd25yZXYueG1sUEsBAhQAFAAAAAgA&#10;h07iQKa3+gyWAgAAuwUAAA4AAAAAAAAAAQAgAAAAKAEAAGRycy9lMm9Eb2MueG1sUEsFBgAAAAAG&#10;AAYAWQEAADA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28"/>
          <w:szCs w:val="28"/>
          <w:highlight w:val="none"/>
        </w:rPr>
        <w:t>F</w:t>
      </w:r>
      <w:r>
        <w:rPr>
          <w:rFonts w:hAnsi="宋体" w:cs="宋体"/>
          <w:color w:val="auto"/>
          <w:spacing w:val="1"/>
          <w:szCs w:val="24"/>
          <w:highlight w:val="none"/>
        </w:rPr>
        <w:t>＋</w:t>
      </w:r>
      <w:r>
        <w:rPr>
          <w:rFonts w:ascii="Times New Roman" w:eastAsia="Times New Roman"/>
          <w:color w:val="auto"/>
          <w:sz w:val="28"/>
          <w:szCs w:val="28"/>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pPr>
        <w:pStyle w:val="11"/>
        <w:tabs>
          <w:tab w:val="left" w:pos="2817"/>
        </w:tabs>
        <w:spacing w:after="0" w:line="200" w:lineRule="exact"/>
        <w:ind w:left="2426"/>
        <w:jc w:val="left"/>
        <w:rPr>
          <w:color w:val="auto"/>
          <w:sz w:val="15"/>
          <w:szCs w:val="15"/>
          <w:highlight w:val="none"/>
        </w:rPr>
      </w:pPr>
      <w:r>
        <w:rPr>
          <w:color w:val="auto"/>
          <w:sz w:val="15"/>
          <w:szCs w:val="15"/>
          <w:highlight w:val="none"/>
        </w:rPr>
        <mc:AlternateContent>
          <mc:Choice Requires="wps">
            <w:drawing>
              <wp:anchor distT="0" distB="0" distL="114300" distR="114300" simplePos="0" relativeHeight="251674624"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4624;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5"/>
          <w:szCs w:val="15"/>
          <w:highlight w:val="none"/>
        </w:rPr>
        <w:t>1</w:t>
      </w:r>
      <w:r>
        <w:rPr>
          <w:color w:val="auto"/>
          <w:sz w:val="15"/>
          <w:szCs w:val="15"/>
          <w:highlight w:val="none"/>
        </w:rPr>
        <w:tab/>
      </w:r>
      <w:r>
        <w:rPr>
          <w:color w:val="auto"/>
          <w:sz w:val="15"/>
          <w:szCs w:val="15"/>
          <w:highlight w:val="none"/>
        </w:rPr>
        <w:t>0</w:t>
      </w:r>
    </w:p>
    <w:p>
      <w:pPr>
        <w:pStyle w:val="11"/>
        <w:spacing w:after="0" w:line="240" w:lineRule="exact"/>
        <w:ind w:left="3454" w:right="4848"/>
        <w:jc w:val="center"/>
        <w:rPr>
          <w:color w:val="auto"/>
          <w:sz w:val="15"/>
          <w:szCs w:val="15"/>
          <w:highlight w:val="none"/>
        </w:rPr>
      </w:pPr>
    </w:p>
    <w:p>
      <w:pPr>
        <w:spacing w:before="4" w:line="170" w:lineRule="exact"/>
        <w:rPr>
          <w:color w:val="auto"/>
          <w:sz w:val="17"/>
          <w:szCs w:val="17"/>
          <w:highlight w:val="none"/>
        </w:rPr>
      </w:pPr>
    </w:p>
    <w:p>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75648"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564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mLHt2QAAAAkBAAAPAAAAAAAAAAEAIAAAACIAAABkcnMvZG93bnJldi54bWxQSwECFAAUAAAA&#10;CACHTuJA6dm7gZgCAAC7BQAADgAAAAAAAAABACAAAAAoAQAAZHJzL2Uyb0RvYy54bWxQSwUGAAAA&#10;AAYABgBZAQAAM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0"/>
          <w:szCs w:val="30"/>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pPr>
        <w:pStyle w:val="11"/>
        <w:tabs>
          <w:tab w:val="left" w:pos="2870"/>
        </w:tabs>
        <w:spacing w:line="142" w:lineRule="exact"/>
        <w:ind w:left="2490"/>
        <w:jc w:val="left"/>
        <w:rPr>
          <w:color w:val="auto"/>
          <w:highlight w:val="none"/>
        </w:rPr>
      </w:pPr>
      <w:r>
        <w:rPr>
          <w:color w:val="auto"/>
          <w:sz w:val="14"/>
          <w:szCs w:val="14"/>
          <w:highlight w:val="none"/>
        </w:rPr>
        <mc:AlternateContent>
          <mc:Choice Requires="wps">
            <w:drawing>
              <wp:anchor distT="0" distB="0" distL="114300" distR="114300" simplePos="0" relativeHeight="251676672"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66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b</w:t>
      </w:r>
      <w:r>
        <w:rPr>
          <w:rFonts w:hint="eastAsia" w:ascii="Times New Roman"/>
          <w:snapToGrid w:val="0"/>
          <w:color w:val="auto"/>
          <w:kern w:val="0"/>
          <w:szCs w:val="24"/>
          <w:highlight w:val="none"/>
        </w:rPr>
        <w:t>．如果中标单价高于基准单价，该施工机具台班的结算单价调整公式为：</w:t>
      </w:r>
    </w:p>
    <w:p>
      <w:pPr>
        <w:spacing w:line="404" w:lineRule="exact"/>
        <w:ind w:left="120" w:firstLine="208" w:firstLineChars="100"/>
        <w:jc w:val="left"/>
        <w:rPr>
          <w:rFonts w:hAnsi="宋体" w:cs="宋体"/>
          <w:color w:val="auto"/>
          <w:szCs w:val="24"/>
          <w:highlight w:val="none"/>
        </w:rPr>
      </w:pP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5"/>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2"/>
          <w:szCs w:val="32"/>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7"/>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pPr>
        <w:pStyle w:val="11"/>
        <w:tabs>
          <w:tab w:val="left" w:pos="2815"/>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r>
                              <w:rPr>
                                <w:rFonts w:ascii="Times New Roman" w:eastAsia="Times New Roman"/>
                                <w:spacing w:val="-39"/>
                                <w:position w:val="15"/>
                                <w:szCs w:val="24"/>
                              </w:rPr>
                              <w:t>F</w:t>
                            </w:r>
                            <w:r>
                              <w:rPr>
                                <w:rFonts w:ascii="Times New Roman" w:eastAsia="Times New Roman"/>
                                <w:position w:val="9"/>
                                <w:sz w:val="14"/>
                                <w:szCs w:val="14"/>
                              </w:rPr>
                              <w:t>1</w:t>
                            </w:r>
                          </w:p>
                          <w:p/>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76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r>
                        <w:rPr>
                          <w:rFonts w:ascii="Times New Roman" w:eastAsia="Times New Roman"/>
                          <w:spacing w:val="-39"/>
                          <w:position w:val="15"/>
                          <w:szCs w:val="24"/>
                        </w:rPr>
                        <w:t>F</w:t>
                      </w:r>
                      <w:r>
                        <w:rPr>
                          <w:rFonts w:ascii="Times New Roman" w:eastAsia="Times New Roman"/>
                          <w:position w:val="9"/>
                          <w:sz w:val="14"/>
                          <w:szCs w:val="14"/>
                        </w:rPr>
                        <w:t>1</w:t>
                      </w:r>
                    </w:p>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pPr>
        <w:pStyle w:val="11"/>
        <w:spacing w:before="26"/>
        <w:ind w:left="3441" w:right="4885"/>
        <w:jc w:val="center"/>
        <w:rPr>
          <w:color w:val="auto"/>
          <w:sz w:val="20"/>
          <w:highlight w:val="none"/>
        </w:rPr>
      </w:pPr>
    </w:p>
    <w:p>
      <w:pPr>
        <w:spacing w:before="3" w:line="170" w:lineRule="exact"/>
        <w:rPr>
          <w:color w:val="auto"/>
          <w:sz w:val="17"/>
          <w:szCs w:val="17"/>
          <w:highlight w:val="none"/>
        </w:rPr>
      </w:pPr>
    </w:p>
    <w:p>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78720"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872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OslQW+YAgAAuwUAAA4AAAAAAAAAAQAgAAAAKQEAAGRycy9lMm9Eb2MueG1sUEsFBgAA&#10;AAAGAAYAWQEAADM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pPr>
        <w:pStyle w:val="11"/>
        <w:tabs>
          <w:tab w:val="left" w:pos="2884"/>
        </w:tabs>
        <w:spacing w:line="142" w:lineRule="exact"/>
        <w:ind w:firstLine="2520" w:firstLineChars="1800"/>
        <w:jc w:val="left"/>
        <w:rPr>
          <w:color w:val="auto"/>
          <w:highlight w:val="none"/>
        </w:rPr>
      </w:pPr>
      <w:r>
        <w:rPr>
          <w:color w:val="auto"/>
          <w:sz w:val="14"/>
          <w:szCs w:val="14"/>
          <w:highlight w:val="none"/>
        </w:rPr>
        <mc:AlternateContent>
          <mc:Choice Requires="wps">
            <w:drawing>
              <wp:anchor distT="0" distB="0" distL="114300" distR="114300" simplePos="0" relativeHeight="251679744"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79744;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pPr>
        <w:spacing w:line="200" w:lineRule="exact"/>
        <w:rPr>
          <w:color w:val="auto"/>
          <w:sz w:val="20"/>
          <w:highlight w:val="none"/>
        </w:rPr>
      </w:pP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c</w:t>
      </w:r>
      <w:r>
        <w:rPr>
          <w:rFonts w:hint="eastAsia" w:ascii="Times New Roman"/>
          <w:snapToGrid w:val="0"/>
          <w:color w:val="auto"/>
          <w:kern w:val="0"/>
          <w:szCs w:val="24"/>
          <w:highlight w:val="none"/>
        </w:rPr>
        <w:t>．如果中标单价等于基准单价，该施工机具台班的结算单价调整公式为：</w:t>
      </w:r>
    </w:p>
    <w:p>
      <w:pPr>
        <w:spacing w:line="404" w:lineRule="exact"/>
        <w:ind w:left="120" w:firstLine="208" w:firstLineChars="100"/>
        <w:jc w:val="left"/>
        <w:rPr>
          <w:rFonts w:hAnsi="宋体" w:cs="宋体"/>
          <w:color w:val="auto"/>
          <w:szCs w:val="24"/>
          <w:highlight w:val="none"/>
        </w:rPr>
      </w:pP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pPr>
        <w:pStyle w:val="11"/>
        <w:tabs>
          <w:tab w:val="left" w:pos="2817"/>
        </w:tabs>
        <w:spacing w:line="142" w:lineRule="exact"/>
        <w:ind w:left="2424"/>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076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color w:val="auto"/>
          <w:sz w:val="14"/>
          <w:szCs w:val="14"/>
          <w:highlight w:val="none"/>
        </w:rPr>
        <w:tab/>
      </w:r>
      <w:r>
        <w:rPr>
          <w:color w:val="auto"/>
          <w:sz w:val="14"/>
          <w:szCs w:val="14"/>
          <w:highlight w:val="none"/>
        </w:rPr>
        <w:t>0</w:t>
      </w:r>
    </w:p>
    <w:p>
      <w:pPr>
        <w:pStyle w:val="11"/>
        <w:spacing w:before="26"/>
        <w:ind w:left="3454" w:right="4848"/>
        <w:jc w:val="center"/>
        <w:rPr>
          <w:color w:val="auto"/>
          <w:sz w:val="14"/>
          <w:szCs w:val="14"/>
          <w:highlight w:val="none"/>
        </w:rPr>
      </w:pPr>
    </w:p>
    <w:p>
      <w:pPr>
        <w:spacing w:before="4" w:line="170" w:lineRule="exact"/>
        <w:rPr>
          <w:color w:val="auto"/>
          <w:sz w:val="17"/>
          <w:szCs w:val="17"/>
          <w:highlight w:val="none"/>
        </w:rPr>
      </w:pPr>
    </w:p>
    <w:p>
      <w:pPr>
        <w:spacing w:line="405"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81792"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179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jDrmHaAAAACQEAAA8AAAAAAAAAAQAgAAAAIgAAAGRycy9kb3ducmV2LnhtbFBLAQIUABQA&#10;AAAIAIdO4kDpLYXumQIAALsFAAAOAAAAAAAAAAEAIAAAACkBAABkcnMvZTJvRG9jLnhtbFBLBQYA&#10;AAAABgAGAFkBAAA0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pPr>
        <w:pStyle w:val="11"/>
        <w:tabs>
          <w:tab w:val="left" w:pos="2884"/>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82816"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2816;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pPr>
        <w:pStyle w:val="11"/>
        <w:spacing w:before="26"/>
        <w:ind w:left="3521" w:right="4781"/>
        <w:jc w:val="center"/>
        <w:rPr>
          <w:color w:val="auto"/>
          <w:sz w:val="14"/>
          <w:szCs w:val="14"/>
          <w:highlight w:val="none"/>
        </w:rPr>
      </w:pPr>
    </w:p>
    <w:p>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hint="eastAsia" w:ascii="Times New Roman"/>
          <w:bCs/>
          <w:snapToGrid w:val="0"/>
          <w:color w:val="auto"/>
          <w:kern w:val="0"/>
          <w:szCs w:val="28"/>
          <w:highlight w:val="none"/>
        </w:rPr>
        <w:t>为基准单价；</w:t>
      </w:r>
      <w:r>
        <w:rPr>
          <w:rFonts w:ascii="Times New Roman"/>
          <w:bCs/>
          <w:snapToGrid w:val="0"/>
          <w:color w:val="auto"/>
          <w:kern w:val="0"/>
          <w:szCs w:val="28"/>
          <w:highlight w:val="none"/>
        </w:rPr>
        <w:t>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为施工当月项目所在地工程造价管理机构发布的施工机具台班单价；B为合同约定的施工机具台班单价涨跌风险幅度值。</w:t>
      </w:r>
    </w:p>
    <w:p>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2.3.7</w:t>
      </w:r>
      <w:r>
        <w:rPr>
          <w:rFonts w:hint="eastAsia" w:ascii="Times New Roman"/>
          <w:bCs/>
          <w:snapToGrid w:val="0"/>
          <w:color w:val="auto"/>
          <w:kern w:val="0"/>
          <w:szCs w:val="28"/>
          <w:highlight w:val="none"/>
        </w:rPr>
        <w:t xml:space="preserve"> 暂估价和暂列金额</w:t>
      </w:r>
    </w:p>
    <w:p>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2.3.7.1</w:t>
      </w:r>
      <w:r>
        <w:rPr>
          <w:rFonts w:hint="eastAsia" w:ascii="Times New Roman"/>
          <w:bCs/>
          <w:snapToGrid w:val="0"/>
          <w:color w:val="auto"/>
          <w:kern w:val="0"/>
          <w:szCs w:val="28"/>
          <w:highlight w:val="none"/>
        </w:rPr>
        <w:t xml:space="preserve"> 暂估价项目按第一章第三节“投标人须知正文”第</w:t>
      </w:r>
      <w:r>
        <w:rPr>
          <w:rFonts w:hint="eastAsia" w:ascii="Times New Roman"/>
          <w:b/>
          <w:bCs/>
          <w:snapToGrid w:val="0"/>
          <w:color w:val="auto"/>
          <w:kern w:val="0"/>
          <w:highlight w:val="none"/>
        </w:rPr>
        <w:t>8.5</w:t>
      </w:r>
      <w:r>
        <w:rPr>
          <w:rFonts w:hint="eastAsia" w:ascii="Times New Roman"/>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2.3.7.2</w:t>
      </w:r>
      <w:r>
        <w:rPr>
          <w:rFonts w:hint="eastAsia" w:ascii="Times New Roman"/>
          <w:bCs/>
          <w:snapToGrid w:val="0"/>
          <w:color w:val="auto"/>
          <w:kern w:val="0"/>
          <w:szCs w:val="28"/>
          <w:highlight w:val="none"/>
        </w:rPr>
        <w:t xml:space="preserve"> 暂列金额由发包人掌握和使用。暂列金额项目若有发生，按第一章第三节“投标人须知正文”第</w:t>
      </w:r>
      <w:r>
        <w:rPr>
          <w:rFonts w:hint="eastAsia" w:ascii="Times New Roman"/>
          <w:b/>
          <w:snapToGrid w:val="0"/>
          <w:color w:val="auto"/>
          <w:kern w:val="0"/>
          <w:szCs w:val="28"/>
          <w:highlight w:val="none"/>
        </w:rPr>
        <w:t>8.6</w:t>
      </w:r>
      <w:r>
        <w:rPr>
          <w:rFonts w:hint="eastAsia" w:ascii="Times New Roman"/>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w:t>
      </w:r>
      <w:r>
        <w:rPr>
          <w:rFonts w:ascii="Times New Roman"/>
          <w:bCs/>
          <w:snapToGrid w:val="0"/>
          <w:color w:val="auto"/>
          <w:kern w:val="0"/>
          <w:szCs w:val="28"/>
          <w:highlight w:val="none"/>
        </w:rPr>
        <w:t>余额</w:t>
      </w:r>
      <w:r>
        <w:rPr>
          <w:rFonts w:hint="eastAsia" w:ascii="Times New Roman"/>
          <w:bCs/>
          <w:snapToGrid w:val="0"/>
          <w:color w:val="auto"/>
          <w:kern w:val="0"/>
          <w:szCs w:val="28"/>
          <w:highlight w:val="none"/>
        </w:rPr>
        <w:t>（若有）</w:t>
      </w:r>
      <w:r>
        <w:rPr>
          <w:rFonts w:ascii="Times New Roman"/>
          <w:bCs/>
          <w:snapToGrid w:val="0"/>
          <w:color w:val="auto"/>
          <w:kern w:val="0"/>
          <w:szCs w:val="28"/>
          <w:highlight w:val="none"/>
        </w:rPr>
        <w:t>归发包人所有。</w:t>
      </w:r>
    </w:p>
    <w:p>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2.3.8</w:t>
      </w:r>
      <w:r>
        <w:rPr>
          <w:rFonts w:hint="eastAsia" w:ascii="Times New Roman"/>
          <w:bCs/>
          <w:snapToGrid w:val="0"/>
          <w:color w:val="auto"/>
          <w:kern w:val="0"/>
          <w:szCs w:val="28"/>
          <w:highlight w:val="none"/>
        </w:rPr>
        <w:t xml:space="preserve"> 预算包干费按照分部分项的人工费与施工机具费之和的7%计算。本招标项目的预算包干内容包括：</w:t>
      </w:r>
      <w:r>
        <w:rPr>
          <w:rFonts w:hint="eastAsia" w:ascii="Times New Roman"/>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Times New Roman"/>
          <w:bCs/>
          <w:snapToGrid w:val="0"/>
          <w:color w:val="auto"/>
          <w:kern w:val="0"/>
          <w:szCs w:val="28"/>
          <w:highlight w:val="none"/>
        </w:rPr>
        <w:t>。对于以上预算包干内容，承包人不得提出额外付款或延长工期等要求。</w:t>
      </w:r>
      <w:r>
        <w:rPr>
          <w:rFonts w:hint="eastAsia" w:ascii="Times New Roman"/>
          <w:snapToGrid w:val="0"/>
          <w:color w:val="auto"/>
          <w:kern w:val="0"/>
          <w:szCs w:val="24"/>
          <w:highlight w:val="none"/>
        </w:rPr>
        <w:t>对此类要求，发包人不作任何考虑及答复</w:t>
      </w:r>
      <w:r>
        <w:rPr>
          <w:rFonts w:hint="eastAsia" w:ascii="Times New Roman"/>
          <w:bCs/>
          <w:snapToGrid w:val="0"/>
          <w:color w:val="auto"/>
          <w:kern w:val="0"/>
          <w:szCs w:val="28"/>
          <w:highlight w:val="none"/>
        </w:rPr>
        <w:t>。</w:t>
      </w:r>
    </w:p>
    <w:p>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2.3.9</w:t>
      </w:r>
      <w:r>
        <w:rPr>
          <w:rFonts w:hint="eastAsia" w:ascii="Times New Roman"/>
          <w:bCs/>
          <w:snapToGrid w:val="0"/>
          <w:color w:val="auto"/>
          <w:kern w:val="0"/>
          <w:szCs w:val="28"/>
          <w:highlight w:val="none"/>
        </w:rPr>
        <w:t xml:space="preserve"> 其余事项（如不可抗力、索赔、现场签证等）的调整原则按照《建设工程工程量清单计价规范》（GB50500—2013）有关规定执行。 </w:t>
      </w:r>
    </w:p>
    <w:p>
      <w:pPr>
        <w:wordWrap w:val="0"/>
        <w:adjustRightInd w:val="0"/>
        <w:snapToGrid w:val="0"/>
        <w:spacing w:line="440" w:lineRule="exact"/>
        <w:ind w:firstLine="560"/>
        <w:rPr>
          <w:rFonts w:hint="eastAsia" w:ascii="Times New Roman"/>
          <w:snapToGrid w:val="0"/>
          <w:color w:val="auto"/>
          <w:kern w:val="0"/>
          <w:szCs w:val="24"/>
          <w:highlight w:val="none"/>
        </w:rPr>
      </w:pPr>
    </w:p>
    <w:p>
      <w:pPr>
        <w:wordWrap w:val="0"/>
        <w:adjustRightInd w:val="0"/>
        <w:snapToGrid w:val="0"/>
        <w:spacing w:line="440" w:lineRule="exact"/>
        <w:ind w:firstLine="560"/>
        <w:rPr>
          <w:rFonts w:hint="eastAsia" w:ascii="Times New Roman"/>
          <w:strike/>
          <w:snapToGrid w:val="0"/>
          <w:color w:val="auto"/>
          <w:kern w:val="0"/>
          <w:szCs w:val="28"/>
          <w:highlight w:val="none"/>
        </w:rPr>
      </w:pPr>
      <w:r>
        <w:rPr>
          <w:rFonts w:hint="eastAsia" w:ascii="Times New Roman"/>
          <w:b/>
          <w:bCs/>
          <w:snapToGrid w:val="0"/>
          <w:color w:val="auto"/>
          <w:kern w:val="0"/>
          <w:szCs w:val="24"/>
          <w:highlight w:val="none"/>
        </w:rPr>
        <w:t>2.4</w:t>
      </w:r>
      <w:r>
        <w:rPr>
          <w:rFonts w:hint="eastAsia" w:ascii="Times New Roman"/>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168" w:name="_Hlt112206782"/>
      <w:bookmarkEnd w:id="168"/>
    </w:p>
    <w:p>
      <w:pPr>
        <w:wordWrap w:val="0"/>
        <w:adjustRightInd w:val="0"/>
        <w:snapToGrid w:val="0"/>
        <w:spacing w:line="440" w:lineRule="exact"/>
        <w:ind w:firstLine="482" w:firstLineChars="200"/>
        <w:rPr>
          <w:rFonts w:hint="eastAsia" w:ascii="Times New Roman"/>
          <w:b/>
          <w:snapToGrid w:val="0"/>
          <w:color w:val="auto"/>
          <w:kern w:val="0"/>
          <w:szCs w:val="28"/>
          <w:highlight w:val="none"/>
        </w:rPr>
      </w:pP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2.5</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人不得以不完全了解现场情况为理由，提出额外付款或延长工期等要求。对此类要求，发包人不作任何考虑及答复。</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2.6</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人已标价工程量清单中漏报、错报或少报的清单项目，其价格均视为已经包含在其它清单项目中，竣工结算时不得重新组价和调整。</w:t>
      </w:r>
    </w:p>
    <w:p>
      <w:pPr>
        <w:wordWrap w:val="0"/>
        <w:adjustRightInd w:val="0"/>
        <w:snapToGrid w:val="0"/>
        <w:spacing w:line="440" w:lineRule="exact"/>
        <w:ind w:firstLine="480" w:firstLineChars="200"/>
        <w:rPr>
          <w:rFonts w:hint="eastAsia" w:ascii="Times New Roman"/>
          <w:snapToGrid w:val="0"/>
          <w:color w:val="auto"/>
          <w:kern w:val="0"/>
          <w:szCs w:val="24"/>
          <w:highlight w:val="none"/>
        </w:rPr>
      </w:pPr>
    </w:p>
    <w:p>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2.7</w:t>
      </w:r>
      <w:r>
        <w:rPr>
          <w:rFonts w:hint="eastAsia" w:ascii="Times New Roman"/>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pPr>
        <w:wordWrap w:val="0"/>
        <w:adjustRightInd w:val="0"/>
        <w:snapToGrid w:val="0"/>
        <w:spacing w:line="440" w:lineRule="exact"/>
        <w:ind w:firstLine="560"/>
        <w:rPr>
          <w:rFonts w:hint="eastAsia" w:ascii="Times New Roman"/>
          <w:snapToGrid w:val="0"/>
          <w:color w:val="auto"/>
          <w:kern w:val="0"/>
          <w:szCs w:val="24"/>
          <w:highlight w:val="none"/>
        </w:rPr>
      </w:pPr>
    </w:p>
    <w:p>
      <w:pPr>
        <w:wordWrap w:val="0"/>
        <w:adjustRightInd w:val="0"/>
        <w:snapToGrid w:val="0"/>
        <w:spacing w:line="440" w:lineRule="exact"/>
        <w:ind w:firstLine="56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2.8</w:t>
      </w:r>
      <w:r>
        <w:rPr>
          <w:rFonts w:hint="eastAsia" w:ascii="Times New Roman"/>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bookmarkEnd w:id="165"/>
      <w:bookmarkEnd w:id="166"/>
      <w:bookmarkStart w:id="169" w:name="_Toc322793290"/>
      <w:bookmarkStart w:id="170" w:name="_Hlt87951777"/>
      <w:bookmarkStart w:id="171" w:name="_Toc326916631"/>
      <w:bookmarkStart w:id="172" w:name="_Toc14272"/>
    </w:p>
    <w:p>
      <w:pPr>
        <w:wordWrap w:val="0"/>
        <w:adjustRightInd w:val="0"/>
        <w:snapToGrid w:val="0"/>
        <w:spacing w:line="440" w:lineRule="exact"/>
        <w:ind w:firstLine="560"/>
        <w:rPr>
          <w:rFonts w:hint="eastAsia" w:ascii="Times New Roman"/>
          <w:snapToGrid w:val="0"/>
          <w:color w:val="auto"/>
          <w:kern w:val="0"/>
          <w:szCs w:val="24"/>
          <w:highlight w:val="none"/>
        </w:rPr>
      </w:pPr>
    </w:p>
    <w:bookmarkEnd w:id="169"/>
    <w:bookmarkEnd w:id="170"/>
    <w:bookmarkEnd w:id="171"/>
    <w:bookmarkEnd w:id="172"/>
    <w:p>
      <w:pPr>
        <w:pStyle w:val="152"/>
        <w:snapToGrid w:val="0"/>
        <w:spacing w:line="440" w:lineRule="exact"/>
        <w:ind w:firstLine="480"/>
        <w:jc w:val="both"/>
        <w:outlineLvl w:val="1"/>
        <w:rPr>
          <w:rStyle w:val="149"/>
          <w:rFonts w:hAnsi="宋体"/>
          <w:b/>
          <w:bCs/>
          <w:color w:val="auto"/>
          <w:highlight w:val="none"/>
        </w:rPr>
      </w:pPr>
      <w:bookmarkStart w:id="173" w:name="_Toc14683"/>
      <w:bookmarkStart w:id="174" w:name="_Toc108200417"/>
      <w:r>
        <w:rPr>
          <w:rStyle w:val="149"/>
          <w:rFonts w:hAnsi="宋体"/>
          <w:b/>
          <w:bCs/>
          <w:color w:val="auto"/>
          <w:highlight w:val="none"/>
        </w:rPr>
        <w:t>3. 工程付款办法</w:t>
      </w:r>
      <w:bookmarkEnd w:id="173"/>
      <w:bookmarkEnd w:id="174"/>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3.1</w:t>
      </w:r>
      <w:r>
        <w:rPr>
          <w:rFonts w:ascii="Times New Roman"/>
          <w:snapToGrid w:val="0"/>
          <w:color w:val="auto"/>
          <w:kern w:val="0"/>
          <w:highlight w:val="none"/>
        </w:rPr>
        <w:t xml:space="preserve"> 本招标项目</w:t>
      </w:r>
      <w:r>
        <w:rPr>
          <w:rFonts w:ascii="Times New Roman"/>
          <w:snapToGrid w:val="0"/>
          <w:color w:val="auto"/>
          <w:kern w:val="0"/>
          <w:highlight w:val="none"/>
          <w:u w:val="single"/>
        </w:rPr>
        <w:t xml:space="preserve"> 支付 </w:t>
      </w:r>
      <w:r>
        <w:rPr>
          <w:rFonts w:ascii="Times New Roman"/>
          <w:snapToGrid w:val="0"/>
          <w:color w:val="auto"/>
          <w:kern w:val="0"/>
          <w:highlight w:val="none"/>
        </w:rPr>
        <w:t>施工预付款。</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3.2</w:t>
      </w:r>
      <w:r>
        <w:rPr>
          <w:rFonts w:ascii="Times New Roman"/>
          <w:snapToGrid w:val="0"/>
          <w:color w:val="auto"/>
          <w:kern w:val="0"/>
          <w:highlight w:val="none"/>
        </w:rPr>
        <w:t xml:space="preserve"> 施工预付款必须专用于合同工程，并按以下原则支付和抵扣：</w:t>
      </w:r>
    </w:p>
    <w:p>
      <w:pPr>
        <w:wordWrap w:val="0"/>
        <w:adjustRightInd w:val="0"/>
        <w:snapToGrid w:val="0"/>
        <w:spacing w:line="440" w:lineRule="exact"/>
        <w:ind w:firstLine="482" w:firstLineChars="200"/>
        <w:rPr>
          <w:rFonts w:ascii="Times New Roman"/>
          <w:i/>
          <w:iCs/>
          <w:snapToGrid w:val="0"/>
          <w:color w:val="auto"/>
          <w:kern w:val="0"/>
          <w:highlight w:val="none"/>
        </w:rPr>
      </w:pPr>
      <w:r>
        <w:rPr>
          <w:rFonts w:ascii="Times New Roman"/>
          <w:b/>
          <w:bCs/>
          <w:snapToGrid w:val="0"/>
          <w:color w:val="auto"/>
          <w:kern w:val="0"/>
          <w:szCs w:val="24"/>
          <w:highlight w:val="none"/>
        </w:rPr>
        <w:t>3.2.1</w:t>
      </w:r>
      <w:r>
        <w:rPr>
          <w:rFonts w:ascii="Times New Roman"/>
          <w:snapToGrid w:val="0"/>
          <w:color w:val="auto"/>
          <w:kern w:val="0"/>
          <w:highlight w:val="none"/>
        </w:rPr>
        <w:t xml:space="preserve"> 施工预付款支付比例为：按施工合同价的</w:t>
      </w:r>
      <w:r>
        <w:rPr>
          <w:rFonts w:ascii="Times New Roman"/>
          <w:snapToGrid w:val="0"/>
          <w:color w:val="auto"/>
          <w:kern w:val="0"/>
          <w:highlight w:val="none"/>
          <w:u w:val="single"/>
        </w:rPr>
        <w:t xml:space="preserve"> 30% </w:t>
      </w:r>
      <w:r>
        <w:rPr>
          <w:rFonts w:ascii="Times New Roman"/>
          <w:snapToGrid w:val="0"/>
          <w:color w:val="auto"/>
          <w:kern w:val="0"/>
          <w:highlight w:val="none"/>
        </w:rPr>
        <w:t>支付（不含绿色施工安全防护措施费和暂列金</w:t>
      </w: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其中25%应支付至工人工资专用账户</w:t>
      </w:r>
      <w:r>
        <w:rPr>
          <w:rFonts w:ascii="Times New Roman"/>
          <w:snapToGrid w:val="0"/>
          <w:color w:val="auto"/>
          <w:kern w:val="0"/>
          <w:highlight w:val="none"/>
        </w:rPr>
        <w:t>）。</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3.2.2</w:t>
      </w:r>
      <w:r>
        <w:rPr>
          <w:rFonts w:ascii="Times New Roman"/>
          <w:snapToGrid w:val="0"/>
          <w:color w:val="auto"/>
          <w:kern w:val="0"/>
          <w:highlight w:val="none"/>
        </w:rPr>
        <w:t xml:space="preserve"> 本招标项目</w:t>
      </w:r>
      <w:r>
        <w:rPr>
          <w:rFonts w:ascii="Times New Roman"/>
          <w:snapToGrid w:val="0"/>
          <w:color w:val="auto"/>
          <w:kern w:val="0"/>
          <w:highlight w:val="none"/>
          <w:u w:val="single"/>
        </w:rPr>
        <w:t xml:space="preserve"> 不要求 </w:t>
      </w:r>
      <w:r>
        <w:rPr>
          <w:rFonts w:ascii="Times New Roman"/>
          <w:snapToGrid w:val="0"/>
          <w:color w:val="auto"/>
          <w:kern w:val="0"/>
          <w:highlight w:val="none"/>
        </w:rPr>
        <w:t>承包人提供与预付款等额的预付款保函。</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3.2.3</w:t>
      </w:r>
      <w:r>
        <w:rPr>
          <w:rFonts w:ascii="Times New Roman"/>
          <w:snapToGrid w:val="0"/>
          <w:color w:val="auto"/>
          <w:kern w:val="0"/>
          <w:highlight w:val="none"/>
        </w:rPr>
        <w:t xml:space="preserve"> 承包人应在签订合同后，向发包人提交预付款支付申请。具体支付时间由招标人决定。凡未签订合同或不具备施工条件的工程，发包人不得预付工程款。</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3.2.4</w:t>
      </w:r>
      <w:r>
        <w:rPr>
          <w:rFonts w:ascii="Times New Roman"/>
          <w:snapToGrid w:val="0"/>
          <w:color w:val="auto"/>
          <w:kern w:val="0"/>
          <w:highlight w:val="none"/>
        </w:rPr>
        <w:t xml:space="preserve"> </w:t>
      </w:r>
      <w:r>
        <w:rPr>
          <w:rFonts w:hint="eastAsia" w:ascii="Times New Roman"/>
          <w:snapToGrid w:val="0"/>
          <w:color w:val="auto"/>
          <w:kern w:val="0"/>
          <w:highlight w:val="none"/>
        </w:rPr>
        <w:t>预付款在每期工程进度款按当期进度款与合同价所占比例等比例扣除，最终整体项目支付至合同工程款总价的80%前抵扣完已预付的工程款。</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3.3</w:t>
      </w:r>
      <w:r>
        <w:rPr>
          <w:rFonts w:ascii="Times New Roman"/>
          <w:snapToGrid w:val="0"/>
          <w:color w:val="auto"/>
          <w:kern w:val="0"/>
          <w:highlight w:val="none"/>
        </w:rPr>
        <w:t xml:space="preserve"> </w:t>
      </w:r>
      <w:r>
        <w:rPr>
          <w:rFonts w:hAnsi="宋体"/>
          <w:color w:val="auto"/>
          <w:highlight w:val="none"/>
        </w:rPr>
        <w:t>施工过程中按月支付工程进度款：承包商每月按工程实际完成工程量（含变更及增加工程）申报，截止日为当月26日，中标人必须将《已完成工程量报表》和《工程付款申请书》于当月报监理公司核</w:t>
      </w:r>
      <w:bookmarkStart w:id="175" w:name="_Hlt127094354"/>
      <w:bookmarkEnd w:id="175"/>
      <w:r>
        <w:rPr>
          <w:rFonts w:hAnsi="宋体"/>
          <w:color w:val="auto"/>
          <w:highlight w:val="none"/>
        </w:rPr>
        <w:t>实，经招标人核定后，于申报工程进度款的次月支付。</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3.4</w:t>
      </w:r>
      <w:r>
        <w:rPr>
          <w:rFonts w:ascii="Times New Roman"/>
          <w:snapToGrid w:val="0"/>
          <w:color w:val="auto"/>
          <w:kern w:val="0"/>
          <w:highlight w:val="none"/>
        </w:rPr>
        <w:t xml:space="preserve"> </w:t>
      </w:r>
      <w:r>
        <w:rPr>
          <w:rFonts w:hint="eastAsia" w:ascii="Times New Roman"/>
          <w:snapToGrid w:val="0"/>
          <w:color w:val="auto"/>
          <w:kern w:val="0"/>
          <w:highlight w:val="none"/>
        </w:rPr>
        <w:t>每月的工程进度款按核定完成投资金额的80%支付，如中标人未申请，作自动放弃当月进度款，列入下期进度款合并申请支付。支付方法：发包人和监理签发进度款支付申请，经市财政部门审核后支付。同时根据乐昌市财政局《关于进一步规范财政投资评审工作的通知》（乐财建[2022]9号）文件规定，项目已完工未结算期间，经招标人同意并提供完工证明材料后，报市财政局审核后，可按不超过90%原则支付工程进度款。</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3.5</w:t>
      </w:r>
      <w:r>
        <w:rPr>
          <w:rFonts w:ascii="Times New Roman"/>
          <w:snapToGrid w:val="0"/>
          <w:color w:val="auto"/>
          <w:kern w:val="0"/>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3.6</w:t>
      </w:r>
      <w:r>
        <w:rPr>
          <w:rFonts w:ascii="Times New Roman"/>
          <w:snapToGrid w:val="0"/>
          <w:color w:val="auto"/>
          <w:kern w:val="0"/>
          <w:highlight w:val="none"/>
        </w:rPr>
        <w:t xml:space="preserve"> 变更工程造价必须经监理单位核实，并经发包人核定后方可支付。</w:t>
      </w:r>
    </w:p>
    <w:p>
      <w:pPr>
        <w:wordWrap w:val="0"/>
        <w:adjustRightInd w:val="0"/>
        <w:snapToGrid w:val="0"/>
        <w:spacing w:line="440" w:lineRule="exact"/>
        <w:ind w:firstLine="482" w:firstLineChars="200"/>
        <w:rPr>
          <w:rFonts w:ascii="Times New Roman"/>
          <w:bCs/>
          <w:snapToGrid w:val="0"/>
          <w:color w:val="auto"/>
          <w:kern w:val="0"/>
          <w:highlight w:val="none"/>
        </w:rPr>
      </w:pPr>
      <w:r>
        <w:rPr>
          <w:rFonts w:ascii="Times New Roman"/>
          <w:b/>
          <w:bCs/>
          <w:snapToGrid w:val="0"/>
          <w:color w:val="auto"/>
          <w:kern w:val="0"/>
          <w:szCs w:val="24"/>
          <w:highlight w:val="none"/>
        </w:rPr>
        <w:t>3.7</w:t>
      </w:r>
      <w:r>
        <w:rPr>
          <w:rFonts w:ascii="Times New Roman"/>
          <w:snapToGrid w:val="0"/>
          <w:color w:val="auto"/>
          <w:kern w:val="0"/>
          <w:highlight w:val="none"/>
        </w:rPr>
        <w:t xml:space="preserve"> 结算审核完成后，于次月支付至</w:t>
      </w:r>
      <w:r>
        <w:rPr>
          <w:rFonts w:hint="eastAsia" w:ascii="Times New Roman"/>
          <w:snapToGrid w:val="0"/>
          <w:color w:val="auto"/>
          <w:kern w:val="0"/>
          <w:highlight w:val="none"/>
          <w:lang w:val="en-US" w:eastAsia="zh-CN"/>
        </w:rPr>
        <w:t>结算</w:t>
      </w:r>
      <w:r>
        <w:rPr>
          <w:rFonts w:ascii="Times New Roman"/>
          <w:snapToGrid w:val="0"/>
          <w:color w:val="auto"/>
          <w:kern w:val="0"/>
          <w:highlight w:val="none"/>
        </w:rPr>
        <w:t>价的97%，剩余3%转为质量保证金；承包人提交了等额</w:t>
      </w:r>
      <w:r>
        <w:rPr>
          <w:rFonts w:ascii="Times New Roman"/>
          <w:bCs/>
          <w:snapToGrid w:val="0"/>
          <w:color w:val="auto"/>
          <w:kern w:val="0"/>
          <w:highlight w:val="none"/>
        </w:rPr>
        <w:t>质量保证担保或质量保证保险的，于次月一次性结清</w:t>
      </w:r>
      <w:r>
        <w:rPr>
          <w:rFonts w:hint="eastAsia" w:ascii="Times New Roman"/>
          <w:bCs/>
          <w:snapToGrid w:val="0"/>
          <w:color w:val="auto"/>
          <w:kern w:val="0"/>
          <w:highlight w:val="none"/>
          <w:lang w:val="en-US" w:eastAsia="zh-CN"/>
        </w:rPr>
        <w:t>结算</w:t>
      </w:r>
      <w:r>
        <w:rPr>
          <w:rFonts w:ascii="Times New Roman"/>
          <w:bCs/>
          <w:snapToGrid w:val="0"/>
          <w:color w:val="auto"/>
          <w:kern w:val="0"/>
          <w:highlight w:val="none"/>
        </w:rPr>
        <w:t>价。</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snapToGrid w:val="0"/>
          <w:color w:val="auto"/>
          <w:kern w:val="0"/>
          <w:highlight w:val="none"/>
        </w:rPr>
        <w:t>3.8</w:t>
      </w:r>
      <w:r>
        <w:rPr>
          <w:rFonts w:ascii="Times New Roman"/>
          <w:bCs/>
          <w:snapToGrid w:val="0"/>
          <w:color w:val="auto"/>
          <w:kern w:val="0"/>
          <w:highlight w:val="none"/>
        </w:rPr>
        <w:t xml:space="preserve"> 本招标项目缺陷责任期为</w:t>
      </w:r>
      <w:r>
        <w:rPr>
          <w:rFonts w:ascii="Times New Roman"/>
          <w:bCs/>
          <w:snapToGrid w:val="0"/>
          <w:color w:val="auto"/>
          <w:kern w:val="0"/>
          <w:highlight w:val="none"/>
          <w:u w:val="single"/>
        </w:rPr>
        <w:t xml:space="preserve"> </w:t>
      </w:r>
      <w:r>
        <w:rPr>
          <w:rFonts w:hint="eastAsia" w:ascii="Times New Roman"/>
          <w:bCs/>
          <w:snapToGrid w:val="0"/>
          <w:color w:val="auto"/>
          <w:kern w:val="0"/>
          <w:highlight w:val="none"/>
          <w:u w:val="single"/>
          <w:lang w:val="en-US" w:eastAsia="zh-CN"/>
        </w:rPr>
        <w:t>1</w:t>
      </w:r>
      <w:r>
        <w:rPr>
          <w:rFonts w:ascii="Times New Roman"/>
          <w:bCs/>
          <w:snapToGrid w:val="0"/>
          <w:color w:val="auto"/>
          <w:kern w:val="0"/>
          <w:highlight w:val="none"/>
          <w:u w:val="single"/>
        </w:rPr>
        <w:t xml:space="preserve"> </w:t>
      </w:r>
      <w:r>
        <w:rPr>
          <w:rFonts w:ascii="Times New Roman"/>
          <w:bCs/>
          <w:snapToGrid w:val="0"/>
          <w:color w:val="auto"/>
          <w:kern w:val="0"/>
          <w:highlight w:val="none"/>
        </w:rPr>
        <w:t>年（自通过竣工验收之日起计）。</w:t>
      </w:r>
      <w:r>
        <w:rPr>
          <w:rFonts w:ascii="Times New Roman"/>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ascii="Times New Roman"/>
          <w:snapToGrid w:val="0"/>
          <w:color w:val="auto"/>
          <w:kern w:val="0"/>
          <w:highlight w:val="none"/>
          <w:u w:val="single"/>
        </w:rPr>
        <w:t xml:space="preserve"> 14 </w:t>
      </w:r>
      <w:r>
        <w:rPr>
          <w:rFonts w:ascii="Times New Roman"/>
          <w:snapToGrid w:val="0"/>
          <w:color w:val="auto"/>
          <w:kern w:val="0"/>
          <w:highlight w:val="none"/>
        </w:rPr>
        <w:t>天内将应返保证金（或银行保函）退还承包人。</w:t>
      </w:r>
    </w:p>
    <w:p>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szCs w:val="24"/>
          <w:highlight w:val="none"/>
        </w:rPr>
        <w:t>3.9</w:t>
      </w:r>
      <w:r>
        <w:rPr>
          <w:rFonts w:ascii="Times New Roman"/>
          <w:snapToGrid w:val="0"/>
          <w:color w:val="auto"/>
          <w:kern w:val="0"/>
          <w:highlight w:val="none"/>
        </w:rPr>
        <w:t xml:space="preserve"> 承包人提供的工程款发票必须按照发包人要求提供相应增值税专用发票给发包人，发包人收到符合要求的发票后方可支付工程款。所有工程款均以市财政局投资评审中心审核价款支付为准。</w:t>
      </w:r>
    </w:p>
    <w:p>
      <w:pPr>
        <w:wordWrap w:val="0"/>
        <w:adjustRightInd w:val="0"/>
        <w:snapToGrid w:val="0"/>
        <w:spacing w:line="440" w:lineRule="exact"/>
        <w:ind w:firstLine="482" w:firstLineChars="200"/>
        <w:rPr>
          <w:rFonts w:ascii="Times New Roman"/>
          <w:snapToGrid w:val="0"/>
          <w:color w:val="auto"/>
          <w:kern w:val="0"/>
          <w:szCs w:val="24"/>
          <w:highlight w:val="none"/>
        </w:rPr>
      </w:pPr>
      <w:r>
        <w:rPr>
          <w:rFonts w:ascii="Times New Roman"/>
          <w:b/>
          <w:bCs/>
          <w:snapToGrid w:val="0"/>
          <w:color w:val="auto"/>
          <w:kern w:val="0"/>
          <w:szCs w:val="24"/>
          <w:highlight w:val="none"/>
        </w:rPr>
        <w:t>3.10</w:t>
      </w:r>
      <w:r>
        <w:rPr>
          <w:rFonts w:ascii="Times New Roman"/>
          <w:snapToGrid w:val="0"/>
          <w:color w:val="auto"/>
          <w:kern w:val="0"/>
          <w:szCs w:val="24"/>
          <w:highlight w:val="none"/>
        </w:rPr>
        <w:t xml:space="preserve"> 暂列金额支付方式：</w:t>
      </w:r>
      <w:r>
        <w:rPr>
          <w:rFonts w:ascii="Times New Roman"/>
          <w:snapToGrid w:val="0"/>
          <w:color w:val="auto"/>
          <w:kern w:val="0"/>
          <w:szCs w:val="24"/>
          <w:highlight w:val="none"/>
          <w:u w:val="single"/>
        </w:rPr>
        <w:t xml:space="preserve"> </w:t>
      </w:r>
      <w:r>
        <w:rPr>
          <w:rFonts w:hAnsi="宋体"/>
          <w:color w:val="auto"/>
          <w:highlight w:val="none"/>
          <w:u w:val="single"/>
        </w:rPr>
        <w:t>按实际发生结算</w:t>
      </w:r>
      <w:r>
        <w:rPr>
          <w:rFonts w:ascii="Times New Roman"/>
          <w:snapToGrid w:val="0"/>
          <w:color w:val="auto"/>
          <w:kern w:val="0"/>
          <w:szCs w:val="24"/>
          <w:highlight w:val="none"/>
          <w:u w:val="single"/>
        </w:rPr>
        <w:t xml:space="preserve">  </w:t>
      </w:r>
      <w:r>
        <w:rPr>
          <w:rFonts w:ascii="Times New Roman"/>
          <w:snapToGrid w:val="0"/>
          <w:color w:val="auto"/>
          <w:kern w:val="0"/>
          <w:szCs w:val="24"/>
          <w:highlight w:val="none"/>
        </w:rPr>
        <w:t>（由招标人填写）。</w:t>
      </w:r>
    </w:p>
    <w:p>
      <w:pPr>
        <w:snapToGrid w:val="0"/>
        <w:spacing w:line="440" w:lineRule="exact"/>
        <w:ind w:firstLine="482" w:firstLineChars="200"/>
        <w:rPr>
          <w:rFonts w:hAnsi="宋体"/>
          <w:b/>
          <w:bCs/>
          <w:snapToGrid w:val="0"/>
          <w:color w:val="auto"/>
          <w:kern w:val="0"/>
          <w:highlight w:val="none"/>
        </w:rPr>
      </w:pPr>
      <w:r>
        <w:rPr>
          <w:rFonts w:ascii="Times New Roman"/>
          <w:b/>
          <w:snapToGrid w:val="0"/>
          <w:color w:val="auto"/>
          <w:kern w:val="0"/>
          <w:szCs w:val="24"/>
          <w:highlight w:val="none"/>
        </w:rPr>
        <w:t>3.11</w:t>
      </w:r>
      <w:r>
        <w:rPr>
          <w:rFonts w:hAnsi="宋体"/>
          <w:color w:val="auto"/>
          <w:szCs w:val="22"/>
          <w:highlight w:val="none"/>
        </w:rPr>
        <w:t>根据粤人社规〔2015〕3号文件规定，中标人中标后，须到银行设立工人工资支付专用账户，用于支付工人工资。中标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w:t>
      </w:r>
    </w:p>
    <w:p>
      <w:pPr>
        <w:wordWrap w:val="0"/>
        <w:adjustRightInd w:val="0"/>
        <w:snapToGrid w:val="0"/>
        <w:spacing w:line="440" w:lineRule="exact"/>
        <w:ind w:firstLine="482" w:firstLineChars="200"/>
        <w:rPr>
          <w:rFonts w:hint="eastAsia" w:ascii="Times New Roman"/>
          <w:b/>
          <w:bCs/>
          <w:snapToGrid w:val="0"/>
          <w:color w:val="auto"/>
          <w:kern w:val="0"/>
          <w:szCs w:val="24"/>
          <w:highlight w:val="none"/>
        </w:rPr>
      </w:pPr>
    </w:p>
    <w:p>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4．专用合同条款</w:t>
      </w:r>
      <w:r>
        <w:rPr>
          <w:rFonts w:hint="eastAsia" w:ascii="Times New Roman"/>
          <w:snapToGrid w:val="0"/>
          <w:color w:val="auto"/>
          <w:kern w:val="0"/>
          <w:szCs w:val="24"/>
          <w:highlight w:val="none"/>
        </w:rPr>
        <w:t>（由招标人自行补充）</w:t>
      </w:r>
    </w:p>
    <w:bookmarkEnd w:id="150"/>
    <w:bookmarkEnd w:id="151"/>
    <w:p>
      <w:pPr>
        <w:ind w:firstLine="482" w:firstLineChars="200"/>
        <w:rPr>
          <w:color w:val="auto"/>
          <w:highlight w:val="none"/>
        </w:rPr>
      </w:pPr>
      <w:bookmarkStart w:id="176" w:name="_Toc21669"/>
      <w:bookmarkStart w:id="177" w:name="_Hlt69698796"/>
      <w:r>
        <w:rPr>
          <w:b/>
          <w:bCs/>
          <w:color w:val="auto"/>
          <w:highlight w:val="none"/>
        </w:rPr>
        <w:t>4.1</w:t>
      </w:r>
      <w:r>
        <w:rPr>
          <w:color w:val="auto"/>
          <w:highlight w:val="none"/>
        </w:rPr>
        <w:t>承包人必须依照各相关规定做好工人工资支付保证金、工人工资支付专用账户、用工实名制管理工作。</w:t>
      </w:r>
    </w:p>
    <w:p>
      <w:pPr>
        <w:ind w:firstLine="480" w:firstLineChars="200"/>
        <w:rPr>
          <w:color w:val="auto"/>
          <w:highlight w:val="none"/>
        </w:rPr>
      </w:pPr>
      <w:r>
        <w:rPr>
          <w:color w:val="auto"/>
          <w:highlight w:val="none"/>
        </w:rPr>
        <w:t>（1）施工预付款中已包括施工合同价的5%专用于承包人办理工人工资支付保证金，承包人必须于合同签订后5个工作日内办理完成保证金缴交或免缴手续。</w:t>
      </w:r>
    </w:p>
    <w:p>
      <w:pPr>
        <w:ind w:firstLine="480" w:firstLineChars="200"/>
        <w:rPr>
          <w:color w:val="auto"/>
          <w:highlight w:val="none"/>
        </w:rPr>
      </w:pPr>
      <w:r>
        <w:rPr>
          <w:color w:val="auto"/>
          <w:highlight w:val="none"/>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pPr>
        <w:pStyle w:val="60"/>
        <w:spacing w:line="360" w:lineRule="auto"/>
        <w:ind w:firstLine="480" w:firstLineChars="200"/>
        <w:jc w:val="left"/>
        <w:rPr>
          <w:rFonts w:hAnsi="宋体"/>
          <w:b w:val="0"/>
          <w:bCs/>
          <w:snapToGrid w:val="0"/>
          <w:color w:val="auto"/>
          <w:kern w:val="0"/>
          <w:szCs w:val="22"/>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w:t>
      </w:r>
      <w:r>
        <w:rPr>
          <w:b w:val="0"/>
          <w:bCs/>
          <w:color w:val="auto"/>
          <w:highlight w:val="none"/>
        </w:rPr>
        <w:t>承包人应在开工前编制用工实名管理专项方案以及费用使用计划，经监理单位审批后，作为施工合同的组成部分，并依照相关规定做好用工实名信息化</w:t>
      </w:r>
      <w:r>
        <w:rPr>
          <w:rFonts w:hAnsi="宋体"/>
          <w:b w:val="0"/>
          <w:bCs/>
          <w:snapToGrid w:val="0"/>
          <w:color w:val="auto"/>
          <w:kern w:val="0"/>
          <w:szCs w:val="22"/>
          <w:highlight w:val="none"/>
        </w:rPr>
        <w:t>化管理。</w:t>
      </w:r>
    </w:p>
    <w:p>
      <w:pPr>
        <w:pStyle w:val="60"/>
        <w:spacing w:line="360" w:lineRule="auto"/>
        <w:ind w:firstLine="482"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4.2</w:t>
      </w:r>
      <w:r>
        <w:rPr>
          <w:rFonts w:hint="eastAsia" w:ascii="宋体" w:hAnsi="宋体" w:eastAsia="宋体" w:cs="宋体"/>
          <w:bCs/>
          <w:color w:val="auto"/>
          <w:sz w:val="24"/>
          <w:szCs w:val="24"/>
          <w:highlight w:val="none"/>
        </w:rPr>
        <w:t>根据乐昌市应急管理局《关于做好安全生产责任保险推广工作的通知》（乐安委办〔2020〕21号），安责险实施全覆盖的文件精神，投标单位须按照文件要求将项目安责险费用计入投标报价中。</w:t>
      </w:r>
    </w:p>
    <w:p>
      <w:pPr>
        <w:pStyle w:val="60"/>
        <w:spacing w:line="360" w:lineRule="auto"/>
        <w:ind w:firstLine="482" w:firstLineChars="200"/>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4.3为有效防止突发疫情在本项目实施期间扩散蔓延，切实维护群众生命安全和身体健康，中标人须根据各级政策要求贯彻落实疫情防控，并适时调整积极配合相关工作。</w:t>
      </w:r>
    </w:p>
    <w:p>
      <w:pPr>
        <w:pStyle w:val="60"/>
        <w:numPr>
          <w:ilvl w:val="0"/>
          <w:numId w:val="4"/>
        </w:numPr>
        <w:spacing w:line="360" w:lineRule="auto"/>
        <w:ind w:firstLine="482" w:firstLineChars="20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其他合同条款由招标人与中标人自行协商约定</w:t>
      </w:r>
      <w:r>
        <w:rPr>
          <w:rFonts w:hint="eastAsia" w:ascii="宋体" w:hAnsi="宋体" w:cs="宋体"/>
          <w:color w:val="auto"/>
          <w:sz w:val="24"/>
          <w:szCs w:val="24"/>
          <w:highlight w:val="none"/>
          <w:lang w:eastAsia="zh-CN"/>
        </w:rPr>
        <w:t>。</w:t>
      </w:r>
    </w:p>
    <w:p>
      <w:pPr>
        <w:widowControl w:val="0"/>
        <w:numPr>
          <w:ilvl w:val="0"/>
          <w:numId w:val="0"/>
        </w:numPr>
        <w:spacing w:line="360" w:lineRule="auto"/>
        <w:jc w:val="both"/>
        <w:rPr>
          <w:rFonts w:hint="eastAsia"/>
          <w:color w:val="auto"/>
          <w:highlight w:val="none"/>
          <w:lang w:eastAsia="zh-CN"/>
        </w:rPr>
      </w:pPr>
    </w:p>
    <w:p>
      <w:pPr>
        <w:pStyle w:val="10"/>
        <w:rPr>
          <w:rFonts w:hint="eastAsia"/>
          <w:color w:val="auto"/>
          <w:highlight w:val="none"/>
          <w:lang w:eastAsia="zh-CN"/>
        </w:rPr>
      </w:pPr>
    </w:p>
    <w:p>
      <w:pPr>
        <w:rPr>
          <w:rFonts w:hint="eastAsia"/>
          <w:color w:val="auto"/>
          <w:highlight w:val="none"/>
          <w:lang w:eastAsia="zh-CN"/>
        </w:rPr>
      </w:pPr>
    </w:p>
    <w:p>
      <w:pPr>
        <w:pStyle w:val="10"/>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10"/>
        <w:rPr>
          <w:rFonts w:hint="eastAsia"/>
          <w:color w:val="auto"/>
          <w:highlight w:val="none"/>
          <w:lang w:eastAsia="zh-CN"/>
        </w:rPr>
      </w:pPr>
    </w:p>
    <w:p>
      <w:pPr>
        <w:rPr>
          <w:rFonts w:hint="eastAsia"/>
          <w:color w:val="auto"/>
          <w:highlight w:val="none"/>
          <w:lang w:eastAsia="zh-CN"/>
        </w:rPr>
      </w:pPr>
    </w:p>
    <w:p>
      <w:pPr>
        <w:pStyle w:val="3"/>
        <w:tabs>
          <w:tab w:val="left" w:pos="885"/>
        </w:tabs>
        <w:wordWrap w:val="0"/>
        <w:autoSpaceDE/>
        <w:autoSpaceDN/>
        <w:snapToGrid w:val="0"/>
        <w:spacing w:line="440" w:lineRule="exact"/>
        <w:ind w:left="885" w:hanging="885"/>
        <w:jc w:val="center"/>
        <w:rPr>
          <w:rFonts w:hint="eastAsia" w:ascii="Times New Roman"/>
          <w:b/>
          <w:snapToGrid w:val="0"/>
          <w:color w:val="auto"/>
          <w:sz w:val="24"/>
          <w:highlight w:val="none"/>
        </w:rPr>
      </w:pPr>
      <w:bookmarkStart w:id="178" w:name="_Toc29825"/>
      <w:bookmarkStart w:id="179" w:name="_Toc3051"/>
    </w:p>
    <w:p>
      <w:pPr>
        <w:pStyle w:val="3"/>
        <w:tabs>
          <w:tab w:val="left" w:pos="885"/>
        </w:tabs>
        <w:wordWrap w:val="0"/>
        <w:autoSpaceDE/>
        <w:autoSpaceDN/>
        <w:snapToGrid w:val="0"/>
        <w:spacing w:line="440" w:lineRule="exact"/>
        <w:ind w:left="885" w:hanging="885"/>
        <w:jc w:val="center"/>
        <w:rPr>
          <w:rFonts w:hint="eastAsia" w:ascii="Times New Roman"/>
          <w:b/>
          <w:snapToGrid w:val="0"/>
          <w:color w:val="auto"/>
          <w:sz w:val="24"/>
          <w:highlight w:val="none"/>
        </w:rPr>
      </w:pPr>
    </w:p>
    <w:p>
      <w:pPr>
        <w:pStyle w:val="3"/>
        <w:tabs>
          <w:tab w:val="left" w:pos="885"/>
        </w:tabs>
        <w:wordWrap w:val="0"/>
        <w:autoSpaceDE/>
        <w:autoSpaceDN/>
        <w:snapToGrid w:val="0"/>
        <w:spacing w:line="440" w:lineRule="exact"/>
        <w:ind w:left="885" w:hanging="885"/>
        <w:jc w:val="center"/>
        <w:rPr>
          <w:rFonts w:hint="eastAsia" w:ascii="Times New Roman"/>
          <w:b/>
          <w:snapToGrid w:val="0"/>
          <w:color w:val="auto"/>
          <w:sz w:val="24"/>
          <w:highlight w:val="none"/>
        </w:rPr>
      </w:pPr>
    </w:p>
    <w:p>
      <w:pPr>
        <w:pStyle w:val="3"/>
        <w:tabs>
          <w:tab w:val="left" w:pos="885"/>
        </w:tabs>
        <w:wordWrap w:val="0"/>
        <w:autoSpaceDE/>
        <w:autoSpaceDN/>
        <w:snapToGrid w:val="0"/>
        <w:spacing w:line="440" w:lineRule="exact"/>
        <w:ind w:left="885" w:hanging="885"/>
        <w:jc w:val="center"/>
        <w:rPr>
          <w:rFonts w:hint="eastAsia" w:ascii="Times New Roman"/>
          <w:b/>
          <w:snapToGrid w:val="0"/>
          <w:color w:val="auto"/>
          <w:sz w:val="24"/>
          <w:highlight w:val="none"/>
        </w:rPr>
      </w:pPr>
    </w:p>
    <w:p>
      <w:pPr>
        <w:pStyle w:val="3"/>
        <w:tabs>
          <w:tab w:val="left" w:pos="885"/>
        </w:tabs>
        <w:wordWrap w:val="0"/>
        <w:autoSpaceDE/>
        <w:autoSpaceDN/>
        <w:snapToGrid w:val="0"/>
        <w:spacing w:line="440" w:lineRule="exact"/>
        <w:ind w:left="885" w:hanging="885"/>
        <w:jc w:val="center"/>
        <w:rPr>
          <w:rFonts w:hint="eastAsia" w:ascii="Times New Roman"/>
          <w:b/>
          <w:snapToGrid w:val="0"/>
          <w:color w:val="auto"/>
          <w:sz w:val="24"/>
          <w:highlight w:val="none"/>
        </w:rPr>
      </w:pPr>
    </w:p>
    <w:p>
      <w:pPr>
        <w:pStyle w:val="3"/>
        <w:tabs>
          <w:tab w:val="left" w:pos="885"/>
        </w:tabs>
        <w:wordWrap w:val="0"/>
        <w:autoSpaceDE/>
        <w:autoSpaceDN/>
        <w:snapToGrid w:val="0"/>
        <w:spacing w:line="440" w:lineRule="exact"/>
        <w:ind w:left="885" w:hanging="885"/>
        <w:jc w:val="center"/>
        <w:rPr>
          <w:rFonts w:hint="eastAsia" w:ascii="Times New Roman"/>
          <w:b/>
          <w:snapToGrid w:val="0"/>
          <w:color w:val="auto"/>
          <w:sz w:val="24"/>
          <w:highlight w:val="none"/>
        </w:rPr>
      </w:pPr>
    </w:p>
    <w:p>
      <w:pPr>
        <w:pStyle w:val="3"/>
        <w:tabs>
          <w:tab w:val="left" w:pos="885"/>
        </w:tabs>
        <w:wordWrap w:val="0"/>
        <w:autoSpaceDE/>
        <w:autoSpaceDN/>
        <w:snapToGrid w:val="0"/>
        <w:spacing w:line="440" w:lineRule="exact"/>
        <w:ind w:left="885" w:hanging="885"/>
        <w:jc w:val="center"/>
        <w:rPr>
          <w:rFonts w:hint="eastAsia" w:ascii="Times New Roman"/>
          <w:b/>
          <w:snapToGrid w:val="0"/>
          <w:color w:val="auto"/>
          <w:sz w:val="24"/>
          <w:highlight w:val="none"/>
        </w:rPr>
      </w:pPr>
    </w:p>
    <w:p>
      <w:pPr>
        <w:pStyle w:val="3"/>
        <w:tabs>
          <w:tab w:val="left" w:pos="885"/>
        </w:tabs>
        <w:wordWrap w:val="0"/>
        <w:autoSpaceDE/>
        <w:autoSpaceDN/>
        <w:snapToGrid w:val="0"/>
        <w:spacing w:line="440" w:lineRule="exact"/>
        <w:ind w:left="885" w:hanging="885"/>
        <w:jc w:val="center"/>
        <w:rPr>
          <w:rFonts w:hint="eastAsia" w:ascii="Times New Roman"/>
          <w:b/>
          <w:snapToGrid w:val="0"/>
          <w:color w:val="auto"/>
          <w:sz w:val="24"/>
          <w:highlight w:val="none"/>
        </w:rPr>
      </w:pPr>
    </w:p>
    <w:p>
      <w:pPr>
        <w:pStyle w:val="3"/>
        <w:tabs>
          <w:tab w:val="left" w:pos="885"/>
        </w:tabs>
        <w:wordWrap w:val="0"/>
        <w:autoSpaceDE/>
        <w:autoSpaceDN/>
        <w:snapToGrid w:val="0"/>
        <w:spacing w:line="440" w:lineRule="exact"/>
        <w:jc w:val="both"/>
        <w:rPr>
          <w:rFonts w:hint="eastAsia" w:ascii="Times New Roman"/>
          <w:b/>
          <w:snapToGrid w:val="0"/>
          <w:color w:val="auto"/>
          <w:sz w:val="24"/>
          <w:highlight w:val="none"/>
        </w:rPr>
      </w:pPr>
    </w:p>
    <w:p>
      <w:pPr>
        <w:pStyle w:val="3"/>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r>
        <w:rPr>
          <w:rFonts w:hint="eastAsia" w:ascii="Times New Roman"/>
          <w:b/>
          <w:snapToGrid w:val="0"/>
          <w:color w:val="auto"/>
          <w:sz w:val="24"/>
          <w:highlight w:val="none"/>
        </w:rPr>
        <w:t>第四章</w:t>
      </w:r>
      <w:bookmarkStart w:id="180" w:name="_Hlt87793853"/>
      <w:bookmarkEnd w:id="180"/>
      <w:r>
        <w:rPr>
          <w:rFonts w:hint="eastAsia" w:ascii="Times New Roman"/>
          <w:b/>
          <w:snapToGrid w:val="0"/>
          <w:color w:val="auto"/>
          <w:sz w:val="24"/>
          <w:highlight w:val="none"/>
        </w:rPr>
        <w:t xml:space="preserve"> 技术要求</w:t>
      </w:r>
      <w:bookmarkEnd w:id="176"/>
      <w:bookmarkEnd w:id="178"/>
      <w:bookmarkEnd w:id="179"/>
    </w:p>
    <w:bookmarkEnd w:id="177"/>
    <w:p>
      <w:pPr>
        <w:pStyle w:val="5"/>
        <w:keepNext w:val="0"/>
        <w:keepLines w:val="0"/>
        <w:wordWrap w:val="0"/>
        <w:adjustRightInd w:val="0"/>
        <w:snapToGrid w:val="0"/>
        <w:spacing w:before="0" w:after="0" w:line="440" w:lineRule="exact"/>
        <w:ind w:left="643"/>
        <w:jc w:val="both"/>
        <w:rPr>
          <w:rFonts w:hint="eastAsia" w:ascii="Times New Roman"/>
          <w:b/>
          <w:snapToGrid w:val="0"/>
          <w:color w:val="auto"/>
          <w:kern w:val="0"/>
          <w:highlight w:val="none"/>
        </w:rPr>
      </w:pPr>
      <w:bookmarkStart w:id="181" w:name="_Hlt69116854"/>
      <w:bookmarkEnd w:id="181"/>
      <w:bookmarkStart w:id="182" w:name="_Hlt80411122"/>
      <w:bookmarkEnd w:id="182"/>
      <w:bookmarkStart w:id="183" w:name="_Hlt66104926"/>
      <w:bookmarkEnd w:id="183"/>
      <w:bookmarkStart w:id="184" w:name="_Hlt75685840"/>
      <w:bookmarkEnd w:id="184"/>
      <w:bookmarkStart w:id="185" w:name="_Hlt69358207"/>
      <w:bookmarkEnd w:id="185"/>
      <w:bookmarkStart w:id="186" w:name="_Hlt87793370"/>
      <w:bookmarkEnd w:id="186"/>
      <w:bookmarkStart w:id="187" w:name="_Hlt87793346"/>
      <w:bookmarkEnd w:id="187"/>
      <w:bookmarkStart w:id="188" w:name="_Hlt68774758"/>
      <w:bookmarkEnd w:id="188"/>
      <w:bookmarkStart w:id="189" w:name="_Hlt69359335"/>
      <w:bookmarkEnd w:id="189"/>
      <w:bookmarkStart w:id="190" w:name="_Hlt69265216"/>
      <w:bookmarkEnd w:id="190"/>
      <w:bookmarkStart w:id="191" w:name="_Hlt69357851"/>
      <w:bookmarkEnd w:id="191"/>
    </w:p>
    <w:p>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snapToGrid w:val="0"/>
          <w:color w:val="auto"/>
          <w:kern w:val="0"/>
          <w:highlight w:val="none"/>
        </w:rPr>
        <w:t>1．房屋建筑工程建设项目</w:t>
      </w:r>
    </w:p>
    <w:p>
      <w:pPr>
        <w:wordWrap w:val="0"/>
        <w:adjustRightInd w:val="0"/>
        <w:snapToGrid w:val="0"/>
        <w:spacing w:line="440" w:lineRule="exact"/>
        <w:ind w:firstLine="480" w:firstLineChars="200"/>
        <w:rPr>
          <w:rFonts w:hint="eastAsia" w:ascii="Times New Roman"/>
          <w:bCs/>
          <w:snapToGrid w:val="0"/>
          <w:color w:val="auto"/>
          <w:kern w:val="0"/>
          <w:highlight w:val="none"/>
        </w:rPr>
      </w:pPr>
      <w:bookmarkStart w:id="192" w:name="_Hlt69116858"/>
      <w:bookmarkEnd w:id="192"/>
      <w:bookmarkStart w:id="193" w:name="_Hlt69358458"/>
      <w:bookmarkEnd w:id="193"/>
      <w:bookmarkStart w:id="194" w:name="_Hlt69635252"/>
      <w:bookmarkEnd w:id="194"/>
      <w:bookmarkStart w:id="195" w:name="_Hlt69359245"/>
      <w:bookmarkEnd w:id="195"/>
      <w:bookmarkStart w:id="196" w:name="_Hlt69359243"/>
      <w:bookmarkEnd w:id="196"/>
      <w:bookmarkStart w:id="197" w:name="_Hlt78709799"/>
      <w:bookmarkEnd w:id="197"/>
      <w:bookmarkStart w:id="198" w:name="_Hlt69359086"/>
      <w:bookmarkEnd w:id="198"/>
      <w:r>
        <w:rPr>
          <w:rFonts w:hint="eastAsia" w:ascii="Times New Roman"/>
          <w:bCs/>
          <w:snapToGrid w:val="0"/>
          <w:color w:val="auto"/>
          <w:kern w:val="0"/>
          <w:highlight w:val="none"/>
        </w:rPr>
        <w:t>房屋建筑工程建设项目必须执行的现行技术规范，包括且不限于：</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（1）《建筑工程施工质量验收统一标准》；</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（2）《建筑地基基础工程施工质量验收规范》；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（3）《砌体工程施工质量验收规范》；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（4）《混凝土结构工程施工质量验收规范》；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（5）《屋面工程质量验收规范》；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（6）《地下防水工程质量验收规范》；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（7）</w:t>
      </w:r>
      <w:bookmarkStart w:id="199" w:name="_Hlt78795211"/>
      <w:bookmarkEnd w:id="199"/>
      <w:r>
        <w:rPr>
          <w:rFonts w:hint="eastAsia" w:ascii="Times New Roman"/>
          <w:bCs/>
          <w:snapToGrid w:val="0"/>
          <w:color w:val="auto"/>
          <w:kern w:val="0"/>
          <w:highlight w:val="none"/>
        </w:rPr>
        <w:t>《建筑地面工程施工质量验收规范》；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（8）《建筑装饰装修工程施工质量验收规范》；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（9）《建筑给排水及采暖工程施工质量验收规范》；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（10）《建筑电气工程施工质量验收规范》；</w:t>
      </w:r>
    </w:p>
    <w:p>
      <w:pPr>
        <w:wordWrap w:val="0"/>
        <w:adjustRightInd w:val="0"/>
        <w:snapToGrid w:val="0"/>
        <w:spacing w:line="440" w:lineRule="exact"/>
        <w:ind w:firstLine="480" w:firstLineChars="200"/>
        <w:rPr>
          <w:rFonts w:hint="eastAsia" w:ascii="Times New Roman"/>
          <w:b w:val="0"/>
          <w:bCs/>
          <w:snapToGrid w:val="0"/>
          <w:color w:val="auto"/>
          <w:kern w:val="0"/>
          <w:highlight w:val="none"/>
        </w:rPr>
      </w:pPr>
      <w:r>
        <w:rPr>
          <w:rFonts w:hint="eastAsia" w:ascii="Times New Roman"/>
          <w:b w:val="0"/>
          <w:bCs/>
          <w:snapToGrid w:val="0"/>
          <w:color w:val="auto"/>
          <w:kern w:val="0"/>
          <w:highlight w:val="none"/>
        </w:rPr>
        <w:t>（11）《住建部绿色建筑评价标准》；</w:t>
      </w:r>
    </w:p>
    <w:p>
      <w:pPr>
        <w:wordWrap w:val="0"/>
        <w:adjustRightInd w:val="0"/>
        <w:snapToGrid w:val="0"/>
        <w:spacing w:line="440" w:lineRule="exact"/>
        <w:ind w:firstLine="480" w:firstLineChars="200"/>
        <w:rPr>
          <w:rFonts w:hint="eastAsia" w:ascii="Times New Roman"/>
          <w:b w:val="0"/>
          <w:bCs/>
          <w:snapToGrid w:val="0"/>
          <w:color w:val="auto"/>
          <w:kern w:val="0"/>
          <w:highlight w:val="none"/>
        </w:rPr>
      </w:pPr>
      <w:r>
        <w:rPr>
          <w:rFonts w:hint="eastAsia" w:ascii="Times New Roman"/>
          <w:b w:val="0"/>
          <w:bCs/>
          <w:snapToGrid w:val="0"/>
          <w:color w:val="auto"/>
          <w:kern w:val="0"/>
          <w:highlight w:val="none"/>
        </w:rPr>
        <w:t>（12）《建筑节能与可再生能源利用通用规范》（GB55015-2021）；</w:t>
      </w:r>
    </w:p>
    <w:p>
      <w:pPr>
        <w:wordWrap w:val="0"/>
        <w:adjustRightInd w:val="0"/>
        <w:snapToGrid w:val="0"/>
        <w:spacing w:line="440" w:lineRule="exact"/>
        <w:ind w:firstLine="480" w:firstLineChars="200"/>
        <w:rPr>
          <w:rFonts w:ascii="Times New Roman"/>
          <w:b w:val="0"/>
          <w:bCs/>
          <w:snapToGrid w:val="0"/>
          <w:color w:val="auto"/>
          <w:kern w:val="0"/>
          <w:highlight w:val="none"/>
        </w:rPr>
      </w:pPr>
      <w:r>
        <w:rPr>
          <w:rFonts w:hint="eastAsia" w:ascii="Times New Roman"/>
          <w:b w:val="0"/>
          <w:bCs/>
          <w:snapToGrid w:val="0"/>
          <w:color w:val="auto"/>
          <w:kern w:val="0"/>
          <w:highlight w:val="none"/>
        </w:rPr>
        <w:t>（13）《建筑环境通用规范》；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（14）《广东省住房和城乡建设厅绿色施工导则》；</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（15）《广东省建筑工程绿色施工评价标准》；</w:t>
      </w:r>
    </w:p>
    <w:p>
      <w:pPr>
        <w:wordWrap w:val="0"/>
        <w:adjustRightInd w:val="0"/>
        <w:snapToGrid w:val="0"/>
        <w:spacing w:line="440" w:lineRule="exact"/>
        <w:ind w:firstLine="480" w:firstLineChars="200"/>
        <w:rPr>
          <w:rFonts w:hint="eastAsia" w:ascii="Times New Roman" w:eastAsia="宋体"/>
          <w:b w:val="0"/>
          <w:bCs/>
          <w:snapToGrid w:val="0"/>
          <w:color w:val="auto"/>
          <w:kern w:val="0"/>
          <w:highlight w:val="none"/>
          <w:lang w:eastAsia="zh-CN"/>
        </w:rPr>
      </w:pPr>
      <w:r>
        <w:rPr>
          <w:rFonts w:hint="eastAsia" w:ascii="Times New Roman"/>
          <w:b w:val="0"/>
          <w:bCs/>
          <w:snapToGrid w:val="0"/>
          <w:color w:val="auto"/>
          <w:kern w:val="0"/>
          <w:highlight w:val="none"/>
        </w:rPr>
        <w:t>（16）《广东省建筑节能与绿色建筑工程施工质量验收规范》</w:t>
      </w:r>
      <w:r>
        <w:rPr>
          <w:rFonts w:hint="eastAsia" w:ascii="Times New Roman"/>
          <w:b w:val="0"/>
          <w:bCs/>
          <w:snapToGrid w:val="0"/>
          <w:color w:val="auto"/>
          <w:kern w:val="0"/>
          <w:highlight w:val="none"/>
          <w:lang w:eastAsia="zh-CN"/>
        </w:rPr>
        <w:t>；</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（17）其他现行国家、广东省关于房建工程的施工及验收规范、定额、规程、标准。</w:t>
      </w:r>
    </w:p>
    <w:p>
      <w:pPr>
        <w:wordWrap w:val="0"/>
        <w:adjustRightInd w:val="0"/>
        <w:snapToGrid w:val="0"/>
        <w:spacing w:line="440" w:lineRule="exact"/>
        <w:ind w:firstLine="480" w:firstLineChars="200"/>
        <w:rPr>
          <w:rFonts w:hint="eastAsia" w:ascii="Times New Roman"/>
          <w:bCs/>
          <w:snapToGrid w:val="0"/>
          <w:color w:val="auto"/>
          <w:kern w:val="0"/>
          <w:highlight w:val="none"/>
        </w:rPr>
      </w:pPr>
    </w:p>
    <w:p>
      <w:pPr>
        <w:wordWrap w:val="0"/>
        <w:adjustRightInd w:val="0"/>
        <w:snapToGrid w:val="0"/>
        <w:spacing w:line="440" w:lineRule="exact"/>
        <w:ind w:firstLine="482" w:firstLineChars="200"/>
        <w:rPr>
          <w:rFonts w:hint="eastAsia" w:ascii="Times New Roman"/>
          <w:bCs/>
          <w:snapToGrid w:val="0"/>
          <w:color w:val="auto"/>
          <w:kern w:val="0"/>
          <w:highlight w:val="none"/>
        </w:rPr>
      </w:pPr>
      <w:r>
        <w:rPr>
          <w:rFonts w:hint="eastAsia" w:ascii="Times New Roman"/>
          <w:b/>
          <w:snapToGrid w:val="0"/>
          <w:color w:val="auto"/>
          <w:kern w:val="0"/>
          <w:highlight w:val="none"/>
        </w:rPr>
        <w:t>2．市政基础设施工程建设项目</w:t>
      </w:r>
    </w:p>
    <w:p>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bCs/>
          <w:snapToGrid w:val="0"/>
          <w:color w:val="auto"/>
          <w:kern w:val="0"/>
          <w:highlight w:val="none"/>
        </w:rPr>
        <w:t>市政基础设施工程建设项目必须执行的现行技术规范，包括且不限于：</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szCs w:val="28"/>
          <w:highlight w:val="none"/>
        </w:rPr>
        <w:t>（1）《公路路基施工技术规范》</w:t>
      </w:r>
      <w:r>
        <w:rPr>
          <w:rFonts w:hint="eastAsia" w:ascii="Times New Roman"/>
          <w:bCs/>
          <w:snapToGrid w:val="0"/>
          <w:color w:val="auto"/>
          <w:kern w:val="0"/>
          <w:highlight w:val="none"/>
        </w:rPr>
        <w:t>；</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（2）《市政道路工程质量检验评定标准》；</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（3）《市政排水管渠工程质量检验评定标准》；</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（4）《给水排水管道工程施工及验收规范》；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（5）《城市道路路基工程施工及验收规范》；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（6）《水泥砼路面施工及验收规范》；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（7）《公路水泥砼路面施工技术规范》；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（8）《埋地硬聚氯乙烯排水管道工程技术规程》；</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（9）《沥青路面施工及验收规范》；</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（10）《广东省市政工程施工质量技术资料统一用表》。</w:t>
      </w:r>
    </w:p>
    <w:p>
      <w:pPr>
        <w:widowControl/>
        <w:tabs>
          <w:tab w:val="left" w:pos="567"/>
        </w:tabs>
        <w:autoSpaceDE w:val="0"/>
        <w:autoSpaceDN w:val="0"/>
        <w:spacing w:line="500" w:lineRule="exact"/>
        <w:ind w:firstLine="480" w:firstLineChars="200"/>
        <w:jc w:val="left"/>
        <w:textAlignment w:val="bottom"/>
        <w:outlineLvl w:val="0"/>
        <w:rPr>
          <w:rFonts w:hint="eastAsia" w:hAnsi="宋体" w:cs="宋体"/>
          <w:b w:val="0"/>
          <w:bCs/>
          <w:color w:val="auto"/>
          <w:kern w:val="0"/>
          <w:szCs w:val="21"/>
          <w:highlight w:val="none"/>
        </w:rPr>
      </w:pPr>
      <w:bookmarkStart w:id="200" w:name="_Toc17128"/>
      <w:r>
        <w:rPr>
          <w:rFonts w:hint="eastAsia" w:ascii="Times New Roman"/>
          <w:b w:val="0"/>
          <w:bCs/>
          <w:snapToGrid w:val="0"/>
          <w:color w:val="auto"/>
          <w:kern w:val="0"/>
          <w:highlight w:val="none"/>
        </w:rPr>
        <w:t>（11）</w:t>
      </w:r>
      <w:r>
        <w:rPr>
          <w:rFonts w:hint="eastAsia" w:hAnsi="宋体" w:cs="宋体"/>
          <w:b w:val="0"/>
          <w:bCs/>
          <w:color w:val="auto"/>
          <w:kern w:val="0"/>
          <w:szCs w:val="21"/>
          <w:highlight w:val="none"/>
        </w:rPr>
        <w:t>《城市道路照明设计标准》（CJJ45-2015）；</w:t>
      </w:r>
      <w:bookmarkEnd w:id="200"/>
    </w:p>
    <w:p>
      <w:pPr>
        <w:widowControl/>
        <w:tabs>
          <w:tab w:val="left" w:pos="567"/>
        </w:tabs>
        <w:autoSpaceDE w:val="0"/>
        <w:autoSpaceDN w:val="0"/>
        <w:spacing w:line="500" w:lineRule="exact"/>
        <w:ind w:firstLine="480" w:firstLineChars="200"/>
        <w:jc w:val="left"/>
        <w:textAlignment w:val="bottom"/>
        <w:outlineLvl w:val="0"/>
        <w:rPr>
          <w:rFonts w:hAnsi="宋体" w:cs="宋体"/>
          <w:b w:val="0"/>
          <w:bCs/>
          <w:color w:val="auto"/>
          <w:szCs w:val="21"/>
          <w:highlight w:val="none"/>
        </w:rPr>
      </w:pPr>
      <w:bookmarkStart w:id="201" w:name="_Toc31453"/>
      <w:r>
        <w:rPr>
          <w:rFonts w:hint="eastAsia" w:hAnsi="宋体" w:cs="宋体"/>
          <w:b w:val="0"/>
          <w:bCs/>
          <w:color w:val="auto"/>
          <w:kern w:val="0"/>
          <w:szCs w:val="21"/>
          <w:highlight w:val="none"/>
        </w:rPr>
        <w:t>（12）《低压配电设计规范》（GB50054-2011）；</w:t>
      </w:r>
      <w:bookmarkEnd w:id="201"/>
    </w:p>
    <w:p>
      <w:pPr>
        <w:widowControl/>
        <w:tabs>
          <w:tab w:val="left" w:pos="567"/>
        </w:tabs>
        <w:autoSpaceDE w:val="0"/>
        <w:autoSpaceDN w:val="0"/>
        <w:spacing w:line="500" w:lineRule="exact"/>
        <w:ind w:firstLine="480" w:firstLineChars="200"/>
        <w:jc w:val="left"/>
        <w:textAlignment w:val="bottom"/>
        <w:outlineLvl w:val="0"/>
        <w:rPr>
          <w:rFonts w:hAnsi="宋体" w:cs="宋体"/>
          <w:b w:val="0"/>
          <w:bCs/>
          <w:color w:val="auto"/>
          <w:szCs w:val="21"/>
          <w:highlight w:val="none"/>
        </w:rPr>
      </w:pPr>
      <w:bookmarkStart w:id="202" w:name="_Toc31862"/>
      <w:r>
        <w:rPr>
          <w:rFonts w:hint="eastAsia" w:hAnsi="宋体" w:cs="宋体"/>
          <w:b w:val="0"/>
          <w:bCs/>
          <w:color w:val="auto"/>
          <w:kern w:val="0"/>
          <w:szCs w:val="21"/>
          <w:highlight w:val="none"/>
        </w:rPr>
        <w:t>（13）《城市道路照明工程施工及验收规程》（CJJ89-2012）；</w:t>
      </w:r>
      <w:bookmarkEnd w:id="202"/>
    </w:p>
    <w:p>
      <w:pPr>
        <w:pStyle w:val="89"/>
        <w:spacing w:line="500" w:lineRule="exact"/>
        <w:ind w:left="0" w:leftChars="0" w:firstLine="480" w:firstLineChars="200"/>
        <w:rPr>
          <w:rFonts w:hint="eastAsia" w:hAnsi="宋体" w:cs="宋体"/>
          <w:b w:val="0"/>
          <w:bCs/>
          <w:color w:val="auto"/>
          <w:szCs w:val="21"/>
          <w:highlight w:val="none"/>
        </w:rPr>
      </w:pPr>
      <w:r>
        <w:rPr>
          <w:rFonts w:hint="eastAsia" w:hAnsi="宋体" w:cs="宋体"/>
          <w:b w:val="0"/>
          <w:bCs/>
          <w:color w:val="auto"/>
          <w:szCs w:val="21"/>
          <w:highlight w:val="none"/>
        </w:rPr>
        <w:t>（14）《LED道路照明工程技术规范》（DB44/T 1898-2016）；</w:t>
      </w:r>
    </w:p>
    <w:p>
      <w:pPr>
        <w:pStyle w:val="89"/>
        <w:spacing w:line="500" w:lineRule="exact"/>
        <w:ind w:left="0" w:leftChars="0" w:firstLine="480" w:firstLineChars="200"/>
        <w:rPr>
          <w:rFonts w:hint="eastAsia" w:hAnsi="宋体" w:cs="宋体"/>
          <w:b w:val="0"/>
          <w:bCs/>
          <w:color w:val="auto"/>
          <w:szCs w:val="21"/>
          <w:highlight w:val="none"/>
        </w:rPr>
      </w:pPr>
      <w:r>
        <w:rPr>
          <w:rFonts w:hint="eastAsia" w:hAnsi="宋体" w:cs="宋体"/>
          <w:b w:val="0"/>
          <w:bCs/>
          <w:color w:val="auto"/>
          <w:szCs w:val="21"/>
          <w:highlight w:val="none"/>
        </w:rPr>
        <w:t>（15）《灯具第1部分：一般要求与试验》（GB7000.1-2015）；</w:t>
      </w:r>
    </w:p>
    <w:p>
      <w:pPr>
        <w:wordWrap w:val="0"/>
        <w:adjustRightInd w:val="0"/>
        <w:snapToGrid w:val="0"/>
        <w:spacing w:line="500" w:lineRule="exact"/>
        <w:ind w:firstLine="480" w:firstLineChars="200"/>
        <w:rPr>
          <w:rFonts w:hAnsi="宋体" w:cs="宋体"/>
          <w:b w:val="0"/>
          <w:bCs/>
          <w:color w:val="auto"/>
          <w:kern w:val="0"/>
          <w:szCs w:val="21"/>
          <w:highlight w:val="none"/>
        </w:rPr>
      </w:pPr>
      <w:r>
        <w:rPr>
          <w:rFonts w:hint="eastAsia" w:hAnsi="宋体" w:cs="宋体"/>
          <w:b w:val="0"/>
          <w:bCs/>
          <w:color w:val="auto"/>
          <w:kern w:val="0"/>
          <w:szCs w:val="21"/>
          <w:highlight w:val="none"/>
        </w:rPr>
        <w:t>（16）《电缆工程电缆设计标准》（GB50217-2018）；</w:t>
      </w:r>
    </w:p>
    <w:p>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（17）其他现行国家、广东省关于市政工程的技术及验收规范、定额、规程、标准。</w:t>
      </w:r>
    </w:p>
    <w:p>
      <w:pPr>
        <w:wordWrap w:val="0"/>
        <w:adjustRightInd w:val="0"/>
        <w:snapToGrid w:val="0"/>
        <w:spacing w:line="440" w:lineRule="exact"/>
        <w:ind w:firstLine="560"/>
        <w:rPr>
          <w:rFonts w:hint="eastAsia" w:ascii="Times New Roman"/>
          <w:strike/>
          <w:snapToGrid w:val="0"/>
          <w:color w:val="auto"/>
          <w:kern w:val="0"/>
          <w:highlight w:val="none"/>
        </w:rPr>
      </w:pPr>
      <w:r>
        <w:rPr>
          <w:rFonts w:hint="eastAsia" w:ascii="Times New Roman"/>
          <w:b/>
          <w:snapToGrid w:val="0"/>
          <w:color w:val="auto"/>
          <w:kern w:val="0"/>
          <w:highlight w:val="none"/>
        </w:rPr>
        <w:t>3．备查要求</w:t>
      </w:r>
    </w:p>
    <w:p>
      <w:pPr>
        <w:wordWrap w:val="0"/>
        <w:adjustRightInd w:val="0"/>
        <w:snapToGrid w:val="0"/>
        <w:spacing w:line="440" w:lineRule="exact"/>
        <w:ind w:firstLine="560"/>
        <w:rPr>
          <w:rFonts w:hint="eastAsia" w:ascii="Times New Roman"/>
          <w:strike/>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kern w:val="0"/>
          <w:highlight w:val="none"/>
        </w:rPr>
        <w:t>承包</w:t>
      </w:r>
      <w:r>
        <w:rPr>
          <w:rFonts w:hint="eastAsia" w:ascii="Times New Roman"/>
          <w:bCs/>
          <w:snapToGrid w:val="0"/>
          <w:color w:val="auto"/>
          <w:kern w:val="0"/>
          <w:highlight w:val="none"/>
        </w:rPr>
        <w:t>人必须在施工现场准备至少一套上述规范，</w:t>
      </w:r>
      <w:r>
        <w:rPr>
          <w:rFonts w:hint="eastAsia" w:ascii="Times New Roman"/>
          <w:snapToGrid w:val="0"/>
          <w:color w:val="auto"/>
          <w:kern w:val="0"/>
          <w:highlight w:val="none"/>
        </w:rPr>
        <w:t>发包</w:t>
      </w:r>
      <w:r>
        <w:rPr>
          <w:rFonts w:hint="eastAsia" w:ascii="Times New Roman"/>
          <w:bCs/>
          <w:snapToGrid w:val="0"/>
          <w:color w:val="auto"/>
          <w:kern w:val="0"/>
          <w:highlight w:val="none"/>
        </w:rPr>
        <w:t>人和监理单位可随时检查</w:t>
      </w:r>
      <w:r>
        <w:rPr>
          <w:rFonts w:hint="eastAsia" w:ascii="Times New Roman"/>
          <w:snapToGrid w:val="0"/>
          <w:color w:val="auto"/>
          <w:kern w:val="0"/>
          <w:highlight w:val="none"/>
        </w:rPr>
        <w:t>承包</w:t>
      </w:r>
      <w:r>
        <w:rPr>
          <w:rFonts w:hint="eastAsia" w:ascii="Times New Roman"/>
          <w:bCs/>
          <w:snapToGrid w:val="0"/>
          <w:color w:val="auto"/>
          <w:kern w:val="0"/>
          <w:highlight w:val="none"/>
        </w:rPr>
        <w:t>人的上述规范，并监督</w:t>
      </w:r>
      <w:r>
        <w:rPr>
          <w:rFonts w:hint="eastAsia" w:ascii="Times New Roman"/>
          <w:snapToGrid w:val="0"/>
          <w:color w:val="auto"/>
          <w:kern w:val="0"/>
          <w:highlight w:val="none"/>
        </w:rPr>
        <w:t>承包</w:t>
      </w:r>
      <w:r>
        <w:rPr>
          <w:rFonts w:hint="eastAsia" w:ascii="Times New Roman"/>
          <w:bCs/>
          <w:snapToGrid w:val="0"/>
          <w:color w:val="auto"/>
          <w:kern w:val="0"/>
          <w:highlight w:val="none"/>
        </w:rPr>
        <w:t>人按规范要求执行。</w:t>
      </w:r>
      <w:bookmarkStart w:id="203" w:name="_Hlt69670335"/>
      <w:bookmarkEnd w:id="203"/>
    </w:p>
    <w:p>
      <w:pPr>
        <w:pStyle w:val="3"/>
        <w:tabs>
          <w:tab w:val="left" w:pos="885"/>
        </w:tabs>
        <w:wordWrap w:val="0"/>
        <w:autoSpaceDE/>
        <w:autoSpaceDN/>
        <w:snapToGrid w:val="0"/>
        <w:ind w:left="885" w:hanging="885"/>
        <w:jc w:val="center"/>
        <w:rPr>
          <w:rFonts w:ascii="Times New Roman"/>
          <w:b/>
          <w:snapToGrid w:val="0"/>
          <w:color w:val="auto"/>
          <w:sz w:val="24"/>
          <w:highlight w:val="none"/>
        </w:rPr>
      </w:pPr>
      <w:bookmarkStart w:id="204" w:name="_Hlt69338190"/>
      <w:bookmarkEnd w:id="204"/>
      <w:bookmarkStart w:id="205" w:name="_Hlt69358336"/>
      <w:bookmarkEnd w:id="205"/>
      <w:bookmarkStart w:id="206" w:name="_Hlt66848640"/>
      <w:bookmarkEnd w:id="206"/>
      <w:bookmarkStart w:id="207" w:name="_Hlt69116863"/>
      <w:bookmarkEnd w:id="207"/>
      <w:bookmarkStart w:id="208" w:name="_Hlt69635247"/>
      <w:bookmarkEnd w:id="208"/>
      <w:bookmarkStart w:id="209" w:name="_Hlt69265207"/>
      <w:bookmarkEnd w:id="209"/>
      <w:bookmarkStart w:id="210" w:name="_Toc627"/>
      <w:bookmarkStart w:id="211" w:name="_Toc29329"/>
      <w:bookmarkStart w:id="212" w:name="_Toc10057"/>
      <w:r>
        <w:rPr>
          <w:rFonts w:hint="eastAsia" w:ascii="Times New Roman"/>
          <w:b/>
          <w:snapToGrid w:val="0"/>
          <w:color w:val="auto"/>
          <w:sz w:val="24"/>
          <w:highlight w:val="none"/>
        </w:rPr>
        <w:t>第五章</w:t>
      </w:r>
      <w:bookmarkStart w:id="213" w:name="_Hlt87793860"/>
      <w:bookmarkEnd w:id="213"/>
      <w:r>
        <w:rPr>
          <w:rFonts w:hint="eastAsia" w:ascii="Times New Roman"/>
          <w:b/>
          <w:snapToGrid w:val="0"/>
          <w:color w:val="auto"/>
          <w:sz w:val="24"/>
          <w:highlight w:val="none"/>
        </w:rPr>
        <w:t xml:space="preserve"> 图纸和招标工程</w:t>
      </w:r>
      <w:bookmarkStart w:id="214" w:name="_Hlt69669215"/>
      <w:bookmarkEnd w:id="214"/>
      <w:r>
        <w:rPr>
          <w:rFonts w:hint="eastAsia" w:ascii="Times New Roman"/>
          <w:b/>
          <w:snapToGrid w:val="0"/>
          <w:color w:val="auto"/>
          <w:sz w:val="24"/>
          <w:highlight w:val="none"/>
        </w:rPr>
        <w:t>量清单</w:t>
      </w:r>
      <w:bookmarkEnd w:id="210"/>
      <w:bookmarkEnd w:id="211"/>
      <w:bookmarkEnd w:id="212"/>
    </w:p>
    <w:p>
      <w:pPr>
        <w:wordWrap w:val="0"/>
        <w:adjustRightInd w:val="0"/>
        <w:snapToGrid w:val="0"/>
        <w:spacing w:line="440" w:lineRule="exact"/>
        <w:ind w:firstLine="480" w:firstLineChars="200"/>
        <w:rPr>
          <w:rFonts w:hint="eastAsia" w:ascii="Times New Roman"/>
          <w:snapToGrid w:val="0"/>
          <w:color w:val="auto"/>
          <w:kern w:val="0"/>
          <w:highlight w:val="none"/>
        </w:rPr>
      </w:pPr>
      <w:bookmarkStart w:id="215" w:name="_Hlt66104919"/>
      <w:bookmarkEnd w:id="215"/>
      <w:bookmarkStart w:id="216" w:name="_Hlt69669182"/>
      <w:bookmarkEnd w:id="216"/>
      <w:bookmarkStart w:id="217" w:name="_Hlt75747203"/>
      <w:bookmarkEnd w:id="217"/>
      <w:bookmarkStart w:id="218" w:name="_Hlt87793868"/>
      <w:bookmarkEnd w:id="218"/>
      <w:bookmarkStart w:id="219" w:name="_Toc25252"/>
      <w:bookmarkStart w:id="220" w:name="_Hlt69698785"/>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1．图纸</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本招标文件随文另附施工图（电子文件）各一套。</w:t>
      </w:r>
    </w:p>
    <w:p>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2．招标工程量清单</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2.1</w:t>
      </w:r>
      <w:r>
        <w:rPr>
          <w:rFonts w:hint="eastAsia" w:ascii="Times New Roman"/>
          <w:snapToGrid w:val="0"/>
          <w:color w:val="auto"/>
          <w:kern w:val="0"/>
          <w:highlight w:val="none"/>
        </w:rPr>
        <w:t xml:space="preserve"> 本招标文件随文另附招标工程量清单（</w:t>
      </w:r>
      <w:r>
        <w:rPr>
          <w:rFonts w:hint="eastAsia" w:ascii="Times New Roman"/>
          <w:snapToGrid w:val="0"/>
          <w:color w:val="auto"/>
          <w:kern w:val="0"/>
          <w:highlight w:val="none"/>
          <w:u w:val="single"/>
        </w:rPr>
        <w:t>EXCEL版</w:t>
      </w:r>
      <w:r>
        <w:rPr>
          <w:rFonts w:hint="eastAsia" w:ascii="Times New Roman"/>
          <w:snapToGrid w:val="0"/>
          <w:color w:val="auto"/>
          <w:kern w:val="0"/>
          <w:highlight w:val="none"/>
        </w:rPr>
        <w:t>电子文件）一套。招标工程量清单采用（造价软件名称及版本）编制</w:t>
      </w:r>
      <w:r>
        <w:rPr>
          <w:rFonts w:hint="eastAsia" w:ascii="Times New Roman"/>
          <w:b/>
          <w:bCs/>
          <w:snapToGrid w:val="0"/>
          <w:color w:val="auto"/>
          <w:kern w:val="0"/>
          <w:highlight w:val="none"/>
        </w:rPr>
        <w:t>。</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2.2</w:t>
      </w:r>
      <w:r>
        <w:rPr>
          <w:rFonts w:hint="eastAsia" w:ascii="Times New Roman"/>
          <w:snapToGrid w:val="0"/>
          <w:color w:val="auto"/>
          <w:kern w:val="0"/>
          <w:highlight w:val="none"/>
        </w:rPr>
        <w:t xml:space="preserve"> 本工程按照以下依据编制招标工程量清单：</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（2）有关工程量计量规范。具体包括：《房屋建筑与装饰工程工程量计算规范》（GB50854—2013）、《市政工程工程量计算规范》（ GB50857—2013）等；</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（4）施工图及相关资料；</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（5）招标文件；</w:t>
      </w:r>
    </w:p>
    <w:p>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（6）施工现场情况、地勘水文资料、工程特点及常规施工方案；</w:t>
      </w:r>
    </w:p>
    <w:p>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（7）与建设工程有关的标准、规范、技术资料。</w:t>
      </w:r>
    </w:p>
    <w:p>
      <w:pPr>
        <w:wordWrap w:val="0"/>
        <w:adjustRightInd w:val="0"/>
        <w:snapToGrid w:val="0"/>
        <w:spacing w:line="440" w:lineRule="exact"/>
        <w:ind w:firstLine="480"/>
        <w:rPr>
          <w:rFonts w:hint="eastAsia"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pPr>
        <w:pStyle w:val="3"/>
        <w:wordWrap w:val="0"/>
        <w:autoSpaceDE/>
        <w:autoSpaceDN/>
        <w:snapToGrid w:val="0"/>
        <w:spacing w:line="440" w:lineRule="exact"/>
        <w:jc w:val="center"/>
        <w:rPr>
          <w:rFonts w:ascii="Times New Roman"/>
          <w:b/>
          <w:snapToGrid w:val="0"/>
          <w:color w:val="auto"/>
          <w:sz w:val="24"/>
          <w:highlight w:val="none"/>
        </w:rPr>
      </w:pPr>
      <w:bookmarkStart w:id="221" w:name="_Toc22127"/>
      <w:bookmarkStart w:id="222" w:name="_Toc31380"/>
      <w:r>
        <w:rPr>
          <w:rFonts w:hint="eastAsia" w:ascii="Times New Roman"/>
          <w:b/>
          <w:snapToGrid w:val="0"/>
          <w:color w:val="auto"/>
          <w:sz w:val="24"/>
          <w:highlight w:val="none"/>
        </w:rPr>
        <w:t xml:space="preserve">第六章 </w:t>
      </w:r>
      <w:bookmarkEnd w:id="219"/>
      <w:bookmarkStart w:id="223" w:name="_Hlt75747044"/>
      <w:bookmarkEnd w:id="223"/>
      <w:r>
        <w:rPr>
          <w:rFonts w:hint="eastAsia" w:ascii="Times New Roman"/>
          <w:b/>
          <w:snapToGrid w:val="0"/>
          <w:color w:val="auto"/>
          <w:sz w:val="24"/>
          <w:highlight w:val="none"/>
        </w:rPr>
        <w:t>投标文件格式</w:t>
      </w:r>
      <w:bookmarkEnd w:id="221"/>
      <w:bookmarkEnd w:id="222"/>
    </w:p>
    <w:bookmarkEnd w:id="220"/>
    <w:p>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b/>
          <w:snapToGrid w:val="0"/>
          <w:color w:val="auto"/>
          <w:highlight w:val="none"/>
        </w:rPr>
      </w:pPr>
      <w:bookmarkStart w:id="224" w:name="_附件二：近三年度主要施工项目（竣工及在建）一览表"/>
      <w:bookmarkEnd w:id="224"/>
      <w:bookmarkStart w:id="225" w:name="_附件五：综合评审合理低价法"/>
      <w:bookmarkEnd w:id="225"/>
      <w:bookmarkStart w:id="226" w:name="_附件一：投标函"/>
      <w:bookmarkEnd w:id="226"/>
      <w:bookmarkStart w:id="227" w:name="_附件二：工期承诺书"/>
      <w:bookmarkEnd w:id="227"/>
      <w:bookmarkStart w:id="228" w:name="_附件一：对招标文件条款自愿接受承诺书"/>
      <w:bookmarkEnd w:id="228"/>
      <w:bookmarkStart w:id="229" w:name="_附件四：工期承诺书"/>
      <w:bookmarkEnd w:id="229"/>
      <w:bookmarkStart w:id="230" w:name="_Toc137621693"/>
      <w:bookmarkStart w:id="231" w:name="_Toc200338097"/>
      <w:bookmarkStart w:id="232" w:name="_Hlt66847557"/>
      <w:bookmarkStart w:id="233" w:name="_Toc66849200"/>
    </w:p>
    <w:p>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b/>
          <w:snapToGrid w:val="0"/>
          <w:color w:val="auto"/>
          <w:highlight w:val="none"/>
        </w:rPr>
      </w:pPr>
      <w:bookmarkStart w:id="234" w:name="_Toc13462"/>
      <w:bookmarkStart w:id="235" w:name="_Toc17749"/>
      <w:r>
        <w:rPr>
          <w:rFonts w:hint="eastAsia" w:ascii="Times New Roman"/>
          <w:b/>
          <w:snapToGrid w:val="0"/>
          <w:color w:val="auto"/>
          <w:highlight w:val="none"/>
        </w:rPr>
        <w:t>格式一 封面</w:t>
      </w:r>
      <w:bookmarkEnd w:id="234"/>
      <w:bookmarkEnd w:id="235"/>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Cs/>
          <w:snapToGrid w:val="0"/>
          <w:color w:val="auto"/>
          <w:sz w:val="48"/>
          <w:szCs w:val="48"/>
          <w:highlight w:val="none"/>
          <w:u w:val="single"/>
        </w:rPr>
        <w:t xml:space="preserve">             </w:t>
      </w:r>
      <w:r>
        <w:rPr>
          <w:rFonts w:hint="eastAsia" w:ascii="Times New Roman"/>
          <w:b/>
          <w:snapToGrid w:val="0"/>
          <w:color w:val="auto"/>
          <w:sz w:val="48"/>
          <w:szCs w:val="48"/>
          <w:highlight w:val="none"/>
        </w:rPr>
        <w:t>（项目名称）施工招标</w:t>
      </w:r>
    </w:p>
    <w:p>
      <w:pPr>
        <w:pStyle w:val="74"/>
        <w:widowControl w:val="0"/>
        <w:wordWrap w:val="0"/>
        <w:adjustRightInd w:val="0"/>
        <w:snapToGrid w:val="0"/>
        <w:spacing w:line="240" w:lineRule="auto"/>
        <w:ind w:firstLine="0"/>
        <w:jc w:val="center"/>
        <w:rPr>
          <w:rFonts w:hint="eastAsia" w:ascii="Times New Roman"/>
          <w:b/>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
          <w:snapToGrid w:val="0"/>
          <w:color w:val="auto"/>
          <w:sz w:val="72"/>
          <w:highlight w:val="none"/>
        </w:rPr>
      </w:pPr>
      <w:r>
        <w:rPr>
          <w:rFonts w:hint="eastAsia" w:ascii="Times New Roman"/>
          <w:b/>
          <w:snapToGrid w:val="0"/>
          <w:color w:val="auto"/>
          <w:sz w:val="72"/>
          <w:highlight w:val="none"/>
        </w:rPr>
        <w:t>投  标  文  件</w:t>
      </w:r>
    </w:p>
    <w:p>
      <w:pPr>
        <w:pStyle w:val="74"/>
        <w:widowControl w:val="0"/>
        <w:wordWrap w:val="0"/>
        <w:adjustRightInd w:val="0"/>
        <w:snapToGrid w:val="0"/>
        <w:spacing w:line="240" w:lineRule="auto"/>
        <w:ind w:firstLine="0"/>
        <w:jc w:val="center"/>
        <w:rPr>
          <w:rFonts w:hint="eastAsia" w:ascii="Times New Roman"/>
          <w:b/>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pPr>
        <w:pStyle w:val="74"/>
        <w:widowControl w:val="0"/>
        <w:wordWrap w:val="0"/>
        <w:adjustRightInd w:val="0"/>
        <w:snapToGrid w:val="0"/>
        <w:spacing w:line="240" w:lineRule="auto"/>
        <w:rPr>
          <w:rFonts w:hint="eastAsia" w:ascii="Times New Roman"/>
          <w:b/>
          <w:snapToGrid w:val="0"/>
          <w:color w:val="auto"/>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pPr>
        <w:pStyle w:val="74"/>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pPr>
        <w:pStyle w:val="74"/>
        <w:widowControl w:val="0"/>
        <w:wordWrap w:val="0"/>
        <w:adjustRightInd w:val="0"/>
        <w:snapToGrid w:val="0"/>
        <w:rPr>
          <w:rFonts w:hint="eastAsia" w:ascii="Times New Roman"/>
          <w:b/>
          <w:snapToGrid w:val="0"/>
          <w:color w:val="auto"/>
          <w:highlight w:val="none"/>
        </w:rPr>
      </w:pPr>
    </w:p>
    <w:p>
      <w:pPr>
        <w:pStyle w:val="74"/>
        <w:widowControl w:val="0"/>
        <w:wordWrap w:val="0"/>
        <w:adjustRightInd w:val="0"/>
        <w:snapToGrid w:val="0"/>
        <w:rPr>
          <w:rFonts w:hint="eastAsia" w:ascii="Times New Roman"/>
          <w:b/>
          <w:snapToGrid w:val="0"/>
          <w:color w:val="auto"/>
          <w:highlight w:val="none"/>
        </w:rPr>
      </w:pPr>
    </w:p>
    <w:p>
      <w:pPr>
        <w:pStyle w:val="74"/>
        <w:widowControl w:val="0"/>
        <w:wordWrap w:val="0"/>
        <w:adjustRightInd w:val="0"/>
        <w:snapToGrid w:val="0"/>
        <w:rPr>
          <w:rFonts w:hint="eastAsia" w:ascii="Times New Roman"/>
          <w:b/>
          <w:snapToGrid w:val="0"/>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pPr>
        <w:pStyle w:val="5"/>
        <w:keepNext w:val="0"/>
        <w:keepLines w:val="0"/>
        <w:wordWrap w:val="0"/>
        <w:adjustRightInd w:val="0"/>
        <w:snapToGrid w:val="0"/>
        <w:spacing w:before="0" w:after="0" w:line="440" w:lineRule="exact"/>
        <w:jc w:val="left"/>
        <w:rPr>
          <w:rFonts w:ascii="Times New Roman"/>
          <w:b/>
          <w:snapToGrid w:val="0"/>
          <w:color w:val="auto"/>
          <w:kern w:val="0"/>
          <w:highlight w:val="none"/>
        </w:rPr>
      </w:pPr>
      <w:bookmarkStart w:id="236" w:name="_Toc17232"/>
      <w:bookmarkStart w:id="237" w:name="_Toc7500"/>
      <w:bookmarkStart w:id="238" w:name="_Toc104711098"/>
      <w:bookmarkStart w:id="239" w:name="_Toc106418843"/>
      <w:bookmarkStart w:id="240" w:name="_Toc28280"/>
      <w:r>
        <w:rPr>
          <w:rFonts w:hint="eastAsia" w:ascii="Times New Roman"/>
          <w:b/>
          <w:snapToGrid w:val="0"/>
          <w:color w:val="auto"/>
          <w:kern w:val="0"/>
          <w:highlight w:val="none"/>
        </w:rPr>
        <w:t>格式</w:t>
      </w:r>
      <w:bookmarkStart w:id="241" w:name="_Hlt97526007"/>
      <w:bookmarkEnd w:id="241"/>
      <w:r>
        <w:rPr>
          <w:rFonts w:hint="eastAsia" w:ascii="Times New Roman"/>
          <w:b/>
          <w:snapToGrid w:val="0"/>
          <w:color w:val="auto"/>
          <w:kern w:val="0"/>
          <w:highlight w:val="none"/>
        </w:rPr>
        <w:t>二 投标函</w:t>
      </w:r>
      <w:bookmarkEnd w:id="236"/>
      <w:bookmarkEnd w:id="237"/>
    </w:p>
    <w:p>
      <w:pPr>
        <w:pStyle w:val="5"/>
        <w:keepNext w:val="0"/>
        <w:keepLines w:val="0"/>
        <w:wordWrap w:val="0"/>
        <w:adjustRightInd w:val="0"/>
        <w:snapToGrid w:val="0"/>
        <w:spacing w:before="260" w:after="260" w:line="440" w:lineRule="exact"/>
        <w:rPr>
          <w:rFonts w:hint="eastAsia" w:ascii="Times New Roman"/>
          <w:b/>
          <w:snapToGrid w:val="0"/>
          <w:color w:val="auto"/>
          <w:kern w:val="0"/>
          <w:highlight w:val="none"/>
        </w:rPr>
      </w:pPr>
      <w:bookmarkStart w:id="242" w:name="_Toc23239"/>
      <w:bookmarkStart w:id="243" w:name="_Toc25895"/>
      <w:r>
        <w:rPr>
          <w:rFonts w:hint="eastAsia" w:ascii="Times New Roman"/>
          <w:b/>
          <w:snapToGrid w:val="0"/>
          <w:color w:val="auto"/>
          <w:kern w:val="0"/>
          <w:sz w:val="30"/>
          <w:highlight w:val="none"/>
        </w:rPr>
        <w:t>投</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标</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函</w:t>
      </w:r>
      <w:bookmarkEnd w:id="238"/>
      <w:bookmarkEnd w:id="239"/>
      <w:bookmarkEnd w:id="240"/>
      <w:bookmarkEnd w:id="242"/>
      <w:bookmarkEnd w:id="243"/>
    </w:p>
    <w:p>
      <w:pPr>
        <w:wordWrap w:val="0"/>
        <w:adjustRightInd w:val="0"/>
        <w:snapToGrid w:val="0"/>
        <w:spacing w:line="440" w:lineRule="exact"/>
        <w:jc w:val="center"/>
        <w:rPr>
          <w:rFonts w:ascii="Times New Roman"/>
          <w:b/>
          <w:snapToGrid w:val="0"/>
          <w:color w:val="auto"/>
          <w:kern w:val="0"/>
          <w:highlight w:val="none"/>
        </w:rPr>
      </w:pPr>
    </w:p>
    <w:p>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（招标人名称）</w:t>
      </w:r>
    </w:p>
    <w:p>
      <w:pPr>
        <w:wordWrap w:val="0"/>
        <w:adjustRightInd w:val="0"/>
        <w:snapToGrid w:val="0"/>
        <w:spacing w:line="440" w:lineRule="exact"/>
        <w:ind w:firstLine="570"/>
        <w:rPr>
          <w:rFonts w:hint="eastAsia" w:ascii="Times New Roman"/>
          <w:snapToGrid w:val="0"/>
          <w:color w:val="auto"/>
          <w:kern w:val="0"/>
          <w:highlight w:val="none"/>
        </w:rPr>
      </w:pPr>
      <w:r>
        <w:rPr>
          <w:rFonts w:ascii="Times New Roman"/>
          <w:snapToGrid w:val="0"/>
          <w:color w:val="auto"/>
          <w:kern w:val="0"/>
          <w:highlight w:val="none"/>
        </w:rPr>
        <w:t>1</w:t>
      </w:r>
      <w:r>
        <w:rPr>
          <w:rFonts w:hint="eastAsia" w:ascii="Times New Roman"/>
          <w:snapToGrid w:val="0"/>
          <w:color w:val="auto"/>
          <w:kern w:val="0"/>
          <w:highlight w:val="none"/>
        </w:rPr>
        <w:t xml:space="preserve">. </w:t>
      </w:r>
      <w:r>
        <w:rPr>
          <w:rFonts w:hint="eastAsia" w:ascii="Times New Roman"/>
          <w:snapToGrid w:val="0"/>
          <w:color w:val="auto"/>
          <w:kern w:val="0"/>
          <w:szCs w:val="22"/>
          <w:highlight w:val="none"/>
        </w:rPr>
        <w:t>我方</w:t>
      </w:r>
      <w:r>
        <w:rPr>
          <w:rFonts w:hint="eastAsia" w:ascii="Times New Roman"/>
          <w:snapToGrid w:val="0"/>
          <w:color w:val="auto"/>
          <w:kern w:val="0"/>
          <w:highlight w:val="none"/>
        </w:rPr>
        <w:t>考察现场并充分研究</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（项目名称）（以下简称“本项目”）施工招标文件</w:t>
      </w:r>
      <w:r>
        <w:rPr>
          <w:rFonts w:hint="eastAsia" w:ascii="Times New Roman"/>
          <w:snapToGrid w:val="0"/>
          <w:color w:val="auto"/>
          <w:kern w:val="0"/>
          <w:szCs w:val="22"/>
          <w:highlight w:val="none"/>
        </w:rPr>
        <w:t>所有内容后</w:t>
      </w:r>
      <w:r>
        <w:rPr>
          <w:rFonts w:hint="eastAsia" w:ascii="Times New Roman"/>
          <w:snapToGrid w:val="0"/>
          <w:color w:val="auto"/>
          <w:kern w:val="0"/>
          <w:highlight w:val="none"/>
        </w:rPr>
        <w:t>，结合自身资质、能力和特点，愿意接受招标文件的全部内容和条件，兹以人民币（大写）：</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Arial" w:hAnsi="Arial" w:cs="Arial"/>
          <w:snapToGrid w:val="0"/>
          <w:color w:val="auto"/>
          <w:kern w:val="0"/>
          <w:highlight w:val="none"/>
        </w:rPr>
        <w:t>¥</w:t>
      </w:r>
      <w:r>
        <w:rPr>
          <w:rFonts w:hint="eastAsia" w:ascii="Times New Roman"/>
          <w:snapToGrid w:val="0"/>
          <w:color w:val="auto"/>
          <w:kern w:val="0"/>
          <w:highlight w:val="none"/>
          <w:u w:val="single"/>
        </w:rPr>
        <w:t xml:space="preserve">      </w:t>
      </w:r>
      <w:r>
        <w:rPr>
          <w:rFonts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Times New Roman"/>
          <w:snapToGrid w:val="0"/>
          <w:color w:val="auto"/>
          <w:kern w:val="0"/>
          <w:szCs w:val="22"/>
          <w:highlight w:val="none"/>
        </w:rPr>
        <w:t>的投标总价</w:t>
      </w:r>
      <w:r>
        <w:rPr>
          <w:rFonts w:hint="eastAsia" w:ascii="Times New Roman"/>
          <w:snapToGrid w:val="0"/>
          <w:color w:val="auto"/>
          <w:kern w:val="0"/>
          <w:highlight w:val="none"/>
        </w:rPr>
        <w:t>竞投本项目施工。</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在我方的上述投标总价中，包括：绿色施工安全防护措施费¥</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，暂列金额¥</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，暂估价¥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2. 如果我方中标，我方保证按照合同约定的开工日期开始本项目的施工，</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个日历天内竣工，并确保工程质量达到</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标准和维修其中的任何缺陷。</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3. 本投标函在你方接收我方递交的投标文件之日起、到招标文件规定的投标有效期期满前对我方具有约束力。我方随时准备接受你方发出的中标通知书。</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4．我方在此声明，我方不存在本项目招标文件第一章第三节第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条“禁止投标条款”所列出的任何一种情形，并愿意承担因我方就此弄虚作假所引起的一切法律后果。</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pPr>
        <w:wordWrap w:val="0"/>
        <w:adjustRightInd w:val="0"/>
        <w:snapToGrid w:val="0"/>
        <w:spacing w:line="440" w:lineRule="exact"/>
        <w:ind w:firstLine="570"/>
        <w:rPr>
          <w:rFonts w:hint="eastAsia" w:ascii="Times New Roman"/>
          <w:snapToGrid w:val="0"/>
          <w:color w:val="auto"/>
          <w:kern w:val="0"/>
          <w:highlight w:val="none"/>
        </w:rPr>
      </w:pPr>
      <w:bookmarkStart w:id="244" w:name="_Hlt68771070"/>
      <w:bookmarkEnd w:id="244"/>
      <w:r>
        <w:rPr>
          <w:rFonts w:hint="eastAsia" w:ascii="Times New Roman"/>
          <w:snapToGrid w:val="0"/>
          <w:color w:val="auto"/>
          <w:kern w:val="0"/>
          <w:highlight w:val="none"/>
        </w:rPr>
        <w:t>6. 我方理解你方不一定要接纳收到的最低投标总价或任何投标总价的投标人中标，也不要求你方解释我方是否中标的原因。</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 xml:space="preserve">  </w:t>
      </w:r>
    </w:p>
    <w:p>
      <w:pPr>
        <w:wordWrap w:val="0"/>
        <w:adjustRightInd w:val="0"/>
        <w:snapToGrid w:val="0"/>
        <w:spacing w:line="440" w:lineRule="exact"/>
        <w:rPr>
          <w:rFonts w:hint="eastAsia" w:ascii="Times New Roman"/>
          <w:snapToGrid w:val="0"/>
          <w:color w:val="auto"/>
          <w:kern w:val="0"/>
          <w:highlight w:val="none"/>
        </w:rPr>
      </w:pPr>
    </w:p>
    <w:p>
      <w:pPr>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 xml:space="preserve">    投标人：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（盖单位章）</w:t>
      </w:r>
    </w:p>
    <w:p>
      <w:pPr>
        <w:wordWrap w:val="0"/>
        <w:adjustRightInd w:val="0"/>
        <w:snapToGrid w:val="0"/>
        <w:spacing w:line="440" w:lineRule="exact"/>
        <w:jc w:val="right"/>
        <w:rPr>
          <w:rFonts w:hint="eastAsia" w:ascii="Times New Roman"/>
          <w:snapToGrid w:val="0"/>
          <w:color w:val="auto"/>
          <w:kern w:val="0"/>
          <w:highlight w:val="none"/>
        </w:rPr>
      </w:pPr>
    </w:p>
    <w:p>
      <w:pPr>
        <w:wordWrap w:val="0"/>
        <w:adjustRightInd w:val="0"/>
        <w:snapToGrid w:val="0"/>
        <w:spacing w:line="440" w:lineRule="exact"/>
        <w:jc w:val="right"/>
        <w:rPr>
          <w:rFonts w:hint="eastAsia" w:ascii="Times New Roman"/>
          <w:snapToGrid w:val="0"/>
          <w:color w:val="auto"/>
          <w:kern w:val="0"/>
          <w:highlight w:val="none"/>
        </w:rPr>
      </w:pPr>
    </w:p>
    <w:p>
      <w:pPr>
        <w:wordWrap w:val="0"/>
        <w:adjustRightInd w:val="0"/>
        <w:snapToGrid w:val="0"/>
        <w:spacing w:line="440" w:lineRule="exact"/>
        <w:ind w:firstLine="480" w:firstLineChars="200"/>
        <w:jc w:val="right"/>
        <w:rPr>
          <w:rFonts w:hint="eastAsia" w:ascii="Times New Roman"/>
          <w:snapToGrid w:val="0"/>
          <w:color w:val="auto"/>
          <w:kern w:val="0"/>
          <w:highlight w:val="none"/>
        </w:rPr>
      </w:pPr>
      <w:r>
        <w:rPr>
          <w:rFonts w:hint="eastAsia" w:ascii="Times New Roman"/>
          <w:snapToGrid w:val="0"/>
          <w:color w:val="auto"/>
          <w:kern w:val="0"/>
          <w:highlight w:val="none"/>
        </w:rPr>
        <w:t>法定代表人或其委托代理人：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（签字或盖章）</w:t>
      </w:r>
    </w:p>
    <w:p>
      <w:pPr>
        <w:wordWrap w:val="0"/>
        <w:adjustRightInd w:val="0"/>
        <w:snapToGrid w:val="0"/>
        <w:spacing w:line="440" w:lineRule="exact"/>
        <w:ind w:firstLine="480" w:firstLineChars="200"/>
        <w:jc w:val="right"/>
        <w:rPr>
          <w:rFonts w:hint="eastAsia" w:ascii="Times New Roman"/>
          <w:snapToGrid w:val="0"/>
          <w:color w:val="auto"/>
          <w:kern w:val="0"/>
          <w:highlight w:val="none"/>
        </w:rPr>
      </w:pPr>
    </w:p>
    <w:p>
      <w:pPr>
        <w:wordWrap w:val="0"/>
        <w:adjustRightInd w:val="0"/>
        <w:snapToGrid w:val="0"/>
        <w:spacing w:line="440" w:lineRule="exact"/>
        <w:jc w:val="left"/>
        <w:rPr>
          <w:rFonts w:hint="eastAsia"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pPr>
        <w:pStyle w:val="74"/>
        <w:widowControl w:val="0"/>
        <w:wordWrap w:val="0"/>
        <w:adjustRightInd w:val="0"/>
        <w:snapToGrid w:val="0"/>
        <w:spacing w:line="400" w:lineRule="exact"/>
        <w:ind w:firstLine="0"/>
        <w:rPr>
          <w:rFonts w:ascii="Times New Roman"/>
          <w:b/>
          <w:snapToGrid w:val="0"/>
          <w:color w:val="auto"/>
          <w:sz w:val="24"/>
          <w:highlight w:val="none"/>
        </w:rPr>
      </w:pPr>
      <w:r>
        <w:rPr>
          <w:rFonts w:hint="eastAsia" w:ascii="Times New Roman"/>
          <w:b/>
          <w:snapToGrid w:val="0"/>
          <w:color w:val="auto"/>
          <w:sz w:val="24"/>
          <w:highlight w:val="none"/>
        </w:rPr>
        <w:t>格式三 各项承诺一览表</w:t>
      </w:r>
    </w:p>
    <w:p>
      <w:pPr>
        <w:pStyle w:val="78"/>
        <w:keepNext w:val="0"/>
        <w:keepLines w:val="0"/>
        <w:widowControl w:val="0"/>
        <w:wordWrap w:val="0"/>
        <w:adjustRightInd w:val="0"/>
        <w:snapToGrid w:val="0"/>
        <w:spacing w:before="260" w:after="260" w:line="440" w:lineRule="exact"/>
        <w:ind w:firstLine="0"/>
        <w:rPr>
          <w:rFonts w:hint="eastAsia" w:ascii="Times New Roman"/>
          <w:b/>
          <w:snapToGrid w:val="0"/>
          <w:color w:val="auto"/>
          <w:highlight w:val="none"/>
        </w:rPr>
      </w:pPr>
      <w:bookmarkStart w:id="245" w:name="_Toc29967"/>
      <w:bookmarkStart w:id="246" w:name="_Toc19422"/>
      <w:r>
        <w:rPr>
          <w:rFonts w:hint="eastAsia" w:ascii="Times New Roman"/>
          <w:b/>
          <w:snapToGrid w:val="0"/>
          <w:color w:val="auto"/>
          <w:sz w:val="30"/>
          <w:highlight w:val="none"/>
        </w:rPr>
        <w:t>各项承诺一览表</w:t>
      </w:r>
      <w:bookmarkEnd w:id="245"/>
      <w:bookmarkEnd w:id="246"/>
    </w:p>
    <w:tbl>
      <w:tblPr>
        <w:tblStyle w:val="30"/>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noWrap w:val="0"/>
            <w:vAlign w:val="center"/>
          </w:tcPr>
          <w:p>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2923" w:type="dxa"/>
            <w:noWrap w:val="0"/>
            <w:vAlign w:val="center"/>
          </w:tcPr>
          <w:p>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4019" w:type="dxa"/>
            <w:noWrap w:val="0"/>
            <w:vAlign w:val="center"/>
          </w:tcPr>
          <w:p>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我方提供完整的、与纸质投标文件一致的电子文件。如果我方成为本项目中标候选人，我方同意并授权招标人在评标结果公示期内公开我方商务标书的全部内容。</w:t>
            </w:r>
          </w:p>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如果我方提供的电子文件不完整或与纸质投标文件内容不一致，我方保证在收到招标人的核对意见后24小时内对电子文件进行补充或修改，确保补充或修改后的电子文件与纸质版投标文件一致后重新提交。</w:t>
            </w:r>
          </w:p>
        </w:tc>
        <w:tc>
          <w:tcPr>
            <w:tcW w:w="4019" w:type="dxa"/>
            <w:noWrap w:val="0"/>
            <w:vAlign w:val="center"/>
          </w:tcPr>
          <w:p>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如果我方提供的电子文件不完整或与纸质版投标文件内容不一致，又不按招标文件规定重新修正和提交电子文件，我方接受招标人依据招标文件作出的相应处理。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p>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pPr>
        <w:pStyle w:val="62"/>
        <w:wordWrap w:val="0"/>
        <w:adjustRightInd w:val="0"/>
        <w:snapToGrid w:val="0"/>
        <w:spacing w:line="420" w:lineRule="exact"/>
        <w:jc w:val="left"/>
        <w:rPr>
          <w:rFonts w:hint="eastAsia" w:ascii="Times New Roman"/>
          <w:snapToGrid w:val="0"/>
          <w:color w:val="auto"/>
          <w:kern w:val="0"/>
          <w:highlight w:val="none"/>
        </w:rPr>
      </w:pPr>
    </w:p>
    <w:p>
      <w:pPr>
        <w:pStyle w:val="18"/>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投标人：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（盖单位章）</w:t>
      </w:r>
    </w:p>
    <w:p>
      <w:pPr>
        <w:pStyle w:val="18"/>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pPr>
        <w:pStyle w:val="18"/>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pPr>
        <w:pStyle w:val="18"/>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法定代表人或其委托代理人：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（签字或盖章）</w:t>
      </w:r>
    </w:p>
    <w:p>
      <w:pPr>
        <w:pStyle w:val="18"/>
        <w:wordWrap w:val="0"/>
        <w:adjustRightInd w:val="0"/>
        <w:snapToGrid w:val="0"/>
        <w:spacing w:line="420" w:lineRule="exact"/>
        <w:ind w:firstLine="480" w:firstLineChars="200"/>
        <w:rPr>
          <w:rFonts w:hint="eastAsia" w:ascii="Times New Roman"/>
          <w:snapToGrid w:val="0"/>
          <w:color w:val="auto"/>
          <w:kern w:val="0"/>
          <w:szCs w:val="24"/>
          <w:highlight w:val="none"/>
        </w:rPr>
      </w:pPr>
    </w:p>
    <w:p>
      <w:pPr>
        <w:pStyle w:val="18"/>
        <w:wordWrap w:val="0"/>
        <w:adjustRightInd w:val="0"/>
        <w:snapToGrid w:val="0"/>
        <w:spacing w:line="420" w:lineRule="exact"/>
        <w:ind w:firstLine="480" w:firstLineChars="200"/>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 xml:space="preserve">                     </w:t>
      </w:r>
      <w:r>
        <w:rPr>
          <w:rFonts w:ascii="Times New Roman"/>
          <w:snapToGrid w:val="0"/>
          <w:color w:val="auto"/>
          <w:kern w:val="0"/>
          <w:szCs w:val="24"/>
          <w:highlight w:val="non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u w:val="singl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年</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月</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日</w:t>
      </w:r>
    </w:p>
    <w:p>
      <w:pPr>
        <w:wordWrap w:val="0"/>
        <w:adjustRightInd w:val="0"/>
        <w:snapToGrid w:val="0"/>
        <w:spacing w:line="420" w:lineRule="exact"/>
        <w:jc w:val="left"/>
        <w:outlineLvl w:val="2"/>
        <w:rPr>
          <w:rFonts w:hint="eastAsia" w:ascii="Times New Roman"/>
          <w:b/>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pPr>
        <w:wordWrap w:val="0"/>
        <w:adjustRightInd w:val="0"/>
        <w:snapToGrid w:val="0"/>
        <w:spacing w:line="440" w:lineRule="exact"/>
        <w:outlineLvl w:val="2"/>
        <w:rPr>
          <w:rFonts w:hint="eastAsia" w:ascii="Times New Roman"/>
          <w:b/>
          <w:bCs/>
          <w:snapToGrid w:val="0"/>
          <w:color w:val="auto"/>
          <w:kern w:val="0"/>
          <w:szCs w:val="24"/>
          <w:highlight w:val="none"/>
        </w:rPr>
      </w:pPr>
      <w:bookmarkStart w:id="247" w:name="_Toc1689"/>
      <w:r>
        <w:rPr>
          <w:rFonts w:hint="eastAsia" w:ascii="Times New Roman"/>
          <w:b/>
          <w:bCs/>
          <w:snapToGrid w:val="0"/>
          <w:color w:val="auto"/>
          <w:kern w:val="0"/>
          <w:szCs w:val="24"/>
          <w:highlight w:val="none"/>
        </w:rPr>
        <w:t>格式四 授权委托书</w:t>
      </w:r>
      <w:bookmarkEnd w:id="247"/>
    </w:p>
    <w:p>
      <w:pPr>
        <w:wordWrap w:val="0"/>
        <w:adjustRightInd w:val="0"/>
        <w:snapToGrid w:val="0"/>
        <w:spacing w:line="440" w:lineRule="exact"/>
        <w:outlineLvl w:val="2"/>
        <w:rPr>
          <w:rFonts w:hint="eastAsia" w:ascii="Times New Roman"/>
          <w:b/>
          <w:bCs/>
          <w:snapToGrid w:val="0"/>
          <w:color w:val="auto"/>
          <w:kern w:val="0"/>
          <w:szCs w:val="24"/>
          <w:highlight w:val="none"/>
        </w:rPr>
      </w:pPr>
    </w:p>
    <w:p>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授权委托书</w:t>
      </w:r>
    </w:p>
    <w:p>
      <w:pPr>
        <w:wordWrap w:val="0"/>
        <w:adjustRightInd w:val="0"/>
        <w:snapToGrid w:val="0"/>
        <w:spacing w:line="440" w:lineRule="exact"/>
        <w:rPr>
          <w:rFonts w:hint="eastAsia" w:ascii="Times New Roman"/>
          <w:snapToGrid w:val="0"/>
          <w:color w:val="auto"/>
          <w:kern w:val="0"/>
          <w:szCs w:val="28"/>
          <w:highlight w:val="none"/>
        </w:rPr>
      </w:pPr>
    </w:p>
    <w:p>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本人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（投标人名称）的法定代表人，现委托</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（姓名）为我方代理人。代理人根据授权，以我方名义签署、澄清、说明、补正、递交、撤回、修改</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（项目名称）施工投标文件、签订合同和处理有关事宜，其法律后果由我方承担。</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委托期限：至</w:t>
      </w:r>
      <w:r>
        <w:rPr>
          <w:rFonts w:hint="eastAsia" w:ascii="Times New Roman"/>
          <w:snapToGrid w:val="0"/>
          <w:color w:val="auto"/>
          <w:kern w:val="0"/>
          <w:szCs w:val="21"/>
          <w:highlight w:val="none"/>
          <w:u w:val="single"/>
        </w:rPr>
        <w:t xml:space="preserve">     年   月   日</w:t>
      </w:r>
      <w:r>
        <w:rPr>
          <w:rFonts w:hint="eastAsia" w:ascii="Times New Roman"/>
          <w:i/>
          <w:iCs/>
          <w:snapToGrid w:val="0"/>
          <w:color w:val="auto"/>
          <w:kern w:val="0"/>
          <w:szCs w:val="21"/>
          <w:highlight w:val="none"/>
          <w:u w:val="single"/>
        </w:rPr>
        <w:t>（不得短于招标文件规定的投标有效期）</w:t>
      </w:r>
      <w:r>
        <w:rPr>
          <w:rFonts w:hint="eastAsia" w:ascii="Times New Roman"/>
          <w:snapToGrid w:val="0"/>
          <w:color w:val="auto"/>
          <w:kern w:val="0"/>
          <w:szCs w:val="21"/>
          <w:highlight w:val="none"/>
        </w:rPr>
        <w:t xml:space="preserve"> 。</w:t>
      </w:r>
    </w:p>
    <w:p>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代理人无转委托权。</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投  标  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委托代理人：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日</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ind w:firstLine="6440" w:firstLineChars="2300"/>
        <w:rPr>
          <w:rFonts w:hint="eastAsia" w:ascii="Times New Roman"/>
          <w:snapToGrid w:val="0"/>
          <w:color w:val="auto"/>
          <w:kern w:val="0"/>
          <w:szCs w:val="24"/>
          <w:highlight w:val="none"/>
        </w:rPr>
      </w:pPr>
      <w:r>
        <w:rPr>
          <w:rFonts w:hint="eastAsia" w:ascii="Times New Roman"/>
          <w:snapToGrid w:val="0"/>
          <w:color w:val="auto"/>
          <w:kern w:val="0"/>
          <w:sz w:val="28"/>
          <w:szCs w:val="28"/>
          <w:highlight w:val="none"/>
          <w:u w:val="single"/>
        </w:rPr>
        <mc:AlternateContent>
          <mc:Choice Requires="wps">
            <w:drawing>
              <wp:anchor distT="0" distB="0" distL="114300" distR="114300" simplePos="0" relativeHeight="25167257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p>
                          <w:p>
                            <w:pPr>
                              <w:jc w:val="center"/>
                              <w:rPr>
                                <w:rFonts w:hint="eastAsia"/>
                                <w:szCs w:val="21"/>
                              </w:rPr>
                            </w:pPr>
                          </w:p>
                          <w:p>
                            <w:pPr>
                              <w:jc w:val="center"/>
                              <w:rPr>
                                <w:rFonts w:hint="eastAsia"/>
                                <w:szCs w:val="21"/>
                              </w:rPr>
                            </w:pPr>
                          </w:p>
                          <w:p>
                            <w:pPr>
                              <w:jc w:val="center"/>
                              <w:rPr>
                                <w:szCs w:val="21"/>
                              </w:rPr>
                            </w:pPr>
                            <w:r>
                              <w:rPr>
                                <w:rFonts w:hint="eastAsia"/>
                                <w:szCs w:val="21"/>
                              </w:rPr>
                              <w:t>委托代理人身份证复印件正、反面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257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pPr>
                        <w:jc w:val="center"/>
                        <w:rPr>
                          <w:rFonts w:hint="eastAsia"/>
                          <w:szCs w:val="21"/>
                        </w:rPr>
                      </w:pPr>
                    </w:p>
                    <w:p>
                      <w:pPr>
                        <w:jc w:val="center"/>
                        <w:rPr>
                          <w:rFonts w:hint="eastAsia"/>
                          <w:szCs w:val="21"/>
                        </w:rPr>
                      </w:pPr>
                    </w:p>
                    <w:p>
                      <w:pPr>
                        <w:jc w:val="center"/>
                        <w:rPr>
                          <w:rFonts w:hint="eastAsia"/>
                          <w:szCs w:val="21"/>
                        </w:rPr>
                      </w:pPr>
                    </w:p>
                    <w:p>
                      <w:pPr>
                        <w:jc w:val="center"/>
                        <w:rPr>
                          <w:szCs w:val="21"/>
                        </w:rPr>
                      </w:pPr>
                      <w:r>
                        <w:rPr>
                          <w:rFonts w:hint="eastAsia"/>
                          <w:szCs w:val="21"/>
                        </w:rPr>
                        <w:t>委托代理人身份证复印件正、反面</w:t>
                      </w:r>
                    </w:p>
                  </w:txbxContent>
                </v:textbox>
              </v:shape>
            </w:pict>
          </mc:Fallback>
        </mc:AlternateContent>
      </w:r>
    </w:p>
    <w:p>
      <w:pPr>
        <w:pStyle w:val="11"/>
        <w:wordWrap w:val="0"/>
        <w:adjustRightInd w:val="0"/>
        <w:snapToGrid w:val="0"/>
        <w:rPr>
          <w:rFonts w:hint="eastAsia" w:ascii="Times New Roman"/>
          <w:snapToGrid w:val="0"/>
          <w:color w:val="auto"/>
          <w:kern w:val="0"/>
          <w:szCs w:val="24"/>
          <w:highlight w:val="none"/>
        </w:rPr>
      </w:pPr>
    </w:p>
    <w:p>
      <w:pPr>
        <w:pStyle w:val="5"/>
        <w:keepNext w:val="0"/>
        <w:keepLines w:val="0"/>
        <w:wordWrap w:val="0"/>
        <w:adjustRightInd w:val="0"/>
        <w:snapToGrid w:val="0"/>
        <w:rPr>
          <w:rFonts w:hint="eastAsia" w:ascii="Times New Roman"/>
          <w:snapToGrid w:val="0"/>
          <w:color w:val="auto"/>
          <w:kern w:val="0"/>
          <w:highlight w:val="none"/>
        </w:rPr>
      </w:pPr>
    </w:p>
    <w:p>
      <w:pPr>
        <w:pStyle w:val="6"/>
        <w:widowControl w:val="0"/>
        <w:wordWrap w:val="0"/>
        <w:adjustRightInd w:val="0"/>
        <w:snapToGrid w:val="0"/>
        <w:rPr>
          <w:rFonts w:hint="eastAsia" w:ascii="Times New Roman"/>
          <w:snapToGrid w:val="0"/>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pPr>
        <w:wordWrap w:val="0"/>
        <w:adjustRightInd w:val="0"/>
        <w:snapToGrid w:val="0"/>
        <w:spacing w:line="440" w:lineRule="exact"/>
        <w:outlineLvl w:val="2"/>
        <w:rPr>
          <w:rFonts w:hint="eastAsia" w:ascii="Times New Roman"/>
          <w:b/>
          <w:snapToGrid w:val="0"/>
          <w:color w:val="auto"/>
          <w:kern w:val="0"/>
          <w:highlight w:val="none"/>
        </w:rPr>
      </w:pPr>
      <w:bookmarkStart w:id="248" w:name="_Toc26408"/>
      <w:r>
        <w:rPr>
          <w:rFonts w:hint="eastAsia" w:ascii="Times New Roman"/>
          <w:b/>
          <w:snapToGrid w:val="0"/>
          <w:color w:val="auto"/>
          <w:kern w:val="0"/>
          <w:highlight w:val="none"/>
        </w:rPr>
        <w:t>格式五 法定代表人身份证明</w:t>
      </w:r>
      <w:bookmarkEnd w:id="248"/>
    </w:p>
    <w:p>
      <w:pPr>
        <w:wordWrap w:val="0"/>
        <w:adjustRightInd w:val="0"/>
        <w:snapToGrid w:val="0"/>
        <w:spacing w:line="440" w:lineRule="exact"/>
        <w:outlineLvl w:val="2"/>
        <w:rPr>
          <w:rFonts w:hint="eastAsia" w:ascii="Times New Roman"/>
          <w:b/>
          <w:snapToGrid w:val="0"/>
          <w:color w:val="auto"/>
          <w:kern w:val="0"/>
          <w:highlight w:val="none"/>
        </w:rPr>
      </w:pPr>
    </w:p>
    <w:p>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法定代表人身份证明</w:t>
      </w:r>
    </w:p>
    <w:p>
      <w:pPr>
        <w:wordWrap w:val="0"/>
        <w:adjustRightInd w:val="0"/>
        <w:snapToGrid w:val="0"/>
        <w:spacing w:line="440" w:lineRule="exact"/>
        <w:rPr>
          <w:rFonts w:hint="eastAsia" w:ascii="Times New Roman"/>
          <w:snapToGrid w:val="0"/>
          <w:color w:val="auto"/>
          <w:kern w:val="0"/>
          <w:szCs w:val="21"/>
          <w:highlight w:val="none"/>
        </w:rPr>
      </w:pPr>
    </w:p>
    <w:p>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投标人名称：</w:t>
      </w:r>
      <w:r>
        <w:rPr>
          <w:rFonts w:hint="eastAsia" w:ascii="Times New Roman"/>
          <w:snapToGrid w:val="0"/>
          <w:color w:val="auto"/>
          <w:kern w:val="0"/>
          <w:szCs w:val="21"/>
          <w:highlight w:val="none"/>
          <w:u w:val="single"/>
        </w:rPr>
        <w:t xml:space="preserve">                  </w:t>
      </w:r>
    </w:p>
    <w:p>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姓名：</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性别：</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年龄：</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职务：</w:t>
      </w:r>
      <w:r>
        <w:rPr>
          <w:rFonts w:hint="eastAsia" w:ascii="Times New Roman"/>
          <w:snapToGrid w:val="0"/>
          <w:color w:val="auto"/>
          <w:kern w:val="0"/>
          <w:szCs w:val="21"/>
          <w:highlight w:val="none"/>
          <w:u w:val="single"/>
        </w:rPr>
        <w:t xml:space="preserve">           </w:t>
      </w:r>
    </w:p>
    <w:p>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w:t>
      </w:r>
    </w:p>
    <w:p>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特此证明。</w:t>
      </w:r>
    </w:p>
    <w:p>
      <w:pPr>
        <w:wordWrap w:val="0"/>
        <w:adjustRightInd w:val="0"/>
        <w:snapToGrid w:val="0"/>
        <w:spacing w:line="440" w:lineRule="exact"/>
        <w:rPr>
          <w:rFonts w:hint="eastAsia" w:ascii="Times New Roman"/>
          <w:snapToGrid w:val="0"/>
          <w:color w:val="auto"/>
          <w:kern w:val="0"/>
          <w:szCs w:val="21"/>
          <w:highlight w:val="none"/>
        </w:rPr>
      </w:pPr>
    </w:p>
    <w:p>
      <w:pPr>
        <w:wordWrap w:val="0"/>
        <w:adjustRightInd w:val="0"/>
        <w:snapToGrid w:val="0"/>
        <w:spacing w:line="440" w:lineRule="exact"/>
        <w:rPr>
          <w:rFonts w:hint="eastAsia" w:ascii="Times New Roman"/>
          <w:snapToGrid w:val="0"/>
          <w:color w:val="auto"/>
          <w:kern w:val="0"/>
          <w:szCs w:val="21"/>
          <w:highlight w:val="none"/>
        </w:rPr>
      </w:pPr>
    </w:p>
    <w:p>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投标人：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pPr>
        <w:wordWrap w:val="0"/>
        <w:adjustRightInd w:val="0"/>
        <w:snapToGrid w:val="0"/>
        <w:spacing w:line="440" w:lineRule="exact"/>
        <w:jc w:val="right"/>
        <w:rPr>
          <w:rFonts w:hint="eastAsia" w:ascii="Times New Roman"/>
          <w:snapToGrid w:val="0"/>
          <w:color w:val="auto"/>
          <w:kern w:val="0"/>
          <w:szCs w:val="21"/>
          <w:highlight w:val="none"/>
        </w:rPr>
      </w:pPr>
    </w:p>
    <w:p>
      <w:pPr>
        <w:wordWrap w:val="0"/>
        <w:adjustRightInd w:val="0"/>
        <w:snapToGrid w:val="0"/>
        <w:spacing w:line="440" w:lineRule="exact"/>
        <w:jc w:val="right"/>
        <w:rPr>
          <w:rFonts w:hint="eastAsia" w:ascii="Times New Roman"/>
          <w:snapToGrid w:val="0"/>
          <w:color w:val="auto"/>
          <w:kern w:val="0"/>
          <w:szCs w:val="21"/>
          <w:highlight w:val="none"/>
        </w:rPr>
      </w:pPr>
    </w:p>
    <w:p>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 xml:space="preserve">日       </w:t>
      </w:r>
    </w:p>
    <w:p>
      <w:pPr>
        <w:wordWrap w:val="0"/>
        <w:adjustRightInd w:val="0"/>
        <w:snapToGrid w:val="0"/>
        <w:spacing w:line="440" w:lineRule="exact"/>
        <w:ind w:firstLine="240" w:firstLineChars="1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i/>
          <w:iCs/>
          <w:snapToGrid w:val="0"/>
          <w:color w:val="auto"/>
          <w:kern w:val="0"/>
          <w:szCs w:val="21"/>
          <w:highlight w:val="none"/>
        </w:rPr>
        <w:t xml:space="preserve"> </w:t>
      </w:r>
    </w:p>
    <w:p>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pPr>
        <w:wordWrap w:val="0"/>
        <w:adjustRightInd w:val="0"/>
        <w:snapToGrid w:val="0"/>
        <w:rPr>
          <w:rFonts w:hint="eastAsia" w:ascii="Times New Roman"/>
          <w:b/>
          <w:snapToGrid w:val="0"/>
          <w:color w:val="auto"/>
          <w:kern w:val="0"/>
          <w:szCs w:val="21"/>
          <w:highlight w:val="none"/>
        </w:rPr>
      </w:pPr>
      <w:r>
        <w:rPr>
          <w:rFonts w:hint="eastAsia" w:ascii="Times New Roman"/>
          <w:b/>
          <w:snapToGrid w:val="0"/>
          <w:color w:val="auto"/>
          <w:kern w:val="0"/>
          <w:szCs w:val="21"/>
          <w:highlight w:val="none"/>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p>
                          <w:p>
                            <w:pPr>
                              <w:jc w:val="center"/>
                              <w:rPr>
                                <w:rFonts w:hint="eastAsia"/>
                                <w:szCs w:val="21"/>
                              </w:rPr>
                            </w:pPr>
                          </w:p>
                          <w:p>
                            <w:pPr>
                              <w:jc w:val="center"/>
                              <w:rPr>
                                <w:rFonts w:hint="eastAsia"/>
                                <w:szCs w:val="21"/>
                              </w:rPr>
                            </w:pPr>
                          </w:p>
                          <w:p>
                            <w:pPr>
                              <w:jc w:val="center"/>
                              <w:rPr>
                                <w:szCs w:val="21"/>
                              </w:rPr>
                            </w:pPr>
                            <w:r>
                              <w:rPr>
                                <w:rFonts w:hint="eastAsia"/>
                                <w:szCs w:val="21"/>
                              </w:rPr>
                              <w:t>法定代表人身份证复印件正、反面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155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pPr>
                        <w:jc w:val="center"/>
                        <w:rPr>
                          <w:rFonts w:hint="eastAsia"/>
                          <w:szCs w:val="21"/>
                        </w:rPr>
                      </w:pPr>
                    </w:p>
                    <w:p>
                      <w:pPr>
                        <w:jc w:val="center"/>
                        <w:rPr>
                          <w:rFonts w:hint="eastAsia"/>
                          <w:szCs w:val="21"/>
                        </w:rPr>
                      </w:pPr>
                    </w:p>
                    <w:p>
                      <w:pPr>
                        <w:jc w:val="center"/>
                        <w:rPr>
                          <w:rFonts w:hint="eastAsia"/>
                          <w:szCs w:val="21"/>
                        </w:rPr>
                      </w:pPr>
                    </w:p>
                    <w:p>
                      <w:pPr>
                        <w:jc w:val="center"/>
                        <w:rPr>
                          <w:szCs w:val="21"/>
                        </w:rPr>
                      </w:pPr>
                      <w:r>
                        <w:rPr>
                          <w:rFonts w:hint="eastAsia"/>
                          <w:szCs w:val="21"/>
                        </w:rPr>
                        <w:t>法定代表人身份证复印件正、反面</w:t>
                      </w:r>
                    </w:p>
                  </w:txbxContent>
                </v:textbox>
              </v:shape>
            </w:pict>
          </mc:Fallback>
        </mc:AlternateContent>
      </w:r>
    </w:p>
    <w:p>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imes New Roman"/>
          <w:snapToGrid w:val="0"/>
          <w:color w:val="auto"/>
          <w:kern w:val="0"/>
          <w:sz w:val="28"/>
          <w:szCs w:val="28"/>
          <w:highlight w:val="none"/>
        </w:rPr>
      </w:pPr>
    </w:p>
    <w:p>
      <w:pPr>
        <w:wordWrap w:val="0"/>
        <w:adjustRightInd w:val="0"/>
        <w:snapToGrid w:val="0"/>
        <w:spacing w:line="480" w:lineRule="exact"/>
        <w:jc w:val="center"/>
        <w:rPr>
          <w:rFonts w:hint="eastAsia" w:ascii="Times New Roman"/>
          <w:b/>
          <w:snapToGrid w:val="0"/>
          <w:color w:val="auto"/>
          <w:kern w:val="0"/>
          <w:sz w:val="28"/>
          <w:szCs w:val="28"/>
          <w:highlight w:val="none"/>
        </w:rPr>
      </w:pPr>
    </w:p>
    <w:p>
      <w:pPr>
        <w:wordWrap w:val="0"/>
        <w:adjustRightInd w:val="0"/>
        <w:snapToGrid w:val="0"/>
        <w:spacing w:line="480" w:lineRule="exact"/>
        <w:jc w:val="center"/>
        <w:rPr>
          <w:rFonts w:hint="eastAsia" w:ascii="Times New Roman"/>
          <w:b/>
          <w:snapToGrid w:val="0"/>
          <w:color w:val="auto"/>
          <w:kern w:val="0"/>
          <w:sz w:val="28"/>
          <w:szCs w:val="28"/>
          <w:highlight w:val="none"/>
        </w:rPr>
      </w:pPr>
    </w:p>
    <w:p>
      <w:pPr>
        <w:wordWrap w:val="0"/>
        <w:adjustRightInd w:val="0"/>
        <w:snapToGrid w:val="0"/>
        <w:spacing w:line="480" w:lineRule="exact"/>
        <w:jc w:val="center"/>
        <w:rPr>
          <w:rFonts w:hint="eastAsia" w:ascii="Times New Roman"/>
          <w:b/>
          <w:snapToGrid w:val="0"/>
          <w:color w:val="auto"/>
          <w:kern w:val="0"/>
          <w:sz w:val="28"/>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pPr>
        <w:pStyle w:val="74"/>
        <w:widowControl w:val="0"/>
        <w:wordWrap w:val="0"/>
        <w:adjustRightInd w:val="0"/>
        <w:snapToGrid w:val="0"/>
        <w:spacing w:line="440" w:lineRule="exact"/>
        <w:ind w:firstLine="0"/>
        <w:rPr>
          <w:rFonts w:hint="eastAsia" w:ascii="Times New Roman"/>
          <w:b/>
          <w:bCs/>
          <w:snapToGrid w:val="0"/>
          <w:color w:val="auto"/>
          <w:sz w:val="24"/>
          <w:szCs w:val="24"/>
          <w:highlight w:val="none"/>
        </w:rPr>
      </w:pPr>
      <w:r>
        <w:rPr>
          <w:rFonts w:hint="eastAsia" w:ascii="Times New Roman"/>
          <w:b/>
          <w:bCs/>
          <w:snapToGrid w:val="0"/>
          <w:color w:val="auto"/>
          <w:sz w:val="24"/>
          <w:szCs w:val="24"/>
          <w:highlight w:val="none"/>
        </w:rPr>
        <w:t>格式六 联合体协议书</w:t>
      </w:r>
    </w:p>
    <w:p>
      <w:pPr>
        <w:pStyle w:val="74"/>
        <w:widowControl w:val="0"/>
        <w:wordWrap w:val="0"/>
        <w:adjustRightInd w:val="0"/>
        <w:snapToGrid w:val="0"/>
        <w:spacing w:line="440" w:lineRule="exact"/>
        <w:ind w:firstLine="0"/>
        <w:rPr>
          <w:rFonts w:ascii="Times New Roman"/>
          <w:b/>
          <w:bCs/>
          <w:snapToGrid w:val="0"/>
          <w:color w:val="auto"/>
          <w:sz w:val="24"/>
          <w:szCs w:val="24"/>
          <w:highlight w:val="none"/>
        </w:rPr>
      </w:pPr>
    </w:p>
    <w:p>
      <w:pPr>
        <w:pStyle w:val="74"/>
        <w:widowControl w:val="0"/>
        <w:wordWrap w:val="0"/>
        <w:adjustRightInd w:val="0"/>
        <w:snapToGrid w:val="0"/>
        <w:spacing w:before="240" w:after="240" w:line="440" w:lineRule="exact"/>
        <w:ind w:firstLine="0"/>
        <w:jc w:val="center"/>
        <w:rPr>
          <w:rFonts w:hint="eastAsia" w:ascii="Times New Roman"/>
          <w:snapToGrid w:val="0"/>
          <w:color w:val="auto"/>
          <w:sz w:val="24"/>
          <w:szCs w:val="21"/>
          <w:highlight w:val="none"/>
        </w:rPr>
      </w:pPr>
      <w:r>
        <w:rPr>
          <w:rFonts w:hint="eastAsia" w:ascii="Times New Roman"/>
          <w:b/>
          <w:snapToGrid w:val="0"/>
          <w:color w:val="auto"/>
          <w:sz w:val="30"/>
          <w:highlight w:val="none"/>
        </w:rPr>
        <w:t>联合体协议书</w:t>
      </w: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牵头人名称：</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成员二名称：</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w:t>
      </w: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上述各成员单位经过友好协商，自愿组成联合体，共同参加</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（项目名称）（以下简称“本项目”）的施工投标并争取赢得本项目施工承包合同（以下简称合同）。现就联合体投标事宜订立如下协议：</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1．</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（某成员单位名称）为联合体牵头人。</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pStyle w:val="74"/>
        <w:widowControl w:val="0"/>
        <w:wordWrap w:val="0"/>
        <w:adjustRightInd w:val="0"/>
        <w:snapToGrid w:val="0"/>
        <w:spacing w:line="440" w:lineRule="exact"/>
        <w:ind w:firstLine="480"/>
        <w:rPr>
          <w:rFonts w:hint="eastAsia" w:ascii="Times New Roman"/>
          <w:snapToGrid w:val="0"/>
          <w:color w:val="auto"/>
          <w:sz w:val="24"/>
          <w:szCs w:val="24"/>
          <w:highlight w:val="none"/>
        </w:rPr>
      </w:pPr>
      <w:r>
        <w:rPr>
          <w:rFonts w:hint="eastAsia" w:ascii="Times New Roman"/>
          <w:snapToGrid w:val="0"/>
          <w:color w:val="auto"/>
          <w:sz w:val="24"/>
          <w:szCs w:val="24"/>
          <w:highlight w:val="none"/>
        </w:rPr>
        <w:t>4．联合体各成员单位内部的职责分工如下：</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5．投标工作和联合体在中标后工程实施过程中的有关费用按各自承担的工作量分摊。</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6．联合体中标后，本联合体协议是合同的附件，对联合体各成员单位有合同约束力。</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7．本协议书自签署之日起生效，联合体未中标或者中标时合同履行完毕后自动失效。</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8．本协议书一式</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份，联合体成员和招标人各执一份。</w:t>
      </w: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牵头人名称：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成员二名称：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center"/>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年</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月</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日</w:t>
      </w:r>
    </w:p>
    <w:p>
      <w:pPr>
        <w:pStyle w:val="74"/>
        <w:widowControl w:val="0"/>
        <w:wordWrap w:val="0"/>
        <w:adjustRightInd w:val="0"/>
        <w:snapToGrid w:val="0"/>
        <w:spacing w:line="440" w:lineRule="exact"/>
        <w:jc w:val="center"/>
        <w:rPr>
          <w:rFonts w:hint="eastAsia" w:ascii="Times New Roman"/>
          <w:snapToGrid w:val="0"/>
          <w:color w:val="auto"/>
          <w:sz w:val="24"/>
          <w:szCs w:val="24"/>
          <w:highlight w:val="none"/>
        </w:rPr>
      </w:pP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pPr>
        <w:pStyle w:val="74"/>
        <w:widowControl w:val="0"/>
        <w:wordWrap w:val="0"/>
        <w:adjustRightInd w:val="0"/>
        <w:snapToGrid w:val="0"/>
        <w:spacing w:line="440" w:lineRule="exact"/>
        <w:rPr>
          <w:rFonts w:hint="eastAsia" w:ascii="Times New Roman"/>
          <w:snapToGrid w:val="0"/>
          <w:color w:val="auto"/>
          <w:sz w:val="24"/>
          <w:szCs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pPr>
        <w:wordWrap w:val="0"/>
        <w:adjustRightInd w:val="0"/>
        <w:snapToGrid w:val="0"/>
        <w:spacing w:line="440" w:lineRule="exact"/>
        <w:outlineLvl w:val="2"/>
        <w:rPr>
          <w:rFonts w:hint="eastAsia" w:ascii="Times New Roman"/>
          <w:b/>
          <w:bCs/>
          <w:snapToGrid w:val="0"/>
          <w:color w:val="auto"/>
          <w:kern w:val="0"/>
          <w:szCs w:val="24"/>
          <w:highlight w:val="none"/>
        </w:rPr>
      </w:pPr>
      <w:bookmarkStart w:id="249" w:name="_Toc15143"/>
      <w:r>
        <w:rPr>
          <w:rFonts w:hint="eastAsia" w:ascii="Times New Roman"/>
          <w:b/>
          <w:bCs/>
          <w:snapToGrid w:val="0"/>
          <w:color w:val="auto"/>
          <w:kern w:val="0"/>
          <w:szCs w:val="24"/>
          <w:highlight w:val="none"/>
        </w:rPr>
        <w:t>格式七 投标人基本情况表</w:t>
      </w:r>
      <w:bookmarkEnd w:id="249"/>
    </w:p>
    <w:p>
      <w:pPr>
        <w:pStyle w:val="74"/>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投标人名称</w:t>
            </w:r>
          </w:p>
        </w:tc>
        <w:tc>
          <w:tcPr>
            <w:tcW w:w="7020" w:type="dxa"/>
            <w:gridSpan w:val="8"/>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注册地址</w:t>
            </w:r>
          </w:p>
        </w:tc>
        <w:tc>
          <w:tcPr>
            <w:tcW w:w="3389" w:type="dxa"/>
            <w:gridSpan w:val="3"/>
            <w:noWrap w:val="0"/>
            <w:vAlign w:val="center"/>
          </w:tcPr>
          <w:p>
            <w:pPr>
              <w:pStyle w:val="123"/>
              <w:wordWrap w:val="0"/>
              <w:adjustRightInd w:val="0"/>
              <w:snapToGrid w:val="0"/>
              <w:jc w:val="center"/>
              <w:rPr>
                <w:snapToGrid w:val="0"/>
                <w:color w:val="auto"/>
                <w:kern w:val="0"/>
                <w:szCs w:val="21"/>
                <w:highlight w:val="none"/>
              </w:rPr>
            </w:pPr>
          </w:p>
        </w:tc>
        <w:tc>
          <w:tcPr>
            <w:tcW w:w="1246" w:type="dxa"/>
            <w:gridSpan w:val="2"/>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邮政编码</w:t>
            </w:r>
          </w:p>
        </w:tc>
        <w:tc>
          <w:tcPr>
            <w:tcW w:w="2385" w:type="dxa"/>
            <w:gridSpan w:val="3"/>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联系方式</w:t>
            </w:r>
          </w:p>
        </w:tc>
        <w:tc>
          <w:tcPr>
            <w:tcW w:w="897"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联系人</w:t>
            </w:r>
          </w:p>
        </w:tc>
        <w:tc>
          <w:tcPr>
            <w:tcW w:w="2492" w:type="dxa"/>
            <w:gridSpan w:val="2"/>
            <w:noWrap w:val="0"/>
            <w:vAlign w:val="center"/>
          </w:tcPr>
          <w:p>
            <w:pPr>
              <w:pStyle w:val="123"/>
              <w:wordWrap w:val="0"/>
              <w:adjustRightInd w:val="0"/>
              <w:snapToGrid w:val="0"/>
              <w:jc w:val="center"/>
              <w:rPr>
                <w:snapToGrid w:val="0"/>
                <w:color w:val="auto"/>
                <w:kern w:val="0"/>
                <w:szCs w:val="21"/>
                <w:highlight w:val="none"/>
              </w:rPr>
            </w:pPr>
          </w:p>
        </w:tc>
        <w:tc>
          <w:tcPr>
            <w:tcW w:w="1246" w:type="dxa"/>
            <w:gridSpan w:val="2"/>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电  话</w:t>
            </w:r>
          </w:p>
        </w:tc>
        <w:tc>
          <w:tcPr>
            <w:tcW w:w="2385" w:type="dxa"/>
            <w:gridSpan w:val="3"/>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pPr>
              <w:pStyle w:val="123"/>
              <w:wordWrap w:val="0"/>
              <w:adjustRightInd w:val="0"/>
              <w:snapToGrid w:val="0"/>
              <w:jc w:val="center"/>
              <w:rPr>
                <w:snapToGrid w:val="0"/>
                <w:color w:val="auto"/>
                <w:kern w:val="0"/>
                <w:szCs w:val="21"/>
                <w:highlight w:val="none"/>
              </w:rPr>
            </w:pPr>
          </w:p>
        </w:tc>
        <w:tc>
          <w:tcPr>
            <w:tcW w:w="897"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传  真</w:t>
            </w:r>
          </w:p>
        </w:tc>
        <w:tc>
          <w:tcPr>
            <w:tcW w:w="2492" w:type="dxa"/>
            <w:gridSpan w:val="2"/>
            <w:noWrap w:val="0"/>
            <w:vAlign w:val="center"/>
          </w:tcPr>
          <w:p>
            <w:pPr>
              <w:pStyle w:val="123"/>
              <w:wordWrap w:val="0"/>
              <w:adjustRightInd w:val="0"/>
              <w:snapToGrid w:val="0"/>
              <w:jc w:val="center"/>
              <w:rPr>
                <w:snapToGrid w:val="0"/>
                <w:color w:val="auto"/>
                <w:kern w:val="0"/>
                <w:szCs w:val="21"/>
                <w:highlight w:val="none"/>
              </w:rPr>
            </w:pPr>
          </w:p>
        </w:tc>
        <w:tc>
          <w:tcPr>
            <w:tcW w:w="1246" w:type="dxa"/>
            <w:gridSpan w:val="2"/>
            <w:noWrap w:val="0"/>
            <w:vAlign w:val="center"/>
          </w:tcPr>
          <w:p>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电子邮箱</w:t>
            </w:r>
          </w:p>
        </w:tc>
        <w:tc>
          <w:tcPr>
            <w:tcW w:w="2385" w:type="dxa"/>
            <w:gridSpan w:val="3"/>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单位性质</w:t>
            </w:r>
          </w:p>
        </w:tc>
        <w:tc>
          <w:tcPr>
            <w:tcW w:w="7020" w:type="dxa"/>
            <w:gridSpan w:val="8"/>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法定代表人</w:t>
            </w:r>
          </w:p>
        </w:tc>
        <w:tc>
          <w:tcPr>
            <w:tcW w:w="897"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姓名</w:t>
            </w:r>
          </w:p>
        </w:tc>
        <w:tc>
          <w:tcPr>
            <w:tcW w:w="1689" w:type="dxa"/>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技术职称</w:t>
            </w:r>
          </w:p>
        </w:tc>
        <w:tc>
          <w:tcPr>
            <w:tcW w:w="1220" w:type="dxa"/>
            <w:gridSpan w:val="2"/>
            <w:noWrap w:val="0"/>
            <w:vAlign w:val="center"/>
          </w:tcPr>
          <w:p>
            <w:pPr>
              <w:pStyle w:val="123"/>
              <w:wordWrap w:val="0"/>
              <w:adjustRightInd w:val="0"/>
              <w:snapToGrid w:val="0"/>
              <w:jc w:val="center"/>
              <w:rPr>
                <w:snapToGrid w:val="0"/>
                <w:color w:val="auto"/>
                <w:kern w:val="0"/>
                <w:szCs w:val="21"/>
                <w:highlight w:val="none"/>
              </w:rPr>
            </w:pPr>
          </w:p>
        </w:tc>
        <w:tc>
          <w:tcPr>
            <w:tcW w:w="709"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电话</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成立时间</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4434" w:type="dxa"/>
            <w:gridSpan w:val="6"/>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员工总人数</w:t>
            </w:r>
            <w:r>
              <w:rPr>
                <w:rFonts w:hint="eastAsia"/>
                <w:snapToGrid w:val="0"/>
                <w:color w:val="auto"/>
                <w:kern w:val="0"/>
                <w:szCs w:val="21"/>
                <w:highlight w:val="none"/>
              </w:rPr>
              <w:t>（个）</w:t>
            </w:r>
            <w:r>
              <w:rPr>
                <w:snapToGrid w:val="0"/>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企业资质</w:t>
            </w:r>
          </w:p>
          <w:p>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类型和</w:t>
            </w:r>
            <w:r>
              <w:rPr>
                <w:snapToGrid w:val="0"/>
                <w:color w:val="auto"/>
                <w:kern w:val="0"/>
                <w:szCs w:val="21"/>
                <w:highlight w:val="none"/>
              </w:rPr>
              <w:t>等级</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restart"/>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其中</w:t>
            </w:r>
          </w:p>
        </w:tc>
        <w:tc>
          <w:tcPr>
            <w:tcW w:w="1929" w:type="dxa"/>
            <w:gridSpan w:val="3"/>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项目经理</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营业执照号</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pPr>
              <w:pStyle w:val="123"/>
              <w:wordWrap w:val="0"/>
              <w:adjustRightInd w:val="0"/>
              <w:snapToGrid w:val="0"/>
              <w:jc w:val="center"/>
              <w:rPr>
                <w:snapToGrid w:val="0"/>
                <w:color w:val="auto"/>
                <w:kern w:val="0"/>
                <w:szCs w:val="21"/>
                <w:highlight w:val="none"/>
              </w:rPr>
            </w:pPr>
          </w:p>
        </w:tc>
        <w:tc>
          <w:tcPr>
            <w:tcW w:w="1929" w:type="dxa"/>
            <w:gridSpan w:val="3"/>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高级职称人员</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注册资金</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pPr>
              <w:pStyle w:val="123"/>
              <w:wordWrap w:val="0"/>
              <w:adjustRightInd w:val="0"/>
              <w:snapToGrid w:val="0"/>
              <w:jc w:val="center"/>
              <w:rPr>
                <w:snapToGrid w:val="0"/>
                <w:color w:val="auto"/>
                <w:kern w:val="0"/>
                <w:szCs w:val="21"/>
                <w:highlight w:val="none"/>
              </w:rPr>
            </w:pPr>
          </w:p>
        </w:tc>
        <w:tc>
          <w:tcPr>
            <w:tcW w:w="1929" w:type="dxa"/>
            <w:gridSpan w:val="3"/>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中级职称人员</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85" w:type="dxa"/>
            <w:noWrap w:val="0"/>
            <w:vAlign w:val="center"/>
          </w:tcPr>
          <w:p>
            <w:pPr>
              <w:pStyle w:val="12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开户银行</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pPr>
              <w:pStyle w:val="123"/>
              <w:wordWrap w:val="0"/>
              <w:adjustRightInd w:val="0"/>
              <w:snapToGrid w:val="0"/>
              <w:jc w:val="center"/>
              <w:rPr>
                <w:snapToGrid w:val="0"/>
                <w:color w:val="auto"/>
                <w:kern w:val="0"/>
                <w:szCs w:val="21"/>
                <w:highlight w:val="none"/>
              </w:rPr>
            </w:pPr>
          </w:p>
        </w:tc>
        <w:tc>
          <w:tcPr>
            <w:tcW w:w="1929" w:type="dxa"/>
            <w:gridSpan w:val="3"/>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初级职称人员</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485" w:type="dxa"/>
            <w:noWrap w:val="0"/>
            <w:vAlign w:val="center"/>
          </w:tcPr>
          <w:p>
            <w:pPr>
              <w:pStyle w:val="12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银行</w:t>
            </w:r>
            <w:r>
              <w:rPr>
                <w:snapToGrid w:val="0"/>
                <w:color w:val="auto"/>
                <w:kern w:val="0"/>
                <w:szCs w:val="21"/>
                <w:highlight w:val="none"/>
              </w:rPr>
              <w:t>账号</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pPr>
              <w:pStyle w:val="123"/>
              <w:wordWrap w:val="0"/>
              <w:adjustRightInd w:val="0"/>
              <w:snapToGrid w:val="0"/>
              <w:jc w:val="center"/>
              <w:rPr>
                <w:snapToGrid w:val="0"/>
                <w:color w:val="auto"/>
                <w:kern w:val="0"/>
                <w:szCs w:val="21"/>
                <w:highlight w:val="none"/>
              </w:rPr>
            </w:pPr>
          </w:p>
        </w:tc>
        <w:tc>
          <w:tcPr>
            <w:tcW w:w="1929" w:type="dxa"/>
            <w:gridSpan w:val="3"/>
            <w:noWrap w:val="0"/>
            <w:vAlign w:val="center"/>
          </w:tcPr>
          <w:p>
            <w:pPr>
              <w:pStyle w:val="12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技术员</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经营范围</w:t>
            </w:r>
          </w:p>
        </w:tc>
        <w:tc>
          <w:tcPr>
            <w:tcW w:w="7020" w:type="dxa"/>
            <w:gridSpan w:val="8"/>
            <w:noWrap w:val="0"/>
            <w:vAlign w:val="center"/>
          </w:tcPr>
          <w:p>
            <w:pPr>
              <w:pStyle w:val="123"/>
              <w:wordWrap w:val="0"/>
              <w:adjustRightInd w:val="0"/>
              <w:snapToGrid w:val="0"/>
              <w:jc w:val="left"/>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关联企业情况</w:t>
            </w:r>
          </w:p>
        </w:tc>
        <w:tc>
          <w:tcPr>
            <w:tcW w:w="7020" w:type="dxa"/>
            <w:gridSpan w:val="8"/>
            <w:noWrap w:val="0"/>
            <w:vAlign w:val="center"/>
          </w:tcPr>
          <w:p>
            <w:pPr>
              <w:pStyle w:val="123"/>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包括但不限于与投标人存在以下关系的不同单位：</w:t>
            </w:r>
          </w:p>
          <w:p>
            <w:pPr>
              <w:pStyle w:val="123"/>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1．法定代表人为同一人的。</w:t>
            </w:r>
          </w:p>
          <w:p>
            <w:pPr>
              <w:pStyle w:val="123"/>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2．存在控股、管理关系的。</w:t>
            </w:r>
          </w:p>
          <w:p>
            <w:pPr>
              <w:pStyle w:val="123"/>
              <w:wordWrap w:val="0"/>
              <w:adjustRightInd w:val="0"/>
              <w:snapToGrid w:val="0"/>
              <w:rPr>
                <w:snapToGrid w:val="0"/>
                <w:color w:val="auto"/>
                <w:kern w:val="0"/>
                <w:szCs w:val="21"/>
                <w:highlight w:val="none"/>
              </w:rPr>
            </w:pPr>
            <w:r>
              <w:rPr>
                <w:rFonts w:hint="eastAsia"/>
                <w:snapToGrid w:val="0"/>
                <w:color w:val="auto"/>
                <w:kern w:val="0"/>
                <w:szCs w:val="21"/>
                <w:highlight w:val="none"/>
              </w:rPr>
              <w:t>3．主要人员相互任职的。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85" w:type="dxa"/>
            <w:noWrap w:val="0"/>
            <w:vAlign w:val="center"/>
          </w:tcPr>
          <w:p>
            <w:pPr>
              <w:pStyle w:val="12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备注</w:t>
            </w:r>
          </w:p>
        </w:tc>
        <w:tc>
          <w:tcPr>
            <w:tcW w:w="7020" w:type="dxa"/>
            <w:gridSpan w:val="8"/>
            <w:noWrap w:val="0"/>
            <w:vAlign w:val="center"/>
          </w:tcPr>
          <w:p>
            <w:pPr>
              <w:pStyle w:val="123"/>
              <w:wordWrap w:val="0"/>
              <w:adjustRightInd w:val="0"/>
              <w:snapToGrid w:val="0"/>
              <w:jc w:val="center"/>
              <w:rPr>
                <w:snapToGrid w:val="0"/>
                <w:color w:val="auto"/>
                <w:kern w:val="0"/>
                <w:szCs w:val="21"/>
                <w:highlight w:val="none"/>
              </w:rPr>
            </w:pPr>
          </w:p>
        </w:tc>
      </w:tr>
    </w:tbl>
    <w:p>
      <w:pPr>
        <w:pStyle w:val="123"/>
        <w:wordWrap w:val="0"/>
        <w:adjustRightInd w:val="0"/>
        <w:snapToGrid w:val="0"/>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说明</w:t>
      </w:r>
      <w:r>
        <w:rPr>
          <w:snapToGrid w:val="0"/>
          <w:color w:val="auto"/>
          <w:kern w:val="0"/>
          <w:szCs w:val="21"/>
          <w:highlight w:val="none"/>
        </w:rPr>
        <w:t>：</w:t>
      </w:r>
    </w:p>
    <w:p>
      <w:pPr>
        <w:pStyle w:val="123"/>
        <w:wordWrap w:val="0"/>
        <w:adjustRightInd w:val="0"/>
        <w:snapToGrid w:val="0"/>
        <w:spacing w:line="400" w:lineRule="exact"/>
        <w:ind w:firstLine="420" w:firstLineChars="200"/>
        <w:rPr>
          <w:rFonts w:hint="eastAsia"/>
          <w:snapToGrid w:val="0"/>
          <w:color w:val="auto"/>
          <w:kern w:val="0"/>
          <w:szCs w:val="21"/>
          <w:highlight w:val="none"/>
        </w:rPr>
      </w:pPr>
      <w:r>
        <w:rPr>
          <w:rFonts w:hint="eastAsia"/>
          <w:snapToGrid w:val="0"/>
          <w:color w:val="auto"/>
          <w:kern w:val="0"/>
          <w:szCs w:val="21"/>
          <w:highlight w:val="none"/>
        </w:rPr>
        <w:t>1．《投标人基本情况表》后应附以下资料：</w:t>
      </w:r>
    </w:p>
    <w:p>
      <w:pPr>
        <w:pStyle w:val="123"/>
        <w:wordWrap w:val="0"/>
        <w:adjustRightInd w:val="0"/>
        <w:snapToGrid w:val="0"/>
        <w:spacing w:line="400" w:lineRule="exact"/>
        <w:ind w:firstLine="420" w:firstLineChars="200"/>
        <w:rPr>
          <w:rFonts w:hint="eastAsia"/>
          <w:b/>
          <w:bCs/>
          <w:snapToGrid w:val="0"/>
          <w:color w:val="auto"/>
          <w:kern w:val="0"/>
          <w:szCs w:val="21"/>
          <w:highlight w:val="none"/>
        </w:rPr>
      </w:pPr>
      <w:r>
        <w:rPr>
          <w:rFonts w:hint="eastAsia"/>
          <w:snapToGrid w:val="0"/>
          <w:color w:val="auto"/>
          <w:kern w:val="0"/>
          <w:szCs w:val="21"/>
          <w:highlight w:val="none"/>
        </w:rPr>
        <w:t>（1）企业营业执照、资质证书、安全生产许可证的（</w:t>
      </w:r>
      <w:r>
        <w:rPr>
          <w:rFonts w:hint="eastAsia"/>
          <w:b/>
          <w:bCs/>
          <w:snapToGrid w:val="0"/>
          <w:color w:val="auto"/>
          <w:kern w:val="0"/>
          <w:szCs w:val="21"/>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pPr>
        <w:pStyle w:val="123"/>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（2）</w:t>
      </w:r>
      <w:r>
        <w:rPr>
          <w:rFonts w:hint="eastAsia"/>
          <w:snapToGrid w:val="0"/>
          <w:color w:val="auto"/>
          <w:kern w:val="0"/>
          <w:highlight w:val="none"/>
        </w:rPr>
        <w:t>“进粤企业和人员诚信信息登记平台”企业信息情况打印页。（适用于省外建筑企业）</w:t>
      </w:r>
    </w:p>
    <w:p>
      <w:pPr>
        <w:pStyle w:val="123"/>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（3）</w:t>
      </w:r>
      <w:r>
        <w:rPr>
          <w:rFonts w:hint="eastAsia"/>
          <w:snapToGrid w:val="0"/>
          <w:color w:val="auto"/>
          <w:kern w:val="0"/>
          <w:highlight w:val="none"/>
        </w:rPr>
        <w:t>《法人和非法人组织公共信用信息报告》（在“信用中国”网站企业查询界面中下载）。</w:t>
      </w:r>
    </w:p>
    <w:p>
      <w:pPr>
        <w:pStyle w:val="123"/>
        <w:wordWrap w:val="0"/>
        <w:adjustRightInd w:val="0"/>
        <w:snapToGrid w:val="0"/>
        <w:spacing w:line="400" w:lineRule="exact"/>
        <w:rPr>
          <w:snapToGrid w:val="0"/>
          <w:color w:val="auto"/>
          <w:kern w:val="0"/>
          <w:szCs w:val="21"/>
          <w:highlight w:val="none"/>
        </w:rPr>
      </w:pPr>
      <w:r>
        <w:rPr>
          <w:rFonts w:hint="eastAsia"/>
          <w:snapToGrid w:val="0"/>
          <w:color w:val="auto"/>
          <w:kern w:val="0"/>
          <w:highlight w:val="none"/>
        </w:rPr>
        <w:t xml:space="preserve">    </w:t>
      </w:r>
      <w:r>
        <w:rPr>
          <w:rFonts w:hint="eastAsia"/>
          <w:snapToGrid w:val="0"/>
          <w:color w:val="auto"/>
          <w:kern w:val="0"/>
          <w:szCs w:val="21"/>
          <w:highlight w:val="none"/>
        </w:rPr>
        <w:t>2．联合体投标的，联合体成员单位均应填写《投标人基本情况表》并提供以上所需资料</w:t>
      </w:r>
      <w:r>
        <w:rPr>
          <w:snapToGrid w:val="0"/>
          <w:color w:val="auto"/>
          <w:kern w:val="0"/>
          <w:szCs w:val="21"/>
          <w:highlight w:val="none"/>
        </w:rPr>
        <w:t>。</w:t>
      </w:r>
    </w:p>
    <w:p>
      <w:pPr>
        <w:pStyle w:val="74"/>
        <w:widowControl w:val="0"/>
        <w:wordWrap w:val="0"/>
        <w:adjustRightInd w:val="0"/>
        <w:snapToGrid w:val="0"/>
        <w:spacing w:line="400" w:lineRule="exact"/>
        <w:jc w:val="center"/>
        <w:rPr>
          <w:rFonts w:hint="eastAsia" w:ascii="Times New Roman"/>
          <w:snapToGrid w:val="0"/>
          <w:color w:val="auto"/>
          <w:sz w:val="21"/>
          <w:szCs w:val="21"/>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bookmarkEnd w:id="230"/>
    <w:bookmarkEnd w:id="231"/>
    <w:p>
      <w:pPr>
        <w:pStyle w:val="5"/>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50" w:name="_Toc10778"/>
      <w:bookmarkStart w:id="251" w:name="_Toc32402"/>
      <w:bookmarkStart w:id="252" w:name="_Toc20248"/>
      <w:r>
        <w:rPr>
          <w:rFonts w:hint="eastAsia" w:ascii="Times New Roman"/>
          <w:b/>
          <w:snapToGrid w:val="0"/>
          <w:color w:val="auto"/>
          <w:highlight w:val="none"/>
        </w:rPr>
        <w:t>格式八 项目经理简历表</w:t>
      </w:r>
      <w:bookmarkEnd w:id="250"/>
      <w:bookmarkEnd w:id="251"/>
      <w:bookmarkEnd w:id="252"/>
    </w:p>
    <w:p>
      <w:pPr>
        <w:rPr>
          <w:rFonts w:hint="eastAsia"/>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以项目经理身份参与过的主要业绩（已完工项目）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bl>
    <w:p>
      <w:pPr>
        <w:wordWrap w:val="0"/>
        <w:adjustRightInd w:val="0"/>
        <w:snapToGrid w:val="0"/>
        <w:spacing w:line="440" w:lineRule="exact"/>
        <w:jc w:val="center"/>
        <w:outlineLvl w:val="2"/>
        <w:rPr>
          <w:rFonts w:hint="eastAsia" w:ascii="Times New Roman"/>
          <w:b/>
          <w:bCs/>
          <w:snapToGrid w:val="0"/>
          <w:color w:val="auto"/>
          <w:kern w:val="0"/>
          <w:szCs w:val="24"/>
          <w:highlight w:val="none"/>
        </w:rPr>
      </w:pPr>
      <w:bookmarkStart w:id="253" w:name="_Toc21706"/>
      <w:r>
        <w:rPr>
          <w:rFonts w:hint="eastAsia" w:ascii="Times New Roman"/>
          <w:b/>
          <w:snapToGrid w:val="0"/>
          <w:color w:val="auto"/>
          <w:kern w:val="0"/>
          <w:sz w:val="30"/>
          <w:highlight w:val="none"/>
        </w:rPr>
        <w:t>项目经理简历表</w:t>
      </w:r>
      <w:bookmarkEnd w:id="253"/>
    </w:p>
    <w:p>
      <w:pPr>
        <w:wordWrap w:val="0"/>
        <w:adjustRightInd w:val="0"/>
        <w:snapToGrid w:val="0"/>
        <w:spacing w:line="440" w:lineRule="exact"/>
        <w:ind w:firstLine="570"/>
        <w:rPr>
          <w:rFonts w:hint="eastAsia" w:ascii="Times New Roman"/>
          <w:snapToGrid w:val="0"/>
          <w:color w:val="auto"/>
          <w:kern w:val="0"/>
          <w:szCs w:val="28"/>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pPr>
        <w:wordWrap w:val="0"/>
        <w:adjustRightInd w:val="0"/>
        <w:snapToGrid w:val="0"/>
        <w:spacing w:line="400" w:lineRule="exact"/>
        <w:ind w:firstLine="570"/>
        <w:rPr>
          <w:rFonts w:hint="eastAsia" w:ascii="Times New Roman"/>
          <w:snapToGrid w:val="0"/>
          <w:color w:val="auto"/>
          <w:kern w:val="0"/>
          <w:szCs w:val="28"/>
          <w:highlight w:val="none"/>
        </w:rPr>
      </w:pPr>
    </w:p>
    <w:p>
      <w:pPr>
        <w:wordWrap w:val="0"/>
        <w:adjustRightInd w:val="0"/>
        <w:snapToGrid w:val="0"/>
        <w:spacing w:line="400" w:lineRule="exact"/>
        <w:rPr>
          <w:rFonts w:hAnsi="宋体" w:cs="宋体"/>
          <w:snapToGrid w:val="0"/>
          <w:color w:val="auto"/>
          <w:kern w:val="0"/>
          <w:sz w:val="21"/>
          <w:szCs w:val="21"/>
          <w:highlight w:val="none"/>
        </w:rPr>
      </w:pPr>
      <w:r>
        <w:rPr>
          <w:rFonts w:hint="eastAsia" w:ascii="Times New Roman"/>
          <w:snapToGrid w:val="0"/>
          <w:color w:val="auto"/>
          <w:kern w:val="0"/>
          <w:sz w:val="21"/>
          <w:szCs w:val="28"/>
          <w:highlight w:val="none"/>
        </w:rPr>
        <w:t xml:space="preserve"> </w:t>
      </w:r>
      <w:r>
        <w:rPr>
          <w:rFonts w:hAnsi="宋体" w:cs="宋体"/>
          <w:snapToGrid w:val="0"/>
          <w:color w:val="auto"/>
          <w:kern w:val="0"/>
          <w:sz w:val="21"/>
          <w:szCs w:val="21"/>
          <w:highlight w:val="none"/>
        </w:rPr>
        <w:t>说明：《项目经理简历表》后应附拟派项目经理以下资料：</w:t>
      </w:r>
    </w:p>
    <w:p>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1．身份证复印件（或打印件）；</w:t>
      </w:r>
    </w:p>
    <w:p>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2．建造师注册证书复印件或打印件（须复印或打印至变更注册栏），或电子注册证书打印件；</w:t>
      </w:r>
    </w:p>
    <w:p>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3．B类安全生产考核合格证书复印件（或打印件）或广东省建筑施工企业管理人员安全生产考核系统考核合格信息打印页；</w:t>
      </w:r>
    </w:p>
    <w:p>
      <w:pPr>
        <w:snapToGrid w:val="0"/>
        <w:spacing w:line="400" w:lineRule="exact"/>
        <w:ind w:firstLine="420" w:firstLineChars="200"/>
        <w:rPr>
          <w:rStyle w:val="149"/>
          <w:rFonts w:hint="eastAsia" w:ascii="宋体" w:hAnsi="宋体" w:eastAsia="宋体" w:cs="宋体"/>
          <w:color w:val="auto"/>
          <w:kern w:val="0"/>
          <w:sz w:val="21"/>
          <w:szCs w:val="21"/>
          <w:highlight w:val="none"/>
        </w:rPr>
        <w:sectPr>
          <w:endnotePr>
            <w:numFmt w:val="decimal"/>
          </w:endnotePr>
          <w:pgSz w:w="11906" w:h="16838"/>
          <w:pgMar w:top="1701" w:right="1531" w:bottom="1417" w:left="1531" w:header="850" w:footer="992" w:gutter="0"/>
          <w:cols w:space="720" w:num="1"/>
          <w:docGrid w:linePitch="327" w:charSpace="0"/>
        </w:sectPr>
      </w:pPr>
      <w:r>
        <w:rPr>
          <w:rFonts w:hAnsi="宋体" w:cs="宋体"/>
          <w:snapToGrid w:val="0"/>
          <w:color w:val="auto"/>
          <w:kern w:val="0"/>
          <w:sz w:val="21"/>
          <w:szCs w:val="21"/>
          <w:highlight w:val="none"/>
        </w:rPr>
        <w:t>4．在本单位缴纳社保的证明（至少</w:t>
      </w:r>
      <w:r>
        <w:rPr>
          <w:rFonts w:hint="eastAsia" w:hAnsi="宋体" w:cs="宋体"/>
          <w:snapToGrid w:val="0"/>
          <w:color w:val="auto"/>
          <w:kern w:val="0"/>
          <w:sz w:val="21"/>
          <w:szCs w:val="21"/>
          <w:highlight w:val="none"/>
          <w:lang w:val="en-US" w:eastAsia="zh-CN"/>
        </w:rPr>
        <w:t>三</w:t>
      </w:r>
      <w:r>
        <w:rPr>
          <w:rFonts w:hAnsi="宋体" w:cs="宋体"/>
          <w:snapToGrid w:val="0"/>
          <w:color w:val="auto"/>
          <w:kern w:val="0"/>
          <w:sz w:val="21"/>
          <w:szCs w:val="21"/>
          <w:highlight w:val="none"/>
        </w:rPr>
        <w:t>个月，其中必须有202</w:t>
      </w:r>
      <w:r>
        <w:rPr>
          <w:rFonts w:hint="eastAsia" w:hAnsi="宋体" w:cs="宋体"/>
          <w:snapToGrid w:val="0"/>
          <w:color w:val="auto"/>
          <w:kern w:val="0"/>
          <w:sz w:val="21"/>
          <w:szCs w:val="21"/>
          <w:highlight w:val="none"/>
          <w:lang w:val="en-US" w:eastAsia="zh-CN"/>
        </w:rPr>
        <w:t>3</w:t>
      </w:r>
      <w:r>
        <w:rPr>
          <w:rFonts w:hAnsi="宋体" w:cs="宋体"/>
          <w:snapToGrid w:val="0"/>
          <w:color w:val="auto"/>
          <w:kern w:val="0"/>
          <w:sz w:val="21"/>
          <w:szCs w:val="21"/>
          <w:highlight w:val="none"/>
        </w:rPr>
        <w:t>年</w:t>
      </w:r>
      <w:r>
        <w:rPr>
          <w:rFonts w:hint="eastAsia" w:hAnsi="宋体" w:cs="宋体"/>
          <w:snapToGrid w:val="0"/>
          <w:color w:val="auto"/>
          <w:kern w:val="0"/>
          <w:sz w:val="21"/>
          <w:szCs w:val="21"/>
          <w:highlight w:val="none"/>
          <w:lang w:val="en-US" w:eastAsia="zh-CN"/>
        </w:rPr>
        <w:t>3</w:t>
      </w:r>
      <w:r>
        <w:rPr>
          <w:rFonts w:hAnsi="宋体" w:cs="宋体"/>
          <w:snapToGrid w:val="0"/>
          <w:color w:val="auto"/>
          <w:kern w:val="0"/>
          <w:sz w:val="21"/>
          <w:szCs w:val="21"/>
          <w:highlight w:val="none"/>
        </w:rPr>
        <w:t>月）复印件或打印件。拟派项目经理为退休返聘人员无法提供社保证明的，提供退休证和劳动合同复印件或打印件；</w:t>
      </w:r>
    </w:p>
    <w:p>
      <w:pPr>
        <w:pStyle w:val="5"/>
        <w:ind w:firstLine="0"/>
        <w:jc w:val="both"/>
        <w:rPr>
          <w:rFonts w:hint="eastAsia" w:ascii="Times New Roman"/>
          <w:b/>
          <w:snapToGrid w:val="0"/>
          <w:color w:val="auto"/>
          <w:szCs w:val="22"/>
          <w:highlight w:val="none"/>
        </w:rPr>
      </w:pPr>
      <w:bookmarkStart w:id="254" w:name="_Toc2842"/>
      <w:bookmarkStart w:id="255" w:name="_Toc8211"/>
      <w:bookmarkStart w:id="256" w:name="_Toc5290"/>
      <w:r>
        <w:rPr>
          <w:rFonts w:hint="eastAsia" w:ascii="Times New Roman"/>
          <w:b/>
          <w:snapToGrid w:val="0"/>
          <w:color w:val="auto"/>
          <w:szCs w:val="22"/>
          <w:highlight w:val="none"/>
        </w:rPr>
        <w:t>格式九 项目经理任职声明</w:t>
      </w:r>
      <w:bookmarkEnd w:id="254"/>
      <w:bookmarkEnd w:id="255"/>
      <w:bookmarkEnd w:id="256"/>
    </w:p>
    <w:p>
      <w:pPr>
        <w:rPr>
          <w:color w:val="auto"/>
          <w:highlight w:val="none"/>
        </w:rPr>
      </w:pPr>
    </w:p>
    <w:p>
      <w:pPr>
        <w:wordWrap w:val="0"/>
        <w:adjustRightInd w:val="0"/>
        <w:snapToGrid w:val="0"/>
        <w:spacing w:before="260" w:after="260" w:line="440" w:lineRule="exact"/>
        <w:jc w:val="center"/>
        <w:rPr>
          <w:rFonts w:hint="eastAsia" w:ascii="Times New Roman"/>
          <w:snapToGrid w:val="0"/>
          <w:color w:val="auto"/>
          <w:kern w:val="0"/>
          <w:szCs w:val="28"/>
          <w:highlight w:val="none"/>
        </w:rPr>
      </w:pPr>
      <w:r>
        <w:rPr>
          <w:rFonts w:hint="eastAsia" w:ascii="Times New Roman"/>
          <w:b/>
          <w:snapToGrid w:val="0"/>
          <w:color w:val="auto"/>
          <w:kern w:val="0"/>
          <w:sz w:val="30"/>
          <w:highlight w:val="none"/>
        </w:rPr>
        <w:t>项目经理任职声明</w:t>
      </w:r>
    </w:p>
    <w:p>
      <w:pPr>
        <w:wordWrap w:val="0"/>
        <w:adjustRightInd w:val="0"/>
        <w:snapToGrid w:val="0"/>
        <w:spacing w:line="440" w:lineRule="exact"/>
        <w:jc w:val="center"/>
        <w:rPr>
          <w:rFonts w:hint="eastAsia" w:ascii="Times New Roman"/>
          <w:snapToGrid w:val="0"/>
          <w:color w:val="auto"/>
          <w:kern w:val="0"/>
          <w:szCs w:val="28"/>
          <w:highlight w:val="none"/>
        </w:rPr>
      </w:pP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（招标人名称）：</w:t>
      </w: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我方在此声明，我方拟派往</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（项目名称）的项目经理</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（项目经理姓名）现阶段没有担任任何在施（包括已中标未开工、已开工未竣工）建设工程项目的项目经理。</w:t>
      </w:r>
    </w:p>
    <w:p>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我方保证上述信息的真实和准确，并愿意承担因我方就此弄虚作假所引起的一切法律后果。</w:t>
      </w:r>
    </w:p>
    <w:p>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特此承诺　　</w:t>
      </w: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投标人：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（盖单位章）</w:t>
      </w:r>
    </w:p>
    <w:p>
      <w:pPr>
        <w:wordWrap w:val="0"/>
        <w:adjustRightInd w:val="0"/>
        <w:snapToGrid w:val="0"/>
        <w:spacing w:line="440" w:lineRule="exact"/>
        <w:jc w:val="right"/>
        <w:rPr>
          <w:rFonts w:hint="eastAsia" w:ascii="Times New Roman"/>
          <w:snapToGrid w:val="0"/>
          <w:color w:val="auto"/>
          <w:kern w:val="0"/>
          <w:szCs w:val="28"/>
          <w:highlight w:val="none"/>
        </w:rPr>
      </w:pPr>
    </w:p>
    <w:p>
      <w:pPr>
        <w:wordWrap w:val="0"/>
        <w:adjustRightInd w:val="0"/>
        <w:snapToGrid w:val="0"/>
        <w:spacing w:line="440" w:lineRule="exact"/>
        <w:jc w:val="right"/>
        <w:rPr>
          <w:rFonts w:hint="eastAsia" w:ascii="Times New Roman"/>
          <w:snapToGrid w:val="0"/>
          <w:color w:val="auto"/>
          <w:kern w:val="0"/>
          <w:szCs w:val="28"/>
          <w:highlight w:val="none"/>
        </w:rPr>
      </w:pPr>
    </w:p>
    <w:p>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法定代表人或其委托代理人：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（签字或盖章）</w:t>
      </w:r>
    </w:p>
    <w:p>
      <w:pPr>
        <w:wordWrap w:val="0"/>
        <w:adjustRightInd w:val="0"/>
        <w:snapToGrid w:val="0"/>
        <w:spacing w:line="440" w:lineRule="exact"/>
        <w:jc w:val="right"/>
        <w:rPr>
          <w:rFonts w:hint="eastAsia" w:ascii="Times New Roman"/>
          <w:snapToGrid w:val="0"/>
          <w:color w:val="auto"/>
          <w:kern w:val="0"/>
          <w:szCs w:val="28"/>
          <w:highlight w:val="none"/>
        </w:rPr>
      </w:pPr>
    </w:p>
    <w:p>
      <w:pPr>
        <w:wordWrap w:val="0"/>
        <w:adjustRightInd w:val="0"/>
        <w:snapToGrid w:val="0"/>
        <w:spacing w:line="440" w:lineRule="exact"/>
        <w:jc w:val="center"/>
        <w:rPr>
          <w:rFonts w:hint="eastAsia" w:ascii="Times New Roman"/>
          <w:snapToGrid w:val="0"/>
          <w:color w:val="auto"/>
          <w:kern w:val="0"/>
          <w:szCs w:val="28"/>
          <w:highlight w:val="none"/>
        </w:rPr>
      </w:pPr>
      <w:r>
        <w:rPr>
          <w:rFonts w:hint="eastAsia" w:ascii="Times New Roman"/>
          <w:snapToGrid w:val="0"/>
          <w:color w:val="auto"/>
          <w:kern w:val="0"/>
          <w:szCs w:val="28"/>
          <w:highlight w:val="none"/>
        </w:rPr>
        <w:t xml:space="preserve">                            </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月</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日</w:t>
      </w:r>
    </w:p>
    <w:p>
      <w:pPr>
        <w:wordWrap w:val="0"/>
        <w:adjustRightInd w:val="0"/>
        <w:snapToGrid w:val="0"/>
        <w:spacing w:line="440" w:lineRule="exact"/>
        <w:rPr>
          <w:rFonts w:hint="eastAsia" w:ascii="Times New Roman"/>
          <w:snapToGrid w:val="0"/>
          <w:color w:val="auto"/>
          <w:kern w:val="0"/>
          <w:szCs w:val="28"/>
          <w:highlight w:val="none"/>
        </w:rPr>
        <w:sectPr>
          <w:endnotePr>
            <w:numFmt w:val="decimal"/>
          </w:endnotePr>
          <w:pgSz w:w="11906" w:h="16838"/>
          <w:pgMar w:top="1701" w:right="1531" w:bottom="1417" w:left="1531" w:header="850" w:footer="992" w:gutter="0"/>
          <w:cols w:space="720" w:num="1"/>
          <w:docGrid w:linePitch="327" w:charSpace="0"/>
        </w:sectPr>
      </w:pPr>
    </w:p>
    <w:p>
      <w:pPr>
        <w:pStyle w:val="5"/>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57" w:name="_Toc24994"/>
      <w:bookmarkStart w:id="258" w:name="_Toc27257"/>
      <w:bookmarkStart w:id="259" w:name="_Toc21420"/>
      <w:r>
        <w:rPr>
          <w:rFonts w:hint="eastAsia" w:ascii="Times New Roman"/>
          <w:b/>
          <w:snapToGrid w:val="0"/>
          <w:color w:val="auto"/>
          <w:highlight w:val="none"/>
        </w:rPr>
        <w:t>格式十 项目技术负责人简历表</w:t>
      </w:r>
      <w:bookmarkEnd w:id="257"/>
      <w:bookmarkEnd w:id="258"/>
      <w:bookmarkEnd w:id="259"/>
    </w:p>
    <w:p>
      <w:pPr>
        <w:rPr>
          <w:rFonts w:hint="eastAsia"/>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以项目技术负责人身份参与过的主要业绩（已完工项目）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bl>
    <w:p>
      <w:pPr>
        <w:wordWrap w:val="0"/>
        <w:adjustRightInd w:val="0"/>
        <w:snapToGrid w:val="0"/>
        <w:spacing w:line="440" w:lineRule="exact"/>
        <w:jc w:val="center"/>
        <w:outlineLvl w:val="2"/>
        <w:rPr>
          <w:rFonts w:hint="eastAsia" w:ascii="Times New Roman"/>
          <w:b/>
          <w:bCs/>
          <w:snapToGrid w:val="0"/>
          <w:color w:val="auto"/>
          <w:kern w:val="0"/>
          <w:szCs w:val="24"/>
          <w:highlight w:val="none"/>
        </w:rPr>
      </w:pPr>
      <w:bookmarkStart w:id="260" w:name="_Toc6237"/>
      <w:r>
        <w:rPr>
          <w:rFonts w:hint="eastAsia" w:ascii="Times New Roman"/>
          <w:b/>
          <w:snapToGrid w:val="0"/>
          <w:color w:val="auto"/>
          <w:kern w:val="0"/>
          <w:sz w:val="30"/>
          <w:highlight w:val="none"/>
        </w:rPr>
        <w:t>项目技术负责人简历表</w:t>
      </w:r>
      <w:bookmarkEnd w:id="260"/>
    </w:p>
    <w:p>
      <w:pPr>
        <w:wordWrap w:val="0"/>
        <w:adjustRightInd w:val="0"/>
        <w:snapToGrid w:val="0"/>
        <w:spacing w:line="440" w:lineRule="exact"/>
        <w:ind w:firstLine="570"/>
        <w:rPr>
          <w:rFonts w:hint="eastAsia" w:ascii="Times New Roman"/>
          <w:snapToGrid w:val="0"/>
          <w:color w:val="auto"/>
          <w:kern w:val="0"/>
          <w:szCs w:val="28"/>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pPr>
        <w:wordWrap w:val="0"/>
        <w:adjustRightInd w:val="0"/>
        <w:snapToGrid w:val="0"/>
        <w:spacing w:line="400" w:lineRule="exact"/>
        <w:ind w:firstLine="570"/>
        <w:rPr>
          <w:rFonts w:hint="eastAsia" w:ascii="Times New Roman"/>
          <w:snapToGrid w:val="0"/>
          <w:color w:val="auto"/>
          <w:kern w:val="0"/>
          <w:szCs w:val="28"/>
          <w:highlight w:val="none"/>
        </w:rPr>
      </w:pPr>
    </w:p>
    <w:p>
      <w:pPr>
        <w:pStyle w:val="10"/>
        <w:rPr>
          <w:rFonts w:hint="eastAsia" w:ascii="Times New Roman"/>
          <w:snapToGrid w:val="0"/>
          <w:color w:val="auto"/>
          <w:kern w:val="0"/>
          <w:szCs w:val="28"/>
          <w:highlight w:val="none"/>
        </w:rPr>
      </w:pPr>
    </w:p>
    <w:p>
      <w:pPr>
        <w:rPr>
          <w:rFonts w:hint="eastAsia"/>
          <w:color w:val="auto"/>
          <w:highlight w:val="none"/>
        </w:rPr>
      </w:pPr>
    </w:p>
    <w:p>
      <w:pPr>
        <w:wordWrap w:val="0"/>
        <w:adjustRightInd w:val="0"/>
        <w:snapToGrid w:val="0"/>
        <w:spacing w:line="400" w:lineRule="exact"/>
        <w:rPr>
          <w:rFonts w:hAnsi="宋体" w:cs="宋体"/>
          <w:snapToGrid w:val="0"/>
          <w:color w:val="auto"/>
          <w:kern w:val="0"/>
          <w:sz w:val="21"/>
          <w:szCs w:val="28"/>
          <w:highlight w:val="none"/>
        </w:rPr>
      </w:pPr>
      <w:r>
        <w:rPr>
          <w:rFonts w:hint="eastAsia" w:ascii="Times New Roman"/>
          <w:snapToGrid w:val="0"/>
          <w:color w:val="auto"/>
          <w:kern w:val="0"/>
          <w:sz w:val="21"/>
          <w:szCs w:val="28"/>
          <w:highlight w:val="none"/>
        </w:rPr>
        <w:t xml:space="preserve">    </w:t>
      </w:r>
      <w:bookmarkStart w:id="261" w:name="_Toc8264"/>
      <w:bookmarkStart w:id="262" w:name="_Toc200338098"/>
      <w:r>
        <w:rPr>
          <w:rFonts w:hAnsi="宋体" w:cs="宋体"/>
          <w:snapToGrid w:val="0"/>
          <w:color w:val="auto"/>
          <w:kern w:val="0"/>
          <w:sz w:val="21"/>
          <w:szCs w:val="28"/>
          <w:highlight w:val="none"/>
        </w:rPr>
        <w:t>说明：《项目技术负责人简历表》后应附拟派项目技术负责人以下资料：</w:t>
      </w:r>
    </w:p>
    <w:p>
      <w:pPr>
        <w:wordWrap w:val="0"/>
        <w:adjustRightInd w:val="0"/>
        <w:snapToGrid w:val="0"/>
        <w:spacing w:line="400" w:lineRule="exact"/>
        <w:rPr>
          <w:rFonts w:hAnsi="宋体" w:cs="宋体"/>
          <w:snapToGrid w:val="0"/>
          <w:color w:val="auto"/>
          <w:kern w:val="0"/>
          <w:sz w:val="21"/>
          <w:szCs w:val="28"/>
          <w:highlight w:val="none"/>
        </w:rPr>
      </w:pPr>
      <w:r>
        <w:rPr>
          <w:rFonts w:hAnsi="宋体" w:cs="宋体"/>
          <w:snapToGrid w:val="0"/>
          <w:color w:val="auto"/>
          <w:kern w:val="0"/>
          <w:sz w:val="21"/>
          <w:szCs w:val="28"/>
          <w:highlight w:val="none"/>
        </w:rPr>
        <w:t xml:space="preserve">    1．身份证复印件</w:t>
      </w:r>
      <w:r>
        <w:rPr>
          <w:rFonts w:hAnsi="宋体" w:cs="宋体"/>
          <w:snapToGrid w:val="0"/>
          <w:color w:val="auto"/>
          <w:kern w:val="0"/>
          <w:szCs w:val="21"/>
          <w:highlight w:val="none"/>
        </w:rPr>
        <w:t>（</w:t>
      </w:r>
      <w:r>
        <w:rPr>
          <w:rFonts w:hAnsi="宋体" w:cs="宋体"/>
          <w:snapToGrid w:val="0"/>
          <w:color w:val="auto"/>
          <w:kern w:val="0"/>
          <w:sz w:val="21"/>
          <w:szCs w:val="21"/>
          <w:highlight w:val="none"/>
        </w:rPr>
        <w:t>或打印件</w:t>
      </w:r>
      <w:r>
        <w:rPr>
          <w:rFonts w:hAnsi="宋体" w:cs="宋体"/>
          <w:snapToGrid w:val="0"/>
          <w:color w:val="auto"/>
          <w:kern w:val="0"/>
          <w:szCs w:val="21"/>
          <w:highlight w:val="none"/>
        </w:rPr>
        <w:t>）</w:t>
      </w:r>
      <w:r>
        <w:rPr>
          <w:rFonts w:hAnsi="宋体" w:cs="宋体"/>
          <w:snapToGrid w:val="0"/>
          <w:color w:val="auto"/>
          <w:kern w:val="0"/>
          <w:sz w:val="21"/>
          <w:szCs w:val="28"/>
          <w:highlight w:val="none"/>
        </w:rPr>
        <w:t>；</w:t>
      </w:r>
    </w:p>
    <w:p>
      <w:pPr>
        <w:wordWrap w:val="0"/>
        <w:adjustRightInd w:val="0"/>
        <w:snapToGrid w:val="0"/>
        <w:spacing w:line="400" w:lineRule="exact"/>
        <w:rPr>
          <w:rFonts w:hAnsi="宋体" w:cs="宋体"/>
          <w:snapToGrid w:val="0"/>
          <w:color w:val="auto"/>
          <w:kern w:val="0"/>
          <w:sz w:val="21"/>
          <w:szCs w:val="28"/>
          <w:highlight w:val="none"/>
        </w:rPr>
      </w:pPr>
      <w:r>
        <w:rPr>
          <w:rFonts w:hAnsi="宋体" w:cs="宋体"/>
          <w:snapToGrid w:val="0"/>
          <w:color w:val="auto"/>
          <w:kern w:val="0"/>
          <w:sz w:val="21"/>
          <w:szCs w:val="28"/>
          <w:highlight w:val="none"/>
        </w:rPr>
        <w:t xml:space="preserve">    2．职称证复印件</w:t>
      </w:r>
      <w:r>
        <w:rPr>
          <w:rFonts w:hAnsi="宋体" w:cs="宋体"/>
          <w:snapToGrid w:val="0"/>
          <w:color w:val="auto"/>
          <w:kern w:val="0"/>
          <w:szCs w:val="21"/>
          <w:highlight w:val="none"/>
        </w:rPr>
        <w:t>（</w:t>
      </w:r>
      <w:r>
        <w:rPr>
          <w:rFonts w:hAnsi="宋体" w:cs="宋体"/>
          <w:snapToGrid w:val="0"/>
          <w:color w:val="auto"/>
          <w:kern w:val="0"/>
          <w:sz w:val="21"/>
          <w:szCs w:val="21"/>
          <w:highlight w:val="none"/>
        </w:rPr>
        <w:t>或打印件</w:t>
      </w:r>
      <w:r>
        <w:rPr>
          <w:rFonts w:hAnsi="宋体" w:cs="宋体"/>
          <w:snapToGrid w:val="0"/>
          <w:color w:val="auto"/>
          <w:kern w:val="0"/>
          <w:szCs w:val="21"/>
          <w:highlight w:val="none"/>
        </w:rPr>
        <w:t>）</w:t>
      </w:r>
      <w:r>
        <w:rPr>
          <w:rFonts w:hAnsi="宋体" w:cs="宋体"/>
          <w:snapToGrid w:val="0"/>
          <w:color w:val="auto"/>
          <w:kern w:val="0"/>
          <w:sz w:val="21"/>
          <w:szCs w:val="28"/>
          <w:highlight w:val="none"/>
        </w:rPr>
        <w:t>；</w:t>
      </w:r>
    </w:p>
    <w:p>
      <w:pPr>
        <w:wordWrap w:val="0"/>
        <w:adjustRightInd w:val="0"/>
        <w:snapToGrid w:val="0"/>
        <w:spacing w:line="400" w:lineRule="exact"/>
        <w:ind w:firstLine="420" w:firstLineChars="200"/>
        <w:rPr>
          <w:rFonts w:hAnsi="宋体" w:cs="宋体"/>
          <w:snapToGrid w:val="0"/>
          <w:color w:val="auto"/>
          <w:kern w:val="0"/>
          <w:sz w:val="21"/>
          <w:szCs w:val="28"/>
          <w:highlight w:val="none"/>
        </w:rPr>
      </w:pPr>
      <w:r>
        <w:rPr>
          <w:rFonts w:hAnsi="宋体" w:cs="宋体"/>
          <w:snapToGrid w:val="0"/>
          <w:color w:val="auto"/>
          <w:kern w:val="0"/>
          <w:sz w:val="21"/>
          <w:szCs w:val="28"/>
          <w:highlight w:val="none"/>
        </w:rPr>
        <w:t>3．在本单位缴纳社保的证明（</w:t>
      </w:r>
      <w:r>
        <w:rPr>
          <w:rFonts w:ascii="Times New Roman"/>
          <w:snapToGrid w:val="0"/>
          <w:color w:val="auto"/>
          <w:kern w:val="0"/>
          <w:sz w:val="21"/>
          <w:szCs w:val="28"/>
          <w:highlight w:val="none"/>
        </w:rPr>
        <w:t>至少</w:t>
      </w:r>
      <w:r>
        <w:rPr>
          <w:rFonts w:hint="eastAsia" w:ascii="Times New Roman"/>
          <w:snapToGrid w:val="0"/>
          <w:color w:val="auto"/>
          <w:kern w:val="0"/>
          <w:sz w:val="21"/>
          <w:szCs w:val="28"/>
          <w:highlight w:val="none"/>
          <w:lang w:val="en-US" w:eastAsia="zh-CN"/>
        </w:rPr>
        <w:t>三</w:t>
      </w:r>
      <w:r>
        <w:rPr>
          <w:rFonts w:ascii="Times New Roman"/>
          <w:snapToGrid w:val="0"/>
          <w:color w:val="auto"/>
          <w:kern w:val="0"/>
          <w:sz w:val="21"/>
          <w:szCs w:val="28"/>
          <w:highlight w:val="none"/>
        </w:rPr>
        <w:t>个月，其中必须有2023年</w:t>
      </w:r>
      <w:r>
        <w:rPr>
          <w:rFonts w:hint="eastAsia" w:ascii="Times New Roman"/>
          <w:snapToGrid w:val="0"/>
          <w:color w:val="auto"/>
          <w:kern w:val="0"/>
          <w:sz w:val="21"/>
          <w:szCs w:val="28"/>
          <w:highlight w:val="none"/>
          <w:lang w:val="en-US" w:eastAsia="zh-CN"/>
        </w:rPr>
        <w:t>3</w:t>
      </w:r>
      <w:r>
        <w:rPr>
          <w:rFonts w:ascii="Times New Roman"/>
          <w:snapToGrid w:val="0"/>
          <w:color w:val="auto"/>
          <w:kern w:val="0"/>
          <w:sz w:val="21"/>
          <w:szCs w:val="28"/>
          <w:highlight w:val="none"/>
        </w:rPr>
        <w:t>月</w:t>
      </w:r>
      <w:r>
        <w:rPr>
          <w:rFonts w:hAnsi="宋体" w:cs="宋体"/>
          <w:snapToGrid w:val="0"/>
          <w:color w:val="auto"/>
          <w:kern w:val="0"/>
          <w:sz w:val="21"/>
          <w:szCs w:val="28"/>
          <w:highlight w:val="none"/>
        </w:rPr>
        <w:t>）复印件或打印件。拟派项目技术负责人为退休返聘人员无法提供社保证明的，提供退休证和劳动合同复印件</w:t>
      </w:r>
      <w:r>
        <w:rPr>
          <w:rFonts w:hAnsi="宋体" w:cs="宋体"/>
          <w:snapToGrid w:val="0"/>
          <w:color w:val="auto"/>
          <w:kern w:val="0"/>
          <w:sz w:val="21"/>
          <w:szCs w:val="21"/>
          <w:highlight w:val="none"/>
        </w:rPr>
        <w:t>或打印件</w:t>
      </w:r>
      <w:r>
        <w:rPr>
          <w:rFonts w:hAnsi="宋体" w:cs="宋体"/>
          <w:snapToGrid w:val="0"/>
          <w:color w:val="auto"/>
          <w:kern w:val="0"/>
          <w:sz w:val="21"/>
          <w:szCs w:val="28"/>
          <w:highlight w:val="none"/>
        </w:rPr>
        <w:t>；</w:t>
      </w:r>
    </w:p>
    <w:p>
      <w:pPr>
        <w:pStyle w:val="5"/>
        <w:keepNext w:val="0"/>
        <w:keepLines w:val="0"/>
        <w:widowControl w:val="0"/>
        <w:wordWrap w:val="0"/>
        <w:adjustRightInd w:val="0"/>
        <w:snapToGrid w:val="0"/>
        <w:spacing w:before="0" w:after="0" w:line="440" w:lineRule="exact"/>
        <w:ind w:firstLine="0"/>
        <w:jc w:val="left"/>
        <w:rPr>
          <w:rFonts w:hint="eastAsia" w:ascii="Times New Roman"/>
          <w:b/>
          <w:snapToGrid w:val="0"/>
          <w:color w:val="auto"/>
          <w:szCs w:val="22"/>
          <w:highlight w:val="none"/>
        </w:rPr>
      </w:pPr>
    </w:p>
    <w:p>
      <w:pPr>
        <w:pStyle w:val="5"/>
        <w:keepNext w:val="0"/>
        <w:keepLines w:val="0"/>
        <w:widowControl w:val="0"/>
        <w:wordWrap w:val="0"/>
        <w:adjustRightInd w:val="0"/>
        <w:snapToGrid w:val="0"/>
        <w:spacing w:before="0" w:after="0" w:line="440" w:lineRule="exact"/>
        <w:ind w:firstLine="0"/>
        <w:jc w:val="left"/>
        <w:rPr>
          <w:rFonts w:hint="eastAsia" w:ascii="Times New Roman"/>
          <w:b/>
          <w:snapToGrid w:val="0"/>
          <w:color w:val="auto"/>
          <w:szCs w:val="22"/>
          <w:highlight w:val="none"/>
        </w:rPr>
      </w:pPr>
    </w:p>
    <w:p>
      <w:pPr>
        <w:pStyle w:val="5"/>
        <w:keepNext w:val="0"/>
        <w:keepLines w:val="0"/>
        <w:widowControl w:val="0"/>
        <w:wordWrap w:val="0"/>
        <w:adjustRightInd w:val="0"/>
        <w:snapToGrid w:val="0"/>
        <w:spacing w:before="0" w:after="0" w:line="440" w:lineRule="exact"/>
        <w:ind w:firstLine="0"/>
        <w:jc w:val="left"/>
        <w:rPr>
          <w:rFonts w:hint="eastAsia" w:ascii="Times New Roman"/>
          <w:b/>
          <w:snapToGrid w:val="0"/>
          <w:color w:val="auto"/>
          <w:szCs w:val="22"/>
          <w:highlight w:val="none"/>
        </w:rPr>
      </w:pPr>
      <w:bookmarkStart w:id="263" w:name="_Toc4344"/>
      <w:bookmarkStart w:id="264" w:name="_Toc9436"/>
      <w:bookmarkStart w:id="265" w:name="_Toc8834"/>
      <w:r>
        <w:rPr>
          <w:rFonts w:hint="eastAsia" w:ascii="Times New Roman"/>
          <w:b/>
          <w:snapToGrid w:val="0"/>
          <w:color w:val="auto"/>
          <w:szCs w:val="22"/>
          <w:highlight w:val="none"/>
        </w:rPr>
        <w:t>格式十一 专职安全员简历表</w:t>
      </w:r>
      <w:bookmarkEnd w:id="263"/>
      <w:bookmarkEnd w:id="264"/>
      <w:bookmarkEnd w:id="265"/>
    </w:p>
    <w:p>
      <w:pPr>
        <w:rPr>
          <w:rFonts w:hint="eastAsia"/>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以专职安全员身份参与过的主要业绩（已完工项目）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bl>
    <w:p>
      <w:pPr>
        <w:wordWrap w:val="0"/>
        <w:adjustRightInd w:val="0"/>
        <w:snapToGrid w:val="0"/>
        <w:spacing w:line="440" w:lineRule="exact"/>
        <w:jc w:val="center"/>
        <w:outlineLvl w:val="2"/>
        <w:rPr>
          <w:rFonts w:hint="eastAsia" w:ascii="Times New Roman"/>
          <w:b/>
          <w:bCs/>
          <w:snapToGrid w:val="0"/>
          <w:color w:val="auto"/>
          <w:kern w:val="0"/>
          <w:szCs w:val="24"/>
          <w:highlight w:val="none"/>
        </w:rPr>
      </w:pPr>
      <w:bookmarkStart w:id="266" w:name="_Toc12212"/>
      <w:r>
        <w:rPr>
          <w:rFonts w:hint="eastAsia" w:ascii="Times New Roman"/>
          <w:b/>
          <w:snapToGrid w:val="0"/>
          <w:color w:val="auto"/>
          <w:kern w:val="0"/>
          <w:sz w:val="30"/>
          <w:highlight w:val="none"/>
        </w:rPr>
        <w:t>专职安全员简历表</w:t>
      </w:r>
      <w:bookmarkEnd w:id="266"/>
    </w:p>
    <w:p>
      <w:pPr>
        <w:wordWrap w:val="0"/>
        <w:adjustRightInd w:val="0"/>
        <w:snapToGrid w:val="0"/>
        <w:spacing w:line="440" w:lineRule="exact"/>
        <w:ind w:firstLine="570"/>
        <w:rPr>
          <w:rFonts w:hint="eastAsia" w:ascii="Times New Roman"/>
          <w:snapToGrid w:val="0"/>
          <w:color w:val="auto"/>
          <w:kern w:val="0"/>
          <w:szCs w:val="28"/>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专职安全员：</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pPr>
        <w:wordWrap w:val="0"/>
        <w:adjustRightInd w:val="0"/>
        <w:snapToGrid w:val="0"/>
        <w:spacing w:line="400" w:lineRule="exact"/>
        <w:ind w:firstLine="570"/>
        <w:rPr>
          <w:rFonts w:hint="eastAsia" w:ascii="Times New Roman"/>
          <w:snapToGrid w:val="0"/>
          <w:color w:val="auto"/>
          <w:kern w:val="0"/>
          <w:szCs w:val="28"/>
          <w:highlight w:val="none"/>
        </w:rPr>
      </w:pPr>
    </w:p>
    <w:p>
      <w:pPr>
        <w:wordWrap w:val="0"/>
        <w:adjustRightInd w:val="0"/>
        <w:snapToGrid w:val="0"/>
        <w:spacing w:line="400" w:lineRule="exact"/>
        <w:rPr>
          <w:rFonts w:hAnsi="宋体" w:cs="宋体"/>
          <w:snapToGrid w:val="0"/>
          <w:color w:val="auto"/>
          <w:kern w:val="0"/>
          <w:sz w:val="21"/>
          <w:szCs w:val="21"/>
          <w:highlight w:val="none"/>
        </w:rPr>
      </w:pPr>
      <w:r>
        <w:rPr>
          <w:rFonts w:hint="eastAsia" w:ascii="Times New Roman"/>
          <w:snapToGrid w:val="0"/>
          <w:color w:val="auto"/>
          <w:kern w:val="0"/>
          <w:sz w:val="21"/>
          <w:szCs w:val="28"/>
          <w:highlight w:val="none"/>
        </w:rPr>
        <w:t xml:space="preserve">  </w:t>
      </w:r>
      <w:r>
        <w:rPr>
          <w:rFonts w:hint="eastAsia" w:ascii="宋体" w:hAnsi="宋体" w:eastAsia="宋体" w:cs="宋体"/>
          <w:snapToGrid w:val="0"/>
          <w:color w:val="auto"/>
          <w:kern w:val="0"/>
          <w:sz w:val="21"/>
          <w:szCs w:val="28"/>
          <w:highlight w:val="none"/>
        </w:rPr>
        <w:t xml:space="preserve">  </w:t>
      </w:r>
      <w:r>
        <w:rPr>
          <w:rFonts w:hAnsi="宋体" w:cs="宋体"/>
          <w:snapToGrid w:val="0"/>
          <w:color w:val="auto"/>
          <w:kern w:val="0"/>
          <w:sz w:val="21"/>
          <w:szCs w:val="21"/>
          <w:highlight w:val="none"/>
        </w:rPr>
        <w:t>说明：《专职安全员简历表》后应附拟派专职安全员以下资料：</w:t>
      </w:r>
    </w:p>
    <w:p>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1．身份证复印件（或打印件）；</w:t>
      </w:r>
    </w:p>
    <w:p>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2．C类安全生产考核合格证书复印件（或打印件）或“广东省建筑施工企业管理人员安全生产考核信息系统”考核合格信息打印页；</w:t>
      </w:r>
    </w:p>
    <w:p>
      <w:pPr>
        <w:wordWrap w:val="0"/>
        <w:adjustRightInd w:val="0"/>
        <w:snapToGrid w:val="0"/>
        <w:spacing w:line="400" w:lineRule="exact"/>
        <w:ind w:firstLine="420" w:firstLineChars="200"/>
        <w:rPr>
          <w:rFonts w:hAnsi="宋体" w:cs="宋体"/>
          <w:snapToGrid w:val="0"/>
          <w:color w:val="auto"/>
          <w:kern w:val="0"/>
          <w:sz w:val="21"/>
          <w:szCs w:val="21"/>
          <w:highlight w:val="none"/>
        </w:rPr>
      </w:pPr>
      <w:r>
        <w:rPr>
          <w:rFonts w:hAnsi="宋体" w:cs="宋体"/>
          <w:snapToGrid w:val="0"/>
          <w:color w:val="auto"/>
          <w:kern w:val="0"/>
          <w:sz w:val="21"/>
          <w:szCs w:val="21"/>
          <w:highlight w:val="none"/>
        </w:rPr>
        <w:t>3．在本单位缴纳社保的证明（</w:t>
      </w:r>
      <w:r>
        <w:rPr>
          <w:rFonts w:ascii="Times New Roman"/>
          <w:snapToGrid w:val="0"/>
          <w:color w:val="auto"/>
          <w:kern w:val="0"/>
          <w:sz w:val="21"/>
          <w:szCs w:val="28"/>
          <w:highlight w:val="none"/>
        </w:rPr>
        <w:t>至少</w:t>
      </w:r>
      <w:r>
        <w:rPr>
          <w:rFonts w:hint="eastAsia" w:ascii="Times New Roman"/>
          <w:snapToGrid w:val="0"/>
          <w:color w:val="auto"/>
          <w:kern w:val="0"/>
          <w:sz w:val="21"/>
          <w:szCs w:val="28"/>
          <w:highlight w:val="none"/>
          <w:lang w:val="en-US" w:eastAsia="zh-CN"/>
        </w:rPr>
        <w:t>三</w:t>
      </w:r>
      <w:r>
        <w:rPr>
          <w:rFonts w:ascii="Times New Roman"/>
          <w:snapToGrid w:val="0"/>
          <w:color w:val="auto"/>
          <w:kern w:val="0"/>
          <w:sz w:val="21"/>
          <w:szCs w:val="28"/>
          <w:highlight w:val="none"/>
        </w:rPr>
        <w:t>个月，其中必须有2023年</w:t>
      </w:r>
      <w:r>
        <w:rPr>
          <w:rFonts w:hint="eastAsia" w:ascii="Times New Roman"/>
          <w:snapToGrid w:val="0"/>
          <w:color w:val="auto"/>
          <w:kern w:val="0"/>
          <w:sz w:val="21"/>
          <w:szCs w:val="28"/>
          <w:highlight w:val="none"/>
          <w:lang w:val="en-US" w:eastAsia="zh-CN"/>
        </w:rPr>
        <w:t>3</w:t>
      </w:r>
      <w:r>
        <w:rPr>
          <w:rFonts w:ascii="Times New Roman"/>
          <w:snapToGrid w:val="0"/>
          <w:color w:val="auto"/>
          <w:kern w:val="0"/>
          <w:sz w:val="21"/>
          <w:szCs w:val="28"/>
          <w:highlight w:val="none"/>
        </w:rPr>
        <w:t>月</w:t>
      </w:r>
      <w:r>
        <w:rPr>
          <w:rFonts w:hAnsi="宋体" w:cs="宋体"/>
          <w:snapToGrid w:val="0"/>
          <w:color w:val="auto"/>
          <w:kern w:val="0"/>
          <w:sz w:val="21"/>
          <w:szCs w:val="21"/>
          <w:highlight w:val="none"/>
        </w:rPr>
        <w:t>）复印件或打印件。拟派专职安全员为退休返聘人员无法提供社保证明的，提供退休证和劳动合同复印件或打印件；</w:t>
      </w:r>
    </w:p>
    <w:p>
      <w:pPr>
        <w:snapToGrid w:val="0"/>
        <w:spacing w:line="400" w:lineRule="exact"/>
        <w:ind w:firstLine="420" w:firstLineChars="200"/>
        <w:rPr>
          <w:rStyle w:val="149"/>
          <w:rFonts w:hint="eastAsia" w:ascii="宋体" w:hAnsi="宋体" w:eastAsia="宋体" w:cs="宋体"/>
          <w:color w:val="auto"/>
          <w:kern w:val="0"/>
          <w:sz w:val="21"/>
          <w:szCs w:val="21"/>
          <w:highlight w:val="none"/>
        </w:rPr>
      </w:pPr>
    </w:p>
    <w:p>
      <w:pPr>
        <w:pStyle w:val="74"/>
        <w:widowControl w:val="0"/>
        <w:wordWrap w:val="0"/>
        <w:adjustRightInd w:val="0"/>
        <w:snapToGrid w:val="0"/>
        <w:spacing w:line="400" w:lineRule="exact"/>
        <w:rPr>
          <w:rFonts w:hint="eastAsia" w:ascii="Times New Roman"/>
          <w:snapToGrid w:val="0"/>
          <w:color w:val="auto"/>
          <w:sz w:val="21"/>
          <w:szCs w:val="28"/>
          <w:highlight w:val="none"/>
        </w:rPr>
        <w:sectPr>
          <w:endnotePr>
            <w:numFmt w:val="decimal"/>
          </w:endnotePr>
          <w:pgSz w:w="11906" w:h="16838"/>
          <w:pgMar w:top="1701" w:right="1531" w:bottom="1417" w:left="1531" w:header="850" w:footer="992" w:gutter="0"/>
          <w:cols w:space="720" w:num="1"/>
          <w:docGrid w:linePitch="327" w:charSpace="0"/>
        </w:sectPr>
      </w:pPr>
    </w:p>
    <w:p>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p>
    <w:p>
      <w:pPr>
        <w:pStyle w:val="78"/>
        <w:keepNext w:val="0"/>
        <w:keepLines w:val="0"/>
        <w:widowControl w:val="0"/>
        <w:wordWrap w:val="0"/>
        <w:adjustRightInd w:val="0"/>
        <w:snapToGrid w:val="0"/>
        <w:spacing w:before="0" w:after="0" w:line="240" w:lineRule="auto"/>
        <w:ind w:left="3640" w:leftChars="15" w:hanging="3604" w:hangingChars="1496"/>
        <w:jc w:val="both"/>
        <w:rPr>
          <w:rFonts w:hint="eastAsia"/>
          <w:b/>
          <w:bCs/>
          <w:snapToGrid w:val="0"/>
          <w:color w:val="auto"/>
          <w:szCs w:val="24"/>
          <w:highlight w:val="none"/>
        </w:rPr>
      </w:pPr>
      <w:bookmarkStart w:id="267" w:name="_Toc14261309"/>
      <w:bookmarkStart w:id="268" w:name="_Toc23812"/>
      <w:bookmarkStart w:id="269" w:name="_Toc29727"/>
      <w:bookmarkStart w:id="270" w:name="_Toc20506"/>
      <w:bookmarkStart w:id="271" w:name="_Toc14989"/>
      <w:r>
        <w:rPr>
          <w:rFonts w:hint="eastAsia"/>
          <w:b/>
          <w:snapToGrid w:val="0"/>
          <w:color w:val="auto"/>
          <w:highlight w:val="none"/>
        </w:rPr>
        <w:t>格式</w:t>
      </w:r>
      <w:bookmarkStart w:id="272" w:name="_Hlt287950384"/>
      <w:bookmarkEnd w:id="272"/>
      <w:r>
        <w:rPr>
          <w:rFonts w:hint="eastAsia"/>
          <w:b/>
          <w:snapToGrid w:val="0"/>
          <w:color w:val="auto"/>
          <w:highlight w:val="none"/>
        </w:rPr>
        <w:t>十二 项目管理机构组成表</w:t>
      </w:r>
      <w:bookmarkEnd w:id="267"/>
      <w:bookmarkEnd w:id="268"/>
      <w:bookmarkEnd w:id="269"/>
      <w:bookmarkEnd w:id="270"/>
      <w:bookmarkEnd w:id="271"/>
    </w:p>
    <w:p>
      <w:pPr>
        <w:wordWrap w:val="0"/>
        <w:adjustRightInd w:val="0"/>
        <w:snapToGrid w:val="0"/>
        <w:spacing w:before="260" w:after="260" w:line="440" w:lineRule="exact"/>
        <w:jc w:val="center"/>
        <w:outlineLvl w:val="2"/>
        <w:rPr>
          <w:rFonts w:hint="eastAsia" w:ascii="Times New Roman"/>
          <w:b/>
          <w:snapToGrid w:val="0"/>
          <w:color w:val="auto"/>
          <w:kern w:val="0"/>
          <w:highlight w:val="none"/>
        </w:rPr>
      </w:pPr>
      <w:bookmarkStart w:id="273" w:name="_Toc14261751"/>
      <w:bookmarkStart w:id="274" w:name="_Toc3834"/>
      <w:r>
        <w:rPr>
          <w:rFonts w:hint="eastAsia" w:ascii="Times New Roman"/>
          <w:b/>
          <w:snapToGrid w:val="0"/>
          <w:color w:val="auto"/>
          <w:kern w:val="0"/>
          <w:sz w:val="30"/>
          <w:highlight w:val="none"/>
        </w:rPr>
        <w:t>项目管理机构组成表</w:t>
      </w:r>
      <w:bookmarkEnd w:id="273"/>
      <w:bookmarkEnd w:id="274"/>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项目技术</w:t>
            </w:r>
          </w:p>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ascii="Times New Roman"/>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jc w:val="center"/>
              <w:rPr>
                <w:rFonts w:ascii="Times New Roman"/>
                <w:snapToGrid w:val="0"/>
                <w:color w:val="auto"/>
                <w:kern w:val="0"/>
                <w:sz w:val="21"/>
                <w:szCs w:val="21"/>
                <w:highlight w:val="none"/>
              </w:rPr>
            </w:pPr>
          </w:p>
        </w:tc>
        <w:bookmarkStart w:id="275" w:name="_Hlt69116778"/>
        <w:bookmarkStart w:id="276" w:name="_Hlt68774664"/>
        <w:bookmarkStart w:id="277" w:name="_附件十：单项工程费汇总表"/>
        <w:bookmarkStart w:id="278" w:name="_附件二十四：技术标提问单"/>
        <w:bookmarkStart w:id="279" w:name="_附件二十五：综合评审合理低价法"/>
      </w:tr>
      <w:bookmarkEnd w:id="261"/>
      <w:bookmarkEnd w:id="262"/>
      <w:bookmarkEnd w:id="275"/>
      <w:bookmarkEnd w:id="276"/>
      <w:bookmarkEnd w:id="277"/>
      <w:bookmarkEnd w:id="278"/>
      <w:bookmarkEnd w:id="279"/>
    </w:tbl>
    <w:p>
      <w:pPr>
        <w:pStyle w:val="150"/>
        <w:snapToGrid w:val="0"/>
        <w:spacing w:line="400" w:lineRule="exact"/>
        <w:rPr>
          <w:rStyle w:val="149"/>
          <w:rFonts w:ascii="Times New Roman" w:cs="Times New Roman"/>
          <w:color w:val="auto"/>
          <w:sz w:val="21"/>
          <w:szCs w:val="21"/>
          <w:highlight w:val="none"/>
        </w:rPr>
      </w:pPr>
      <w:r>
        <w:rPr>
          <w:rStyle w:val="149"/>
          <w:rFonts w:hint="eastAsia" w:ascii="Times New Roman"/>
          <w:color w:val="auto"/>
          <w:sz w:val="21"/>
          <w:szCs w:val="21"/>
          <w:highlight w:val="none"/>
        </w:rPr>
        <w:t>说明：</w:t>
      </w:r>
    </w:p>
    <w:p>
      <w:pPr>
        <w:pStyle w:val="74"/>
        <w:widowControl w:val="0"/>
        <w:wordWrap w:val="0"/>
        <w:adjustRightInd w:val="0"/>
        <w:snapToGrid w:val="0"/>
        <w:spacing w:line="400" w:lineRule="exact"/>
        <w:rPr>
          <w:rFonts w:hint="eastAsia" w:hAnsi="宋体" w:cs="宋体"/>
          <w:snapToGrid w:val="0"/>
          <w:color w:val="auto"/>
          <w:sz w:val="21"/>
          <w:szCs w:val="28"/>
          <w:highlight w:val="none"/>
        </w:rPr>
      </w:pPr>
      <w:r>
        <w:rPr>
          <w:rFonts w:hint="eastAsia" w:hAnsi="宋体" w:cs="宋体"/>
          <w:snapToGrid w:val="0"/>
          <w:color w:val="auto"/>
          <w:sz w:val="21"/>
          <w:highlight w:val="none"/>
        </w:rPr>
        <w:t>1</w:t>
      </w:r>
      <w:r>
        <w:rPr>
          <w:rFonts w:hint="eastAsia" w:hAnsi="宋体" w:cs="宋体"/>
          <w:snapToGrid w:val="0"/>
          <w:color w:val="auto"/>
          <w:sz w:val="21"/>
          <w:szCs w:val="28"/>
          <w:highlight w:val="none"/>
        </w:rPr>
        <w:t>．</w:t>
      </w:r>
      <w:r>
        <w:rPr>
          <w:rFonts w:hint="eastAsia" w:hAnsi="宋体" w:cs="宋体"/>
          <w:snapToGrid w:val="0"/>
          <w:color w:val="auto"/>
          <w:sz w:val="21"/>
          <w:highlight w:val="none"/>
        </w:rPr>
        <w:t>《项目管理机构组成表》后应附表中拟派人员（项目经理、项目技术负责人、专职安全员除外）以下资料：</w:t>
      </w:r>
    </w:p>
    <w:p>
      <w:pPr>
        <w:wordWrap w:val="0"/>
        <w:adjustRightInd w:val="0"/>
        <w:snapToGrid w:val="0"/>
        <w:spacing w:line="400" w:lineRule="exact"/>
        <w:ind w:firstLine="420" w:firstLineChars="200"/>
        <w:rPr>
          <w:rFonts w:hAnsi="宋体" w:cs="宋体"/>
          <w:snapToGrid w:val="0"/>
          <w:color w:val="auto"/>
          <w:kern w:val="0"/>
          <w:sz w:val="21"/>
          <w:szCs w:val="28"/>
          <w:highlight w:val="none"/>
        </w:rPr>
      </w:pPr>
      <w:r>
        <w:rPr>
          <w:rFonts w:hAnsi="宋体" w:cs="宋体"/>
          <w:snapToGrid w:val="0"/>
          <w:color w:val="auto"/>
          <w:kern w:val="0"/>
          <w:sz w:val="21"/>
          <w:szCs w:val="28"/>
          <w:highlight w:val="none"/>
        </w:rPr>
        <w:t>（1）身份证复印件</w:t>
      </w:r>
      <w:r>
        <w:rPr>
          <w:rFonts w:hAnsi="宋体" w:cs="宋体"/>
          <w:snapToGrid w:val="0"/>
          <w:color w:val="auto"/>
          <w:kern w:val="0"/>
          <w:szCs w:val="21"/>
          <w:highlight w:val="none"/>
        </w:rPr>
        <w:t>（</w:t>
      </w:r>
      <w:r>
        <w:rPr>
          <w:rFonts w:hAnsi="宋体" w:cs="宋体"/>
          <w:snapToGrid w:val="0"/>
          <w:color w:val="auto"/>
          <w:kern w:val="0"/>
          <w:sz w:val="21"/>
          <w:szCs w:val="21"/>
          <w:highlight w:val="none"/>
        </w:rPr>
        <w:t>或打印件</w:t>
      </w:r>
      <w:r>
        <w:rPr>
          <w:rFonts w:hAnsi="宋体" w:cs="宋体"/>
          <w:snapToGrid w:val="0"/>
          <w:color w:val="auto"/>
          <w:kern w:val="0"/>
          <w:szCs w:val="21"/>
          <w:highlight w:val="none"/>
        </w:rPr>
        <w:t>）</w:t>
      </w:r>
      <w:r>
        <w:rPr>
          <w:rFonts w:hAnsi="宋体" w:cs="宋体"/>
          <w:snapToGrid w:val="0"/>
          <w:color w:val="auto"/>
          <w:kern w:val="0"/>
          <w:sz w:val="21"/>
          <w:szCs w:val="28"/>
          <w:highlight w:val="none"/>
        </w:rPr>
        <w:t>；</w:t>
      </w:r>
    </w:p>
    <w:p>
      <w:pPr>
        <w:wordWrap w:val="0"/>
        <w:adjustRightInd w:val="0"/>
        <w:snapToGrid w:val="0"/>
        <w:spacing w:line="400" w:lineRule="exact"/>
        <w:ind w:firstLine="420" w:firstLineChars="200"/>
        <w:rPr>
          <w:rFonts w:hAnsi="宋体" w:cs="宋体"/>
          <w:snapToGrid w:val="0"/>
          <w:color w:val="auto"/>
          <w:kern w:val="0"/>
          <w:sz w:val="21"/>
          <w:szCs w:val="28"/>
          <w:highlight w:val="none"/>
        </w:rPr>
      </w:pPr>
      <w:r>
        <w:rPr>
          <w:rFonts w:hAnsi="宋体" w:cs="宋体"/>
          <w:snapToGrid w:val="0"/>
          <w:color w:val="auto"/>
          <w:kern w:val="0"/>
          <w:sz w:val="21"/>
          <w:szCs w:val="28"/>
          <w:highlight w:val="none"/>
        </w:rPr>
        <w:t>（2）岗位证或培训证复</w:t>
      </w:r>
      <w:r>
        <w:rPr>
          <w:rFonts w:hAnsi="宋体" w:cs="宋体"/>
          <w:snapToGrid w:val="0"/>
          <w:color w:val="auto"/>
          <w:kern w:val="0"/>
          <w:sz w:val="21"/>
          <w:szCs w:val="21"/>
          <w:highlight w:val="none"/>
        </w:rPr>
        <w:t>印件（或打印件）；</w:t>
      </w:r>
    </w:p>
    <w:p>
      <w:pPr>
        <w:wordWrap w:val="0"/>
        <w:adjustRightInd w:val="0"/>
        <w:snapToGrid w:val="0"/>
        <w:spacing w:line="400" w:lineRule="exact"/>
        <w:ind w:firstLine="420" w:firstLineChars="200"/>
        <w:rPr>
          <w:rFonts w:hAnsi="宋体" w:cs="宋体"/>
          <w:snapToGrid w:val="0"/>
          <w:color w:val="auto"/>
          <w:kern w:val="0"/>
          <w:sz w:val="21"/>
          <w:szCs w:val="28"/>
          <w:highlight w:val="none"/>
        </w:rPr>
      </w:pPr>
      <w:r>
        <w:rPr>
          <w:rFonts w:hAnsi="宋体" w:cs="宋体"/>
          <w:snapToGrid w:val="0"/>
          <w:color w:val="auto"/>
          <w:kern w:val="0"/>
          <w:sz w:val="21"/>
          <w:szCs w:val="28"/>
          <w:highlight w:val="none"/>
        </w:rPr>
        <w:t>（3）在本单位缴纳社保的证明（</w:t>
      </w:r>
      <w:r>
        <w:rPr>
          <w:rFonts w:ascii="Times New Roman"/>
          <w:snapToGrid w:val="0"/>
          <w:color w:val="auto"/>
          <w:kern w:val="0"/>
          <w:sz w:val="21"/>
          <w:szCs w:val="28"/>
          <w:highlight w:val="none"/>
        </w:rPr>
        <w:t>至少</w:t>
      </w:r>
      <w:r>
        <w:rPr>
          <w:rFonts w:hint="eastAsia" w:ascii="Times New Roman"/>
          <w:snapToGrid w:val="0"/>
          <w:color w:val="auto"/>
          <w:kern w:val="0"/>
          <w:sz w:val="21"/>
          <w:szCs w:val="28"/>
          <w:highlight w:val="none"/>
          <w:lang w:val="en-US" w:eastAsia="zh-CN"/>
        </w:rPr>
        <w:t>三</w:t>
      </w:r>
      <w:r>
        <w:rPr>
          <w:rFonts w:ascii="Times New Roman"/>
          <w:snapToGrid w:val="0"/>
          <w:color w:val="auto"/>
          <w:kern w:val="0"/>
          <w:sz w:val="21"/>
          <w:szCs w:val="28"/>
          <w:highlight w:val="none"/>
        </w:rPr>
        <w:t>个月，其中必须有2023年</w:t>
      </w:r>
      <w:r>
        <w:rPr>
          <w:rFonts w:hint="eastAsia" w:ascii="Times New Roman"/>
          <w:snapToGrid w:val="0"/>
          <w:color w:val="auto"/>
          <w:kern w:val="0"/>
          <w:sz w:val="21"/>
          <w:szCs w:val="28"/>
          <w:highlight w:val="none"/>
          <w:lang w:val="en-US" w:eastAsia="zh-CN"/>
        </w:rPr>
        <w:t>3</w:t>
      </w:r>
      <w:r>
        <w:rPr>
          <w:rFonts w:ascii="Times New Roman"/>
          <w:snapToGrid w:val="0"/>
          <w:color w:val="auto"/>
          <w:kern w:val="0"/>
          <w:sz w:val="21"/>
          <w:szCs w:val="28"/>
          <w:highlight w:val="none"/>
        </w:rPr>
        <w:t>月</w:t>
      </w:r>
      <w:r>
        <w:rPr>
          <w:rFonts w:hAnsi="宋体" w:cs="宋体"/>
          <w:snapToGrid w:val="0"/>
          <w:color w:val="auto"/>
          <w:kern w:val="0"/>
          <w:sz w:val="21"/>
          <w:szCs w:val="28"/>
          <w:highlight w:val="none"/>
        </w:rPr>
        <w:t>）复印件或打印件。拟派人员为退休返聘人员无法提供社保证明的，提供退休证和劳动合同复印件</w:t>
      </w:r>
      <w:r>
        <w:rPr>
          <w:rFonts w:hAnsi="宋体" w:cs="宋体"/>
          <w:snapToGrid w:val="0"/>
          <w:color w:val="auto"/>
          <w:kern w:val="0"/>
          <w:sz w:val="21"/>
          <w:szCs w:val="21"/>
          <w:highlight w:val="none"/>
        </w:rPr>
        <w:t>或打印件</w:t>
      </w:r>
      <w:r>
        <w:rPr>
          <w:rFonts w:hAnsi="宋体" w:cs="宋体"/>
          <w:snapToGrid w:val="0"/>
          <w:color w:val="auto"/>
          <w:kern w:val="0"/>
          <w:sz w:val="21"/>
          <w:szCs w:val="28"/>
          <w:highlight w:val="none"/>
        </w:rPr>
        <w:t>；</w:t>
      </w:r>
    </w:p>
    <w:p>
      <w:pPr>
        <w:spacing w:line="374" w:lineRule="auto"/>
        <w:ind w:right="524"/>
        <w:jc w:val="left"/>
        <w:rPr>
          <w:rFonts w:hAnsi="宋体"/>
          <w:color w:val="auto"/>
          <w:highlight w:val="none"/>
        </w:rPr>
        <w:sectPr>
          <w:pgSz w:w="11907" w:h="16840"/>
          <w:pgMar w:top="1304" w:right="1304" w:bottom="1304" w:left="1304" w:header="680" w:footer="680" w:gutter="0"/>
          <w:cols w:space="720" w:num="1"/>
        </w:sectPr>
      </w:pPr>
    </w:p>
    <w:p>
      <w:pPr>
        <w:pStyle w:val="74"/>
        <w:widowControl w:val="0"/>
        <w:wordWrap w:val="0"/>
        <w:adjustRightInd w:val="0"/>
        <w:snapToGrid w:val="0"/>
        <w:spacing w:line="400" w:lineRule="exact"/>
        <w:ind w:firstLine="0"/>
        <w:rPr>
          <w:rFonts w:hint="eastAsia" w:ascii="Times New Roman"/>
          <w:b/>
          <w:bCs/>
          <w:snapToGrid w:val="0"/>
          <w:color w:val="auto"/>
          <w:sz w:val="24"/>
          <w:szCs w:val="24"/>
          <w:highlight w:val="none"/>
        </w:rPr>
      </w:pPr>
      <w:r>
        <w:rPr>
          <w:rFonts w:hint="eastAsia" w:ascii="Times New Roman"/>
          <w:b/>
          <w:bCs/>
          <w:snapToGrid w:val="0"/>
          <w:color w:val="auto"/>
          <w:sz w:val="24"/>
          <w:szCs w:val="24"/>
          <w:highlight w:val="none"/>
        </w:rPr>
        <w:t>格式十</w:t>
      </w:r>
      <w:r>
        <w:rPr>
          <w:rFonts w:hint="eastAsia" w:ascii="Times New Roman"/>
          <w:b/>
          <w:bCs/>
          <w:snapToGrid w:val="0"/>
          <w:color w:val="auto"/>
          <w:sz w:val="24"/>
          <w:szCs w:val="24"/>
          <w:highlight w:val="none"/>
          <w:lang w:val="en-US" w:eastAsia="zh-CN"/>
        </w:rPr>
        <w:t>三</w:t>
      </w:r>
      <w:r>
        <w:rPr>
          <w:rFonts w:hint="eastAsia" w:ascii="Times New Roman"/>
          <w:b/>
          <w:bCs/>
          <w:snapToGrid w:val="0"/>
          <w:color w:val="auto"/>
          <w:sz w:val="24"/>
          <w:szCs w:val="24"/>
          <w:highlight w:val="none"/>
        </w:rPr>
        <w:t xml:space="preserve"> 建造师查询页（有效期）</w:t>
      </w:r>
    </w:p>
    <w:p>
      <w:pPr>
        <w:pStyle w:val="74"/>
        <w:widowControl w:val="0"/>
        <w:wordWrap w:val="0"/>
        <w:adjustRightInd w:val="0"/>
        <w:snapToGrid w:val="0"/>
        <w:spacing w:line="400" w:lineRule="exact"/>
        <w:ind w:firstLine="0"/>
        <w:rPr>
          <w:rFonts w:hint="eastAsia" w:ascii="Times New Roman"/>
          <w:b/>
          <w:bCs/>
          <w:snapToGrid w:val="0"/>
          <w:color w:val="auto"/>
          <w:sz w:val="24"/>
          <w:szCs w:val="24"/>
          <w:highlight w:val="none"/>
        </w:rPr>
      </w:pPr>
    </w:p>
    <w:p>
      <w:pPr>
        <w:pStyle w:val="74"/>
        <w:widowControl w:val="0"/>
        <w:wordWrap w:val="0"/>
        <w:adjustRightInd w:val="0"/>
        <w:snapToGrid w:val="0"/>
        <w:spacing w:line="400" w:lineRule="exact"/>
        <w:ind w:firstLine="482" w:firstLineChars="200"/>
        <w:rPr>
          <w:rFonts w:hint="eastAsia" w:ascii="Times New Roman"/>
          <w:snapToGrid w:val="0"/>
          <w:color w:val="auto"/>
          <w:sz w:val="21"/>
          <w:highlight w:val="none"/>
        </w:rPr>
      </w:pPr>
      <w:r>
        <w:rPr>
          <w:rFonts w:hint="eastAsia" w:ascii="Times New Roman"/>
          <w:b/>
          <w:bCs/>
          <w:snapToGrid w:val="0"/>
          <w:color w:val="auto"/>
          <w:sz w:val="24"/>
          <w:szCs w:val="24"/>
          <w:highlight w:val="none"/>
        </w:rPr>
        <w:t>建筑工程：</w:t>
      </w:r>
    </w:p>
    <w:p>
      <w:pPr>
        <w:pStyle w:val="74"/>
        <w:widowControl w:val="0"/>
        <w:wordWrap w:val="0"/>
        <w:adjustRightInd w:val="0"/>
        <w:snapToGrid w:val="0"/>
        <w:spacing w:line="240" w:lineRule="auto"/>
        <w:ind w:firstLine="0"/>
        <w:rPr>
          <w:rFonts w:ascii="Times New Roman"/>
          <w:snapToGrid w:val="0"/>
          <w:color w:val="auto"/>
          <w:sz w:val="21"/>
          <w:highlight w:val="none"/>
        </w:rPr>
      </w:pPr>
      <w:r>
        <w:rPr>
          <w:rFonts w:hint="eastAsia" w:ascii="Times New Roman"/>
          <w:snapToGrid w:val="0"/>
          <w:color w:val="auto"/>
          <w:sz w:val="21"/>
          <w:highlight w:val="none"/>
        </w:rPr>
        <w:t xml:space="preserve">    </w:t>
      </w:r>
      <w:r>
        <w:rPr>
          <w:rFonts w:ascii="Times New Roman"/>
          <w:snapToGrid w:val="0"/>
          <w:color w:val="auto"/>
          <w:sz w:val="21"/>
          <w:highlight w:val="none"/>
        </w:rPr>
        <w:drawing>
          <wp:inline distT="0" distB="0" distL="114300" distR="114300">
            <wp:extent cx="5344160" cy="7471410"/>
            <wp:effectExtent l="0" t="0" r="8890" b="15240"/>
            <wp:docPr id="35" name="图片 15"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b7c3fa9a6b84aa75afaa6419d149817"/>
                    <pic:cNvPicPr>
                      <a:picLocks noChangeAspect="1"/>
                    </pic:cNvPicPr>
                  </pic:nvPicPr>
                  <pic:blipFill>
                    <a:blip r:embed="rId8"/>
                    <a:stretch>
                      <a:fillRect/>
                    </a:stretch>
                  </pic:blipFill>
                  <pic:spPr>
                    <a:xfrm>
                      <a:off x="0" y="0"/>
                      <a:ext cx="5344160" cy="7471410"/>
                    </a:xfrm>
                    <a:prstGeom prst="rect">
                      <a:avLst/>
                    </a:prstGeom>
                    <a:noFill/>
                    <a:ln>
                      <a:noFill/>
                    </a:ln>
                  </pic:spPr>
                </pic:pic>
              </a:graphicData>
            </a:graphic>
          </wp:inline>
        </w:drawing>
      </w:r>
    </w:p>
    <w:p>
      <w:pPr>
        <w:pStyle w:val="74"/>
        <w:widowControl w:val="0"/>
        <w:wordWrap w:val="0"/>
        <w:adjustRightInd w:val="0"/>
        <w:snapToGrid w:val="0"/>
        <w:spacing w:line="240" w:lineRule="auto"/>
        <w:ind w:firstLine="0"/>
        <w:rPr>
          <w:rFonts w:ascii="Times New Roman"/>
          <w:snapToGrid w:val="0"/>
          <w:color w:val="auto"/>
          <w:sz w:val="21"/>
          <w:highlight w:val="none"/>
        </w:rPr>
      </w:pPr>
    </w:p>
    <w:p>
      <w:pPr>
        <w:pStyle w:val="74"/>
        <w:widowControl w:val="0"/>
        <w:wordWrap w:val="0"/>
        <w:adjustRightInd w:val="0"/>
        <w:snapToGrid w:val="0"/>
        <w:spacing w:line="240" w:lineRule="auto"/>
        <w:ind w:firstLine="0"/>
        <w:rPr>
          <w:rFonts w:ascii="Times New Roman"/>
          <w:snapToGrid w:val="0"/>
          <w:color w:val="auto"/>
          <w:sz w:val="21"/>
          <w:highlight w:val="none"/>
        </w:rPr>
      </w:pPr>
    </w:p>
    <w:p>
      <w:pPr>
        <w:pStyle w:val="74"/>
        <w:widowControl w:val="0"/>
        <w:wordWrap w:val="0"/>
        <w:adjustRightInd w:val="0"/>
        <w:snapToGrid w:val="0"/>
        <w:spacing w:line="240" w:lineRule="auto"/>
        <w:ind w:firstLine="0"/>
        <w:rPr>
          <w:rFonts w:ascii="Times New Roman"/>
          <w:snapToGrid w:val="0"/>
          <w:color w:val="auto"/>
          <w:sz w:val="21"/>
          <w:highlight w:val="none"/>
        </w:rPr>
      </w:pPr>
    </w:p>
    <w:p>
      <w:pPr>
        <w:pStyle w:val="74"/>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pPr>
        <w:pStyle w:val="74"/>
        <w:widowControl w:val="0"/>
        <w:wordWrap w:val="0"/>
        <w:adjustRightInd w:val="0"/>
        <w:snapToGrid w:val="0"/>
        <w:spacing w:line="240" w:lineRule="auto"/>
        <w:ind w:firstLine="482" w:firstLineChars="200"/>
        <w:rPr>
          <w:rFonts w:ascii="Times New Roman"/>
          <w:b/>
          <w:bCs/>
          <w:snapToGrid w:val="0"/>
          <w:color w:val="auto"/>
          <w:sz w:val="24"/>
          <w:szCs w:val="24"/>
          <w:highlight w:val="none"/>
        </w:rPr>
      </w:pPr>
      <w:r>
        <w:rPr>
          <w:rFonts w:hint="eastAsia" w:ascii="Times New Roman"/>
          <w:b/>
          <w:bCs/>
          <w:snapToGrid w:val="0"/>
          <w:color w:val="auto"/>
          <w:sz w:val="24"/>
          <w:szCs w:val="24"/>
          <w:highlight w:val="none"/>
        </w:rPr>
        <w:t>市政工程：</w:t>
      </w:r>
    </w:p>
    <w:p>
      <w:pPr>
        <w:pStyle w:val="74"/>
        <w:widowControl w:val="0"/>
        <w:wordWrap w:val="0"/>
        <w:adjustRightInd w:val="0"/>
        <w:snapToGrid w:val="0"/>
        <w:spacing w:line="240" w:lineRule="auto"/>
        <w:ind w:firstLine="0"/>
        <w:rPr>
          <w:rFonts w:ascii="Times New Roman"/>
          <w:snapToGrid w:val="0"/>
          <w:color w:val="auto"/>
          <w:sz w:val="21"/>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sz w:val="21"/>
          <w:highlight w:val="none"/>
        </w:rPr>
        <w:t xml:space="preserve">     </w:t>
      </w:r>
      <w:r>
        <w:rPr>
          <w:rFonts w:ascii="Times New Roman"/>
          <w:snapToGrid w:val="0"/>
          <w:color w:val="auto"/>
          <w:sz w:val="21"/>
          <w:highlight w:val="none"/>
        </w:rPr>
        <w:drawing>
          <wp:inline distT="0" distB="0" distL="114300" distR="114300">
            <wp:extent cx="5202555" cy="7320915"/>
            <wp:effectExtent l="0" t="0" r="17145" b="13335"/>
            <wp:docPr id="36" name="图片 18" descr="ff38638e3efd3e260877c895254a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ff38638e3efd3e260877c895254a317"/>
                    <pic:cNvPicPr>
                      <a:picLocks noChangeAspect="1"/>
                    </pic:cNvPicPr>
                  </pic:nvPicPr>
                  <pic:blipFill>
                    <a:blip r:embed="rId9"/>
                    <a:stretch>
                      <a:fillRect/>
                    </a:stretch>
                  </pic:blipFill>
                  <pic:spPr>
                    <a:xfrm>
                      <a:off x="0" y="0"/>
                      <a:ext cx="5202555" cy="7320915"/>
                    </a:xfrm>
                    <a:prstGeom prst="rect">
                      <a:avLst/>
                    </a:prstGeom>
                    <a:noFill/>
                    <a:ln>
                      <a:noFill/>
                    </a:ln>
                  </pic:spPr>
                </pic:pic>
              </a:graphicData>
            </a:graphic>
          </wp:inline>
        </w:drawing>
      </w:r>
    </w:p>
    <w:bookmarkEnd w:id="7"/>
    <w:bookmarkEnd w:id="232"/>
    <w:bookmarkEnd w:id="233"/>
    <w:p>
      <w:pPr>
        <w:pStyle w:val="78"/>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280" w:name="_Hlt87783244"/>
      <w:bookmarkEnd w:id="280"/>
      <w:bookmarkStart w:id="281" w:name="_附件二十一：土建工程、电气工程、给排水工程工程清单项目费汇总表"/>
      <w:bookmarkEnd w:id="281"/>
      <w:bookmarkStart w:id="282" w:name="_附件十六：措施项目清单计价表"/>
      <w:bookmarkEnd w:id="282"/>
      <w:bookmarkStart w:id="283" w:name="_Hlt87793582"/>
      <w:bookmarkEnd w:id="283"/>
      <w:bookmarkStart w:id="284" w:name="_Toc13122"/>
      <w:bookmarkStart w:id="285" w:name="_Toc2067"/>
      <w:bookmarkStart w:id="286" w:name="_Toc346"/>
      <w:bookmarkStart w:id="287" w:name="_Toc137444778"/>
      <w:bookmarkStart w:id="288" w:name="_Toc13722"/>
      <w:bookmarkStart w:id="289" w:name="_Toc133160683"/>
      <w:bookmarkStart w:id="290" w:name="_Toc142468134"/>
      <w:bookmarkStart w:id="291" w:name="_Toc132687128"/>
      <w:bookmarkStart w:id="292" w:name="_Toc133815902"/>
      <w:bookmarkStart w:id="293" w:name="_Toc78794873"/>
      <w:r>
        <w:rPr>
          <w:rFonts w:hint="eastAsia"/>
          <w:b/>
          <w:snapToGrid w:val="0"/>
          <w:color w:val="auto"/>
          <w:highlight w:val="none"/>
        </w:rPr>
        <w:t>格式十</w:t>
      </w:r>
      <w:r>
        <w:rPr>
          <w:rFonts w:hint="eastAsia"/>
          <w:b/>
          <w:snapToGrid w:val="0"/>
          <w:color w:val="auto"/>
          <w:highlight w:val="none"/>
          <w:lang w:val="en-US" w:eastAsia="zh-CN"/>
        </w:rPr>
        <w:t>四</w:t>
      </w:r>
      <w:r>
        <w:rPr>
          <w:rFonts w:hint="eastAsia"/>
          <w:b/>
          <w:snapToGrid w:val="0"/>
          <w:color w:val="auto"/>
          <w:highlight w:val="none"/>
        </w:rPr>
        <w:t xml:space="preserve"> 原件一览表</w:t>
      </w:r>
      <w:bookmarkEnd w:id="284"/>
      <w:bookmarkEnd w:id="285"/>
      <w:bookmarkEnd w:id="286"/>
    </w:p>
    <w:p>
      <w:pPr>
        <w:spacing w:line="336" w:lineRule="auto"/>
        <w:contextualSpacing/>
        <w:jc w:val="left"/>
        <w:rPr>
          <w:rFonts w:hint="eastAsia" w:hAnsi="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pPr>
              <w:jc w:val="center"/>
              <w:rPr>
                <w:rFonts w:hAnsi="宋体" w:cs="宋体"/>
                <w:color w:val="auto"/>
                <w:highlight w:val="none"/>
              </w:rPr>
            </w:pPr>
            <w:r>
              <w:rPr>
                <w:rFonts w:hAnsi="宋体" w:cs="宋体"/>
                <w:b/>
                <w:color w:val="auto"/>
                <w:highlight w:val="none"/>
              </w:rPr>
              <w:t>原件一览表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pPr>
              <w:jc w:val="center"/>
              <w:rPr>
                <w:rFonts w:hint="eastAsia" w:hAnsi="宋体" w:cs="宋体"/>
                <w:color w:val="auto"/>
                <w:sz w:val="20"/>
                <w:highlight w:val="none"/>
              </w:rPr>
            </w:pPr>
            <w:r>
              <w:rPr>
                <w:rFonts w:hAnsi="宋体" w:cs="宋体"/>
                <w:color w:val="auto"/>
                <w:sz w:val="20"/>
                <w:highlight w:val="none"/>
              </w:rPr>
              <w:t>投标人法定代表人或其</w:t>
            </w:r>
          </w:p>
          <w:p>
            <w:pPr>
              <w:jc w:val="center"/>
              <w:rPr>
                <w:rFonts w:hAnsi="宋体" w:cs="宋体"/>
                <w:color w:val="auto"/>
                <w:sz w:val="20"/>
                <w:highlight w:val="none"/>
              </w:rPr>
            </w:pPr>
            <w:r>
              <w:rPr>
                <w:rFonts w:hAnsi="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　</w:t>
            </w:r>
          </w:p>
        </w:tc>
        <w:tc>
          <w:tcPr>
            <w:tcW w:w="754" w:type="dxa"/>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递交的证明材料原件如下：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序号</w:t>
            </w:r>
          </w:p>
        </w:tc>
        <w:tc>
          <w:tcPr>
            <w:tcW w:w="5125" w:type="dxa"/>
            <w:gridSpan w:val="4"/>
            <w:shd w:val="clear" w:color="auto"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单位</w:t>
            </w:r>
          </w:p>
        </w:tc>
        <w:tc>
          <w:tcPr>
            <w:tcW w:w="1570" w:type="dxa"/>
            <w:shd w:val="clear" w:color="auto"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pPr>
              <w:jc w:val="center"/>
              <w:rPr>
                <w:rFonts w:hint="eastAsia" w:hAnsi="宋体" w:cs="宋体"/>
                <w:color w:val="auto"/>
                <w:highlight w:val="none"/>
              </w:rPr>
            </w:pPr>
            <w:r>
              <w:rPr>
                <w:rFonts w:hint="eastAsia" w:hAnsi="宋体" w:cs="宋体"/>
                <w:color w:val="auto"/>
                <w:highlight w:val="none"/>
              </w:rPr>
              <w:t>1</w:t>
            </w:r>
          </w:p>
        </w:tc>
        <w:tc>
          <w:tcPr>
            <w:tcW w:w="5125" w:type="dxa"/>
            <w:gridSpan w:val="4"/>
            <w:shd w:val="clear" w:color="000000" w:fill="FFFFFF"/>
            <w:noWrap w:val="0"/>
            <w:tcMar>
              <w:left w:w="108" w:type="dxa"/>
              <w:right w:w="108" w:type="dxa"/>
            </w:tcMar>
            <w:vAlign w:val="center"/>
          </w:tcPr>
          <w:p>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pPr>
              <w:jc w:val="center"/>
              <w:rPr>
                <w:rFonts w:hAnsi="宋体" w:cs="宋体"/>
                <w:color w:val="auto"/>
                <w:highlight w:val="none"/>
              </w:rPr>
            </w:pPr>
            <w:r>
              <w:rPr>
                <w:rFonts w:hAnsi="宋体" w:cs="宋体"/>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pPr>
              <w:jc w:val="center"/>
              <w:rPr>
                <w:rFonts w:hint="eastAsia" w:hAnsi="宋体" w:cs="宋体"/>
                <w:color w:val="auto"/>
                <w:highlight w:val="none"/>
              </w:rPr>
            </w:pPr>
            <w:r>
              <w:rPr>
                <w:rFonts w:hint="eastAsia" w:hAnsi="宋体" w:cs="宋体"/>
                <w:color w:val="auto"/>
                <w:highlight w:val="none"/>
              </w:rPr>
              <w:t>2</w:t>
            </w:r>
          </w:p>
        </w:tc>
        <w:tc>
          <w:tcPr>
            <w:tcW w:w="5125" w:type="dxa"/>
            <w:gridSpan w:val="4"/>
            <w:shd w:val="clear" w:color="000000" w:fill="FFFFFF"/>
            <w:noWrap w:val="0"/>
            <w:tcMar>
              <w:left w:w="108" w:type="dxa"/>
              <w:right w:w="108" w:type="dxa"/>
            </w:tcMar>
            <w:vAlign w:val="center"/>
          </w:tcPr>
          <w:p>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pPr>
              <w:jc w:val="center"/>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pPr>
              <w:jc w:val="center"/>
              <w:rPr>
                <w:rFonts w:hint="eastAsia" w:hAnsi="宋体" w:cs="宋体"/>
                <w:color w:val="auto"/>
                <w:highlight w:val="none"/>
              </w:rPr>
            </w:pPr>
            <w:r>
              <w:rPr>
                <w:rFonts w:hint="eastAsia" w:hAnsi="宋体" w:cs="宋体"/>
                <w:color w:val="auto"/>
                <w:highlight w:val="none"/>
              </w:rPr>
              <w:t>3</w:t>
            </w:r>
          </w:p>
        </w:tc>
        <w:tc>
          <w:tcPr>
            <w:tcW w:w="5125" w:type="dxa"/>
            <w:gridSpan w:val="4"/>
            <w:shd w:val="clear" w:color="000000" w:fill="FFFFFF"/>
            <w:noWrap w:val="0"/>
            <w:tcMar>
              <w:left w:w="108" w:type="dxa"/>
              <w:right w:w="108" w:type="dxa"/>
            </w:tcMar>
            <w:vAlign w:val="center"/>
          </w:tcPr>
          <w:p>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pPr>
              <w:jc w:val="center"/>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pPr>
              <w:jc w:val="center"/>
              <w:rPr>
                <w:rFonts w:hint="eastAsia" w:hAnsi="宋体" w:cs="宋体"/>
                <w:color w:val="auto"/>
                <w:highlight w:val="none"/>
              </w:rPr>
            </w:pPr>
            <w:r>
              <w:rPr>
                <w:rFonts w:hint="eastAsia" w:hAnsi="宋体" w:cs="宋体"/>
                <w:color w:val="auto"/>
                <w:highlight w:val="none"/>
              </w:rPr>
              <w:t>...</w:t>
            </w:r>
          </w:p>
        </w:tc>
        <w:tc>
          <w:tcPr>
            <w:tcW w:w="5125" w:type="dxa"/>
            <w:gridSpan w:val="4"/>
            <w:shd w:val="clear" w:color="000000" w:fill="FFFFFF"/>
            <w:noWrap w:val="0"/>
            <w:tcMar>
              <w:left w:w="108" w:type="dxa"/>
              <w:right w:w="108" w:type="dxa"/>
            </w:tcMar>
            <w:vAlign w:val="center"/>
          </w:tcPr>
          <w:p>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pPr>
              <w:jc w:val="center"/>
              <w:rPr>
                <w:rFonts w:hAnsi="宋体" w:cs="宋体"/>
                <w:color w:val="auto"/>
                <w:highlight w:val="none"/>
              </w:rPr>
            </w:pPr>
            <w:r>
              <w:rPr>
                <w:rFonts w:hAnsi="宋体" w:cs="宋体"/>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pPr>
              <w:ind w:left="8" w:hanging="94"/>
              <w:jc w:val="center"/>
              <w:rPr>
                <w:rFonts w:hint="eastAsia" w:hAnsi="宋体" w:cs="宋体"/>
                <w:color w:val="auto"/>
                <w:sz w:val="20"/>
                <w:highlight w:val="none"/>
              </w:rPr>
            </w:pPr>
            <w:r>
              <w:rPr>
                <w:rFonts w:hint="eastAsia" w:hAnsi="宋体" w:cs="宋体"/>
                <w:color w:val="auto"/>
                <w:sz w:val="20"/>
                <w:highlight w:val="none"/>
              </w:rPr>
              <w:t>注意：</w:t>
            </w:r>
          </w:p>
        </w:tc>
        <w:tc>
          <w:tcPr>
            <w:tcW w:w="8407" w:type="dxa"/>
            <w:gridSpan w:val="7"/>
            <w:shd w:val="clear" w:color="auto" w:fill="FFFFFF"/>
            <w:noWrap w:val="0"/>
            <w:tcMar>
              <w:left w:w="108" w:type="dxa"/>
              <w:right w:w="108" w:type="dxa"/>
            </w:tcMar>
            <w:vAlign w:val="center"/>
          </w:tcPr>
          <w:p>
            <w:pPr>
              <w:ind w:firstLine="480"/>
              <w:rPr>
                <w:rFonts w:hint="eastAsia" w:hAnsi="宋体" w:cs="宋体"/>
                <w:color w:val="auto"/>
                <w:sz w:val="20"/>
                <w:highlight w:val="none"/>
              </w:rPr>
            </w:pPr>
            <w:r>
              <w:rPr>
                <w:rFonts w:hint="eastAsia" w:hAnsi="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pPr>
              <w:jc w:val="center"/>
              <w:rPr>
                <w:rFonts w:hint="eastAsia" w:hAnsi="宋体" w:cs="宋体"/>
                <w:color w:val="auto"/>
                <w:sz w:val="20"/>
                <w:highlight w:val="none"/>
              </w:rPr>
            </w:pPr>
          </w:p>
          <w:p>
            <w:pPr>
              <w:jc w:val="center"/>
              <w:rPr>
                <w:rFonts w:hint="eastAsia" w:hAnsi="宋体" w:cs="宋体"/>
                <w:color w:val="auto"/>
                <w:sz w:val="20"/>
                <w:highlight w:val="none"/>
              </w:rPr>
            </w:pPr>
            <w:r>
              <w:rPr>
                <w:rFonts w:hint="eastAsia" w:hAnsi="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pPr>
              <w:jc w:val="center"/>
              <w:rPr>
                <w:rFonts w:hint="eastAsia" w:hAnsi="宋体" w:cs="宋体"/>
                <w:color w:val="auto"/>
                <w:sz w:val="20"/>
                <w:highlight w:val="none"/>
              </w:rPr>
            </w:pPr>
            <w:r>
              <w:rPr>
                <w:rFonts w:hint="eastAsia" w:hAnsi="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pPr>
              <w:jc w:val="center"/>
              <w:rPr>
                <w:rFonts w:hint="eastAsia" w:hAnsi="宋体" w:cs="宋体"/>
                <w:color w:val="auto"/>
                <w:sz w:val="20"/>
                <w:highlight w:val="none"/>
              </w:rPr>
            </w:pPr>
            <w:r>
              <w:rPr>
                <w:rFonts w:hint="eastAsia" w:hAnsi="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pPr>
              <w:jc w:val="center"/>
              <w:rPr>
                <w:rFonts w:hint="eastAsia" w:hAnsi="宋体" w:cs="宋体"/>
                <w:color w:val="auto"/>
                <w:sz w:val="20"/>
                <w:highlight w:val="none"/>
              </w:rPr>
            </w:pPr>
            <w:r>
              <w:rPr>
                <w:rFonts w:hint="eastAsia" w:hAnsi="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bl>
    <w:p>
      <w:pPr>
        <w:pStyle w:val="74"/>
        <w:widowControl w:val="0"/>
        <w:wordWrap w:val="0"/>
        <w:adjustRightInd w:val="0"/>
        <w:snapToGrid w:val="0"/>
        <w:spacing w:line="400" w:lineRule="exact"/>
        <w:rPr>
          <w:rFonts w:hint="eastAsia" w:ascii="Times New Roman"/>
          <w:snapToGrid w:val="0"/>
          <w:color w:val="auto"/>
          <w:sz w:val="21"/>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pPr>
        <w:pStyle w:val="3"/>
        <w:wordWrap w:val="0"/>
        <w:autoSpaceDE/>
        <w:autoSpaceDN/>
        <w:snapToGrid w:val="0"/>
        <w:spacing w:line="440" w:lineRule="exact"/>
        <w:jc w:val="center"/>
        <w:rPr>
          <w:rFonts w:hint="eastAsia" w:ascii="Times New Roman"/>
          <w:b/>
          <w:snapToGrid w:val="0"/>
          <w:color w:val="auto"/>
          <w:sz w:val="24"/>
          <w:highlight w:val="none"/>
        </w:rPr>
      </w:pPr>
      <w:bookmarkStart w:id="294" w:name="_Toc31179"/>
      <w:bookmarkStart w:id="295" w:name="_Toc13959"/>
      <w:r>
        <w:rPr>
          <w:rFonts w:hint="eastAsia" w:ascii="Times New Roman"/>
          <w:b/>
          <w:snapToGrid w:val="0"/>
          <w:color w:val="auto"/>
          <w:sz w:val="24"/>
          <w:highlight w:val="none"/>
        </w:rPr>
        <w:t>第七章 建设工程施工合同</w:t>
      </w:r>
      <w:bookmarkEnd w:id="287"/>
      <w:bookmarkEnd w:id="288"/>
      <w:bookmarkEnd w:id="289"/>
      <w:bookmarkEnd w:id="290"/>
      <w:bookmarkEnd w:id="291"/>
      <w:bookmarkEnd w:id="294"/>
      <w:bookmarkEnd w:id="295"/>
    </w:p>
    <w:p>
      <w:pPr>
        <w:wordWrap w:val="0"/>
        <w:adjustRightInd w:val="0"/>
        <w:snapToGrid w:val="0"/>
        <w:spacing w:line="440" w:lineRule="exact"/>
        <w:rPr>
          <w:rFonts w:hint="eastAsia" w:ascii="Times New Roman"/>
          <w:snapToGrid w:val="0"/>
          <w:color w:val="auto"/>
          <w:kern w:val="0"/>
          <w:highlight w:val="none"/>
        </w:rPr>
      </w:pPr>
    </w:p>
    <w:p>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（略），</w:t>
      </w:r>
      <w:bookmarkEnd w:id="292"/>
      <w:bookmarkEnd w:id="293"/>
      <w:r>
        <w:rPr>
          <w:rFonts w:hint="eastAsia" w:ascii="Times New Roman"/>
          <w:snapToGrid w:val="0"/>
          <w:color w:val="auto"/>
          <w:kern w:val="0"/>
          <w:highlight w:val="none"/>
        </w:rPr>
        <w:t>按《广东省建设工程标准施工合同》（2009年版）或《建设工程施工合同（示范文本）》（GF—2017—0201）执行。</w:t>
      </w:r>
    </w:p>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IDFon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etween w:val="none" w:color="auto" w:sz="0" w:space="0"/>
      </w:pBdr>
      <w:rPr>
        <w:rFonts w:hint="eastAsia"/>
      </w:rPr>
    </w:pPr>
  </w:p>
  <w:p>
    <w:pPr>
      <w:pStyle w:val="20"/>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54</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pPr>
                      <w:pStyle w:val="20"/>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54</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4AD03"/>
    <w:multiLevelType w:val="singleLevel"/>
    <w:tmpl w:val="80F4AD03"/>
    <w:lvl w:ilvl="0" w:tentative="0">
      <w:start w:val="4"/>
      <w:numFmt w:val="decimal"/>
      <w:suff w:val="nothing"/>
      <w:lvlText w:val="%1．"/>
      <w:lvlJc w:val="left"/>
    </w:lvl>
  </w:abstractNum>
  <w:abstractNum w:abstractNumId="1">
    <w:nsid w:val="EF148FC0"/>
    <w:multiLevelType w:val="singleLevel"/>
    <w:tmpl w:val="EF148FC0"/>
    <w:lvl w:ilvl="0" w:tentative="0">
      <w:start w:val="1"/>
      <w:numFmt w:val="decimal"/>
      <w:suff w:val="nothing"/>
      <w:lvlText w:val="（%1）"/>
      <w:lvlJc w:val="left"/>
    </w:lvl>
  </w:abstractNum>
  <w:abstractNum w:abstractNumId="2">
    <w:nsid w:val="1340181E"/>
    <w:multiLevelType w:val="singleLevel"/>
    <w:tmpl w:val="1340181E"/>
    <w:lvl w:ilvl="0" w:tentative="0">
      <w:start w:val="1"/>
      <w:numFmt w:val="decimal"/>
      <w:suff w:val="nothing"/>
      <w:lvlText w:val="（%1）"/>
      <w:lvlJc w:val="left"/>
    </w:lvl>
  </w:abstractNum>
  <w:abstractNum w:abstractNumId="3">
    <w:nsid w:val="4D5CBB09"/>
    <w:multiLevelType w:val="singleLevel"/>
    <w:tmpl w:val="4D5CBB09"/>
    <w:lvl w:ilvl="0" w:tentative="0">
      <w:start w:val="5"/>
      <w:numFmt w:val="decimal"/>
      <w:lvlText w:val="%1."/>
      <w:lvlJc w:val="left"/>
      <w:pPr>
        <w:tabs>
          <w:tab w:val="left" w:pos="312"/>
        </w:tabs>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yZWE0ZjE4ZWQwZTlmNzZlOWY1MDg5YjRkZDEzYzg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7023"/>
    <w:rsid w:val="009F585C"/>
    <w:rsid w:val="00D5717A"/>
    <w:rsid w:val="01065CF6"/>
    <w:rsid w:val="011F3697"/>
    <w:rsid w:val="01635D69"/>
    <w:rsid w:val="016F0A91"/>
    <w:rsid w:val="01D953BA"/>
    <w:rsid w:val="021717B9"/>
    <w:rsid w:val="03315C3D"/>
    <w:rsid w:val="034C6D1C"/>
    <w:rsid w:val="0543026B"/>
    <w:rsid w:val="05533E9B"/>
    <w:rsid w:val="05717EE4"/>
    <w:rsid w:val="057E6B27"/>
    <w:rsid w:val="06C4753C"/>
    <w:rsid w:val="07031B00"/>
    <w:rsid w:val="072C105E"/>
    <w:rsid w:val="07D62FDE"/>
    <w:rsid w:val="082A5712"/>
    <w:rsid w:val="08472853"/>
    <w:rsid w:val="08DB54AE"/>
    <w:rsid w:val="0957416C"/>
    <w:rsid w:val="09AA019F"/>
    <w:rsid w:val="09CE23B5"/>
    <w:rsid w:val="0A0A7E5D"/>
    <w:rsid w:val="0B112BB9"/>
    <w:rsid w:val="0B204FBC"/>
    <w:rsid w:val="0B9D0C4F"/>
    <w:rsid w:val="0BAF665A"/>
    <w:rsid w:val="0C264F0A"/>
    <w:rsid w:val="0C473915"/>
    <w:rsid w:val="0C914EC6"/>
    <w:rsid w:val="0C982D80"/>
    <w:rsid w:val="0D161723"/>
    <w:rsid w:val="0D366D45"/>
    <w:rsid w:val="0D4232B6"/>
    <w:rsid w:val="10162E29"/>
    <w:rsid w:val="101B48E8"/>
    <w:rsid w:val="102739F7"/>
    <w:rsid w:val="10336C65"/>
    <w:rsid w:val="10DF5DAE"/>
    <w:rsid w:val="10E70644"/>
    <w:rsid w:val="11934328"/>
    <w:rsid w:val="123635C4"/>
    <w:rsid w:val="124226EB"/>
    <w:rsid w:val="12A80195"/>
    <w:rsid w:val="12C12CBB"/>
    <w:rsid w:val="12DF1A87"/>
    <w:rsid w:val="138B03FE"/>
    <w:rsid w:val="149D77CF"/>
    <w:rsid w:val="155C5A3C"/>
    <w:rsid w:val="15B42ABF"/>
    <w:rsid w:val="15C12761"/>
    <w:rsid w:val="162B0E39"/>
    <w:rsid w:val="163E52CD"/>
    <w:rsid w:val="16825090"/>
    <w:rsid w:val="1751770F"/>
    <w:rsid w:val="17B95607"/>
    <w:rsid w:val="183C2959"/>
    <w:rsid w:val="184719C8"/>
    <w:rsid w:val="18C36995"/>
    <w:rsid w:val="1B9D1DD5"/>
    <w:rsid w:val="1BF06998"/>
    <w:rsid w:val="1C5635D6"/>
    <w:rsid w:val="1D141CAC"/>
    <w:rsid w:val="1D55171C"/>
    <w:rsid w:val="1D69459E"/>
    <w:rsid w:val="1DE1641B"/>
    <w:rsid w:val="1ECB21F4"/>
    <w:rsid w:val="1F6F04E9"/>
    <w:rsid w:val="218A22F4"/>
    <w:rsid w:val="2192066D"/>
    <w:rsid w:val="219569C3"/>
    <w:rsid w:val="227E0643"/>
    <w:rsid w:val="23381CEE"/>
    <w:rsid w:val="24962A42"/>
    <w:rsid w:val="24BA4892"/>
    <w:rsid w:val="25C04D26"/>
    <w:rsid w:val="25CD411B"/>
    <w:rsid w:val="26526878"/>
    <w:rsid w:val="29135C0E"/>
    <w:rsid w:val="29421D31"/>
    <w:rsid w:val="29EB1A57"/>
    <w:rsid w:val="2A251746"/>
    <w:rsid w:val="2A3D39AD"/>
    <w:rsid w:val="2AC27A05"/>
    <w:rsid w:val="2B4166E9"/>
    <w:rsid w:val="2B847EA3"/>
    <w:rsid w:val="2C183670"/>
    <w:rsid w:val="2C290723"/>
    <w:rsid w:val="2C4D3FF3"/>
    <w:rsid w:val="2C4F43C7"/>
    <w:rsid w:val="2C724190"/>
    <w:rsid w:val="2D38581D"/>
    <w:rsid w:val="2D51162C"/>
    <w:rsid w:val="2DAD3E66"/>
    <w:rsid w:val="2E1D2B43"/>
    <w:rsid w:val="2F3E191F"/>
    <w:rsid w:val="2FDA63FB"/>
    <w:rsid w:val="3018665F"/>
    <w:rsid w:val="30B30AAC"/>
    <w:rsid w:val="31D51879"/>
    <w:rsid w:val="32BE2779"/>
    <w:rsid w:val="32D305D1"/>
    <w:rsid w:val="342C1BED"/>
    <w:rsid w:val="34437F20"/>
    <w:rsid w:val="35F15BE6"/>
    <w:rsid w:val="36436AD9"/>
    <w:rsid w:val="365B7948"/>
    <w:rsid w:val="369F1D0C"/>
    <w:rsid w:val="36FE3E1F"/>
    <w:rsid w:val="37935F95"/>
    <w:rsid w:val="383D25F2"/>
    <w:rsid w:val="389B38FE"/>
    <w:rsid w:val="38EE5BAC"/>
    <w:rsid w:val="398C62F9"/>
    <w:rsid w:val="3A096720"/>
    <w:rsid w:val="3A385253"/>
    <w:rsid w:val="3B0D7690"/>
    <w:rsid w:val="3B5A482F"/>
    <w:rsid w:val="3BB50377"/>
    <w:rsid w:val="3C6B3628"/>
    <w:rsid w:val="3C890B1C"/>
    <w:rsid w:val="3CDC0368"/>
    <w:rsid w:val="3D142020"/>
    <w:rsid w:val="3D90085D"/>
    <w:rsid w:val="3DA821F1"/>
    <w:rsid w:val="3DE93F38"/>
    <w:rsid w:val="3DFA3EDF"/>
    <w:rsid w:val="3E5E494B"/>
    <w:rsid w:val="3F47212A"/>
    <w:rsid w:val="3FBB5D0C"/>
    <w:rsid w:val="3FC61702"/>
    <w:rsid w:val="414836DE"/>
    <w:rsid w:val="42240113"/>
    <w:rsid w:val="42B526FB"/>
    <w:rsid w:val="42DE3A88"/>
    <w:rsid w:val="42E020F1"/>
    <w:rsid w:val="435A387A"/>
    <w:rsid w:val="4484172B"/>
    <w:rsid w:val="44C90CE4"/>
    <w:rsid w:val="44F3240C"/>
    <w:rsid w:val="458B507A"/>
    <w:rsid w:val="45CE4402"/>
    <w:rsid w:val="45D16987"/>
    <w:rsid w:val="462C48A5"/>
    <w:rsid w:val="4666543F"/>
    <w:rsid w:val="46A3216A"/>
    <w:rsid w:val="4759106A"/>
    <w:rsid w:val="47D51828"/>
    <w:rsid w:val="480F2442"/>
    <w:rsid w:val="48D507A7"/>
    <w:rsid w:val="491F2342"/>
    <w:rsid w:val="49516671"/>
    <w:rsid w:val="49ED3E05"/>
    <w:rsid w:val="4A2325B6"/>
    <w:rsid w:val="4A927004"/>
    <w:rsid w:val="4AD17C6A"/>
    <w:rsid w:val="4AFD42C5"/>
    <w:rsid w:val="4BEC431A"/>
    <w:rsid w:val="4CF54FD3"/>
    <w:rsid w:val="4DE906B8"/>
    <w:rsid w:val="4E9D3A56"/>
    <w:rsid w:val="4ED06ACC"/>
    <w:rsid w:val="4EF11423"/>
    <w:rsid w:val="500A476B"/>
    <w:rsid w:val="511424B5"/>
    <w:rsid w:val="5167777C"/>
    <w:rsid w:val="51E341EA"/>
    <w:rsid w:val="52831CC6"/>
    <w:rsid w:val="52DD4AA0"/>
    <w:rsid w:val="53334E5E"/>
    <w:rsid w:val="53414F13"/>
    <w:rsid w:val="54DB6CF8"/>
    <w:rsid w:val="550860CF"/>
    <w:rsid w:val="553053B0"/>
    <w:rsid w:val="55843DEA"/>
    <w:rsid w:val="559558C6"/>
    <w:rsid w:val="565572D8"/>
    <w:rsid w:val="56B87FEA"/>
    <w:rsid w:val="59BE7B1D"/>
    <w:rsid w:val="5A9A7FEA"/>
    <w:rsid w:val="5B8272E2"/>
    <w:rsid w:val="5BA1515F"/>
    <w:rsid w:val="5C8A5924"/>
    <w:rsid w:val="5CED5785"/>
    <w:rsid w:val="5D7E531B"/>
    <w:rsid w:val="5DBF197F"/>
    <w:rsid w:val="5DFF4CA0"/>
    <w:rsid w:val="5E806055"/>
    <w:rsid w:val="5F456F62"/>
    <w:rsid w:val="5FA338FA"/>
    <w:rsid w:val="5FB971CA"/>
    <w:rsid w:val="5FDA7209"/>
    <w:rsid w:val="5FE7724F"/>
    <w:rsid w:val="636812F3"/>
    <w:rsid w:val="64BD6E23"/>
    <w:rsid w:val="64E9313E"/>
    <w:rsid w:val="64FE49C2"/>
    <w:rsid w:val="65B348B5"/>
    <w:rsid w:val="65D963DB"/>
    <w:rsid w:val="66136878"/>
    <w:rsid w:val="662D2233"/>
    <w:rsid w:val="66717333"/>
    <w:rsid w:val="670D43FE"/>
    <w:rsid w:val="674622CC"/>
    <w:rsid w:val="674F55EC"/>
    <w:rsid w:val="676A713E"/>
    <w:rsid w:val="676F0E01"/>
    <w:rsid w:val="67830574"/>
    <w:rsid w:val="67B176A0"/>
    <w:rsid w:val="681D04F5"/>
    <w:rsid w:val="68A76E4E"/>
    <w:rsid w:val="68D97D4B"/>
    <w:rsid w:val="68F8079F"/>
    <w:rsid w:val="6919541B"/>
    <w:rsid w:val="69CA10DE"/>
    <w:rsid w:val="6A090914"/>
    <w:rsid w:val="6C4C35F0"/>
    <w:rsid w:val="6C986FDB"/>
    <w:rsid w:val="6CC961B8"/>
    <w:rsid w:val="6D9258E0"/>
    <w:rsid w:val="6DA25CBE"/>
    <w:rsid w:val="6E4121AE"/>
    <w:rsid w:val="6E435064"/>
    <w:rsid w:val="6EB45747"/>
    <w:rsid w:val="6EED58A5"/>
    <w:rsid w:val="6F37578E"/>
    <w:rsid w:val="6F946416"/>
    <w:rsid w:val="70F8517F"/>
    <w:rsid w:val="71861FE4"/>
    <w:rsid w:val="72702E0F"/>
    <w:rsid w:val="72A43708"/>
    <w:rsid w:val="73F303E1"/>
    <w:rsid w:val="74A40D4F"/>
    <w:rsid w:val="75F401CA"/>
    <w:rsid w:val="76A96199"/>
    <w:rsid w:val="77494EF6"/>
    <w:rsid w:val="77912588"/>
    <w:rsid w:val="781E5D2E"/>
    <w:rsid w:val="7843417C"/>
    <w:rsid w:val="78F833FC"/>
    <w:rsid w:val="79A62319"/>
    <w:rsid w:val="79AA0D57"/>
    <w:rsid w:val="79F91F7E"/>
    <w:rsid w:val="7A4805DF"/>
    <w:rsid w:val="7AA11B1E"/>
    <w:rsid w:val="7ABE3062"/>
    <w:rsid w:val="7AF4245F"/>
    <w:rsid w:val="7B026E3F"/>
    <w:rsid w:val="7B2C39A7"/>
    <w:rsid w:val="7C7400FF"/>
    <w:rsid w:val="7C9725F4"/>
    <w:rsid w:val="7D402DFE"/>
    <w:rsid w:val="7D4F6A43"/>
    <w:rsid w:val="7D622B91"/>
    <w:rsid w:val="7D77701F"/>
    <w:rsid w:val="7DBF2BE5"/>
    <w:rsid w:val="7F06714D"/>
    <w:rsid w:val="7F2B4AF7"/>
    <w:rsid w:val="7F7B3CDE"/>
    <w:rsid w:val="7F9B734D"/>
    <w:rsid w:val="7FD90FAC"/>
    <w:rsid w:val="7FE92A29"/>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kern w:val="0"/>
      <w:sz w:val="24"/>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Body Text"/>
    <w:basedOn w:val="1"/>
    <w:next w:val="12"/>
    <w:qFormat/>
    <w:uiPriority w:val="0"/>
    <w:pPr>
      <w:spacing w:after="120" w:afterLines="0" w:afterAutospacing="0"/>
    </w:pPr>
  </w:style>
  <w:style w:type="paragraph" w:styleId="12">
    <w:name w:val="Body Text 2"/>
    <w:basedOn w:val="1"/>
    <w:qFormat/>
    <w:uiPriority w:val="0"/>
    <w:pPr>
      <w:spacing w:line="500" w:lineRule="exact"/>
    </w:pPr>
    <w:rPr>
      <w:rFonts w:ascii="宋体"/>
      <w:sz w:val="24"/>
    </w:rPr>
  </w:style>
  <w:style w:type="paragraph" w:styleId="13">
    <w:name w:val="Body Text Indent"/>
    <w:basedOn w:val="1"/>
    <w:next w:val="14"/>
    <w:link w:val="39"/>
    <w:qFormat/>
    <w:uiPriority w:val="0"/>
    <w:pPr>
      <w:ind w:firstLine="560" w:firstLineChars="200"/>
    </w:pPr>
  </w:style>
  <w:style w:type="paragraph" w:styleId="14">
    <w:name w:val="envelope return"/>
    <w:basedOn w:val="1"/>
    <w:qFormat/>
    <w:uiPriority w:val="99"/>
    <w:pPr>
      <w:snapToGrid w:val="0"/>
    </w:pPr>
    <w:rPr>
      <w:rFonts w:ascii="Arial" w:hAnsi="Arial"/>
    </w:rPr>
  </w:style>
  <w:style w:type="paragraph" w:styleId="15">
    <w:name w:val="toc 5"/>
    <w:basedOn w:val="1"/>
    <w:next w:val="1"/>
    <w:qFormat/>
    <w:uiPriority w:val="0"/>
    <w:pPr>
      <w:ind w:left="1120"/>
      <w:jc w:val="left"/>
    </w:pPr>
  </w:style>
  <w:style w:type="paragraph" w:styleId="16">
    <w:name w:val="toc 3"/>
    <w:basedOn w:val="1"/>
    <w:next w:val="1"/>
    <w:qFormat/>
    <w:uiPriority w:val="0"/>
    <w:pPr>
      <w:ind w:left="561"/>
      <w:jc w:val="left"/>
    </w:pPr>
    <w:rPr>
      <w:sz w:val="24"/>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0"/>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0"/>
    <w:qFormat/>
    <w:uiPriority w:val="0"/>
    <w:pPr>
      <w:ind w:firstLine="560"/>
    </w:pPr>
    <w:rPr>
      <w:color w:val="FF0000"/>
    </w:rPr>
  </w:style>
  <w:style w:type="paragraph" w:styleId="26">
    <w:name w:val="toc 2"/>
    <w:basedOn w:val="1"/>
    <w:next w:val="1"/>
    <w:qFormat/>
    <w:uiPriority w:val="0"/>
    <w:pPr>
      <w:ind w:left="278"/>
      <w:jc w:val="left"/>
    </w:pPr>
    <w:rPr>
      <w:smallCaps/>
      <w:sz w:val="24"/>
    </w:rPr>
  </w:style>
  <w:style w:type="paragraph" w:styleId="27">
    <w:name w:val="toc 9"/>
    <w:basedOn w:val="1"/>
    <w:next w:val="1"/>
    <w:qFormat/>
    <w:uiPriority w:val="0"/>
    <w:pPr>
      <w:ind w:left="2240"/>
      <w:jc w:val="left"/>
    </w:p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3"/>
    <w:qFormat/>
    <w:uiPriority w:val="0"/>
    <w:rPr>
      <w:rFonts w:ascii="宋体"/>
      <w:kern w:val="2"/>
      <w:sz w:val="24"/>
    </w:rPr>
  </w:style>
  <w:style w:type="character" w:customStyle="1" w:styleId="40">
    <w:name w:val="正文文本缩进 3 字符"/>
    <w:link w:val="25"/>
    <w:qFormat/>
    <w:uiPriority w:val="0"/>
    <w:rPr>
      <w:rFonts w:ascii="宋体" w:eastAsia="宋体"/>
      <w:color w:val="FF0000"/>
      <w:kern w:val="2"/>
      <w:sz w:val="24"/>
      <w:lang w:val="en-US" w:eastAsia="zh-CN" w:bidi="ar-SA"/>
    </w:rPr>
  </w:style>
  <w:style w:type="paragraph" w:customStyle="1" w:styleId="41">
    <w:name w:val=" 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2"/>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2"/>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6"/>
    <w:next w:val="6"/>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83</Pages>
  <Words>50138</Words>
  <Characters>53759</Characters>
  <Lines>721</Lines>
  <Paragraphs>203</Paragraphs>
  <TotalTime>1</TotalTime>
  <ScaleCrop>false</ScaleCrop>
  <LinksUpToDate>false</LinksUpToDate>
  <CharactersWithSpaces>56571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曾俊文</cp:lastModifiedBy>
  <cp:lastPrinted>2023-03-22T05:43:00Z</cp:lastPrinted>
  <dcterms:modified xsi:type="dcterms:W3CDTF">2023-05-23T10:36:42Z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2552E25ADC6D471D955008ACF4660409_13</vt:lpwstr>
  </property>
  <property fmtid="{D5CDD505-2E9C-101B-9397-08002B2CF9AE}" pid="4" name="ribbonExt">
    <vt:lpwstr>{"WPSExtOfficeTab":{"OnGetEnabled":false,"OnGetVisible":false}}</vt:lpwstr>
  </property>
</Properties>
</file>