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4DFA20">
      <w:pPr>
        <w:kinsoku/>
        <w:spacing w:line="264" w:lineRule="auto"/>
        <w:rPr>
          <w:rFonts w:hint="eastAsia" w:ascii="宋体" w:hAnsi="宋体" w:eastAsia="宋体" w:cs="宋体"/>
          <w:color w:val="auto"/>
          <w:highlight w:val="none"/>
          <w:lang w:eastAsia="zh-CN"/>
        </w:rPr>
      </w:pPr>
    </w:p>
    <w:p w14:paraId="37C32E3E">
      <w:pPr>
        <w:tabs>
          <w:tab w:val="left" w:pos="3110"/>
        </w:tabs>
        <w:kinsoku/>
        <w:spacing w:before="97" w:line="225" w:lineRule="auto"/>
        <w:jc w:val="center"/>
        <w:rPr>
          <w:rFonts w:ascii="宋体" w:hAnsi="宋体" w:eastAsia="宋体" w:cs="宋体"/>
          <w:b/>
          <w:bCs/>
          <w:color w:val="auto"/>
          <w:sz w:val="44"/>
          <w:szCs w:val="44"/>
          <w:highlight w:val="none"/>
          <w:lang w:eastAsia="zh-CN"/>
        </w:rPr>
      </w:pPr>
    </w:p>
    <w:p w14:paraId="507BC1C1">
      <w:pPr>
        <w:tabs>
          <w:tab w:val="left" w:pos="3110"/>
        </w:tabs>
        <w:kinsoku/>
        <w:spacing w:before="97" w:line="225" w:lineRule="auto"/>
        <w:jc w:val="center"/>
        <w:rPr>
          <w:rFonts w:ascii="宋体" w:hAnsi="宋体" w:eastAsia="宋体" w:cs="宋体"/>
          <w:b/>
          <w:bCs/>
          <w:color w:val="auto"/>
          <w:sz w:val="44"/>
          <w:szCs w:val="44"/>
          <w:highlight w:val="none"/>
          <w:lang w:eastAsia="zh-CN"/>
        </w:rPr>
      </w:pPr>
      <w:r>
        <w:rPr>
          <w:rFonts w:hint="eastAsia" w:ascii="宋体" w:hAnsi="宋体" w:eastAsia="宋体" w:cs="宋体"/>
          <w:b/>
          <w:bCs/>
          <w:color w:val="auto"/>
          <w:sz w:val="44"/>
          <w:szCs w:val="44"/>
          <w:highlight w:val="none"/>
          <w:lang w:eastAsia="zh-CN"/>
        </w:rPr>
        <w:t>广东省</w:t>
      </w:r>
    </w:p>
    <w:p w14:paraId="43EAE060">
      <w:pPr>
        <w:tabs>
          <w:tab w:val="left" w:pos="2335"/>
        </w:tabs>
        <w:kinsoku/>
        <w:spacing w:before="97" w:line="225" w:lineRule="auto"/>
        <w:ind w:right="-281" w:rightChars="-134"/>
        <w:jc w:val="center"/>
        <w:rPr>
          <w:rFonts w:ascii="宋体" w:hAnsi="宋体" w:eastAsia="宋体" w:cs="宋体"/>
          <w:b/>
          <w:bCs/>
          <w:color w:val="auto"/>
          <w:sz w:val="44"/>
          <w:szCs w:val="44"/>
          <w:highlight w:val="none"/>
          <w:lang w:eastAsia="zh-CN"/>
        </w:rPr>
      </w:pPr>
      <w:r>
        <w:rPr>
          <w:rFonts w:hint="eastAsia" w:ascii="宋体" w:hAnsi="宋体" w:eastAsia="宋体" w:cs="宋体"/>
          <w:b/>
          <w:bCs/>
          <w:color w:val="auto"/>
          <w:sz w:val="44"/>
          <w:szCs w:val="44"/>
          <w:highlight w:val="none"/>
          <w:lang w:eastAsia="zh-CN"/>
        </w:rPr>
        <w:t>韶关市S246线十里亭大桥至糖寮段公路改线工程、乳源县桂头镇至韶关丹霞机场公路新建工程（韶关机场进场道路）施工图设计</w:t>
      </w:r>
    </w:p>
    <w:p w14:paraId="5324F7D1">
      <w:pPr>
        <w:kinsoku/>
        <w:spacing w:line="243" w:lineRule="auto"/>
        <w:rPr>
          <w:rFonts w:ascii="宋体" w:hAnsi="宋体" w:eastAsia="宋体" w:cs="宋体"/>
          <w:color w:val="auto"/>
          <w:highlight w:val="none"/>
          <w:lang w:eastAsia="zh-CN"/>
        </w:rPr>
      </w:pPr>
    </w:p>
    <w:p w14:paraId="3B335B4B">
      <w:pPr>
        <w:kinsoku/>
        <w:spacing w:line="243" w:lineRule="auto"/>
        <w:rPr>
          <w:rFonts w:ascii="宋体" w:hAnsi="宋体" w:eastAsia="宋体" w:cs="宋体"/>
          <w:color w:val="auto"/>
          <w:highlight w:val="none"/>
          <w:lang w:eastAsia="zh-CN"/>
        </w:rPr>
      </w:pPr>
    </w:p>
    <w:p w14:paraId="279F0527">
      <w:pPr>
        <w:kinsoku/>
        <w:spacing w:line="243" w:lineRule="auto"/>
        <w:rPr>
          <w:rFonts w:ascii="宋体" w:hAnsi="宋体" w:eastAsia="宋体" w:cs="宋体"/>
          <w:color w:val="auto"/>
          <w:highlight w:val="none"/>
          <w:lang w:eastAsia="zh-CN"/>
        </w:rPr>
      </w:pPr>
    </w:p>
    <w:p w14:paraId="51DA058D">
      <w:pPr>
        <w:kinsoku/>
        <w:spacing w:line="243" w:lineRule="auto"/>
        <w:rPr>
          <w:rFonts w:ascii="宋体" w:hAnsi="宋体" w:eastAsia="宋体" w:cs="宋体"/>
          <w:color w:val="auto"/>
          <w:highlight w:val="none"/>
          <w:lang w:eastAsia="zh-CN"/>
        </w:rPr>
      </w:pPr>
    </w:p>
    <w:p w14:paraId="147BF230">
      <w:pPr>
        <w:kinsoku/>
        <w:spacing w:line="243" w:lineRule="auto"/>
        <w:rPr>
          <w:rFonts w:ascii="宋体" w:hAnsi="宋体" w:eastAsia="宋体" w:cs="宋体"/>
          <w:color w:val="auto"/>
          <w:highlight w:val="none"/>
          <w:lang w:eastAsia="zh-CN"/>
        </w:rPr>
      </w:pPr>
    </w:p>
    <w:p w14:paraId="2E67A4FF">
      <w:pPr>
        <w:kinsoku/>
        <w:spacing w:line="243" w:lineRule="auto"/>
        <w:rPr>
          <w:rFonts w:ascii="宋体" w:hAnsi="宋体" w:eastAsia="宋体" w:cs="宋体"/>
          <w:color w:val="auto"/>
          <w:highlight w:val="none"/>
          <w:lang w:eastAsia="zh-CN"/>
        </w:rPr>
      </w:pPr>
    </w:p>
    <w:p w14:paraId="4D6018D1">
      <w:pPr>
        <w:kinsoku/>
        <w:spacing w:line="243" w:lineRule="auto"/>
        <w:rPr>
          <w:rFonts w:ascii="宋体" w:hAnsi="宋体" w:eastAsia="宋体" w:cs="宋体"/>
          <w:color w:val="auto"/>
          <w:highlight w:val="none"/>
          <w:lang w:eastAsia="zh-CN"/>
        </w:rPr>
      </w:pPr>
    </w:p>
    <w:p w14:paraId="75B2E434">
      <w:pPr>
        <w:kinsoku/>
        <w:spacing w:line="243" w:lineRule="auto"/>
        <w:rPr>
          <w:rFonts w:ascii="宋体" w:hAnsi="宋体" w:eastAsia="宋体" w:cs="宋体"/>
          <w:color w:val="auto"/>
          <w:highlight w:val="none"/>
          <w:lang w:eastAsia="zh-CN"/>
        </w:rPr>
      </w:pPr>
    </w:p>
    <w:p w14:paraId="31139DC8">
      <w:pPr>
        <w:kinsoku/>
        <w:spacing w:line="243" w:lineRule="auto"/>
        <w:rPr>
          <w:rFonts w:ascii="宋体" w:hAnsi="宋体" w:eastAsia="宋体" w:cs="宋体"/>
          <w:color w:val="auto"/>
          <w:highlight w:val="none"/>
          <w:lang w:eastAsia="zh-CN"/>
        </w:rPr>
      </w:pPr>
    </w:p>
    <w:p w14:paraId="0B698ADC">
      <w:pPr>
        <w:kinsoku/>
        <w:spacing w:line="243" w:lineRule="auto"/>
        <w:rPr>
          <w:rFonts w:ascii="宋体" w:hAnsi="宋体" w:eastAsia="宋体" w:cs="宋体"/>
          <w:color w:val="auto"/>
          <w:highlight w:val="none"/>
          <w:lang w:eastAsia="zh-CN"/>
        </w:rPr>
      </w:pPr>
    </w:p>
    <w:p w14:paraId="2ACA9D59">
      <w:pPr>
        <w:kinsoku/>
        <w:spacing w:line="243" w:lineRule="auto"/>
        <w:rPr>
          <w:rFonts w:ascii="宋体" w:hAnsi="宋体" w:eastAsia="宋体" w:cs="宋体"/>
          <w:color w:val="auto"/>
          <w:highlight w:val="none"/>
          <w:lang w:eastAsia="zh-CN"/>
        </w:rPr>
      </w:pPr>
    </w:p>
    <w:p w14:paraId="45D8D57E">
      <w:pPr>
        <w:kinsoku/>
        <w:spacing w:line="243" w:lineRule="auto"/>
        <w:rPr>
          <w:rFonts w:ascii="宋体" w:hAnsi="宋体" w:eastAsia="宋体" w:cs="宋体"/>
          <w:color w:val="auto"/>
          <w:highlight w:val="none"/>
          <w:lang w:eastAsia="zh-CN"/>
        </w:rPr>
      </w:pPr>
    </w:p>
    <w:p w14:paraId="1D6BF120">
      <w:pPr>
        <w:kinsoku/>
        <w:spacing w:line="243" w:lineRule="auto"/>
        <w:rPr>
          <w:rFonts w:ascii="宋体" w:hAnsi="宋体" w:eastAsia="宋体" w:cs="宋体"/>
          <w:color w:val="auto"/>
          <w:highlight w:val="none"/>
          <w:lang w:eastAsia="zh-CN"/>
        </w:rPr>
      </w:pPr>
    </w:p>
    <w:p w14:paraId="776A9ACC">
      <w:pPr>
        <w:kinsoku/>
        <w:spacing w:line="244" w:lineRule="auto"/>
        <w:rPr>
          <w:rFonts w:ascii="宋体" w:hAnsi="宋体" w:eastAsia="宋体" w:cs="宋体"/>
          <w:color w:val="auto"/>
          <w:highlight w:val="none"/>
          <w:lang w:eastAsia="zh-CN"/>
        </w:rPr>
      </w:pPr>
    </w:p>
    <w:p w14:paraId="678B625A">
      <w:pPr>
        <w:kinsoku/>
        <w:spacing w:before="159" w:line="222" w:lineRule="auto"/>
        <w:ind w:left="2838"/>
        <w:rPr>
          <w:rFonts w:ascii="宋体" w:hAnsi="宋体" w:eastAsia="宋体" w:cs="宋体"/>
          <w:b/>
          <w:bCs/>
          <w:color w:val="auto"/>
          <w:sz w:val="49"/>
          <w:szCs w:val="49"/>
          <w:highlight w:val="none"/>
          <w:lang w:eastAsia="zh-CN"/>
        </w:rPr>
      </w:pPr>
      <w:r>
        <w:rPr>
          <w:rFonts w:hint="eastAsia" w:ascii="宋体" w:hAnsi="宋体" w:eastAsia="宋体" w:cs="宋体"/>
          <w:b/>
          <w:bCs/>
          <w:color w:val="auto"/>
          <w:sz w:val="49"/>
          <w:szCs w:val="49"/>
          <w:highlight w:val="none"/>
          <w:lang w:eastAsia="zh-CN"/>
        </w:rPr>
        <w:t>招 标 文 件</w:t>
      </w:r>
    </w:p>
    <w:p w14:paraId="3BAA99BB">
      <w:pPr>
        <w:kinsoku/>
        <w:rPr>
          <w:rFonts w:ascii="宋体" w:hAnsi="宋体" w:eastAsia="宋体" w:cs="宋体"/>
          <w:color w:val="auto"/>
          <w:highlight w:val="none"/>
          <w:lang w:eastAsia="zh-CN"/>
        </w:rPr>
      </w:pPr>
    </w:p>
    <w:p w14:paraId="3169D4A5">
      <w:pPr>
        <w:kinsoku/>
        <w:rPr>
          <w:rFonts w:ascii="宋体" w:hAnsi="宋体" w:eastAsia="宋体" w:cs="宋体"/>
          <w:color w:val="auto"/>
          <w:highlight w:val="none"/>
          <w:lang w:eastAsia="zh-CN"/>
        </w:rPr>
      </w:pPr>
    </w:p>
    <w:p w14:paraId="4926A59E">
      <w:pPr>
        <w:kinsoku/>
        <w:rPr>
          <w:rFonts w:ascii="宋体" w:hAnsi="宋体" w:eastAsia="宋体" w:cs="宋体"/>
          <w:color w:val="auto"/>
          <w:highlight w:val="none"/>
          <w:lang w:eastAsia="zh-CN"/>
        </w:rPr>
      </w:pPr>
    </w:p>
    <w:p w14:paraId="3CC6E0C0">
      <w:pPr>
        <w:kinsoku/>
        <w:rPr>
          <w:rFonts w:ascii="宋体" w:hAnsi="宋体" w:eastAsia="宋体" w:cs="宋体"/>
          <w:color w:val="auto"/>
          <w:highlight w:val="none"/>
          <w:lang w:eastAsia="zh-CN"/>
        </w:rPr>
      </w:pPr>
    </w:p>
    <w:p w14:paraId="47211546">
      <w:pPr>
        <w:kinsoku/>
        <w:rPr>
          <w:rFonts w:ascii="宋体" w:hAnsi="宋体" w:eastAsia="宋体" w:cs="宋体"/>
          <w:color w:val="auto"/>
          <w:highlight w:val="none"/>
          <w:lang w:eastAsia="zh-CN"/>
        </w:rPr>
      </w:pPr>
    </w:p>
    <w:p w14:paraId="7CBE77AC">
      <w:pPr>
        <w:kinsoku/>
        <w:rPr>
          <w:rFonts w:ascii="宋体" w:hAnsi="宋体" w:eastAsia="宋体" w:cs="宋体"/>
          <w:color w:val="auto"/>
          <w:highlight w:val="none"/>
          <w:lang w:eastAsia="zh-CN"/>
        </w:rPr>
      </w:pPr>
    </w:p>
    <w:p w14:paraId="07821238">
      <w:pPr>
        <w:kinsoku/>
        <w:rPr>
          <w:rFonts w:ascii="宋体" w:hAnsi="宋体" w:eastAsia="宋体" w:cs="宋体"/>
          <w:color w:val="auto"/>
          <w:highlight w:val="none"/>
          <w:lang w:eastAsia="zh-CN"/>
        </w:rPr>
      </w:pPr>
    </w:p>
    <w:p w14:paraId="4FF85ADE">
      <w:pPr>
        <w:kinsoku/>
        <w:spacing w:line="241" w:lineRule="auto"/>
        <w:rPr>
          <w:rFonts w:ascii="宋体" w:hAnsi="宋体" w:eastAsia="宋体" w:cs="宋体"/>
          <w:color w:val="auto"/>
          <w:highlight w:val="none"/>
          <w:lang w:eastAsia="zh-CN"/>
        </w:rPr>
      </w:pPr>
    </w:p>
    <w:p w14:paraId="5DD40EDF">
      <w:pPr>
        <w:kinsoku/>
        <w:spacing w:line="241" w:lineRule="auto"/>
        <w:rPr>
          <w:rFonts w:ascii="宋体" w:hAnsi="宋体" w:eastAsia="宋体" w:cs="宋体"/>
          <w:color w:val="auto"/>
          <w:highlight w:val="none"/>
          <w:lang w:eastAsia="zh-CN"/>
        </w:rPr>
      </w:pPr>
    </w:p>
    <w:p w14:paraId="00B5A2EA">
      <w:pPr>
        <w:kinsoku/>
        <w:spacing w:line="241" w:lineRule="auto"/>
        <w:rPr>
          <w:rFonts w:ascii="宋体" w:hAnsi="宋体" w:eastAsia="宋体" w:cs="宋体"/>
          <w:color w:val="auto"/>
          <w:highlight w:val="none"/>
          <w:lang w:eastAsia="zh-CN"/>
        </w:rPr>
      </w:pPr>
    </w:p>
    <w:p w14:paraId="3AE686CE">
      <w:pPr>
        <w:kinsoku/>
        <w:spacing w:line="241" w:lineRule="auto"/>
        <w:rPr>
          <w:rFonts w:ascii="宋体" w:hAnsi="宋体" w:eastAsia="宋体" w:cs="宋体"/>
          <w:color w:val="auto"/>
          <w:highlight w:val="none"/>
          <w:lang w:eastAsia="zh-CN"/>
        </w:rPr>
      </w:pPr>
    </w:p>
    <w:p w14:paraId="1F72AC79">
      <w:pPr>
        <w:kinsoku/>
        <w:spacing w:line="241" w:lineRule="auto"/>
        <w:rPr>
          <w:rFonts w:ascii="宋体" w:hAnsi="宋体" w:eastAsia="宋体" w:cs="宋体"/>
          <w:color w:val="auto"/>
          <w:highlight w:val="none"/>
          <w:lang w:eastAsia="zh-CN"/>
        </w:rPr>
      </w:pPr>
    </w:p>
    <w:p w14:paraId="36BAB1C6">
      <w:pPr>
        <w:kinsoku/>
        <w:spacing w:line="241" w:lineRule="auto"/>
        <w:rPr>
          <w:rFonts w:ascii="宋体" w:hAnsi="宋体" w:eastAsia="宋体" w:cs="宋体"/>
          <w:color w:val="auto"/>
          <w:highlight w:val="none"/>
          <w:lang w:eastAsia="zh-CN"/>
        </w:rPr>
      </w:pPr>
    </w:p>
    <w:p w14:paraId="6ABFCD8E">
      <w:pPr>
        <w:kinsoku/>
        <w:spacing w:line="241" w:lineRule="auto"/>
        <w:rPr>
          <w:rFonts w:ascii="宋体" w:hAnsi="宋体" w:eastAsia="宋体" w:cs="宋体"/>
          <w:color w:val="auto"/>
          <w:highlight w:val="none"/>
          <w:lang w:eastAsia="zh-CN"/>
        </w:rPr>
      </w:pPr>
    </w:p>
    <w:p w14:paraId="05B374A5">
      <w:pPr>
        <w:kinsoku/>
        <w:spacing w:before="91" w:line="219" w:lineRule="auto"/>
        <w:ind w:right="-281" w:rightChars="-134" w:firstLine="798" w:firstLineChars="285"/>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招   标   人：</w:t>
      </w:r>
      <w:r>
        <w:rPr>
          <w:rFonts w:hint="eastAsia" w:ascii="宋体" w:hAnsi="宋体" w:eastAsia="宋体" w:cs="宋体"/>
          <w:color w:val="auto"/>
          <w:sz w:val="28"/>
          <w:szCs w:val="28"/>
          <w:highlight w:val="none"/>
          <w:u w:val="single"/>
          <w:lang w:eastAsia="zh-CN"/>
        </w:rPr>
        <w:t>韶关市粤丹工程管理有限公司</w:t>
      </w:r>
      <w:r>
        <w:rPr>
          <w:rFonts w:hint="eastAsia" w:ascii="宋体" w:hAnsi="宋体" w:eastAsia="宋体" w:cs="宋体"/>
          <w:color w:val="auto"/>
          <w:sz w:val="28"/>
          <w:szCs w:val="28"/>
          <w:highlight w:val="none"/>
          <w:lang w:eastAsia="zh-CN"/>
        </w:rPr>
        <w:t>（盖单位章）</w:t>
      </w:r>
    </w:p>
    <w:p w14:paraId="11B8F751">
      <w:pPr>
        <w:kinsoku/>
        <w:spacing w:before="91" w:line="219" w:lineRule="auto"/>
        <w:ind w:right="-281" w:rightChars="-134" w:firstLine="798" w:firstLineChars="285"/>
        <w:rPr>
          <w:rFonts w:ascii="宋体" w:hAnsi="宋体" w:eastAsia="宋体" w:cs="宋体"/>
          <w:color w:val="auto"/>
          <w:sz w:val="28"/>
          <w:szCs w:val="28"/>
          <w:highlight w:val="none"/>
          <w:lang w:eastAsia="zh-CN"/>
        </w:rPr>
      </w:pPr>
    </w:p>
    <w:p w14:paraId="1653E04C">
      <w:pPr>
        <w:kinsoku/>
        <w:spacing w:before="91" w:line="219" w:lineRule="auto"/>
        <w:ind w:right="-281" w:rightChars="-134" w:firstLine="798" w:firstLineChars="285"/>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招标代理机构：</w:t>
      </w:r>
      <w:r>
        <w:rPr>
          <w:rFonts w:hint="eastAsia" w:ascii="宋体" w:hAnsi="宋体" w:eastAsia="宋体" w:cs="宋体"/>
          <w:color w:val="auto"/>
          <w:sz w:val="28"/>
          <w:szCs w:val="28"/>
          <w:highlight w:val="none"/>
          <w:u w:val="single"/>
          <w:lang w:eastAsia="zh-CN"/>
        </w:rPr>
        <w:t>广东盛远招标有限公司</w:t>
      </w:r>
      <w:r>
        <w:rPr>
          <w:rFonts w:hint="eastAsia" w:ascii="宋体" w:hAnsi="宋体" w:eastAsia="宋体" w:cs="宋体"/>
          <w:color w:val="auto"/>
          <w:sz w:val="28"/>
          <w:szCs w:val="28"/>
          <w:highlight w:val="none"/>
          <w:lang w:eastAsia="zh-CN"/>
        </w:rPr>
        <w:t>（盖单位章）</w:t>
      </w:r>
    </w:p>
    <w:p w14:paraId="07F2859F">
      <w:pPr>
        <w:kinsoku/>
        <w:spacing w:line="275" w:lineRule="auto"/>
        <w:rPr>
          <w:rFonts w:ascii="宋体" w:hAnsi="宋体" w:eastAsia="宋体" w:cs="宋体"/>
          <w:color w:val="auto"/>
          <w:sz w:val="28"/>
          <w:szCs w:val="28"/>
          <w:highlight w:val="none"/>
          <w:lang w:eastAsia="zh-CN"/>
        </w:rPr>
      </w:pPr>
    </w:p>
    <w:p w14:paraId="26A88E55">
      <w:pPr>
        <w:tabs>
          <w:tab w:val="left" w:pos="3237"/>
        </w:tabs>
        <w:kinsoku/>
        <w:spacing w:before="91" w:line="221" w:lineRule="auto"/>
        <w:jc w:val="cente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2025</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rPr>
        <w:t>月</w:t>
      </w:r>
    </w:p>
    <w:p w14:paraId="47445C04">
      <w:pPr>
        <w:kinsoku/>
        <w:spacing w:line="221" w:lineRule="auto"/>
        <w:rPr>
          <w:rFonts w:ascii="宋体" w:hAnsi="宋体" w:eastAsia="宋体" w:cs="宋体"/>
          <w:color w:val="auto"/>
          <w:sz w:val="28"/>
          <w:szCs w:val="28"/>
          <w:highlight w:val="none"/>
        </w:rPr>
        <w:sectPr>
          <w:pgSz w:w="11907" w:h="16841"/>
          <w:pgMar w:top="1281" w:right="1785" w:bottom="0" w:left="1785" w:header="0" w:footer="1880" w:gutter="0"/>
          <w:cols w:space="720" w:num="1"/>
        </w:sectPr>
      </w:pPr>
      <w:bookmarkStart w:id="481" w:name="_GoBack"/>
      <w:bookmarkEnd w:id="481"/>
    </w:p>
    <w:sdt>
      <w:sdtPr>
        <w:rPr>
          <w:rFonts w:hint="eastAsia" w:ascii="宋体" w:hAnsi="宋体" w:eastAsia="宋体" w:cs="宋体"/>
          <w:color w:val="auto"/>
          <w:sz w:val="32"/>
          <w:szCs w:val="32"/>
          <w:highlight w:val="none"/>
        </w:rPr>
        <w:id w:val="147463052"/>
        <w:docPartObj>
          <w:docPartGallery w:val="Table of Contents"/>
          <w:docPartUnique/>
        </w:docPartObj>
      </w:sdtPr>
      <w:sdtEndPr>
        <w:rPr>
          <w:rFonts w:hint="eastAsia" w:ascii="宋体" w:hAnsi="宋体" w:eastAsia="宋体" w:cs="宋体"/>
          <w:color w:val="auto"/>
          <w:sz w:val="21"/>
          <w:szCs w:val="19"/>
          <w:highlight w:val="none"/>
        </w:rPr>
      </w:sdtEndPr>
      <w:sdtContent>
        <w:p w14:paraId="6D044A8D">
          <w:pPr>
            <w:kinsoku/>
            <w:jc w:val="center"/>
            <w:rPr>
              <w:rFonts w:hint="eastAsia" w:ascii="宋体" w:hAnsi="宋体" w:eastAsia="宋体" w:cs="宋体"/>
              <w:color w:val="auto"/>
              <w:sz w:val="32"/>
              <w:szCs w:val="32"/>
              <w:highlight w:val="none"/>
            </w:rPr>
          </w:pPr>
          <w:bookmarkStart w:id="0" w:name="bookmark1"/>
          <w:bookmarkEnd w:id="0"/>
        </w:p>
        <w:p w14:paraId="66F8EC90">
          <w:pP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br w:type="page"/>
          </w:r>
        </w:p>
        <w:p w14:paraId="590E12B8">
          <w:pPr>
            <w:kinsoku/>
            <w:jc w:val="center"/>
            <w:rPr>
              <w:rFonts w:ascii="宋体" w:hAnsi="宋体" w:eastAsia="宋体" w:cs="宋体"/>
              <w:color w:val="auto"/>
              <w:sz w:val="32"/>
              <w:szCs w:val="32"/>
              <w:highlight w:val="none"/>
            </w:rPr>
          </w:pPr>
          <w:r>
            <w:rPr>
              <w:rFonts w:hint="eastAsia" w:ascii="宋体" w:hAnsi="宋体" w:eastAsia="宋体" w:cs="宋体"/>
              <w:color w:val="auto"/>
              <w:sz w:val="32"/>
              <w:szCs w:val="32"/>
              <w:highlight w:val="none"/>
            </w:rPr>
            <w:t>目录</w:t>
          </w:r>
        </w:p>
        <w:p w14:paraId="69F6C177">
          <w:pPr>
            <w:pStyle w:val="11"/>
            <w:tabs>
              <w:tab w:val="right" w:leader="dot" w:pos="8791"/>
            </w:tabs>
            <w:rPr>
              <w:color w:val="auto"/>
              <w:highlight w:val="none"/>
            </w:rPr>
          </w:pPr>
          <w:r>
            <w:rPr>
              <w:rFonts w:hint="eastAsia" w:ascii="宋体" w:hAnsi="宋体" w:eastAsia="宋体" w:cs="宋体"/>
              <w:color w:val="auto"/>
              <w:sz w:val="19"/>
              <w:szCs w:val="19"/>
              <w:highlight w:val="none"/>
            </w:rPr>
            <w:fldChar w:fldCharType="begin"/>
          </w:r>
          <w:r>
            <w:rPr>
              <w:rFonts w:hint="eastAsia" w:ascii="宋体" w:hAnsi="宋体" w:eastAsia="宋体" w:cs="宋体"/>
              <w:color w:val="auto"/>
              <w:sz w:val="19"/>
              <w:szCs w:val="19"/>
              <w:highlight w:val="none"/>
            </w:rPr>
            <w:instrText xml:space="preserve">TOC \o "1-3" \h \u </w:instrText>
          </w:r>
          <w:r>
            <w:rPr>
              <w:rFonts w:hint="eastAsia" w:ascii="宋体" w:hAnsi="宋体" w:eastAsia="宋体" w:cs="宋体"/>
              <w:color w:val="auto"/>
              <w:sz w:val="19"/>
              <w:szCs w:val="19"/>
              <w:highlight w:val="none"/>
            </w:rPr>
            <w:fldChar w:fldCharType="separate"/>
          </w: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_Toc6650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42"/>
              <w:highlight w:val="none"/>
              <w:lang w:eastAsia="zh-CN"/>
            </w:rPr>
            <w:t>第一章</w:t>
          </w:r>
          <w:r>
            <w:rPr>
              <w:rFonts w:hint="eastAsia" w:ascii="宋体" w:hAnsi="宋体" w:eastAsia="宋体" w:cs="宋体"/>
              <w:color w:val="auto"/>
              <w:szCs w:val="42"/>
              <w:highlight w:val="none"/>
              <w:lang w:eastAsia="zh-CN"/>
            </w:rPr>
            <w:t xml:space="preserve">  </w:t>
          </w:r>
          <w:r>
            <w:rPr>
              <w:rFonts w:hint="eastAsia" w:ascii="宋体" w:hAnsi="宋体" w:eastAsia="宋体" w:cs="宋体"/>
              <w:bCs/>
              <w:color w:val="auto"/>
              <w:szCs w:val="42"/>
              <w:highlight w:val="none"/>
              <w:lang w:eastAsia="zh-CN"/>
            </w:rPr>
            <w:t>招标公告</w:t>
          </w:r>
          <w:r>
            <w:rPr>
              <w:color w:val="auto"/>
              <w:highlight w:val="none"/>
            </w:rPr>
            <w:tab/>
          </w:r>
          <w:r>
            <w:rPr>
              <w:color w:val="auto"/>
              <w:highlight w:val="none"/>
            </w:rPr>
            <w:fldChar w:fldCharType="begin"/>
          </w:r>
          <w:r>
            <w:rPr>
              <w:color w:val="auto"/>
              <w:highlight w:val="none"/>
            </w:rPr>
            <w:instrText xml:space="preserve"> PAGEREF _Toc6650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19"/>
              <w:highlight w:val="none"/>
            </w:rPr>
            <w:fldChar w:fldCharType="end"/>
          </w:r>
        </w:p>
        <w:p w14:paraId="5C8DF4BC">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_Toc11526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1.招标条件</w:t>
          </w:r>
          <w:r>
            <w:rPr>
              <w:color w:val="auto"/>
              <w:highlight w:val="none"/>
            </w:rPr>
            <w:tab/>
          </w:r>
          <w:r>
            <w:rPr>
              <w:color w:val="auto"/>
              <w:highlight w:val="none"/>
            </w:rPr>
            <w:fldChar w:fldCharType="begin"/>
          </w:r>
          <w:r>
            <w:rPr>
              <w:color w:val="auto"/>
              <w:highlight w:val="none"/>
            </w:rPr>
            <w:instrText xml:space="preserve"> PAGEREF _Toc11526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19"/>
              <w:highlight w:val="none"/>
            </w:rPr>
            <w:fldChar w:fldCharType="end"/>
          </w:r>
        </w:p>
        <w:p w14:paraId="6B477AD8">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_Toc28405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2.项目概况与招标范围</w:t>
          </w:r>
          <w:r>
            <w:rPr>
              <w:color w:val="auto"/>
              <w:highlight w:val="none"/>
            </w:rPr>
            <w:tab/>
          </w:r>
          <w:r>
            <w:rPr>
              <w:color w:val="auto"/>
              <w:highlight w:val="none"/>
            </w:rPr>
            <w:fldChar w:fldCharType="begin"/>
          </w:r>
          <w:r>
            <w:rPr>
              <w:color w:val="auto"/>
              <w:highlight w:val="none"/>
            </w:rPr>
            <w:instrText xml:space="preserve"> PAGEREF _Toc28405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19"/>
              <w:highlight w:val="none"/>
            </w:rPr>
            <w:fldChar w:fldCharType="end"/>
          </w:r>
        </w:p>
        <w:p w14:paraId="50388C61">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_Toc671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3.投标人资格要求</w:t>
          </w:r>
          <w:r>
            <w:rPr>
              <w:color w:val="auto"/>
              <w:highlight w:val="none"/>
            </w:rPr>
            <w:tab/>
          </w:r>
          <w:r>
            <w:rPr>
              <w:color w:val="auto"/>
              <w:highlight w:val="none"/>
            </w:rPr>
            <w:fldChar w:fldCharType="begin"/>
          </w:r>
          <w:r>
            <w:rPr>
              <w:color w:val="auto"/>
              <w:highlight w:val="none"/>
            </w:rPr>
            <w:instrText xml:space="preserve"> PAGEREF _Toc671 \h </w:instrText>
          </w:r>
          <w:r>
            <w:rPr>
              <w:color w:val="auto"/>
              <w:highlight w:val="none"/>
            </w:rPr>
            <w:fldChar w:fldCharType="separate"/>
          </w:r>
          <w:r>
            <w:rPr>
              <w:color w:val="auto"/>
              <w:highlight w:val="none"/>
            </w:rPr>
            <w:t>4</w:t>
          </w:r>
          <w:r>
            <w:rPr>
              <w:color w:val="auto"/>
              <w:highlight w:val="none"/>
            </w:rPr>
            <w:fldChar w:fldCharType="end"/>
          </w:r>
          <w:r>
            <w:rPr>
              <w:rFonts w:hint="eastAsia" w:ascii="宋体" w:hAnsi="宋体" w:eastAsia="宋体" w:cs="宋体"/>
              <w:color w:val="auto"/>
              <w:szCs w:val="19"/>
              <w:highlight w:val="none"/>
            </w:rPr>
            <w:fldChar w:fldCharType="end"/>
          </w:r>
        </w:p>
        <w:p w14:paraId="689046D8">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_Toc6956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4.技术成果经济补偿</w:t>
          </w:r>
          <w:r>
            <w:rPr>
              <w:color w:val="auto"/>
              <w:highlight w:val="none"/>
            </w:rPr>
            <w:tab/>
          </w:r>
          <w:r>
            <w:rPr>
              <w:color w:val="auto"/>
              <w:highlight w:val="none"/>
            </w:rPr>
            <w:fldChar w:fldCharType="begin"/>
          </w:r>
          <w:r>
            <w:rPr>
              <w:color w:val="auto"/>
              <w:highlight w:val="none"/>
            </w:rPr>
            <w:instrText xml:space="preserve"> PAGEREF _Toc6956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szCs w:val="19"/>
              <w:highlight w:val="none"/>
            </w:rPr>
            <w:fldChar w:fldCharType="end"/>
          </w:r>
        </w:p>
        <w:p w14:paraId="71E75AF7">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_Toc30487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5.招标文件的获取</w:t>
          </w:r>
          <w:r>
            <w:rPr>
              <w:color w:val="auto"/>
              <w:highlight w:val="none"/>
            </w:rPr>
            <w:tab/>
          </w:r>
          <w:r>
            <w:rPr>
              <w:color w:val="auto"/>
              <w:highlight w:val="none"/>
            </w:rPr>
            <w:fldChar w:fldCharType="begin"/>
          </w:r>
          <w:r>
            <w:rPr>
              <w:color w:val="auto"/>
              <w:highlight w:val="none"/>
            </w:rPr>
            <w:instrText xml:space="preserve"> PAGEREF _Toc30487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szCs w:val="19"/>
              <w:highlight w:val="none"/>
            </w:rPr>
            <w:fldChar w:fldCharType="end"/>
          </w:r>
        </w:p>
        <w:p w14:paraId="158846CD">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_Toc21010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6.投标文件的递交及相关事宜</w:t>
          </w:r>
          <w:r>
            <w:rPr>
              <w:color w:val="auto"/>
              <w:highlight w:val="none"/>
            </w:rPr>
            <w:tab/>
          </w:r>
          <w:r>
            <w:rPr>
              <w:color w:val="auto"/>
              <w:highlight w:val="none"/>
            </w:rPr>
            <w:fldChar w:fldCharType="begin"/>
          </w:r>
          <w:r>
            <w:rPr>
              <w:color w:val="auto"/>
              <w:highlight w:val="none"/>
            </w:rPr>
            <w:instrText xml:space="preserve"> PAGEREF _Toc21010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19"/>
              <w:highlight w:val="none"/>
            </w:rPr>
            <w:fldChar w:fldCharType="end"/>
          </w:r>
        </w:p>
        <w:p w14:paraId="2A2E0175">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_Toc5788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rPr>
            <w:t>7.发布公告的媒介</w:t>
          </w:r>
          <w:r>
            <w:rPr>
              <w:color w:val="auto"/>
              <w:highlight w:val="none"/>
            </w:rPr>
            <w:tab/>
          </w:r>
          <w:r>
            <w:rPr>
              <w:color w:val="auto"/>
              <w:highlight w:val="none"/>
            </w:rPr>
            <w:fldChar w:fldCharType="begin"/>
          </w:r>
          <w:r>
            <w:rPr>
              <w:color w:val="auto"/>
              <w:highlight w:val="none"/>
            </w:rPr>
            <w:instrText xml:space="preserve"> PAGEREF _Toc5788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eastAsia="宋体" w:cs="宋体"/>
              <w:color w:val="auto"/>
              <w:szCs w:val="19"/>
              <w:highlight w:val="none"/>
            </w:rPr>
            <w:fldChar w:fldCharType="end"/>
          </w:r>
        </w:p>
        <w:p w14:paraId="0DF2DA62">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_Toc9088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rPr>
            <w:t>8.联系方式</w:t>
          </w:r>
          <w:r>
            <w:rPr>
              <w:color w:val="auto"/>
              <w:highlight w:val="none"/>
            </w:rPr>
            <w:tab/>
          </w:r>
          <w:r>
            <w:rPr>
              <w:color w:val="auto"/>
              <w:highlight w:val="none"/>
            </w:rPr>
            <w:fldChar w:fldCharType="begin"/>
          </w:r>
          <w:r>
            <w:rPr>
              <w:color w:val="auto"/>
              <w:highlight w:val="none"/>
            </w:rPr>
            <w:instrText xml:space="preserve"> PAGEREF _Toc9088 \h </w:instrText>
          </w:r>
          <w:r>
            <w:rPr>
              <w:color w:val="auto"/>
              <w:highlight w:val="none"/>
            </w:rPr>
            <w:fldChar w:fldCharType="separate"/>
          </w:r>
          <w:r>
            <w:rPr>
              <w:color w:val="auto"/>
              <w:highlight w:val="none"/>
            </w:rPr>
            <w:t>8</w:t>
          </w:r>
          <w:r>
            <w:rPr>
              <w:color w:val="auto"/>
              <w:highlight w:val="none"/>
            </w:rPr>
            <w:fldChar w:fldCharType="end"/>
          </w:r>
          <w:r>
            <w:rPr>
              <w:rFonts w:hint="eastAsia" w:ascii="宋体" w:hAnsi="宋体" w:eastAsia="宋体" w:cs="宋体"/>
              <w:color w:val="auto"/>
              <w:szCs w:val="19"/>
              <w:highlight w:val="none"/>
            </w:rPr>
            <w:fldChar w:fldCharType="end"/>
          </w:r>
        </w:p>
        <w:p w14:paraId="635D73F1">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_Toc7292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9.重要事项时间地点一览表</w:t>
          </w:r>
          <w:r>
            <w:rPr>
              <w:color w:val="auto"/>
              <w:highlight w:val="none"/>
            </w:rPr>
            <w:tab/>
          </w:r>
          <w:r>
            <w:rPr>
              <w:color w:val="auto"/>
              <w:highlight w:val="none"/>
            </w:rPr>
            <w:fldChar w:fldCharType="begin"/>
          </w:r>
          <w:r>
            <w:rPr>
              <w:color w:val="auto"/>
              <w:highlight w:val="none"/>
            </w:rPr>
            <w:instrText xml:space="preserve"> PAGEREF _Toc7292 \h </w:instrText>
          </w:r>
          <w:r>
            <w:rPr>
              <w:color w:val="auto"/>
              <w:highlight w:val="none"/>
            </w:rPr>
            <w:fldChar w:fldCharType="separate"/>
          </w:r>
          <w:r>
            <w:rPr>
              <w:color w:val="auto"/>
              <w:highlight w:val="none"/>
            </w:rPr>
            <w:t>9</w:t>
          </w:r>
          <w:r>
            <w:rPr>
              <w:color w:val="auto"/>
              <w:highlight w:val="none"/>
            </w:rPr>
            <w:fldChar w:fldCharType="end"/>
          </w:r>
          <w:r>
            <w:rPr>
              <w:rFonts w:hint="eastAsia" w:ascii="宋体" w:hAnsi="宋体" w:eastAsia="宋体" w:cs="宋体"/>
              <w:color w:val="auto"/>
              <w:szCs w:val="19"/>
              <w:highlight w:val="none"/>
            </w:rPr>
            <w:fldChar w:fldCharType="end"/>
          </w:r>
        </w:p>
        <w:p w14:paraId="2E239870">
          <w:pPr>
            <w:pStyle w:val="11"/>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_Toc1276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42"/>
              <w:highlight w:val="none"/>
              <w:lang w:eastAsia="zh-CN"/>
            </w:rPr>
            <w:t>第二章</w:t>
          </w:r>
          <w:r>
            <w:rPr>
              <w:rFonts w:hint="eastAsia" w:ascii="宋体" w:hAnsi="宋体" w:eastAsia="宋体" w:cs="宋体"/>
              <w:color w:val="auto"/>
              <w:szCs w:val="42"/>
              <w:highlight w:val="none"/>
              <w:lang w:eastAsia="zh-CN"/>
            </w:rPr>
            <w:t xml:space="preserve">  </w:t>
          </w:r>
          <w:r>
            <w:rPr>
              <w:rFonts w:hint="eastAsia" w:ascii="宋体" w:hAnsi="宋体" w:eastAsia="宋体" w:cs="宋体"/>
              <w:bCs/>
              <w:color w:val="auto"/>
              <w:szCs w:val="42"/>
              <w:highlight w:val="none"/>
              <w:lang w:eastAsia="zh-CN"/>
            </w:rPr>
            <w:t>投标人须知</w:t>
          </w:r>
          <w:r>
            <w:rPr>
              <w:color w:val="auto"/>
              <w:highlight w:val="none"/>
            </w:rPr>
            <w:tab/>
          </w:r>
          <w:r>
            <w:rPr>
              <w:color w:val="auto"/>
              <w:highlight w:val="none"/>
            </w:rPr>
            <w:fldChar w:fldCharType="begin"/>
          </w:r>
          <w:r>
            <w:rPr>
              <w:color w:val="auto"/>
              <w:highlight w:val="none"/>
            </w:rPr>
            <w:instrText xml:space="preserve"> PAGEREF _Toc1276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19"/>
              <w:highlight w:val="none"/>
            </w:rPr>
            <w:fldChar w:fldCharType="end"/>
          </w:r>
        </w:p>
        <w:p w14:paraId="2A242BCB">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_Toc31189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rPr>
            <w:t>投标人须知前附表</w:t>
          </w:r>
          <w:r>
            <w:rPr>
              <w:color w:val="auto"/>
              <w:highlight w:val="none"/>
            </w:rPr>
            <w:tab/>
          </w:r>
          <w:r>
            <w:rPr>
              <w:color w:val="auto"/>
              <w:highlight w:val="none"/>
            </w:rPr>
            <w:fldChar w:fldCharType="begin"/>
          </w:r>
          <w:r>
            <w:rPr>
              <w:color w:val="auto"/>
              <w:highlight w:val="none"/>
            </w:rPr>
            <w:instrText xml:space="preserve"> PAGEREF _Toc31189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19"/>
              <w:highlight w:val="none"/>
            </w:rPr>
            <w:fldChar w:fldCharType="end"/>
          </w:r>
        </w:p>
        <w:p w14:paraId="4EB9A68C">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_Toc22064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附录</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1  资格审查条件（资质最低要求）</w:t>
          </w:r>
          <w:r>
            <w:rPr>
              <w:color w:val="auto"/>
              <w:highlight w:val="none"/>
            </w:rPr>
            <w:tab/>
          </w:r>
          <w:r>
            <w:rPr>
              <w:color w:val="auto"/>
              <w:highlight w:val="none"/>
            </w:rPr>
            <w:fldChar w:fldCharType="begin"/>
          </w:r>
          <w:r>
            <w:rPr>
              <w:color w:val="auto"/>
              <w:highlight w:val="none"/>
            </w:rPr>
            <w:instrText xml:space="preserve"> PAGEREF _Toc22064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szCs w:val="19"/>
              <w:highlight w:val="none"/>
            </w:rPr>
            <w:fldChar w:fldCharType="end"/>
          </w:r>
        </w:p>
        <w:p w14:paraId="18572681">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_Toc32414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附录</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2</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资格审查条件（业绩最低要求）</w:t>
          </w:r>
          <w:r>
            <w:rPr>
              <w:color w:val="auto"/>
              <w:highlight w:val="none"/>
            </w:rPr>
            <w:tab/>
          </w:r>
          <w:r>
            <w:rPr>
              <w:color w:val="auto"/>
              <w:highlight w:val="none"/>
            </w:rPr>
            <w:fldChar w:fldCharType="begin"/>
          </w:r>
          <w:r>
            <w:rPr>
              <w:color w:val="auto"/>
              <w:highlight w:val="none"/>
            </w:rPr>
            <w:instrText xml:space="preserve"> PAGEREF _Toc32414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szCs w:val="19"/>
              <w:highlight w:val="none"/>
            </w:rPr>
            <w:fldChar w:fldCharType="end"/>
          </w:r>
        </w:p>
        <w:p w14:paraId="64F9AE7A">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_Toc16967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附录</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3</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资格审查条件（信誉最低要求）</w:t>
          </w:r>
          <w:r>
            <w:rPr>
              <w:color w:val="auto"/>
              <w:highlight w:val="none"/>
            </w:rPr>
            <w:tab/>
          </w:r>
          <w:r>
            <w:rPr>
              <w:color w:val="auto"/>
              <w:highlight w:val="none"/>
            </w:rPr>
            <w:fldChar w:fldCharType="begin"/>
          </w:r>
          <w:r>
            <w:rPr>
              <w:color w:val="auto"/>
              <w:highlight w:val="none"/>
            </w:rPr>
            <w:instrText xml:space="preserve"> PAGEREF _Toc16967 \h </w:instrText>
          </w:r>
          <w:r>
            <w:rPr>
              <w:color w:val="auto"/>
              <w:highlight w:val="none"/>
            </w:rPr>
            <w:fldChar w:fldCharType="separate"/>
          </w:r>
          <w:r>
            <w:rPr>
              <w:color w:val="auto"/>
              <w:highlight w:val="none"/>
            </w:rPr>
            <w:t>24</w:t>
          </w:r>
          <w:r>
            <w:rPr>
              <w:color w:val="auto"/>
              <w:highlight w:val="none"/>
            </w:rPr>
            <w:fldChar w:fldCharType="end"/>
          </w:r>
          <w:r>
            <w:rPr>
              <w:rFonts w:hint="eastAsia" w:ascii="宋体" w:hAnsi="宋体" w:eastAsia="宋体" w:cs="宋体"/>
              <w:color w:val="auto"/>
              <w:szCs w:val="19"/>
              <w:highlight w:val="none"/>
            </w:rPr>
            <w:fldChar w:fldCharType="end"/>
          </w:r>
        </w:p>
        <w:p w14:paraId="44FFCD1F">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_Toc8224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附录</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4</w:t>
          </w:r>
          <w:r>
            <w:rPr>
              <w:rFonts w:hint="eastAsia" w:ascii="宋体" w:hAnsi="宋体" w:eastAsia="宋体" w:cs="宋体"/>
              <w:color w:val="auto"/>
              <w:szCs w:val="28"/>
              <w:highlight w:val="none"/>
              <w:lang w:eastAsia="zh-CN"/>
            </w:rPr>
            <w:t xml:space="preserve">  </w:t>
          </w:r>
          <w:r>
            <w:rPr>
              <w:rFonts w:hint="eastAsia" w:ascii="宋体" w:hAnsi="宋体" w:eastAsia="宋体" w:cs="宋体"/>
              <w:bCs/>
              <w:color w:val="auto"/>
              <w:szCs w:val="28"/>
              <w:highlight w:val="none"/>
              <w:lang w:eastAsia="zh-CN"/>
            </w:rPr>
            <w:t>资格审查条件（项目负责人最低要求）</w:t>
          </w:r>
          <w:r>
            <w:rPr>
              <w:color w:val="auto"/>
              <w:highlight w:val="none"/>
            </w:rPr>
            <w:tab/>
          </w:r>
          <w:r>
            <w:rPr>
              <w:color w:val="auto"/>
              <w:highlight w:val="none"/>
            </w:rPr>
            <w:fldChar w:fldCharType="begin"/>
          </w:r>
          <w:r>
            <w:rPr>
              <w:color w:val="auto"/>
              <w:highlight w:val="none"/>
            </w:rPr>
            <w:instrText xml:space="preserve"> PAGEREF _Toc8224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szCs w:val="19"/>
              <w:highlight w:val="none"/>
            </w:rPr>
            <w:fldChar w:fldCharType="end"/>
          </w:r>
        </w:p>
        <w:p w14:paraId="64537179">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_Toc11530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1. 总则</w:t>
          </w:r>
          <w:r>
            <w:rPr>
              <w:color w:val="auto"/>
              <w:highlight w:val="none"/>
            </w:rPr>
            <w:tab/>
          </w:r>
          <w:r>
            <w:rPr>
              <w:color w:val="auto"/>
              <w:highlight w:val="none"/>
            </w:rPr>
            <w:fldChar w:fldCharType="begin"/>
          </w:r>
          <w:r>
            <w:rPr>
              <w:color w:val="auto"/>
              <w:highlight w:val="none"/>
            </w:rPr>
            <w:instrText xml:space="preserve"> PAGEREF _Toc11530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szCs w:val="19"/>
              <w:highlight w:val="none"/>
            </w:rPr>
            <w:fldChar w:fldCharType="end"/>
          </w:r>
        </w:p>
        <w:p w14:paraId="7767BEEA">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_Toc28699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1.1 项目概况</w:t>
          </w:r>
          <w:r>
            <w:rPr>
              <w:color w:val="auto"/>
              <w:highlight w:val="none"/>
            </w:rPr>
            <w:tab/>
          </w:r>
          <w:r>
            <w:rPr>
              <w:color w:val="auto"/>
              <w:highlight w:val="none"/>
            </w:rPr>
            <w:fldChar w:fldCharType="begin"/>
          </w:r>
          <w:r>
            <w:rPr>
              <w:color w:val="auto"/>
              <w:highlight w:val="none"/>
            </w:rPr>
            <w:instrText xml:space="preserve"> PAGEREF _Toc28699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szCs w:val="19"/>
              <w:highlight w:val="none"/>
            </w:rPr>
            <w:fldChar w:fldCharType="end"/>
          </w:r>
        </w:p>
        <w:p w14:paraId="4167F8B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_Toc4586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1.2 招标项目的资金来源和落实情况</w:t>
          </w:r>
          <w:r>
            <w:rPr>
              <w:color w:val="auto"/>
              <w:highlight w:val="none"/>
            </w:rPr>
            <w:tab/>
          </w:r>
          <w:r>
            <w:rPr>
              <w:color w:val="auto"/>
              <w:highlight w:val="none"/>
            </w:rPr>
            <w:fldChar w:fldCharType="begin"/>
          </w:r>
          <w:r>
            <w:rPr>
              <w:color w:val="auto"/>
              <w:highlight w:val="none"/>
            </w:rPr>
            <w:instrText xml:space="preserve"> PAGEREF _Toc4586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szCs w:val="19"/>
              <w:highlight w:val="none"/>
            </w:rPr>
            <w:fldChar w:fldCharType="end"/>
          </w:r>
        </w:p>
        <w:p w14:paraId="5490A71D">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_Toc12840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1.3 招标范围、勘察设计服务期限、质量要求和安全目标</w:t>
          </w:r>
          <w:r>
            <w:rPr>
              <w:color w:val="auto"/>
              <w:highlight w:val="none"/>
            </w:rPr>
            <w:tab/>
          </w:r>
          <w:r>
            <w:rPr>
              <w:color w:val="auto"/>
              <w:highlight w:val="none"/>
            </w:rPr>
            <w:fldChar w:fldCharType="begin"/>
          </w:r>
          <w:r>
            <w:rPr>
              <w:color w:val="auto"/>
              <w:highlight w:val="none"/>
            </w:rPr>
            <w:instrText xml:space="preserve"> PAGEREF _Toc12840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szCs w:val="19"/>
              <w:highlight w:val="none"/>
            </w:rPr>
            <w:fldChar w:fldCharType="end"/>
          </w:r>
        </w:p>
        <w:p w14:paraId="0A63FF4D">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_Toc11358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1.4 投标人资格要求</w:t>
          </w:r>
          <w:r>
            <w:rPr>
              <w:color w:val="auto"/>
              <w:highlight w:val="none"/>
            </w:rPr>
            <w:tab/>
          </w:r>
          <w:r>
            <w:rPr>
              <w:color w:val="auto"/>
              <w:highlight w:val="none"/>
            </w:rPr>
            <w:fldChar w:fldCharType="begin"/>
          </w:r>
          <w:r>
            <w:rPr>
              <w:color w:val="auto"/>
              <w:highlight w:val="none"/>
            </w:rPr>
            <w:instrText xml:space="preserve"> PAGEREF _Toc11358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szCs w:val="19"/>
              <w:highlight w:val="none"/>
            </w:rPr>
            <w:fldChar w:fldCharType="end"/>
          </w:r>
        </w:p>
        <w:p w14:paraId="420464B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_Toc10521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1.5 费用承担</w:t>
          </w:r>
          <w:r>
            <w:rPr>
              <w:color w:val="auto"/>
              <w:highlight w:val="none"/>
            </w:rPr>
            <w:tab/>
          </w:r>
          <w:r>
            <w:rPr>
              <w:color w:val="auto"/>
              <w:highlight w:val="none"/>
            </w:rPr>
            <w:fldChar w:fldCharType="begin"/>
          </w:r>
          <w:r>
            <w:rPr>
              <w:color w:val="auto"/>
              <w:highlight w:val="none"/>
            </w:rPr>
            <w:instrText xml:space="preserve"> PAGEREF _Toc10521 \h </w:instrText>
          </w:r>
          <w:r>
            <w:rPr>
              <w:color w:val="auto"/>
              <w:highlight w:val="none"/>
            </w:rPr>
            <w:fldChar w:fldCharType="separate"/>
          </w:r>
          <w:r>
            <w:rPr>
              <w:color w:val="auto"/>
              <w:highlight w:val="none"/>
            </w:rPr>
            <w:t>27</w:t>
          </w:r>
          <w:r>
            <w:rPr>
              <w:color w:val="auto"/>
              <w:highlight w:val="none"/>
            </w:rPr>
            <w:fldChar w:fldCharType="end"/>
          </w:r>
          <w:r>
            <w:rPr>
              <w:rFonts w:hint="eastAsia" w:ascii="宋体" w:hAnsi="宋体" w:eastAsia="宋体" w:cs="宋体"/>
              <w:color w:val="auto"/>
              <w:szCs w:val="19"/>
              <w:highlight w:val="none"/>
            </w:rPr>
            <w:fldChar w:fldCharType="end"/>
          </w:r>
        </w:p>
        <w:p w14:paraId="147FB8F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_Toc15427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1.6 保密</w:t>
          </w:r>
          <w:r>
            <w:rPr>
              <w:color w:val="auto"/>
              <w:highlight w:val="none"/>
            </w:rPr>
            <w:tab/>
          </w:r>
          <w:r>
            <w:rPr>
              <w:color w:val="auto"/>
              <w:highlight w:val="none"/>
            </w:rPr>
            <w:fldChar w:fldCharType="begin"/>
          </w:r>
          <w:r>
            <w:rPr>
              <w:color w:val="auto"/>
              <w:highlight w:val="none"/>
            </w:rPr>
            <w:instrText xml:space="preserve"> PAGEREF _Toc15427 \h </w:instrText>
          </w:r>
          <w:r>
            <w:rPr>
              <w:color w:val="auto"/>
              <w:highlight w:val="none"/>
            </w:rPr>
            <w:fldChar w:fldCharType="separate"/>
          </w:r>
          <w:r>
            <w:rPr>
              <w:color w:val="auto"/>
              <w:highlight w:val="none"/>
            </w:rPr>
            <w:t>27</w:t>
          </w:r>
          <w:r>
            <w:rPr>
              <w:color w:val="auto"/>
              <w:highlight w:val="none"/>
            </w:rPr>
            <w:fldChar w:fldCharType="end"/>
          </w:r>
          <w:r>
            <w:rPr>
              <w:rFonts w:hint="eastAsia" w:ascii="宋体" w:hAnsi="宋体" w:eastAsia="宋体" w:cs="宋体"/>
              <w:color w:val="auto"/>
              <w:szCs w:val="19"/>
              <w:highlight w:val="none"/>
            </w:rPr>
            <w:fldChar w:fldCharType="end"/>
          </w:r>
        </w:p>
        <w:p w14:paraId="1DF2D4A0">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_Toc17507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1.7 语言文字</w:t>
          </w:r>
          <w:r>
            <w:rPr>
              <w:color w:val="auto"/>
              <w:highlight w:val="none"/>
            </w:rPr>
            <w:tab/>
          </w:r>
          <w:r>
            <w:rPr>
              <w:color w:val="auto"/>
              <w:highlight w:val="none"/>
            </w:rPr>
            <w:fldChar w:fldCharType="begin"/>
          </w:r>
          <w:r>
            <w:rPr>
              <w:color w:val="auto"/>
              <w:highlight w:val="none"/>
            </w:rPr>
            <w:instrText xml:space="preserve"> PAGEREF _Toc17507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19"/>
              <w:highlight w:val="none"/>
            </w:rPr>
            <w:fldChar w:fldCharType="end"/>
          </w:r>
        </w:p>
        <w:p w14:paraId="2CCEDC6C">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_Toc3610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1.8 计量单位</w:t>
          </w:r>
          <w:r>
            <w:rPr>
              <w:color w:val="auto"/>
              <w:highlight w:val="none"/>
            </w:rPr>
            <w:tab/>
          </w:r>
          <w:r>
            <w:rPr>
              <w:color w:val="auto"/>
              <w:highlight w:val="none"/>
            </w:rPr>
            <w:fldChar w:fldCharType="begin"/>
          </w:r>
          <w:r>
            <w:rPr>
              <w:color w:val="auto"/>
              <w:highlight w:val="none"/>
            </w:rPr>
            <w:instrText xml:space="preserve"> PAGEREF _Toc3610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19"/>
              <w:highlight w:val="none"/>
            </w:rPr>
            <w:fldChar w:fldCharType="end"/>
          </w:r>
        </w:p>
        <w:p w14:paraId="1046427E">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_Toc21979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1.9 踏勘现场</w:t>
          </w:r>
          <w:r>
            <w:rPr>
              <w:color w:val="auto"/>
              <w:highlight w:val="none"/>
            </w:rPr>
            <w:tab/>
          </w:r>
          <w:r>
            <w:rPr>
              <w:color w:val="auto"/>
              <w:highlight w:val="none"/>
            </w:rPr>
            <w:fldChar w:fldCharType="begin"/>
          </w:r>
          <w:r>
            <w:rPr>
              <w:color w:val="auto"/>
              <w:highlight w:val="none"/>
            </w:rPr>
            <w:instrText xml:space="preserve"> PAGEREF _Toc21979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19"/>
              <w:highlight w:val="none"/>
            </w:rPr>
            <w:fldChar w:fldCharType="end"/>
          </w:r>
        </w:p>
        <w:p w14:paraId="757AB32E">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_Toc28251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1.10 投标预备会</w:t>
          </w:r>
          <w:r>
            <w:rPr>
              <w:color w:val="auto"/>
              <w:highlight w:val="none"/>
            </w:rPr>
            <w:tab/>
          </w:r>
          <w:r>
            <w:rPr>
              <w:color w:val="auto"/>
              <w:highlight w:val="none"/>
            </w:rPr>
            <w:fldChar w:fldCharType="begin"/>
          </w:r>
          <w:r>
            <w:rPr>
              <w:color w:val="auto"/>
              <w:highlight w:val="none"/>
            </w:rPr>
            <w:instrText xml:space="preserve"> PAGEREF _Toc28251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19"/>
              <w:highlight w:val="none"/>
            </w:rPr>
            <w:fldChar w:fldCharType="end"/>
          </w:r>
        </w:p>
        <w:p w14:paraId="4EE98246">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_Toc31301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1.11 分包</w:t>
          </w:r>
          <w:r>
            <w:rPr>
              <w:color w:val="auto"/>
              <w:highlight w:val="none"/>
            </w:rPr>
            <w:tab/>
          </w:r>
          <w:r>
            <w:rPr>
              <w:color w:val="auto"/>
              <w:highlight w:val="none"/>
            </w:rPr>
            <w:fldChar w:fldCharType="begin"/>
          </w:r>
          <w:r>
            <w:rPr>
              <w:color w:val="auto"/>
              <w:highlight w:val="none"/>
            </w:rPr>
            <w:instrText xml:space="preserve"> PAGEREF _Toc31301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19"/>
              <w:highlight w:val="none"/>
            </w:rPr>
            <w:fldChar w:fldCharType="end"/>
          </w:r>
        </w:p>
        <w:p w14:paraId="2C6FAF85">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_Toc10292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1.12 响应和偏差</w:t>
          </w:r>
          <w:r>
            <w:rPr>
              <w:color w:val="auto"/>
              <w:highlight w:val="none"/>
            </w:rPr>
            <w:tab/>
          </w:r>
          <w:r>
            <w:rPr>
              <w:color w:val="auto"/>
              <w:highlight w:val="none"/>
            </w:rPr>
            <w:fldChar w:fldCharType="begin"/>
          </w:r>
          <w:r>
            <w:rPr>
              <w:color w:val="auto"/>
              <w:highlight w:val="none"/>
            </w:rPr>
            <w:instrText xml:space="preserve"> PAGEREF _Toc10292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szCs w:val="19"/>
              <w:highlight w:val="none"/>
            </w:rPr>
            <w:fldChar w:fldCharType="end"/>
          </w:r>
        </w:p>
        <w:p w14:paraId="1F434429">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_Toc29586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2. 招标文件</w:t>
          </w:r>
          <w:r>
            <w:rPr>
              <w:color w:val="auto"/>
              <w:highlight w:val="none"/>
            </w:rPr>
            <w:tab/>
          </w:r>
          <w:r>
            <w:rPr>
              <w:color w:val="auto"/>
              <w:highlight w:val="none"/>
            </w:rPr>
            <w:fldChar w:fldCharType="begin"/>
          </w:r>
          <w:r>
            <w:rPr>
              <w:color w:val="auto"/>
              <w:highlight w:val="none"/>
            </w:rPr>
            <w:instrText xml:space="preserve"> PAGEREF _Toc29586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szCs w:val="19"/>
              <w:highlight w:val="none"/>
            </w:rPr>
            <w:fldChar w:fldCharType="end"/>
          </w:r>
        </w:p>
        <w:p w14:paraId="7C53632D">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_Toc29548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2.1 招标文件的组成</w:t>
          </w:r>
          <w:r>
            <w:rPr>
              <w:color w:val="auto"/>
              <w:highlight w:val="none"/>
            </w:rPr>
            <w:tab/>
          </w:r>
          <w:r>
            <w:rPr>
              <w:color w:val="auto"/>
              <w:highlight w:val="none"/>
            </w:rPr>
            <w:fldChar w:fldCharType="begin"/>
          </w:r>
          <w:r>
            <w:rPr>
              <w:color w:val="auto"/>
              <w:highlight w:val="none"/>
            </w:rPr>
            <w:instrText xml:space="preserve"> PAGEREF _Toc29548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szCs w:val="19"/>
              <w:highlight w:val="none"/>
            </w:rPr>
            <w:fldChar w:fldCharType="end"/>
          </w:r>
        </w:p>
        <w:p w14:paraId="6753803C">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_Toc27060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2.2 招标文件的澄清</w:t>
          </w:r>
          <w:r>
            <w:rPr>
              <w:color w:val="auto"/>
              <w:highlight w:val="none"/>
            </w:rPr>
            <w:tab/>
          </w:r>
          <w:r>
            <w:rPr>
              <w:color w:val="auto"/>
              <w:highlight w:val="none"/>
            </w:rPr>
            <w:fldChar w:fldCharType="begin"/>
          </w:r>
          <w:r>
            <w:rPr>
              <w:color w:val="auto"/>
              <w:highlight w:val="none"/>
            </w:rPr>
            <w:instrText xml:space="preserve"> PAGEREF _Toc27060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19"/>
              <w:highlight w:val="none"/>
            </w:rPr>
            <w:fldChar w:fldCharType="end"/>
          </w:r>
        </w:p>
        <w:p w14:paraId="32655350">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_Toc4680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2.3 招标文件的修改</w:t>
          </w:r>
          <w:r>
            <w:rPr>
              <w:color w:val="auto"/>
              <w:highlight w:val="none"/>
            </w:rPr>
            <w:tab/>
          </w:r>
          <w:r>
            <w:rPr>
              <w:color w:val="auto"/>
              <w:highlight w:val="none"/>
            </w:rPr>
            <w:fldChar w:fldCharType="begin"/>
          </w:r>
          <w:r>
            <w:rPr>
              <w:color w:val="auto"/>
              <w:highlight w:val="none"/>
            </w:rPr>
            <w:instrText xml:space="preserve"> PAGEREF _Toc4680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19"/>
              <w:highlight w:val="none"/>
            </w:rPr>
            <w:fldChar w:fldCharType="end"/>
          </w:r>
        </w:p>
        <w:p w14:paraId="1DACC4A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_Toc28533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2.4 招标文件的异议</w:t>
          </w:r>
          <w:r>
            <w:rPr>
              <w:color w:val="auto"/>
              <w:highlight w:val="none"/>
            </w:rPr>
            <w:tab/>
          </w:r>
          <w:r>
            <w:rPr>
              <w:color w:val="auto"/>
              <w:highlight w:val="none"/>
            </w:rPr>
            <w:fldChar w:fldCharType="begin"/>
          </w:r>
          <w:r>
            <w:rPr>
              <w:color w:val="auto"/>
              <w:highlight w:val="none"/>
            </w:rPr>
            <w:instrText xml:space="preserve"> PAGEREF _Toc28533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19"/>
              <w:highlight w:val="none"/>
            </w:rPr>
            <w:fldChar w:fldCharType="end"/>
          </w:r>
        </w:p>
        <w:p w14:paraId="65B3CCC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_Toc10144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3. 投标文件</w:t>
          </w:r>
          <w:r>
            <w:rPr>
              <w:color w:val="auto"/>
              <w:highlight w:val="none"/>
            </w:rPr>
            <w:tab/>
          </w:r>
          <w:r>
            <w:rPr>
              <w:color w:val="auto"/>
              <w:highlight w:val="none"/>
            </w:rPr>
            <w:fldChar w:fldCharType="begin"/>
          </w:r>
          <w:r>
            <w:rPr>
              <w:color w:val="auto"/>
              <w:highlight w:val="none"/>
            </w:rPr>
            <w:instrText xml:space="preserve"> PAGEREF _Toc10144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19"/>
              <w:highlight w:val="none"/>
            </w:rPr>
            <w:fldChar w:fldCharType="end"/>
          </w:r>
        </w:p>
        <w:p w14:paraId="394CBCE1">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_Toc21179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3.1 投标文件的组成</w:t>
          </w:r>
          <w:r>
            <w:rPr>
              <w:color w:val="auto"/>
              <w:highlight w:val="none"/>
            </w:rPr>
            <w:tab/>
          </w:r>
          <w:r>
            <w:rPr>
              <w:color w:val="auto"/>
              <w:highlight w:val="none"/>
            </w:rPr>
            <w:fldChar w:fldCharType="begin"/>
          </w:r>
          <w:r>
            <w:rPr>
              <w:color w:val="auto"/>
              <w:highlight w:val="none"/>
            </w:rPr>
            <w:instrText xml:space="preserve"> PAGEREF _Toc21179 \h </w:instrText>
          </w:r>
          <w:r>
            <w:rPr>
              <w:color w:val="auto"/>
              <w:highlight w:val="none"/>
            </w:rPr>
            <w:fldChar w:fldCharType="separate"/>
          </w:r>
          <w:r>
            <w:rPr>
              <w:color w:val="auto"/>
              <w:highlight w:val="none"/>
            </w:rPr>
            <w:t>30</w:t>
          </w:r>
          <w:r>
            <w:rPr>
              <w:color w:val="auto"/>
              <w:highlight w:val="none"/>
            </w:rPr>
            <w:fldChar w:fldCharType="end"/>
          </w:r>
          <w:r>
            <w:rPr>
              <w:rFonts w:hint="eastAsia" w:ascii="宋体" w:hAnsi="宋体" w:eastAsia="宋体" w:cs="宋体"/>
              <w:color w:val="auto"/>
              <w:szCs w:val="19"/>
              <w:highlight w:val="none"/>
            </w:rPr>
            <w:fldChar w:fldCharType="end"/>
          </w:r>
        </w:p>
        <w:p w14:paraId="540D7F1A">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_Toc20099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3.2 投标报价</w:t>
          </w:r>
          <w:r>
            <w:rPr>
              <w:color w:val="auto"/>
              <w:highlight w:val="none"/>
            </w:rPr>
            <w:tab/>
          </w:r>
          <w:r>
            <w:rPr>
              <w:color w:val="auto"/>
              <w:highlight w:val="none"/>
            </w:rPr>
            <w:fldChar w:fldCharType="begin"/>
          </w:r>
          <w:r>
            <w:rPr>
              <w:color w:val="auto"/>
              <w:highlight w:val="none"/>
            </w:rPr>
            <w:instrText xml:space="preserve"> PAGEREF _Toc20099 \h </w:instrText>
          </w:r>
          <w:r>
            <w:rPr>
              <w:color w:val="auto"/>
              <w:highlight w:val="none"/>
            </w:rPr>
            <w:fldChar w:fldCharType="separate"/>
          </w:r>
          <w:r>
            <w:rPr>
              <w:color w:val="auto"/>
              <w:highlight w:val="none"/>
            </w:rPr>
            <w:t>31</w:t>
          </w:r>
          <w:r>
            <w:rPr>
              <w:color w:val="auto"/>
              <w:highlight w:val="none"/>
            </w:rPr>
            <w:fldChar w:fldCharType="end"/>
          </w:r>
          <w:r>
            <w:rPr>
              <w:rFonts w:hint="eastAsia" w:ascii="宋体" w:hAnsi="宋体" w:eastAsia="宋体" w:cs="宋体"/>
              <w:color w:val="auto"/>
              <w:szCs w:val="19"/>
              <w:highlight w:val="none"/>
            </w:rPr>
            <w:fldChar w:fldCharType="end"/>
          </w:r>
        </w:p>
        <w:p w14:paraId="44C48E7C">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_Toc15379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3.3 投标有效期</w:t>
          </w:r>
          <w:r>
            <w:rPr>
              <w:color w:val="auto"/>
              <w:highlight w:val="none"/>
            </w:rPr>
            <w:tab/>
          </w:r>
          <w:r>
            <w:rPr>
              <w:color w:val="auto"/>
              <w:highlight w:val="none"/>
            </w:rPr>
            <w:fldChar w:fldCharType="begin"/>
          </w:r>
          <w:r>
            <w:rPr>
              <w:color w:val="auto"/>
              <w:highlight w:val="none"/>
            </w:rPr>
            <w:instrText xml:space="preserve"> PAGEREF _Toc15379 \h </w:instrText>
          </w:r>
          <w:r>
            <w:rPr>
              <w:color w:val="auto"/>
              <w:highlight w:val="none"/>
            </w:rPr>
            <w:fldChar w:fldCharType="separate"/>
          </w:r>
          <w:r>
            <w:rPr>
              <w:color w:val="auto"/>
              <w:highlight w:val="none"/>
            </w:rPr>
            <w:t>31</w:t>
          </w:r>
          <w:r>
            <w:rPr>
              <w:color w:val="auto"/>
              <w:highlight w:val="none"/>
            </w:rPr>
            <w:fldChar w:fldCharType="end"/>
          </w:r>
          <w:r>
            <w:rPr>
              <w:rFonts w:hint="eastAsia" w:ascii="宋体" w:hAnsi="宋体" w:eastAsia="宋体" w:cs="宋体"/>
              <w:color w:val="auto"/>
              <w:szCs w:val="19"/>
              <w:highlight w:val="none"/>
            </w:rPr>
            <w:fldChar w:fldCharType="end"/>
          </w:r>
        </w:p>
        <w:p w14:paraId="18EF5F0A">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_Toc2076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3.4 投标保证金</w:t>
          </w:r>
          <w:r>
            <w:rPr>
              <w:color w:val="auto"/>
              <w:highlight w:val="none"/>
            </w:rPr>
            <w:tab/>
          </w:r>
          <w:r>
            <w:rPr>
              <w:color w:val="auto"/>
              <w:highlight w:val="none"/>
            </w:rPr>
            <w:fldChar w:fldCharType="begin"/>
          </w:r>
          <w:r>
            <w:rPr>
              <w:color w:val="auto"/>
              <w:highlight w:val="none"/>
            </w:rPr>
            <w:instrText xml:space="preserve"> PAGEREF _Toc2076 \h </w:instrText>
          </w:r>
          <w:r>
            <w:rPr>
              <w:color w:val="auto"/>
              <w:highlight w:val="none"/>
            </w:rPr>
            <w:fldChar w:fldCharType="separate"/>
          </w:r>
          <w:r>
            <w:rPr>
              <w:color w:val="auto"/>
              <w:highlight w:val="none"/>
            </w:rPr>
            <w:t>31</w:t>
          </w:r>
          <w:r>
            <w:rPr>
              <w:color w:val="auto"/>
              <w:highlight w:val="none"/>
            </w:rPr>
            <w:fldChar w:fldCharType="end"/>
          </w:r>
          <w:r>
            <w:rPr>
              <w:rFonts w:hint="eastAsia" w:ascii="宋体" w:hAnsi="宋体" w:eastAsia="宋体" w:cs="宋体"/>
              <w:color w:val="auto"/>
              <w:szCs w:val="19"/>
              <w:highlight w:val="none"/>
            </w:rPr>
            <w:fldChar w:fldCharType="end"/>
          </w:r>
        </w:p>
        <w:p w14:paraId="5EAEC021">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_Toc32642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3.5 资格审查资料</w:t>
          </w:r>
          <w:r>
            <w:rPr>
              <w:color w:val="auto"/>
              <w:highlight w:val="none"/>
            </w:rPr>
            <w:tab/>
          </w:r>
          <w:r>
            <w:rPr>
              <w:color w:val="auto"/>
              <w:highlight w:val="none"/>
            </w:rPr>
            <w:fldChar w:fldCharType="begin"/>
          </w:r>
          <w:r>
            <w:rPr>
              <w:color w:val="auto"/>
              <w:highlight w:val="none"/>
            </w:rPr>
            <w:instrText xml:space="preserve"> PAGEREF _Toc32642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szCs w:val="19"/>
              <w:highlight w:val="none"/>
            </w:rPr>
            <w:fldChar w:fldCharType="end"/>
          </w:r>
        </w:p>
        <w:p w14:paraId="02DAE402">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_Toc31167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3.6 备选投标方案</w:t>
          </w:r>
          <w:r>
            <w:rPr>
              <w:color w:val="auto"/>
              <w:highlight w:val="none"/>
            </w:rPr>
            <w:tab/>
          </w:r>
          <w:r>
            <w:rPr>
              <w:color w:val="auto"/>
              <w:highlight w:val="none"/>
            </w:rPr>
            <w:fldChar w:fldCharType="begin"/>
          </w:r>
          <w:r>
            <w:rPr>
              <w:color w:val="auto"/>
              <w:highlight w:val="none"/>
            </w:rPr>
            <w:instrText xml:space="preserve"> PAGEREF _Toc31167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eastAsia="宋体" w:cs="宋体"/>
              <w:color w:val="auto"/>
              <w:szCs w:val="19"/>
              <w:highlight w:val="none"/>
            </w:rPr>
            <w:fldChar w:fldCharType="end"/>
          </w:r>
        </w:p>
        <w:p w14:paraId="5BB15118">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_Toc20712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3.7 投标文件的编制</w:t>
          </w:r>
          <w:r>
            <w:rPr>
              <w:color w:val="auto"/>
              <w:highlight w:val="none"/>
            </w:rPr>
            <w:tab/>
          </w:r>
          <w:r>
            <w:rPr>
              <w:color w:val="auto"/>
              <w:highlight w:val="none"/>
            </w:rPr>
            <w:fldChar w:fldCharType="begin"/>
          </w:r>
          <w:r>
            <w:rPr>
              <w:color w:val="auto"/>
              <w:highlight w:val="none"/>
            </w:rPr>
            <w:instrText xml:space="preserve"> PAGEREF _Toc20712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eastAsia="宋体" w:cs="宋体"/>
              <w:color w:val="auto"/>
              <w:szCs w:val="19"/>
              <w:highlight w:val="none"/>
            </w:rPr>
            <w:fldChar w:fldCharType="end"/>
          </w:r>
        </w:p>
        <w:p w14:paraId="3EA3919D">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_Toc1085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4. 投标</w:t>
          </w:r>
          <w:r>
            <w:rPr>
              <w:color w:val="auto"/>
              <w:highlight w:val="none"/>
            </w:rPr>
            <w:tab/>
          </w:r>
          <w:r>
            <w:rPr>
              <w:color w:val="auto"/>
              <w:highlight w:val="none"/>
            </w:rPr>
            <w:fldChar w:fldCharType="begin"/>
          </w:r>
          <w:r>
            <w:rPr>
              <w:color w:val="auto"/>
              <w:highlight w:val="none"/>
            </w:rPr>
            <w:instrText xml:space="preserve"> PAGEREF _Toc1085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eastAsia="宋体" w:cs="宋体"/>
              <w:color w:val="auto"/>
              <w:szCs w:val="19"/>
              <w:highlight w:val="none"/>
            </w:rPr>
            <w:fldChar w:fldCharType="end"/>
          </w:r>
        </w:p>
        <w:p w14:paraId="4BEE1AE7">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_Toc24702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4.1 投标文件的密封和标识</w:t>
          </w:r>
          <w:r>
            <w:rPr>
              <w:color w:val="auto"/>
              <w:highlight w:val="none"/>
            </w:rPr>
            <w:tab/>
          </w:r>
          <w:r>
            <w:rPr>
              <w:color w:val="auto"/>
              <w:highlight w:val="none"/>
            </w:rPr>
            <w:fldChar w:fldCharType="begin"/>
          </w:r>
          <w:r>
            <w:rPr>
              <w:color w:val="auto"/>
              <w:highlight w:val="none"/>
            </w:rPr>
            <w:instrText xml:space="preserve"> PAGEREF _Toc24702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eastAsia="宋体" w:cs="宋体"/>
              <w:color w:val="auto"/>
              <w:szCs w:val="19"/>
              <w:highlight w:val="none"/>
            </w:rPr>
            <w:fldChar w:fldCharType="end"/>
          </w:r>
        </w:p>
        <w:p w14:paraId="7A49F3A1">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_Toc18159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4.2 投标文件的递交</w:t>
          </w:r>
          <w:r>
            <w:rPr>
              <w:color w:val="auto"/>
              <w:highlight w:val="none"/>
            </w:rPr>
            <w:tab/>
          </w:r>
          <w:r>
            <w:rPr>
              <w:color w:val="auto"/>
              <w:highlight w:val="none"/>
            </w:rPr>
            <w:fldChar w:fldCharType="begin"/>
          </w:r>
          <w:r>
            <w:rPr>
              <w:color w:val="auto"/>
              <w:highlight w:val="none"/>
            </w:rPr>
            <w:instrText xml:space="preserve"> PAGEREF _Toc18159 \h </w:instrText>
          </w:r>
          <w:r>
            <w:rPr>
              <w:color w:val="auto"/>
              <w:highlight w:val="none"/>
            </w:rPr>
            <w:fldChar w:fldCharType="separate"/>
          </w:r>
          <w:r>
            <w:rPr>
              <w:color w:val="auto"/>
              <w:highlight w:val="none"/>
            </w:rPr>
            <w:t>35</w:t>
          </w:r>
          <w:r>
            <w:rPr>
              <w:color w:val="auto"/>
              <w:highlight w:val="none"/>
            </w:rPr>
            <w:fldChar w:fldCharType="end"/>
          </w:r>
          <w:r>
            <w:rPr>
              <w:rFonts w:hint="eastAsia" w:ascii="宋体" w:hAnsi="宋体" w:eastAsia="宋体" w:cs="宋体"/>
              <w:color w:val="auto"/>
              <w:szCs w:val="19"/>
              <w:highlight w:val="none"/>
            </w:rPr>
            <w:fldChar w:fldCharType="end"/>
          </w:r>
        </w:p>
        <w:p w14:paraId="1AACC762">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_Toc18479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4.3 投标文件的修改与撤回</w:t>
          </w:r>
          <w:r>
            <w:rPr>
              <w:color w:val="auto"/>
              <w:highlight w:val="none"/>
            </w:rPr>
            <w:tab/>
          </w:r>
          <w:r>
            <w:rPr>
              <w:color w:val="auto"/>
              <w:highlight w:val="none"/>
            </w:rPr>
            <w:fldChar w:fldCharType="begin"/>
          </w:r>
          <w:r>
            <w:rPr>
              <w:color w:val="auto"/>
              <w:highlight w:val="none"/>
            </w:rPr>
            <w:instrText xml:space="preserve"> PAGEREF _Toc18479 \h </w:instrText>
          </w:r>
          <w:r>
            <w:rPr>
              <w:color w:val="auto"/>
              <w:highlight w:val="none"/>
            </w:rPr>
            <w:fldChar w:fldCharType="separate"/>
          </w:r>
          <w:r>
            <w:rPr>
              <w:color w:val="auto"/>
              <w:highlight w:val="none"/>
            </w:rPr>
            <w:t>36</w:t>
          </w:r>
          <w:r>
            <w:rPr>
              <w:color w:val="auto"/>
              <w:highlight w:val="none"/>
            </w:rPr>
            <w:fldChar w:fldCharType="end"/>
          </w:r>
          <w:r>
            <w:rPr>
              <w:rFonts w:hint="eastAsia" w:ascii="宋体" w:hAnsi="宋体" w:eastAsia="宋体" w:cs="宋体"/>
              <w:color w:val="auto"/>
              <w:szCs w:val="19"/>
              <w:highlight w:val="none"/>
            </w:rPr>
            <w:fldChar w:fldCharType="end"/>
          </w:r>
        </w:p>
        <w:p w14:paraId="40C6C488">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_Toc29729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5. 开标</w:t>
          </w:r>
          <w:r>
            <w:rPr>
              <w:color w:val="auto"/>
              <w:highlight w:val="none"/>
            </w:rPr>
            <w:tab/>
          </w:r>
          <w:r>
            <w:rPr>
              <w:color w:val="auto"/>
              <w:highlight w:val="none"/>
            </w:rPr>
            <w:fldChar w:fldCharType="begin"/>
          </w:r>
          <w:r>
            <w:rPr>
              <w:color w:val="auto"/>
              <w:highlight w:val="none"/>
            </w:rPr>
            <w:instrText xml:space="preserve"> PAGEREF _Toc29729 \h </w:instrText>
          </w:r>
          <w:r>
            <w:rPr>
              <w:color w:val="auto"/>
              <w:highlight w:val="none"/>
            </w:rPr>
            <w:fldChar w:fldCharType="separate"/>
          </w:r>
          <w:r>
            <w:rPr>
              <w:color w:val="auto"/>
              <w:highlight w:val="none"/>
            </w:rPr>
            <w:t>36</w:t>
          </w:r>
          <w:r>
            <w:rPr>
              <w:color w:val="auto"/>
              <w:highlight w:val="none"/>
            </w:rPr>
            <w:fldChar w:fldCharType="end"/>
          </w:r>
          <w:r>
            <w:rPr>
              <w:rFonts w:hint="eastAsia" w:ascii="宋体" w:hAnsi="宋体" w:eastAsia="宋体" w:cs="宋体"/>
              <w:color w:val="auto"/>
              <w:szCs w:val="19"/>
              <w:highlight w:val="none"/>
            </w:rPr>
            <w:fldChar w:fldCharType="end"/>
          </w:r>
        </w:p>
        <w:p w14:paraId="77351ADE">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_Toc14565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5.1 开标时间和地点</w:t>
          </w:r>
          <w:r>
            <w:rPr>
              <w:color w:val="auto"/>
              <w:highlight w:val="none"/>
            </w:rPr>
            <w:tab/>
          </w:r>
          <w:r>
            <w:rPr>
              <w:color w:val="auto"/>
              <w:highlight w:val="none"/>
            </w:rPr>
            <w:fldChar w:fldCharType="begin"/>
          </w:r>
          <w:r>
            <w:rPr>
              <w:color w:val="auto"/>
              <w:highlight w:val="none"/>
            </w:rPr>
            <w:instrText xml:space="preserve"> PAGEREF _Toc14565 \h </w:instrText>
          </w:r>
          <w:r>
            <w:rPr>
              <w:color w:val="auto"/>
              <w:highlight w:val="none"/>
            </w:rPr>
            <w:fldChar w:fldCharType="separate"/>
          </w:r>
          <w:r>
            <w:rPr>
              <w:color w:val="auto"/>
              <w:highlight w:val="none"/>
            </w:rPr>
            <w:t>36</w:t>
          </w:r>
          <w:r>
            <w:rPr>
              <w:color w:val="auto"/>
              <w:highlight w:val="none"/>
            </w:rPr>
            <w:fldChar w:fldCharType="end"/>
          </w:r>
          <w:r>
            <w:rPr>
              <w:rFonts w:hint="eastAsia" w:ascii="宋体" w:hAnsi="宋体" w:eastAsia="宋体" w:cs="宋体"/>
              <w:color w:val="auto"/>
              <w:szCs w:val="19"/>
              <w:highlight w:val="none"/>
            </w:rPr>
            <w:fldChar w:fldCharType="end"/>
          </w:r>
        </w:p>
        <w:p w14:paraId="71E73574">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_Toc18878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5.2 开标程序</w:t>
          </w:r>
          <w:r>
            <w:rPr>
              <w:color w:val="auto"/>
              <w:highlight w:val="none"/>
            </w:rPr>
            <w:tab/>
          </w:r>
          <w:r>
            <w:rPr>
              <w:color w:val="auto"/>
              <w:highlight w:val="none"/>
            </w:rPr>
            <w:fldChar w:fldCharType="begin"/>
          </w:r>
          <w:r>
            <w:rPr>
              <w:color w:val="auto"/>
              <w:highlight w:val="none"/>
            </w:rPr>
            <w:instrText xml:space="preserve"> PAGEREF _Toc18878 \h </w:instrText>
          </w:r>
          <w:r>
            <w:rPr>
              <w:color w:val="auto"/>
              <w:highlight w:val="none"/>
            </w:rPr>
            <w:fldChar w:fldCharType="separate"/>
          </w:r>
          <w:r>
            <w:rPr>
              <w:color w:val="auto"/>
              <w:highlight w:val="none"/>
            </w:rPr>
            <w:t>36</w:t>
          </w:r>
          <w:r>
            <w:rPr>
              <w:color w:val="auto"/>
              <w:highlight w:val="none"/>
            </w:rPr>
            <w:fldChar w:fldCharType="end"/>
          </w:r>
          <w:r>
            <w:rPr>
              <w:rFonts w:hint="eastAsia" w:ascii="宋体" w:hAnsi="宋体" w:eastAsia="宋体" w:cs="宋体"/>
              <w:color w:val="auto"/>
              <w:szCs w:val="19"/>
              <w:highlight w:val="none"/>
            </w:rPr>
            <w:fldChar w:fldCharType="end"/>
          </w:r>
        </w:p>
        <w:p w14:paraId="56AD0155">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_Toc3832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5.3 开标异议</w:t>
          </w:r>
          <w:r>
            <w:rPr>
              <w:color w:val="auto"/>
              <w:highlight w:val="none"/>
            </w:rPr>
            <w:tab/>
          </w:r>
          <w:r>
            <w:rPr>
              <w:color w:val="auto"/>
              <w:highlight w:val="none"/>
            </w:rPr>
            <w:fldChar w:fldCharType="begin"/>
          </w:r>
          <w:r>
            <w:rPr>
              <w:color w:val="auto"/>
              <w:highlight w:val="none"/>
            </w:rPr>
            <w:instrText xml:space="preserve"> PAGEREF _Toc3832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szCs w:val="19"/>
              <w:highlight w:val="none"/>
            </w:rPr>
            <w:fldChar w:fldCharType="end"/>
          </w:r>
        </w:p>
        <w:p w14:paraId="143E9CFA">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_Toc22634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6. 评标</w:t>
          </w:r>
          <w:r>
            <w:rPr>
              <w:color w:val="auto"/>
              <w:highlight w:val="none"/>
            </w:rPr>
            <w:tab/>
          </w:r>
          <w:r>
            <w:rPr>
              <w:color w:val="auto"/>
              <w:highlight w:val="none"/>
            </w:rPr>
            <w:fldChar w:fldCharType="begin"/>
          </w:r>
          <w:r>
            <w:rPr>
              <w:color w:val="auto"/>
              <w:highlight w:val="none"/>
            </w:rPr>
            <w:instrText xml:space="preserve"> PAGEREF _Toc22634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6D65BBC9">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_Toc28517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6.1 评标委员会</w:t>
          </w:r>
          <w:r>
            <w:rPr>
              <w:color w:val="auto"/>
              <w:highlight w:val="none"/>
            </w:rPr>
            <w:tab/>
          </w:r>
          <w:r>
            <w:rPr>
              <w:color w:val="auto"/>
              <w:highlight w:val="none"/>
            </w:rPr>
            <w:fldChar w:fldCharType="begin"/>
          </w:r>
          <w:r>
            <w:rPr>
              <w:color w:val="auto"/>
              <w:highlight w:val="none"/>
            </w:rPr>
            <w:instrText xml:space="preserve"> PAGEREF _Toc28517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295C7275">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_Toc21619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6.2 评标原则</w:t>
          </w:r>
          <w:r>
            <w:rPr>
              <w:color w:val="auto"/>
              <w:highlight w:val="none"/>
            </w:rPr>
            <w:tab/>
          </w:r>
          <w:r>
            <w:rPr>
              <w:color w:val="auto"/>
              <w:highlight w:val="none"/>
            </w:rPr>
            <w:fldChar w:fldCharType="begin"/>
          </w:r>
          <w:r>
            <w:rPr>
              <w:color w:val="auto"/>
              <w:highlight w:val="none"/>
            </w:rPr>
            <w:instrText xml:space="preserve"> PAGEREF _Toc21619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0DBB5E05">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_Toc23418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6.3 评标</w:t>
          </w:r>
          <w:r>
            <w:rPr>
              <w:color w:val="auto"/>
              <w:highlight w:val="none"/>
            </w:rPr>
            <w:tab/>
          </w:r>
          <w:r>
            <w:rPr>
              <w:color w:val="auto"/>
              <w:highlight w:val="none"/>
            </w:rPr>
            <w:fldChar w:fldCharType="begin"/>
          </w:r>
          <w:r>
            <w:rPr>
              <w:color w:val="auto"/>
              <w:highlight w:val="none"/>
            </w:rPr>
            <w:instrText xml:space="preserve"> PAGEREF _Toc23418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307D73F7">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_Toc18238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7. 合同授予</w:t>
          </w:r>
          <w:r>
            <w:rPr>
              <w:color w:val="auto"/>
              <w:highlight w:val="none"/>
            </w:rPr>
            <w:tab/>
          </w:r>
          <w:r>
            <w:rPr>
              <w:color w:val="auto"/>
              <w:highlight w:val="none"/>
            </w:rPr>
            <w:fldChar w:fldCharType="begin"/>
          </w:r>
          <w:r>
            <w:rPr>
              <w:color w:val="auto"/>
              <w:highlight w:val="none"/>
            </w:rPr>
            <w:instrText xml:space="preserve"> PAGEREF _Toc18238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54EE6EA2">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_Toc22293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7.1 中标候选人公示</w:t>
          </w:r>
          <w:r>
            <w:rPr>
              <w:color w:val="auto"/>
              <w:highlight w:val="none"/>
            </w:rPr>
            <w:tab/>
          </w:r>
          <w:r>
            <w:rPr>
              <w:color w:val="auto"/>
              <w:highlight w:val="none"/>
            </w:rPr>
            <w:fldChar w:fldCharType="begin"/>
          </w:r>
          <w:r>
            <w:rPr>
              <w:color w:val="auto"/>
              <w:highlight w:val="none"/>
            </w:rPr>
            <w:instrText xml:space="preserve"> PAGEREF _Toc22293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szCs w:val="19"/>
              <w:highlight w:val="none"/>
            </w:rPr>
            <w:fldChar w:fldCharType="end"/>
          </w:r>
        </w:p>
        <w:p w14:paraId="54E9D727">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_Toc27928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7.2 评标结果异议</w:t>
          </w:r>
          <w:r>
            <w:rPr>
              <w:color w:val="auto"/>
              <w:highlight w:val="none"/>
            </w:rPr>
            <w:tab/>
          </w:r>
          <w:r>
            <w:rPr>
              <w:color w:val="auto"/>
              <w:highlight w:val="none"/>
            </w:rPr>
            <w:fldChar w:fldCharType="begin"/>
          </w:r>
          <w:r>
            <w:rPr>
              <w:color w:val="auto"/>
              <w:highlight w:val="none"/>
            </w:rPr>
            <w:instrText xml:space="preserve"> PAGEREF _Toc27928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5FBA8288">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_Toc23978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7.3 中标候选人履约能力审查</w:t>
          </w:r>
          <w:r>
            <w:rPr>
              <w:color w:val="auto"/>
              <w:highlight w:val="none"/>
            </w:rPr>
            <w:tab/>
          </w:r>
          <w:r>
            <w:rPr>
              <w:color w:val="auto"/>
              <w:highlight w:val="none"/>
            </w:rPr>
            <w:fldChar w:fldCharType="begin"/>
          </w:r>
          <w:r>
            <w:rPr>
              <w:color w:val="auto"/>
              <w:highlight w:val="none"/>
            </w:rPr>
            <w:instrText xml:space="preserve"> PAGEREF _Toc23978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4C8891FF">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_Toc10898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7.4 定标</w:t>
          </w:r>
          <w:r>
            <w:rPr>
              <w:color w:val="auto"/>
              <w:highlight w:val="none"/>
            </w:rPr>
            <w:tab/>
          </w:r>
          <w:r>
            <w:rPr>
              <w:color w:val="auto"/>
              <w:highlight w:val="none"/>
            </w:rPr>
            <w:fldChar w:fldCharType="begin"/>
          </w:r>
          <w:r>
            <w:rPr>
              <w:color w:val="auto"/>
              <w:highlight w:val="none"/>
            </w:rPr>
            <w:instrText xml:space="preserve"> PAGEREF _Toc10898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2DEDC4A9">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_Toc1196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7.5 中标通知</w:t>
          </w:r>
          <w:r>
            <w:rPr>
              <w:color w:val="auto"/>
              <w:highlight w:val="none"/>
            </w:rPr>
            <w:tab/>
          </w:r>
          <w:r>
            <w:rPr>
              <w:color w:val="auto"/>
              <w:highlight w:val="none"/>
            </w:rPr>
            <w:fldChar w:fldCharType="begin"/>
          </w:r>
          <w:r>
            <w:rPr>
              <w:color w:val="auto"/>
              <w:highlight w:val="none"/>
            </w:rPr>
            <w:instrText xml:space="preserve"> PAGEREF _Toc1196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2865DB5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_Toc7643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7.6 中标结果公告</w:t>
          </w:r>
          <w:r>
            <w:rPr>
              <w:color w:val="auto"/>
              <w:highlight w:val="none"/>
            </w:rPr>
            <w:tab/>
          </w:r>
          <w:r>
            <w:rPr>
              <w:color w:val="auto"/>
              <w:highlight w:val="none"/>
            </w:rPr>
            <w:fldChar w:fldCharType="begin"/>
          </w:r>
          <w:r>
            <w:rPr>
              <w:color w:val="auto"/>
              <w:highlight w:val="none"/>
            </w:rPr>
            <w:instrText xml:space="preserve"> PAGEREF _Toc7643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17687F7D">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_Toc24077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7.7 技术成果经济补偿</w:t>
          </w:r>
          <w:r>
            <w:rPr>
              <w:color w:val="auto"/>
              <w:highlight w:val="none"/>
            </w:rPr>
            <w:tab/>
          </w:r>
          <w:r>
            <w:rPr>
              <w:color w:val="auto"/>
              <w:highlight w:val="none"/>
            </w:rPr>
            <w:fldChar w:fldCharType="begin"/>
          </w:r>
          <w:r>
            <w:rPr>
              <w:color w:val="auto"/>
              <w:highlight w:val="none"/>
            </w:rPr>
            <w:instrText xml:space="preserve"> PAGEREF _Toc24077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38AB99E1">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_Toc13225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7.8 履约保证金</w:t>
          </w:r>
          <w:r>
            <w:rPr>
              <w:color w:val="auto"/>
              <w:highlight w:val="none"/>
            </w:rPr>
            <w:tab/>
          </w:r>
          <w:r>
            <w:rPr>
              <w:color w:val="auto"/>
              <w:highlight w:val="none"/>
            </w:rPr>
            <w:fldChar w:fldCharType="begin"/>
          </w:r>
          <w:r>
            <w:rPr>
              <w:color w:val="auto"/>
              <w:highlight w:val="none"/>
            </w:rPr>
            <w:instrText xml:space="preserve"> PAGEREF _Toc13225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eastAsia="宋体" w:cs="宋体"/>
              <w:color w:val="auto"/>
              <w:szCs w:val="19"/>
              <w:highlight w:val="none"/>
            </w:rPr>
            <w:fldChar w:fldCharType="end"/>
          </w:r>
        </w:p>
        <w:p w14:paraId="13826248">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_Toc1009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7.9 签订合同</w:t>
          </w:r>
          <w:r>
            <w:rPr>
              <w:color w:val="auto"/>
              <w:highlight w:val="none"/>
            </w:rPr>
            <w:tab/>
          </w:r>
          <w:r>
            <w:rPr>
              <w:color w:val="auto"/>
              <w:highlight w:val="none"/>
            </w:rPr>
            <w:fldChar w:fldCharType="begin"/>
          </w:r>
          <w:r>
            <w:rPr>
              <w:color w:val="auto"/>
              <w:highlight w:val="none"/>
            </w:rPr>
            <w:instrText xml:space="preserve"> PAGEREF _Toc1009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szCs w:val="19"/>
              <w:highlight w:val="none"/>
            </w:rPr>
            <w:fldChar w:fldCharType="end"/>
          </w:r>
        </w:p>
        <w:p w14:paraId="52D792F6">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_Toc9396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8. 纪律和监督</w:t>
          </w:r>
          <w:r>
            <w:rPr>
              <w:color w:val="auto"/>
              <w:highlight w:val="none"/>
            </w:rPr>
            <w:tab/>
          </w:r>
          <w:r>
            <w:rPr>
              <w:color w:val="auto"/>
              <w:highlight w:val="none"/>
            </w:rPr>
            <w:fldChar w:fldCharType="begin"/>
          </w:r>
          <w:r>
            <w:rPr>
              <w:color w:val="auto"/>
              <w:highlight w:val="none"/>
            </w:rPr>
            <w:instrText xml:space="preserve"> PAGEREF _Toc9396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szCs w:val="19"/>
              <w:highlight w:val="none"/>
            </w:rPr>
            <w:fldChar w:fldCharType="end"/>
          </w:r>
        </w:p>
        <w:p w14:paraId="7DDC071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_Toc16074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8.1 对招标人的纪律要求</w:t>
          </w:r>
          <w:r>
            <w:rPr>
              <w:color w:val="auto"/>
              <w:highlight w:val="none"/>
            </w:rPr>
            <w:tab/>
          </w:r>
          <w:r>
            <w:rPr>
              <w:color w:val="auto"/>
              <w:highlight w:val="none"/>
            </w:rPr>
            <w:fldChar w:fldCharType="begin"/>
          </w:r>
          <w:r>
            <w:rPr>
              <w:color w:val="auto"/>
              <w:highlight w:val="none"/>
            </w:rPr>
            <w:instrText xml:space="preserve"> PAGEREF _Toc16074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szCs w:val="19"/>
              <w:highlight w:val="none"/>
            </w:rPr>
            <w:fldChar w:fldCharType="end"/>
          </w:r>
        </w:p>
        <w:p w14:paraId="3BC10659">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_Toc10199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8.2 对投标人的纪律要求</w:t>
          </w:r>
          <w:r>
            <w:rPr>
              <w:color w:val="auto"/>
              <w:highlight w:val="none"/>
            </w:rPr>
            <w:tab/>
          </w:r>
          <w:r>
            <w:rPr>
              <w:color w:val="auto"/>
              <w:highlight w:val="none"/>
            </w:rPr>
            <w:fldChar w:fldCharType="begin"/>
          </w:r>
          <w:r>
            <w:rPr>
              <w:color w:val="auto"/>
              <w:highlight w:val="none"/>
            </w:rPr>
            <w:instrText xml:space="preserve"> PAGEREF _Toc10199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szCs w:val="19"/>
              <w:highlight w:val="none"/>
            </w:rPr>
            <w:fldChar w:fldCharType="end"/>
          </w:r>
        </w:p>
        <w:p w14:paraId="2BCF453C">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_Toc370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8.3 对评标委员会成员的纪律要求</w:t>
          </w:r>
          <w:r>
            <w:rPr>
              <w:color w:val="auto"/>
              <w:highlight w:val="none"/>
            </w:rPr>
            <w:tab/>
          </w:r>
          <w:r>
            <w:rPr>
              <w:color w:val="auto"/>
              <w:highlight w:val="none"/>
            </w:rPr>
            <w:fldChar w:fldCharType="begin"/>
          </w:r>
          <w:r>
            <w:rPr>
              <w:color w:val="auto"/>
              <w:highlight w:val="none"/>
            </w:rPr>
            <w:instrText xml:space="preserve"> PAGEREF _Toc370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szCs w:val="19"/>
              <w:highlight w:val="none"/>
            </w:rPr>
            <w:fldChar w:fldCharType="end"/>
          </w:r>
        </w:p>
        <w:p w14:paraId="18342C6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_Toc17992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8.4 对与评标活动有关的工作人员的纪律要求</w:t>
          </w:r>
          <w:r>
            <w:rPr>
              <w:color w:val="auto"/>
              <w:highlight w:val="none"/>
            </w:rPr>
            <w:tab/>
          </w:r>
          <w:r>
            <w:rPr>
              <w:color w:val="auto"/>
              <w:highlight w:val="none"/>
            </w:rPr>
            <w:fldChar w:fldCharType="begin"/>
          </w:r>
          <w:r>
            <w:rPr>
              <w:color w:val="auto"/>
              <w:highlight w:val="none"/>
            </w:rPr>
            <w:instrText xml:space="preserve"> PAGEREF _Toc17992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szCs w:val="19"/>
              <w:highlight w:val="none"/>
            </w:rPr>
            <w:fldChar w:fldCharType="end"/>
          </w:r>
        </w:p>
        <w:p w14:paraId="504A17D4">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_Toc4867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8.5 投诉</w:t>
          </w:r>
          <w:r>
            <w:rPr>
              <w:color w:val="auto"/>
              <w:highlight w:val="none"/>
            </w:rPr>
            <w:tab/>
          </w:r>
          <w:r>
            <w:rPr>
              <w:color w:val="auto"/>
              <w:highlight w:val="none"/>
            </w:rPr>
            <w:fldChar w:fldCharType="begin"/>
          </w:r>
          <w:r>
            <w:rPr>
              <w:color w:val="auto"/>
              <w:highlight w:val="none"/>
            </w:rPr>
            <w:instrText xml:space="preserve"> PAGEREF _Toc4867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szCs w:val="19"/>
              <w:highlight w:val="none"/>
            </w:rPr>
            <w:fldChar w:fldCharType="end"/>
          </w:r>
        </w:p>
        <w:p w14:paraId="1424E23C">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_Toc27275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9. 是否采用电子招标投标</w:t>
          </w:r>
          <w:r>
            <w:rPr>
              <w:color w:val="auto"/>
              <w:highlight w:val="none"/>
            </w:rPr>
            <w:tab/>
          </w:r>
          <w:r>
            <w:rPr>
              <w:color w:val="auto"/>
              <w:highlight w:val="none"/>
            </w:rPr>
            <w:fldChar w:fldCharType="begin"/>
          </w:r>
          <w:r>
            <w:rPr>
              <w:color w:val="auto"/>
              <w:highlight w:val="none"/>
            </w:rPr>
            <w:instrText xml:space="preserve"> PAGEREF _Toc27275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szCs w:val="19"/>
              <w:highlight w:val="none"/>
            </w:rPr>
            <w:fldChar w:fldCharType="end"/>
          </w:r>
        </w:p>
        <w:p w14:paraId="20ED1157">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_Toc15481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10. 需要补充的其他内容</w:t>
          </w:r>
          <w:r>
            <w:rPr>
              <w:color w:val="auto"/>
              <w:highlight w:val="none"/>
            </w:rPr>
            <w:tab/>
          </w:r>
          <w:r>
            <w:rPr>
              <w:color w:val="auto"/>
              <w:highlight w:val="none"/>
            </w:rPr>
            <w:fldChar w:fldCharType="begin"/>
          </w:r>
          <w:r>
            <w:rPr>
              <w:color w:val="auto"/>
              <w:highlight w:val="none"/>
            </w:rPr>
            <w:instrText xml:space="preserve"> PAGEREF _Toc15481 \h </w:instrText>
          </w:r>
          <w:r>
            <w:rPr>
              <w:color w:val="auto"/>
              <w:highlight w:val="none"/>
            </w:rPr>
            <w:fldChar w:fldCharType="separate"/>
          </w:r>
          <w:r>
            <w:rPr>
              <w:color w:val="auto"/>
              <w:highlight w:val="none"/>
            </w:rPr>
            <w:t>41</w:t>
          </w:r>
          <w:r>
            <w:rPr>
              <w:color w:val="auto"/>
              <w:highlight w:val="none"/>
            </w:rPr>
            <w:fldChar w:fldCharType="end"/>
          </w:r>
          <w:r>
            <w:rPr>
              <w:rFonts w:hint="eastAsia" w:ascii="宋体" w:hAnsi="宋体" w:eastAsia="宋体" w:cs="宋体"/>
              <w:color w:val="auto"/>
              <w:szCs w:val="19"/>
              <w:highlight w:val="none"/>
            </w:rPr>
            <w:fldChar w:fldCharType="end"/>
          </w:r>
        </w:p>
        <w:p w14:paraId="17AB91BC">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_Toc18446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附件一 开标记录表</w:t>
          </w:r>
          <w:r>
            <w:rPr>
              <w:color w:val="auto"/>
              <w:highlight w:val="none"/>
            </w:rPr>
            <w:tab/>
          </w:r>
          <w:r>
            <w:rPr>
              <w:color w:val="auto"/>
              <w:highlight w:val="none"/>
            </w:rPr>
            <w:fldChar w:fldCharType="begin"/>
          </w:r>
          <w:r>
            <w:rPr>
              <w:color w:val="auto"/>
              <w:highlight w:val="none"/>
            </w:rPr>
            <w:instrText xml:space="preserve"> PAGEREF _Toc18446 \h </w:instrText>
          </w:r>
          <w:r>
            <w:rPr>
              <w:color w:val="auto"/>
              <w:highlight w:val="none"/>
            </w:rPr>
            <w:fldChar w:fldCharType="separate"/>
          </w:r>
          <w:r>
            <w:rPr>
              <w:color w:val="auto"/>
              <w:highlight w:val="none"/>
            </w:rPr>
            <w:t>42</w:t>
          </w:r>
          <w:r>
            <w:rPr>
              <w:color w:val="auto"/>
              <w:highlight w:val="none"/>
            </w:rPr>
            <w:fldChar w:fldCharType="end"/>
          </w:r>
          <w:r>
            <w:rPr>
              <w:rFonts w:hint="eastAsia" w:ascii="宋体" w:hAnsi="宋体" w:eastAsia="宋体" w:cs="宋体"/>
              <w:color w:val="auto"/>
              <w:szCs w:val="19"/>
              <w:highlight w:val="none"/>
            </w:rPr>
            <w:fldChar w:fldCharType="end"/>
          </w:r>
        </w:p>
        <w:p w14:paraId="2B1676A7">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_Toc16485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附件二 问题澄清通知</w:t>
          </w:r>
          <w:r>
            <w:rPr>
              <w:color w:val="auto"/>
              <w:highlight w:val="none"/>
            </w:rPr>
            <w:tab/>
          </w:r>
          <w:r>
            <w:rPr>
              <w:color w:val="auto"/>
              <w:highlight w:val="none"/>
            </w:rPr>
            <w:fldChar w:fldCharType="begin"/>
          </w:r>
          <w:r>
            <w:rPr>
              <w:color w:val="auto"/>
              <w:highlight w:val="none"/>
            </w:rPr>
            <w:instrText xml:space="preserve"> PAGEREF _Toc16485 \h </w:instrText>
          </w:r>
          <w:r>
            <w:rPr>
              <w:color w:val="auto"/>
              <w:highlight w:val="none"/>
            </w:rPr>
            <w:fldChar w:fldCharType="separate"/>
          </w:r>
          <w:r>
            <w:rPr>
              <w:color w:val="auto"/>
              <w:highlight w:val="none"/>
            </w:rPr>
            <w:t>44</w:t>
          </w:r>
          <w:r>
            <w:rPr>
              <w:color w:val="auto"/>
              <w:highlight w:val="none"/>
            </w:rPr>
            <w:fldChar w:fldCharType="end"/>
          </w:r>
          <w:r>
            <w:rPr>
              <w:rFonts w:hint="eastAsia" w:ascii="宋体" w:hAnsi="宋体" w:eastAsia="宋体" w:cs="宋体"/>
              <w:color w:val="auto"/>
              <w:szCs w:val="19"/>
              <w:highlight w:val="none"/>
            </w:rPr>
            <w:fldChar w:fldCharType="end"/>
          </w:r>
        </w:p>
        <w:p w14:paraId="0CAD57C7">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_Toc26765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附件三 问题的澄清</w:t>
          </w:r>
          <w:r>
            <w:rPr>
              <w:color w:val="auto"/>
              <w:highlight w:val="none"/>
            </w:rPr>
            <w:tab/>
          </w:r>
          <w:r>
            <w:rPr>
              <w:color w:val="auto"/>
              <w:highlight w:val="none"/>
            </w:rPr>
            <w:fldChar w:fldCharType="begin"/>
          </w:r>
          <w:r>
            <w:rPr>
              <w:color w:val="auto"/>
              <w:highlight w:val="none"/>
            </w:rPr>
            <w:instrText xml:space="preserve"> PAGEREF _Toc26765 \h </w:instrText>
          </w:r>
          <w:r>
            <w:rPr>
              <w:color w:val="auto"/>
              <w:highlight w:val="none"/>
            </w:rPr>
            <w:fldChar w:fldCharType="separate"/>
          </w:r>
          <w:r>
            <w:rPr>
              <w:color w:val="auto"/>
              <w:highlight w:val="none"/>
            </w:rPr>
            <w:t>45</w:t>
          </w:r>
          <w:r>
            <w:rPr>
              <w:color w:val="auto"/>
              <w:highlight w:val="none"/>
            </w:rPr>
            <w:fldChar w:fldCharType="end"/>
          </w:r>
          <w:r>
            <w:rPr>
              <w:rFonts w:hint="eastAsia" w:ascii="宋体" w:hAnsi="宋体" w:eastAsia="宋体" w:cs="宋体"/>
              <w:color w:val="auto"/>
              <w:szCs w:val="19"/>
              <w:highlight w:val="none"/>
            </w:rPr>
            <w:fldChar w:fldCharType="end"/>
          </w:r>
        </w:p>
        <w:p w14:paraId="39771743">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_Toc21820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附件四 中标通知书</w:t>
          </w:r>
          <w:r>
            <w:rPr>
              <w:color w:val="auto"/>
              <w:highlight w:val="none"/>
            </w:rPr>
            <w:tab/>
          </w:r>
          <w:r>
            <w:rPr>
              <w:color w:val="auto"/>
              <w:highlight w:val="none"/>
            </w:rPr>
            <w:fldChar w:fldCharType="begin"/>
          </w:r>
          <w:r>
            <w:rPr>
              <w:color w:val="auto"/>
              <w:highlight w:val="none"/>
            </w:rPr>
            <w:instrText xml:space="preserve"> PAGEREF _Toc21820 \h </w:instrText>
          </w:r>
          <w:r>
            <w:rPr>
              <w:color w:val="auto"/>
              <w:highlight w:val="none"/>
            </w:rPr>
            <w:fldChar w:fldCharType="separate"/>
          </w:r>
          <w:r>
            <w:rPr>
              <w:color w:val="auto"/>
              <w:highlight w:val="none"/>
            </w:rPr>
            <w:t>46</w:t>
          </w:r>
          <w:r>
            <w:rPr>
              <w:color w:val="auto"/>
              <w:highlight w:val="none"/>
            </w:rPr>
            <w:fldChar w:fldCharType="end"/>
          </w:r>
          <w:r>
            <w:rPr>
              <w:rFonts w:hint="eastAsia" w:ascii="宋体" w:hAnsi="宋体" w:eastAsia="宋体" w:cs="宋体"/>
              <w:color w:val="auto"/>
              <w:szCs w:val="19"/>
              <w:highlight w:val="none"/>
            </w:rPr>
            <w:fldChar w:fldCharType="end"/>
          </w:r>
        </w:p>
        <w:p w14:paraId="3CFED04C">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_Toc21936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附件五 中标结果通知书</w:t>
          </w:r>
          <w:r>
            <w:rPr>
              <w:color w:val="auto"/>
              <w:highlight w:val="none"/>
            </w:rPr>
            <w:tab/>
          </w:r>
          <w:r>
            <w:rPr>
              <w:color w:val="auto"/>
              <w:highlight w:val="none"/>
            </w:rPr>
            <w:fldChar w:fldCharType="begin"/>
          </w:r>
          <w:r>
            <w:rPr>
              <w:color w:val="auto"/>
              <w:highlight w:val="none"/>
            </w:rPr>
            <w:instrText xml:space="preserve"> PAGEREF _Toc21936 \h </w:instrText>
          </w:r>
          <w:r>
            <w:rPr>
              <w:color w:val="auto"/>
              <w:highlight w:val="none"/>
            </w:rPr>
            <w:fldChar w:fldCharType="separate"/>
          </w:r>
          <w:r>
            <w:rPr>
              <w:color w:val="auto"/>
              <w:highlight w:val="none"/>
            </w:rPr>
            <w:t>47</w:t>
          </w:r>
          <w:r>
            <w:rPr>
              <w:color w:val="auto"/>
              <w:highlight w:val="none"/>
            </w:rPr>
            <w:fldChar w:fldCharType="end"/>
          </w:r>
          <w:r>
            <w:rPr>
              <w:rFonts w:hint="eastAsia" w:ascii="宋体" w:hAnsi="宋体" w:eastAsia="宋体" w:cs="宋体"/>
              <w:color w:val="auto"/>
              <w:szCs w:val="19"/>
              <w:highlight w:val="none"/>
            </w:rPr>
            <w:fldChar w:fldCharType="end"/>
          </w:r>
        </w:p>
        <w:p w14:paraId="40361929">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_Toc24318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lang w:eastAsia="zh-CN"/>
            </w:rPr>
            <w:t>附件六 确认通知</w:t>
          </w:r>
          <w:r>
            <w:rPr>
              <w:color w:val="auto"/>
              <w:highlight w:val="none"/>
            </w:rPr>
            <w:tab/>
          </w:r>
          <w:r>
            <w:rPr>
              <w:color w:val="auto"/>
              <w:highlight w:val="none"/>
            </w:rPr>
            <w:fldChar w:fldCharType="begin"/>
          </w:r>
          <w:r>
            <w:rPr>
              <w:color w:val="auto"/>
              <w:highlight w:val="none"/>
            </w:rPr>
            <w:instrText xml:space="preserve"> PAGEREF _Toc24318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19"/>
              <w:highlight w:val="none"/>
            </w:rPr>
            <w:fldChar w:fldCharType="end"/>
          </w:r>
        </w:p>
        <w:p w14:paraId="62C69CA6">
          <w:pPr>
            <w:pStyle w:val="11"/>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_Toc18563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43"/>
              <w:highlight w:val="none"/>
              <w:lang w:eastAsia="zh-CN"/>
            </w:rPr>
            <w:t>第三章  评标办法（综合评估法）</w:t>
          </w:r>
          <w:r>
            <w:rPr>
              <w:color w:val="auto"/>
              <w:highlight w:val="none"/>
            </w:rPr>
            <w:tab/>
          </w:r>
          <w:r>
            <w:rPr>
              <w:color w:val="auto"/>
              <w:highlight w:val="none"/>
            </w:rPr>
            <w:fldChar w:fldCharType="begin"/>
          </w:r>
          <w:r>
            <w:rPr>
              <w:color w:val="auto"/>
              <w:highlight w:val="none"/>
            </w:rPr>
            <w:instrText xml:space="preserve"> PAGEREF _Toc18563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szCs w:val="19"/>
              <w:highlight w:val="none"/>
            </w:rPr>
            <w:fldChar w:fldCharType="end"/>
          </w:r>
        </w:p>
        <w:p w14:paraId="45E34CB6">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_Toc19284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24"/>
              <w:highlight w:val="none"/>
            </w:rPr>
            <w:t>评标办法前附表</w:t>
          </w:r>
          <w:r>
            <w:rPr>
              <w:color w:val="auto"/>
              <w:highlight w:val="none"/>
            </w:rPr>
            <w:tab/>
          </w:r>
          <w:r>
            <w:rPr>
              <w:color w:val="auto"/>
              <w:highlight w:val="none"/>
            </w:rPr>
            <w:fldChar w:fldCharType="begin"/>
          </w:r>
          <w:r>
            <w:rPr>
              <w:color w:val="auto"/>
              <w:highlight w:val="none"/>
            </w:rPr>
            <w:instrText xml:space="preserve"> PAGEREF _Toc19284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szCs w:val="19"/>
              <w:highlight w:val="none"/>
            </w:rPr>
            <w:fldChar w:fldCharType="end"/>
          </w:r>
        </w:p>
        <w:p w14:paraId="3C056627">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_Toc21940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1.评标方法</w:t>
          </w:r>
          <w:r>
            <w:rPr>
              <w:color w:val="auto"/>
              <w:highlight w:val="none"/>
            </w:rPr>
            <w:tab/>
          </w:r>
          <w:r>
            <w:rPr>
              <w:color w:val="auto"/>
              <w:highlight w:val="none"/>
            </w:rPr>
            <w:fldChar w:fldCharType="begin"/>
          </w:r>
          <w:r>
            <w:rPr>
              <w:color w:val="auto"/>
              <w:highlight w:val="none"/>
            </w:rPr>
            <w:instrText xml:space="preserve"> PAGEREF _Toc21940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1821005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_Toc19279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2.评审标准</w:t>
          </w:r>
          <w:r>
            <w:rPr>
              <w:color w:val="auto"/>
              <w:highlight w:val="none"/>
            </w:rPr>
            <w:tab/>
          </w:r>
          <w:r>
            <w:rPr>
              <w:color w:val="auto"/>
              <w:highlight w:val="none"/>
            </w:rPr>
            <w:fldChar w:fldCharType="begin"/>
          </w:r>
          <w:r>
            <w:rPr>
              <w:color w:val="auto"/>
              <w:highlight w:val="none"/>
            </w:rPr>
            <w:instrText xml:space="preserve"> PAGEREF _Toc19279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4D91BD2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_Toc1210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2.1 初步评审标准</w:t>
          </w:r>
          <w:r>
            <w:rPr>
              <w:color w:val="auto"/>
              <w:highlight w:val="none"/>
            </w:rPr>
            <w:tab/>
          </w:r>
          <w:r>
            <w:rPr>
              <w:color w:val="auto"/>
              <w:highlight w:val="none"/>
            </w:rPr>
            <w:fldChar w:fldCharType="begin"/>
          </w:r>
          <w:r>
            <w:rPr>
              <w:color w:val="auto"/>
              <w:highlight w:val="none"/>
            </w:rPr>
            <w:instrText xml:space="preserve"> PAGEREF _Toc1210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115A5520">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_Toc16496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2.2 分值构成与评分标准</w:t>
          </w:r>
          <w:r>
            <w:rPr>
              <w:color w:val="auto"/>
              <w:highlight w:val="none"/>
            </w:rPr>
            <w:tab/>
          </w:r>
          <w:r>
            <w:rPr>
              <w:color w:val="auto"/>
              <w:highlight w:val="none"/>
            </w:rPr>
            <w:fldChar w:fldCharType="begin"/>
          </w:r>
          <w:r>
            <w:rPr>
              <w:color w:val="auto"/>
              <w:highlight w:val="none"/>
            </w:rPr>
            <w:instrText xml:space="preserve"> PAGEREF _Toc16496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38986FFB">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_Toc29019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8"/>
              <w:highlight w:val="none"/>
              <w:lang w:eastAsia="zh-CN"/>
            </w:rPr>
            <w:t>3.评标程序</w:t>
          </w:r>
          <w:r>
            <w:rPr>
              <w:color w:val="auto"/>
              <w:highlight w:val="none"/>
            </w:rPr>
            <w:tab/>
          </w:r>
          <w:r>
            <w:rPr>
              <w:color w:val="auto"/>
              <w:highlight w:val="none"/>
            </w:rPr>
            <w:fldChar w:fldCharType="begin"/>
          </w:r>
          <w:r>
            <w:rPr>
              <w:color w:val="auto"/>
              <w:highlight w:val="none"/>
            </w:rPr>
            <w:instrText xml:space="preserve"> PAGEREF _Toc29019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4069AC7E">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_Toc7843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3.1 第一个信封初步评审</w:t>
          </w:r>
          <w:r>
            <w:rPr>
              <w:color w:val="auto"/>
              <w:highlight w:val="none"/>
            </w:rPr>
            <w:tab/>
          </w:r>
          <w:r>
            <w:rPr>
              <w:color w:val="auto"/>
              <w:highlight w:val="none"/>
            </w:rPr>
            <w:fldChar w:fldCharType="begin"/>
          </w:r>
          <w:r>
            <w:rPr>
              <w:color w:val="auto"/>
              <w:highlight w:val="none"/>
            </w:rPr>
            <w:instrText xml:space="preserve"> PAGEREF _Toc7843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19"/>
              <w:highlight w:val="none"/>
            </w:rPr>
            <w:fldChar w:fldCharType="end"/>
          </w:r>
        </w:p>
        <w:p w14:paraId="0249369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_Toc21027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3.2 第一个信封详细评审</w:t>
          </w:r>
          <w:r>
            <w:rPr>
              <w:color w:val="auto"/>
              <w:highlight w:val="none"/>
            </w:rPr>
            <w:tab/>
          </w:r>
          <w:r>
            <w:rPr>
              <w:color w:val="auto"/>
              <w:highlight w:val="none"/>
            </w:rPr>
            <w:fldChar w:fldCharType="begin"/>
          </w:r>
          <w:r>
            <w:rPr>
              <w:color w:val="auto"/>
              <w:highlight w:val="none"/>
            </w:rPr>
            <w:instrText xml:space="preserve"> PAGEREF _Toc21027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szCs w:val="19"/>
              <w:highlight w:val="none"/>
            </w:rPr>
            <w:fldChar w:fldCharType="end"/>
          </w:r>
        </w:p>
        <w:p w14:paraId="37FBA495">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_Toc21323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3.3 第二个信封开标</w:t>
          </w:r>
          <w:r>
            <w:rPr>
              <w:color w:val="auto"/>
              <w:highlight w:val="none"/>
            </w:rPr>
            <w:tab/>
          </w:r>
          <w:r>
            <w:rPr>
              <w:color w:val="auto"/>
              <w:highlight w:val="none"/>
            </w:rPr>
            <w:fldChar w:fldCharType="begin"/>
          </w:r>
          <w:r>
            <w:rPr>
              <w:color w:val="auto"/>
              <w:highlight w:val="none"/>
            </w:rPr>
            <w:instrText xml:space="preserve"> PAGEREF _Toc21323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szCs w:val="19"/>
              <w:highlight w:val="none"/>
            </w:rPr>
            <w:fldChar w:fldCharType="end"/>
          </w:r>
        </w:p>
        <w:p w14:paraId="48803E43">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_Toc21449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3.4 第二个信封初步评审</w:t>
          </w:r>
          <w:r>
            <w:rPr>
              <w:color w:val="auto"/>
              <w:highlight w:val="none"/>
            </w:rPr>
            <w:tab/>
          </w:r>
          <w:r>
            <w:rPr>
              <w:color w:val="auto"/>
              <w:highlight w:val="none"/>
            </w:rPr>
            <w:fldChar w:fldCharType="begin"/>
          </w:r>
          <w:r>
            <w:rPr>
              <w:color w:val="auto"/>
              <w:highlight w:val="none"/>
            </w:rPr>
            <w:instrText xml:space="preserve"> PAGEREF _Toc21449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szCs w:val="19"/>
              <w:highlight w:val="none"/>
            </w:rPr>
            <w:fldChar w:fldCharType="end"/>
          </w:r>
        </w:p>
        <w:p w14:paraId="05E9B490">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_Toc415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3.5 第二个信封详细评审</w:t>
          </w:r>
          <w:r>
            <w:rPr>
              <w:color w:val="auto"/>
              <w:highlight w:val="none"/>
            </w:rPr>
            <w:tab/>
          </w:r>
          <w:r>
            <w:rPr>
              <w:color w:val="auto"/>
              <w:highlight w:val="none"/>
            </w:rPr>
            <w:fldChar w:fldCharType="begin"/>
          </w:r>
          <w:r>
            <w:rPr>
              <w:color w:val="auto"/>
              <w:highlight w:val="none"/>
            </w:rPr>
            <w:instrText xml:space="preserve"> PAGEREF _Toc415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19"/>
              <w:highlight w:val="none"/>
            </w:rPr>
            <w:fldChar w:fldCharType="end"/>
          </w:r>
        </w:p>
        <w:p w14:paraId="0C845D51">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_Toc30876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3.6 投标文件相关信息的核查</w:t>
          </w:r>
          <w:r>
            <w:rPr>
              <w:color w:val="auto"/>
              <w:highlight w:val="none"/>
            </w:rPr>
            <w:tab/>
          </w:r>
          <w:r>
            <w:rPr>
              <w:color w:val="auto"/>
              <w:highlight w:val="none"/>
            </w:rPr>
            <w:fldChar w:fldCharType="begin"/>
          </w:r>
          <w:r>
            <w:rPr>
              <w:color w:val="auto"/>
              <w:highlight w:val="none"/>
            </w:rPr>
            <w:instrText xml:space="preserve"> PAGEREF _Toc30876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19"/>
              <w:highlight w:val="none"/>
            </w:rPr>
            <w:fldChar w:fldCharType="end"/>
          </w:r>
        </w:p>
        <w:p w14:paraId="1523621A">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_Toc9947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3.7 投标文件的澄清和说明</w:t>
          </w:r>
          <w:r>
            <w:rPr>
              <w:color w:val="auto"/>
              <w:highlight w:val="none"/>
            </w:rPr>
            <w:tab/>
          </w:r>
          <w:r>
            <w:rPr>
              <w:color w:val="auto"/>
              <w:highlight w:val="none"/>
            </w:rPr>
            <w:fldChar w:fldCharType="begin"/>
          </w:r>
          <w:r>
            <w:rPr>
              <w:color w:val="auto"/>
              <w:highlight w:val="none"/>
            </w:rPr>
            <w:instrText xml:space="preserve"> PAGEREF _Toc9947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szCs w:val="19"/>
              <w:highlight w:val="none"/>
            </w:rPr>
            <w:fldChar w:fldCharType="end"/>
          </w:r>
        </w:p>
        <w:p w14:paraId="21BCBE56">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_Toc25703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3.8 不得否决投标的情形</w:t>
          </w:r>
          <w:r>
            <w:rPr>
              <w:color w:val="auto"/>
              <w:highlight w:val="none"/>
            </w:rPr>
            <w:tab/>
          </w:r>
          <w:r>
            <w:rPr>
              <w:color w:val="auto"/>
              <w:highlight w:val="none"/>
            </w:rPr>
            <w:fldChar w:fldCharType="begin"/>
          </w:r>
          <w:r>
            <w:rPr>
              <w:color w:val="auto"/>
              <w:highlight w:val="none"/>
            </w:rPr>
            <w:instrText xml:space="preserve"> PAGEREF _Toc25703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19"/>
              <w:highlight w:val="none"/>
            </w:rPr>
            <w:fldChar w:fldCharType="end"/>
          </w:r>
        </w:p>
        <w:p w14:paraId="304567E8">
          <w:pPr>
            <w:pStyle w:val="7"/>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_Toc3353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24"/>
              <w:highlight w:val="none"/>
              <w:lang w:eastAsia="zh-CN"/>
            </w:rPr>
            <w:t>3.9 评标结果</w:t>
          </w:r>
          <w:r>
            <w:rPr>
              <w:color w:val="auto"/>
              <w:highlight w:val="none"/>
            </w:rPr>
            <w:tab/>
          </w:r>
          <w:r>
            <w:rPr>
              <w:color w:val="auto"/>
              <w:highlight w:val="none"/>
            </w:rPr>
            <w:fldChar w:fldCharType="begin"/>
          </w:r>
          <w:r>
            <w:rPr>
              <w:color w:val="auto"/>
              <w:highlight w:val="none"/>
            </w:rPr>
            <w:instrText xml:space="preserve"> PAGEREF _Toc3353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19"/>
              <w:highlight w:val="none"/>
            </w:rPr>
            <w:fldChar w:fldCharType="end"/>
          </w:r>
        </w:p>
        <w:p w14:paraId="683EA9F1">
          <w:pPr>
            <w:pStyle w:val="11"/>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_Toc113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55"/>
              <w:highlight w:val="none"/>
              <w:lang w:eastAsia="zh-CN"/>
            </w:rPr>
            <w:t>第四章  合同条款及格式</w:t>
          </w:r>
          <w:r>
            <w:rPr>
              <w:color w:val="auto"/>
              <w:highlight w:val="none"/>
            </w:rPr>
            <w:tab/>
          </w:r>
          <w:r>
            <w:rPr>
              <w:color w:val="auto"/>
              <w:highlight w:val="none"/>
            </w:rPr>
            <w:fldChar w:fldCharType="begin"/>
          </w:r>
          <w:r>
            <w:rPr>
              <w:color w:val="auto"/>
              <w:highlight w:val="none"/>
            </w:rPr>
            <w:instrText xml:space="preserve"> PAGEREF _Toc113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19"/>
              <w:highlight w:val="none"/>
            </w:rPr>
            <w:fldChar w:fldCharType="end"/>
          </w:r>
        </w:p>
        <w:p w14:paraId="2E603451">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_Toc27084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31"/>
              <w:highlight w:val="none"/>
              <w:lang w:eastAsia="zh-CN"/>
            </w:rPr>
            <w:t>第一节 通用合同条款</w:t>
          </w:r>
          <w:r>
            <w:rPr>
              <w:color w:val="auto"/>
              <w:highlight w:val="none"/>
            </w:rPr>
            <w:tab/>
          </w:r>
          <w:r>
            <w:rPr>
              <w:color w:val="auto"/>
              <w:highlight w:val="none"/>
            </w:rPr>
            <w:fldChar w:fldCharType="begin"/>
          </w:r>
          <w:r>
            <w:rPr>
              <w:color w:val="auto"/>
              <w:highlight w:val="none"/>
            </w:rPr>
            <w:instrText xml:space="preserve"> PAGEREF _Toc27084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19"/>
              <w:highlight w:val="none"/>
            </w:rPr>
            <w:fldChar w:fldCharType="end"/>
          </w:r>
        </w:p>
        <w:p w14:paraId="40293C4D">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_Toc134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31"/>
              <w:highlight w:val="none"/>
              <w:lang w:eastAsia="zh-CN"/>
            </w:rPr>
            <w:t>第二节 专用合同条款</w:t>
          </w:r>
          <w:r>
            <w:rPr>
              <w:color w:val="auto"/>
              <w:highlight w:val="none"/>
            </w:rPr>
            <w:tab/>
          </w:r>
          <w:r>
            <w:rPr>
              <w:color w:val="auto"/>
              <w:highlight w:val="none"/>
            </w:rPr>
            <w:fldChar w:fldCharType="begin"/>
          </w:r>
          <w:r>
            <w:rPr>
              <w:color w:val="auto"/>
              <w:highlight w:val="none"/>
            </w:rPr>
            <w:instrText xml:space="preserve"> PAGEREF _Toc134 \h </w:instrText>
          </w:r>
          <w:r>
            <w:rPr>
              <w:color w:val="auto"/>
              <w:highlight w:val="none"/>
            </w:rPr>
            <w:fldChar w:fldCharType="separate"/>
          </w:r>
          <w:r>
            <w:rPr>
              <w:color w:val="auto"/>
              <w:highlight w:val="none"/>
            </w:rPr>
            <w:t>92</w:t>
          </w:r>
          <w:r>
            <w:rPr>
              <w:color w:val="auto"/>
              <w:highlight w:val="none"/>
            </w:rPr>
            <w:fldChar w:fldCharType="end"/>
          </w:r>
          <w:r>
            <w:rPr>
              <w:rFonts w:hint="eastAsia" w:ascii="宋体" w:hAnsi="宋体" w:eastAsia="宋体" w:cs="宋体"/>
              <w:color w:val="auto"/>
              <w:szCs w:val="19"/>
              <w:highlight w:val="none"/>
            </w:rPr>
            <w:fldChar w:fldCharType="end"/>
          </w:r>
        </w:p>
        <w:p w14:paraId="41DB4139">
          <w:pPr>
            <w:pStyle w:val="12"/>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_Toc11566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31"/>
              <w:highlight w:val="none"/>
              <w:lang w:eastAsia="zh-CN"/>
            </w:rPr>
            <w:t>第三节 合同附件格式</w:t>
          </w:r>
          <w:r>
            <w:rPr>
              <w:color w:val="auto"/>
              <w:highlight w:val="none"/>
            </w:rPr>
            <w:tab/>
          </w:r>
          <w:r>
            <w:rPr>
              <w:color w:val="auto"/>
              <w:highlight w:val="none"/>
            </w:rPr>
            <w:fldChar w:fldCharType="begin"/>
          </w:r>
          <w:r>
            <w:rPr>
              <w:color w:val="auto"/>
              <w:highlight w:val="none"/>
            </w:rPr>
            <w:instrText xml:space="preserve"> PAGEREF _Toc11566 \h </w:instrText>
          </w:r>
          <w:r>
            <w:rPr>
              <w:color w:val="auto"/>
              <w:highlight w:val="none"/>
            </w:rPr>
            <w:fldChar w:fldCharType="separate"/>
          </w:r>
          <w:r>
            <w:rPr>
              <w:color w:val="auto"/>
              <w:highlight w:val="none"/>
            </w:rPr>
            <w:t>105</w:t>
          </w:r>
          <w:r>
            <w:rPr>
              <w:color w:val="auto"/>
              <w:highlight w:val="none"/>
            </w:rPr>
            <w:fldChar w:fldCharType="end"/>
          </w:r>
          <w:r>
            <w:rPr>
              <w:rFonts w:hint="eastAsia" w:ascii="宋体" w:hAnsi="宋体" w:eastAsia="宋体" w:cs="宋体"/>
              <w:color w:val="auto"/>
              <w:szCs w:val="19"/>
              <w:highlight w:val="none"/>
            </w:rPr>
            <w:fldChar w:fldCharType="end"/>
          </w:r>
        </w:p>
        <w:p w14:paraId="3BC54499">
          <w:pPr>
            <w:pStyle w:val="11"/>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_Toc22819 </w:instrText>
          </w:r>
          <w:r>
            <w:rPr>
              <w:rFonts w:hint="eastAsia" w:ascii="宋体" w:hAnsi="宋体" w:eastAsia="宋体" w:cs="宋体"/>
              <w:color w:val="auto"/>
              <w:szCs w:val="19"/>
              <w:highlight w:val="none"/>
            </w:rPr>
            <w:fldChar w:fldCharType="separate"/>
          </w:r>
          <w:r>
            <w:rPr>
              <w:rFonts w:hint="eastAsia" w:ascii="宋体" w:hAnsi="宋体" w:eastAsia="宋体" w:cs="宋体"/>
              <w:bCs/>
              <w:color w:val="auto"/>
              <w:szCs w:val="36"/>
              <w:highlight w:val="none"/>
              <w:lang w:eastAsia="zh-CN"/>
            </w:rPr>
            <w:t>第五章</w:t>
          </w:r>
          <w:r>
            <w:rPr>
              <w:rFonts w:hint="eastAsia" w:ascii="宋体" w:hAnsi="宋体" w:eastAsia="宋体" w:cs="宋体"/>
              <w:color w:val="auto"/>
              <w:szCs w:val="36"/>
              <w:highlight w:val="none"/>
              <w:lang w:eastAsia="zh-CN"/>
            </w:rPr>
            <w:t xml:space="preserve">  </w:t>
          </w:r>
          <w:r>
            <w:rPr>
              <w:rFonts w:hint="eastAsia" w:ascii="宋体" w:hAnsi="宋体" w:eastAsia="宋体" w:cs="宋体"/>
              <w:bCs/>
              <w:color w:val="auto"/>
              <w:szCs w:val="36"/>
              <w:highlight w:val="none"/>
              <w:lang w:eastAsia="zh-CN"/>
            </w:rPr>
            <w:t>发包人要求</w:t>
          </w:r>
          <w:r>
            <w:rPr>
              <w:color w:val="auto"/>
              <w:highlight w:val="none"/>
            </w:rPr>
            <w:tab/>
          </w:r>
          <w:r>
            <w:rPr>
              <w:color w:val="auto"/>
              <w:highlight w:val="none"/>
            </w:rPr>
            <w:fldChar w:fldCharType="begin"/>
          </w:r>
          <w:r>
            <w:rPr>
              <w:color w:val="auto"/>
              <w:highlight w:val="none"/>
            </w:rPr>
            <w:instrText xml:space="preserve"> PAGEREF _Toc22819 \h </w:instrText>
          </w:r>
          <w:r>
            <w:rPr>
              <w:color w:val="auto"/>
              <w:highlight w:val="none"/>
            </w:rPr>
            <w:fldChar w:fldCharType="separate"/>
          </w:r>
          <w:r>
            <w:rPr>
              <w:color w:val="auto"/>
              <w:highlight w:val="none"/>
            </w:rPr>
            <w:t>115</w:t>
          </w:r>
          <w:r>
            <w:rPr>
              <w:color w:val="auto"/>
              <w:highlight w:val="none"/>
            </w:rPr>
            <w:fldChar w:fldCharType="end"/>
          </w:r>
          <w:r>
            <w:rPr>
              <w:rFonts w:hint="eastAsia" w:ascii="宋体" w:hAnsi="宋体" w:eastAsia="宋体" w:cs="宋体"/>
              <w:color w:val="auto"/>
              <w:szCs w:val="19"/>
              <w:highlight w:val="none"/>
            </w:rPr>
            <w:fldChar w:fldCharType="end"/>
          </w:r>
        </w:p>
        <w:p w14:paraId="52515EAF">
          <w:pPr>
            <w:pStyle w:val="11"/>
            <w:tabs>
              <w:tab w:val="right" w:leader="dot" w:pos="8791"/>
            </w:tabs>
            <w:rPr>
              <w:color w:val="auto"/>
              <w:highlight w:val="none"/>
            </w:rPr>
          </w:pPr>
          <w:r>
            <w:rPr>
              <w:rFonts w:hint="eastAsia" w:ascii="宋体" w:hAnsi="宋体" w:eastAsia="宋体" w:cs="宋体"/>
              <w:color w:val="auto"/>
              <w:szCs w:val="19"/>
              <w:highlight w:val="none"/>
            </w:rPr>
            <w:fldChar w:fldCharType="begin"/>
          </w:r>
          <w:r>
            <w:rPr>
              <w:rFonts w:hint="eastAsia" w:ascii="宋体" w:hAnsi="宋体" w:eastAsia="宋体" w:cs="宋体"/>
              <w:color w:val="auto"/>
              <w:szCs w:val="19"/>
              <w:highlight w:val="none"/>
            </w:rPr>
            <w:instrText xml:space="preserve"> HYPERLINK \l _Toc29228 </w:instrText>
          </w:r>
          <w:r>
            <w:rPr>
              <w:rFonts w:hint="eastAsia" w:ascii="宋体" w:hAnsi="宋体" w:eastAsia="宋体" w:cs="宋体"/>
              <w:color w:val="auto"/>
              <w:szCs w:val="19"/>
              <w:highlight w:val="none"/>
            </w:rPr>
            <w:fldChar w:fldCharType="separate"/>
          </w:r>
          <w:r>
            <w:rPr>
              <w:rFonts w:hint="eastAsia" w:ascii="宋体" w:hAnsi="宋体" w:eastAsia="宋体" w:cs="宋体"/>
              <w:color w:val="auto"/>
              <w:szCs w:val="55"/>
              <w:highlight w:val="none"/>
              <w:lang w:eastAsia="zh-CN"/>
            </w:rPr>
            <w:t>第六章  投标文件格式</w:t>
          </w:r>
          <w:r>
            <w:rPr>
              <w:color w:val="auto"/>
              <w:highlight w:val="none"/>
            </w:rPr>
            <w:tab/>
          </w:r>
          <w:r>
            <w:rPr>
              <w:color w:val="auto"/>
              <w:highlight w:val="none"/>
            </w:rPr>
            <w:fldChar w:fldCharType="begin"/>
          </w:r>
          <w:r>
            <w:rPr>
              <w:color w:val="auto"/>
              <w:highlight w:val="none"/>
            </w:rPr>
            <w:instrText xml:space="preserve"> PAGEREF _Toc29228 \h </w:instrText>
          </w:r>
          <w:r>
            <w:rPr>
              <w:color w:val="auto"/>
              <w:highlight w:val="none"/>
            </w:rPr>
            <w:fldChar w:fldCharType="separate"/>
          </w:r>
          <w:r>
            <w:rPr>
              <w:color w:val="auto"/>
              <w:highlight w:val="none"/>
            </w:rPr>
            <w:t>121</w:t>
          </w:r>
          <w:r>
            <w:rPr>
              <w:color w:val="auto"/>
              <w:highlight w:val="none"/>
            </w:rPr>
            <w:fldChar w:fldCharType="end"/>
          </w:r>
          <w:r>
            <w:rPr>
              <w:rFonts w:hint="eastAsia" w:ascii="宋体" w:hAnsi="宋体" w:eastAsia="宋体" w:cs="宋体"/>
              <w:color w:val="auto"/>
              <w:szCs w:val="19"/>
              <w:highlight w:val="none"/>
            </w:rPr>
            <w:fldChar w:fldCharType="end"/>
          </w:r>
        </w:p>
        <w:p w14:paraId="1DA3C5D0">
          <w:pPr>
            <w:kinsoku/>
            <w:spacing w:line="228" w:lineRule="auto"/>
            <w:rPr>
              <w:rFonts w:ascii="宋体" w:hAnsi="宋体" w:eastAsia="宋体" w:cs="宋体"/>
              <w:color w:val="auto"/>
              <w:szCs w:val="19"/>
              <w:highlight w:val="none"/>
            </w:rPr>
          </w:pPr>
          <w:r>
            <w:rPr>
              <w:rFonts w:hint="eastAsia" w:ascii="宋体" w:hAnsi="宋体" w:eastAsia="宋体" w:cs="宋体"/>
              <w:color w:val="auto"/>
              <w:szCs w:val="19"/>
              <w:highlight w:val="none"/>
            </w:rPr>
            <w:fldChar w:fldCharType="end"/>
          </w:r>
        </w:p>
      </w:sdtContent>
    </w:sdt>
    <w:p w14:paraId="1A68079D">
      <w:pPr>
        <w:kinsoku/>
        <w:spacing w:line="228" w:lineRule="auto"/>
        <w:rPr>
          <w:rFonts w:ascii="宋体" w:hAnsi="宋体" w:eastAsia="宋体" w:cs="宋体"/>
          <w:color w:val="auto"/>
          <w:szCs w:val="19"/>
          <w:highlight w:val="none"/>
        </w:rPr>
        <w:sectPr>
          <w:footerReference r:id="rId3" w:type="default"/>
          <w:pgSz w:w="11907" w:h="16841"/>
          <w:pgMar w:top="1431" w:right="1453" w:bottom="1251" w:left="1663" w:header="0" w:footer="1094" w:gutter="0"/>
          <w:cols w:space="720" w:num="1"/>
        </w:sectPr>
      </w:pPr>
    </w:p>
    <w:p w14:paraId="1EC84ECD">
      <w:pPr>
        <w:kinsoku/>
        <w:rPr>
          <w:rFonts w:ascii="宋体" w:hAnsi="宋体" w:eastAsia="宋体" w:cs="宋体"/>
          <w:color w:val="auto"/>
          <w:highlight w:val="none"/>
        </w:rPr>
      </w:pPr>
    </w:p>
    <w:p w14:paraId="68F3518F">
      <w:pPr>
        <w:kinsoku/>
        <w:rPr>
          <w:rFonts w:ascii="宋体" w:hAnsi="宋体" w:eastAsia="宋体" w:cs="宋体"/>
          <w:color w:val="auto"/>
          <w:highlight w:val="none"/>
        </w:rPr>
      </w:pPr>
    </w:p>
    <w:p w14:paraId="19BABA02">
      <w:pPr>
        <w:kinsoku/>
        <w:rPr>
          <w:rFonts w:ascii="宋体" w:hAnsi="宋体" w:eastAsia="宋体" w:cs="宋体"/>
          <w:color w:val="auto"/>
          <w:highlight w:val="none"/>
        </w:rPr>
      </w:pPr>
    </w:p>
    <w:p w14:paraId="6E127CBE">
      <w:pPr>
        <w:kinsoku/>
        <w:rPr>
          <w:rFonts w:ascii="宋体" w:hAnsi="宋体" w:eastAsia="宋体" w:cs="宋体"/>
          <w:color w:val="auto"/>
          <w:highlight w:val="none"/>
        </w:rPr>
      </w:pPr>
    </w:p>
    <w:p w14:paraId="2E019724">
      <w:pPr>
        <w:kinsoku/>
        <w:rPr>
          <w:rFonts w:ascii="宋体" w:hAnsi="宋体" w:eastAsia="宋体" w:cs="宋体"/>
          <w:color w:val="auto"/>
          <w:highlight w:val="none"/>
        </w:rPr>
      </w:pPr>
    </w:p>
    <w:p w14:paraId="6C80EF97">
      <w:pPr>
        <w:kinsoku/>
        <w:rPr>
          <w:rFonts w:ascii="宋体" w:hAnsi="宋体" w:eastAsia="宋体" w:cs="宋体"/>
          <w:color w:val="auto"/>
          <w:highlight w:val="none"/>
        </w:rPr>
      </w:pPr>
    </w:p>
    <w:p w14:paraId="418C3D69">
      <w:pPr>
        <w:kinsoku/>
        <w:rPr>
          <w:rFonts w:ascii="宋体" w:hAnsi="宋体" w:eastAsia="宋体" w:cs="宋体"/>
          <w:color w:val="auto"/>
          <w:highlight w:val="none"/>
        </w:rPr>
      </w:pPr>
    </w:p>
    <w:p w14:paraId="789AF6DB">
      <w:pPr>
        <w:kinsoku/>
        <w:rPr>
          <w:rFonts w:ascii="宋体" w:hAnsi="宋体" w:eastAsia="宋体" w:cs="宋体"/>
          <w:color w:val="auto"/>
          <w:highlight w:val="none"/>
        </w:rPr>
      </w:pPr>
    </w:p>
    <w:p w14:paraId="5AC4A498">
      <w:pPr>
        <w:kinsoku/>
        <w:rPr>
          <w:rFonts w:ascii="宋体" w:hAnsi="宋体" w:eastAsia="宋体" w:cs="宋体"/>
          <w:color w:val="auto"/>
          <w:highlight w:val="none"/>
        </w:rPr>
      </w:pPr>
    </w:p>
    <w:p w14:paraId="76D9DC57">
      <w:pPr>
        <w:kinsoku/>
        <w:rPr>
          <w:rFonts w:ascii="宋体" w:hAnsi="宋体" w:eastAsia="宋体" w:cs="宋体"/>
          <w:color w:val="auto"/>
          <w:highlight w:val="none"/>
        </w:rPr>
      </w:pPr>
    </w:p>
    <w:p w14:paraId="3BD07699">
      <w:pPr>
        <w:kinsoku/>
        <w:rPr>
          <w:rFonts w:ascii="宋体" w:hAnsi="宋体" w:eastAsia="宋体" w:cs="宋体"/>
          <w:color w:val="auto"/>
          <w:highlight w:val="none"/>
        </w:rPr>
      </w:pPr>
    </w:p>
    <w:p w14:paraId="06696CE8">
      <w:pPr>
        <w:kinsoku/>
        <w:rPr>
          <w:rFonts w:ascii="宋体" w:hAnsi="宋体" w:eastAsia="宋体" w:cs="宋体"/>
          <w:color w:val="auto"/>
          <w:highlight w:val="none"/>
        </w:rPr>
      </w:pPr>
    </w:p>
    <w:p w14:paraId="58972132">
      <w:pPr>
        <w:kinsoku/>
        <w:rPr>
          <w:rFonts w:ascii="宋体" w:hAnsi="宋体" w:eastAsia="宋体" w:cs="宋体"/>
          <w:color w:val="auto"/>
          <w:highlight w:val="none"/>
        </w:rPr>
      </w:pPr>
    </w:p>
    <w:p w14:paraId="6C4DABC1">
      <w:pPr>
        <w:kinsoku/>
        <w:spacing w:line="241" w:lineRule="auto"/>
        <w:rPr>
          <w:rFonts w:ascii="宋体" w:hAnsi="宋体" w:eastAsia="宋体" w:cs="宋体"/>
          <w:color w:val="auto"/>
          <w:highlight w:val="none"/>
        </w:rPr>
      </w:pPr>
    </w:p>
    <w:p w14:paraId="7D01CB2C">
      <w:pPr>
        <w:kinsoku/>
        <w:spacing w:line="241" w:lineRule="auto"/>
        <w:rPr>
          <w:rFonts w:ascii="宋体" w:hAnsi="宋体" w:eastAsia="宋体" w:cs="宋体"/>
          <w:color w:val="auto"/>
          <w:highlight w:val="none"/>
        </w:rPr>
      </w:pPr>
    </w:p>
    <w:p w14:paraId="36317C28">
      <w:pPr>
        <w:kinsoku/>
        <w:spacing w:line="241" w:lineRule="auto"/>
        <w:rPr>
          <w:rFonts w:ascii="宋体" w:hAnsi="宋体" w:eastAsia="宋体" w:cs="宋体"/>
          <w:color w:val="auto"/>
          <w:highlight w:val="none"/>
        </w:rPr>
      </w:pPr>
    </w:p>
    <w:p w14:paraId="02D36D57">
      <w:pPr>
        <w:kinsoku/>
        <w:spacing w:line="241" w:lineRule="auto"/>
        <w:rPr>
          <w:rFonts w:ascii="宋体" w:hAnsi="宋体" w:eastAsia="宋体" w:cs="宋体"/>
          <w:color w:val="auto"/>
          <w:highlight w:val="none"/>
        </w:rPr>
      </w:pPr>
    </w:p>
    <w:p w14:paraId="7EA46A08">
      <w:pPr>
        <w:kinsoku/>
        <w:spacing w:line="241" w:lineRule="auto"/>
        <w:rPr>
          <w:rFonts w:ascii="宋体" w:hAnsi="宋体" w:eastAsia="宋体" w:cs="宋体"/>
          <w:color w:val="auto"/>
          <w:highlight w:val="none"/>
        </w:rPr>
      </w:pPr>
    </w:p>
    <w:p w14:paraId="31642274">
      <w:pPr>
        <w:kinsoku/>
        <w:spacing w:line="241" w:lineRule="auto"/>
        <w:rPr>
          <w:rFonts w:ascii="宋体" w:hAnsi="宋体" w:eastAsia="宋体" w:cs="宋体"/>
          <w:color w:val="auto"/>
          <w:highlight w:val="none"/>
        </w:rPr>
      </w:pPr>
    </w:p>
    <w:p w14:paraId="3E37C584">
      <w:pPr>
        <w:kinsoku/>
        <w:spacing w:line="241" w:lineRule="auto"/>
        <w:rPr>
          <w:rFonts w:ascii="宋体" w:hAnsi="宋体" w:eastAsia="宋体" w:cs="宋体"/>
          <w:color w:val="auto"/>
          <w:highlight w:val="none"/>
        </w:rPr>
      </w:pPr>
    </w:p>
    <w:p w14:paraId="3C96CDE2">
      <w:pPr>
        <w:kinsoku/>
        <w:spacing w:line="241" w:lineRule="auto"/>
        <w:rPr>
          <w:rFonts w:ascii="宋体" w:hAnsi="宋体" w:eastAsia="宋体" w:cs="宋体"/>
          <w:color w:val="auto"/>
          <w:highlight w:val="none"/>
        </w:rPr>
      </w:pPr>
    </w:p>
    <w:p w14:paraId="76BA046F">
      <w:pPr>
        <w:kinsoku/>
        <w:spacing w:line="241" w:lineRule="auto"/>
        <w:rPr>
          <w:rFonts w:ascii="宋体" w:hAnsi="宋体" w:eastAsia="宋体" w:cs="宋体"/>
          <w:color w:val="auto"/>
          <w:highlight w:val="none"/>
        </w:rPr>
      </w:pPr>
    </w:p>
    <w:p w14:paraId="586F8276">
      <w:pPr>
        <w:kinsoku/>
        <w:spacing w:line="241" w:lineRule="auto"/>
        <w:rPr>
          <w:rFonts w:ascii="宋体" w:hAnsi="宋体" w:eastAsia="宋体" w:cs="宋体"/>
          <w:color w:val="auto"/>
          <w:highlight w:val="none"/>
        </w:rPr>
      </w:pPr>
    </w:p>
    <w:p w14:paraId="48AB3688">
      <w:pPr>
        <w:kinsoku/>
        <w:spacing w:before="179" w:line="222" w:lineRule="auto"/>
        <w:ind w:left="3605"/>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第一卷</w:t>
      </w:r>
    </w:p>
    <w:p w14:paraId="7A3BD511">
      <w:pPr>
        <w:kinsoku/>
        <w:spacing w:line="222" w:lineRule="auto"/>
        <w:rPr>
          <w:rFonts w:ascii="宋体" w:hAnsi="宋体" w:eastAsia="宋体" w:cs="宋体"/>
          <w:color w:val="auto"/>
          <w:sz w:val="55"/>
          <w:szCs w:val="55"/>
          <w:highlight w:val="none"/>
          <w:lang w:eastAsia="zh-CN"/>
        </w:rPr>
        <w:sectPr>
          <w:headerReference r:id="rId4" w:type="default"/>
          <w:footerReference r:id="rId5" w:type="default"/>
          <w:pgSz w:w="11907" w:h="16841"/>
          <w:pgMar w:top="1173" w:right="1498" w:bottom="1254" w:left="1560" w:header="862" w:footer="1093" w:gutter="0"/>
          <w:pgNumType w:start="1"/>
          <w:cols w:space="720" w:num="1"/>
        </w:sectPr>
      </w:pPr>
    </w:p>
    <w:p w14:paraId="18C71A0B">
      <w:pPr>
        <w:kinsoku/>
        <w:spacing w:line="252" w:lineRule="auto"/>
        <w:rPr>
          <w:rFonts w:ascii="宋体" w:hAnsi="宋体" w:eastAsia="宋体" w:cs="宋体"/>
          <w:color w:val="auto"/>
          <w:highlight w:val="none"/>
          <w:lang w:eastAsia="zh-CN"/>
        </w:rPr>
      </w:pPr>
    </w:p>
    <w:p w14:paraId="0241899A">
      <w:pPr>
        <w:kinsoku/>
        <w:spacing w:line="252" w:lineRule="auto"/>
        <w:rPr>
          <w:rFonts w:ascii="宋体" w:hAnsi="宋体" w:eastAsia="宋体" w:cs="宋体"/>
          <w:color w:val="auto"/>
          <w:highlight w:val="none"/>
          <w:lang w:eastAsia="zh-CN"/>
        </w:rPr>
      </w:pPr>
    </w:p>
    <w:p w14:paraId="398EB679">
      <w:pPr>
        <w:kinsoku/>
        <w:spacing w:line="252" w:lineRule="auto"/>
        <w:rPr>
          <w:rFonts w:ascii="宋体" w:hAnsi="宋体" w:eastAsia="宋体" w:cs="宋体"/>
          <w:color w:val="auto"/>
          <w:highlight w:val="none"/>
          <w:lang w:eastAsia="zh-CN"/>
        </w:rPr>
      </w:pPr>
    </w:p>
    <w:p w14:paraId="05128C86">
      <w:pPr>
        <w:kinsoku/>
        <w:spacing w:line="252" w:lineRule="auto"/>
        <w:rPr>
          <w:rFonts w:ascii="宋体" w:hAnsi="宋体" w:eastAsia="宋体" w:cs="宋体"/>
          <w:color w:val="auto"/>
          <w:highlight w:val="none"/>
          <w:lang w:eastAsia="zh-CN"/>
        </w:rPr>
      </w:pPr>
    </w:p>
    <w:p w14:paraId="2B7F44B9">
      <w:pPr>
        <w:kinsoku/>
        <w:spacing w:line="252" w:lineRule="auto"/>
        <w:rPr>
          <w:rFonts w:ascii="宋体" w:hAnsi="宋体" w:eastAsia="宋体" w:cs="宋体"/>
          <w:color w:val="auto"/>
          <w:highlight w:val="none"/>
          <w:lang w:eastAsia="zh-CN"/>
        </w:rPr>
      </w:pPr>
    </w:p>
    <w:p w14:paraId="5BB38D6A">
      <w:pPr>
        <w:kinsoku/>
        <w:spacing w:line="252" w:lineRule="auto"/>
        <w:rPr>
          <w:rFonts w:ascii="宋体" w:hAnsi="宋体" w:eastAsia="宋体" w:cs="宋体"/>
          <w:color w:val="auto"/>
          <w:highlight w:val="none"/>
          <w:lang w:eastAsia="zh-CN"/>
        </w:rPr>
      </w:pPr>
    </w:p>
    <w:p w14:paraId="31CC029A">
      <w:pPr>
        <w:kinsoku/>
        <w:spacing w:line="252" w:lineRule="auto"/>
        <w:rPr>
          <w:rFonts w:ascii="宋体" w:hAnsi="宋体" w:eastAsia="宋体" w:cs="宋体"/>
          <w:color w:val="auto"/>
          <w:highlight w:val="none"/>
          <w:lang w:eastAsia="zh-CN"/>
        </w:rPr>
      </w:pPr>
    </w:p>
    <w:p w14:paraId="76BADEB4">
      <w:pPr>
        <w:kinsoku/>
        <w:spacing w:line="252" w:lineRule="auto"/>
        <w:rPr>
          <w:rFonts w:ascii="宋体" w:hAnsi="宋体" w:eastAsia="宋体" w:cs="宋体"/>
          <w:color w:val="auto"/>
          <w:highlight w:val="none"/>
          <w:lang w:eastAsia="zh-CN"/>
        </w:rPr>
      </w:pPr>
    </w:p>
    <w:p w14:paraId="75464E65">
      <w:pPr>
        <w:kinsoku/>
        <w:spacing w:line="252" w:lineRule="auto"/>
        <w:rPr>
          <w:rFonts w:ascii="宋体" w:hAnsi="宋体" w:eastAsia="宋体" w:cs="宋体"/>
          <w:color w:val="auto"/>
          <w:highlight w:val="none"/>
          <w:lang w:eastAsia="zh-CN"/>
        </w:rPr>
      </w:pPr>
    </w:p>
    <w:p w14:paraId="09D4E8E5">
      <w:pPr>
        <w:kinsoku/>
        <w:spacing w:line="252" w:lineRule="auto"/>
        <w:rPr>
          <w:rFonts w:ascii="宋体" w:hAnsi="宋体" w:eastAsia="宋体" w:cs="宋体"/>
          <w:color w:val="auto"/>
          <w:highlight w:val="none"/>
          <w:lang w:eastAsia="zh-CN"/>
        </w:rPr>
      </w:pPr>
    </w:p>
    <w:p w14:paraId="0821CD63">
      <w:pPr>
        <w:kinsoku/>
        <w:spacing w:line="252" w:lineRule="auto"/>
        <w:rPr>
          <w:rFonts w:ascii="宋体" w:hAnsi="宋体" w:eastAsia="宋体" w:cs="宋体"/>
          <w:color w:val="auto"/>
          <w:highlight w:val="none"/>
          <w:lang w:eastAsia="zh-CN"/>
        </w:rPr>
      </w:pPr>
    </w:p>
    <w:p w14:paraId="34C24740">
      <w:pPr>
        <w:kinsoku/>
        <w:spacing w:line="253" w:lineRule="auto"/>
        <w:rPr>
          <w:rFonts w:ascii="宋体" w:hAnsi="宋体" w:eastAsia="宋体" w:cs="宋体"/>
          <w:color w:val="auto"/>
          <w:highlight w:val="none"/>
          <w:lang w:eastAsia="zh-CN"/>
        </w:rPr>
      </w:pPr>
    </w:p>
    <w:p w14:paraId="12FDB913">
      <w:pPr>
        <w:kinsoku/>
        <w:spacing w:line="253" w:lineRule="auto"/>
        <w:rPr>
          <w:rFonts w:ascii="宋体" w:hAnsi="宋体" w:eastAsia="宋体" w:cs="宋体"/>
          <w:color w:val="auto"/>
          <w:highlight w:val="none"/>
          <w:lang w:eastAsia="zh-CN"/>
        </w:rPr>
      </w:pPr>
    </w:p>
    <w:p w14:paraId="0116D8B1">
      <w:pPr>
        <w:kinsoku/>
        <w:spacing w:line="253" w:lineRule="auto"/>
        <w:rPr>
          <w:rFonts w:ascii="宋体" w:hAnsi="宋体" w:eastAsia="宋体" w:cs="宋体"/>
          <w:color w:val="auto"/>
          <w:highlight w:val="none"/>
          <w:lang w:eastAsia="zh-CN"/>
        </w:rPr>
      </w:pPr>
    </w:p>
    <w:p w14:paraId="15991D37">
      <w:pPr>
        <w:kinsoku/>
        <w:spacing w:line="253" w:lineRule="auto"/>
        <w:rPr>
          <w:rFonts w:ascii="宋体" w:hAnsi="宋体" w:eastAsia="宋体" w:cs="宋体"/>
          <w:color w:val="auto"/>
          <w:highlight w:val="none"/>
          <w:lang w:eastAsia="zh-CN"/>
        </w:rPr>
      </w:pPr>
    </w:p>
    <w:p w14:paraId="76237CE8">
      <w:pPr>
        <w:kinsoku/>
        <w:spacing w:line="253" w:lineRule="auto"/>
        <w:rPr>
          <w:rFonts w:ascii="宋体" w:hAnsi="宋体" w:eastAsia="宋体" w:cs="宋体"/>
          <w:color w:val="auto"/>
          <w:highlight w:val="none"/>
          <w:lang w:eastAsia="zh-CN"/>
        </w:rPr>
      </w:pPr>
    </w:p>
    <w:p w14:paraId="6E975616">
      <w:pPr>
        <w:kinsoku/>
        <w:spacing w:line="253" w:lineRule="auto"/>
        <w:rPr>
          <w:rFonts w:ascii="宋体" w:hAnsi="宋体" w:eastAsia="宋体" w:cs="宋体"/>
          <w:color w:val="auto"/>
          <w:highlight w:val="none"/>
          <w:lang w:eastAsia="zh-CN"/>
        </w:rPr>
      </w:pPr>
    </w:p>
    <w:p w14:paraId="76275F2D">
      <w:pPr>
        <w:kinsoku/>
        <w:spacing w:line="253" w:lineRule="auto"/>
        <w:rPr>
          <w:rFonts w:ascii="宋体" w:hAnsi="宋体" w:eastAsia="宋体" w:cs="宋体"/>
          <w:color w:val="auto"/>
          <w:highlight w:val="none"/>
          <w:lang w:eastAsia="zh-CN"/>
        </w:rPr>
      </w:pPr>
    </w:p>
    <w:p w14:paraId="15F05296">
      <w:pPr>
        <w:kinsoku/>
        <w:spacing w:line="253" w:lineRule="auto"/>
        <w:rPr>
          <w:rFonts w:ascii="宋体" w:hAnsi="宋体" w:eastAsia="宋体" w:cs="宋体"/>
          <w:color w:val="auto"/>
          <w:highlight w:val="none"/>
          <w:lang w:eastAsia="zh-CN"/>
        </w:rPr>
      </w:pPr>
    </w:p>
    <w:p w14:paraId="42C3703F">
      <w:pPr>
        <w:kinsoku/>
        <w:spacing w:before="179" w:line="236" w:lineRule="auto"/>
        <w:jc w:val="center"/>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第一章  招标公告</w:t>
      </w:r>
    </w:p>
    <w:p w14:paraId="28C93239">
      <w:pPr>
        <w:kinsoku/>
        <w:spacing w:line="236" w:lineRule="auto"/>
        <w:rPr>
          <w:rFonts w:ascii="宋体" w:hAnsi="宋体" w:eastAsia="宋体" w:cs="宋体"/>
          <w:color w:val="auto"/>
          <w:sz w:val="55"/>
          <w:szCs w:val="55"/>
          <w:highlight w:val="none"/>
          <w:lang w:eastAsia="zh-CN"/>
        </w:rPr>
        <w:sectPr>
          <w:footerReference r:id="rId6" w:type="default"/>
          <w:pgSz w:w="11907" w:h="16841"/>
          <w:pgMar w:top="1173" w:right="1498" w:bottom="1254" w:left="1560" w:header="862" w:footer="1093" w:gutter="0"/>
          <w:cols w:space="720" w:num="1"/>
        </w:sectPr>
      </w:pPr>
    </w:p>
    <w:p w14:paraId="79CD0EB3">
      <w:pPr>
        <w:kinsoku/>
        <w:spacing w:before="136" w:line="223" w:lineRule="auto"/>
        <w:jc w:val="center"/>
        <w:outlineLvl w:val="0"/>
        <w:rPr>
          <w:rFonts w:ascii="宋体" w:hAnsi="宋体" w:eastAsia="宋体" w:cs="宋体"/>
          <w:color w:val="auto"/>
          <w:highlight w:val="none"/>
          <w:lang w:eastAsia="zh-CN"/>
        </w:rPr>
      </w:pPr>
      <w:bookmarkStart w:id="1" w:name="bookmark3"/>
      <w:bookmarkEnd w:id="1"/>
      <w:bookmarkStart w:id="2" w:name="bookmark4"/>
      <w:bookmarkEnd w:id="2"/>
      <w:bookmarkStart w:id="3" w:name="_Toc6650"/>
      <w:r>
        <w:rPr>
          <w:rFonts w:hint="eastAsia" w:ascii="宋体" w:hAnsi="宋体" w:eastAsia="宋体" w:cs="宋体"/>
          <w:b/>
          <w:bCs/>
          <w:color w:val="auto"/>
          <w:sz w:val="42"/>
          <w:szCs w:val="42"/>
          <w:highlight w:val="none"/>
          <w:lang w:eastAsia="zh-CN"/>
        </w:rPr>
        <w:t>第一章</w:t>
      </w:r>
      <w:r>
        <w:rPr>
          <w:rFonts w:hint="eastAsia" w:ascii="宋体" w:hAnsi="宋体" w:eastAsia="宋体" w:cs="宋体"/>
          <w:color w:val="auto"/>
          <w:sz w:val="42"/>
          <w:szCs w:val="42"/>
          <w:highlight w:val="none"/>
          <w:lang w:eastAsia="zh-CN"/>
        </w:rPr>
        <w:t xml:space="preserve">  </w:t>
      </w:r>
      <w:r>
        <w:rPr>
          <w:rFonts w:hint="eastAsia" w:ascii="宋体" w:hAnsi="宋体" w:eastAsia="宋体" w:cs="宋体"/>
          <w:b/>
          <w:bCs/>
          <w:color w:val="auto"/>
          <w:sz w:val="42"/>
          <w:szCs w:val="42"/>
          <w:highlight w:val="none"/>
          <w:lang w:eastAsia="zh-CN"/>
        </w:rPr>
        <w:t>招标公告</w:t>
      </w:r>
      <w:bookmarkEnd w:id="3"/>
    </w:p>
    <w:p w14:paraId="45AD9778">
      <w:pPr>
        <w:kinsoku/>
        <w:spacing w:line="398" w:lineRule="auto"/>
        <w:rPr>
          <w:rFonts w:ascii="宋体" w:hAnsi="宋体" w:eastAsia="宋体" w:cs="宋体"/>
          <w:color w:val="auto"/>
          <w:highlight w:val="none"/>
          <w:lang w:eastAsia="zh-CN"/>
        </w:rPr>
      </w:pPr>
    </w:p>
    <w:p w14:paraId="6EFEDB21">
      <w:pPr>
        <w:tabs>
          <w:tab w:val="left" w:pos="2601"/>
        </w:tabs>
        <w:kinsoku/>
        <w:spacing w:before="91" w:line="225" w:lineRule="auto"/>
        <w:jc w:val="center"/>
        <w:rPr>
          <w:rFonts w:ascii="宋体" w:hAnsi="宋体" w:eastAsia="宋体" w:cs="宋体"/>
          <w:color w:val="auto"/>
          <w:sz w:val="13"/>
          <w:szCs w:val="13"/>
          <w:highlight w:val="none"/>
          <w:lang w:eastAsia="zh-CN"/>
        </w:rPr>
      </w:pPr>
      <w:r>
        <w:rPr>
          <w:rFonts w:hint="eastAsia" w:ascii="宋体" w:hAnsi="宋体" w:eastAsia="宋体" w:cs="宋体"/>
          <w:b/>
          <w:bCs/>
          <w:color w:val="auto"/>
          <w:sz w:val="28"/>
          <w:szCs w:val="28"/>
          <w:highlight w:val="none"/>
          <w:lang w:eastAsia="zh-CN"/>
        </w:rPr>
        <w:t>韶关市S246线十里亭大桥至糖寮段公路改线工程、乳源县桂头镇至韶关丹霞机场公路新建工程（韶关机场进场道路）施工图设计招标公告</w:t>
      </w:r>
    </w:p>
    <w:p w14:paraId="07A676BA">
      <w:pPr>
        <w:kinsoku/>
        <w:spacing w:line="310" w:lineRule="auto"/>
        <w:rPr>
          <w:rFonts w:ascii="宋体" w:hAnsi="宋体" w:eastAsia="宋体" w:cs="宋体"/>
          <w:color w:val="auto"/>
          <w:highlight w:val="none"/>
          <w:lang w:eastAsia="zh-CN"/>
        </w:rPr>
      </w:pPr>
    </w:p>
    <w:p w14:paraId="549DB0F0">
      <w:pPr>
        <w:kinsoku/>
        <w:spacing w:before="91" w:line="276" w:lineRule="auto"/>
        <w:ind w:left="47"/>
        <w:outlineLvl w:val="1"/>
        <w:rPr>
          <w:rFonts w:ascii="宋体" w:hAnsi="宋体" w:eastAsia="宋体" w:cs="宋体"/>
          <w:color w:val="auto"/>
          <w:sz w:val="28"/>
          <w:szCs w:val="28"/>
          <w:highlight w:val="none"/>
          <w:lang w:eastAsia="zh-CN"/>
        </w:rPr>
      </w:pPr>
      <w:bookmarkStart w:id="4" w:name="bookmark5"/>
      <w:bookmarkEnd w:id="4"/>
      <w:bookmarkStart w:id="5" w:name="bookmark6"/>
      <w:bookmarkEnd w:id="5"/>
      <w:bookmarkStart w:id="6" w:name="_Toc11526"/>
      <w:r>
        <w:rPr>
          <w:rFonts w:hint="eastAsia" w:ascii="宋体" w:hAnsi="宋体" w:eastAsia="宋体" w:cs="宋体"/>
          <w:b/>
          <w:bCs/>
          <w:color w:val="auto"/>
          <w:sz w:val="28"/>
          <w:szCs w:val="28"/>
          <w:highlight w:val="none"/>
          <w:lang w:eastAsia="zh-CN"/>
        </w:rPr>
        <w:t>1.招标条件</w:t>
      </w:r>
      <w:bookmarkEnd w:id="6"/>
    </w:p>
    <w:p w14:paraId="40AA98B3">
      <w:pPr>
        <w:kinsoku/>
        <w:spacing w:before="78" w:line="276" w:lineRule="auto"/>
        <w:ind w:left="41" w:right="70" w:firstLine="478"/>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本招标项目</w:t>
      </w:r>
      <w:r>
        <w:rPr>
          <w:rFonts w:hint="eastAsia" w:ascii="宋体" w:hAnsi="宋体" w:eastAsia="宋体" w:cs="宋体"/>
          <w:color w:val="auto"/>
          <w:sz w:val="24"/>
          <w:szCs w:val="24"/>
          <w:highlight w:val="none"/>
          <w:u w:val="single"/>
          <w:lang w:eastAsia="zh-CN"/>
        </w:rPr>
        <w:t xml:space="preserve"> 韶关市S246线十里亭大桥至糖寮段公路改线工程、乳源县桂头镇至韶关丹霞机场公路新建工程（韶关机场进场道路） </w:t>
      </w:r>
      <w:r>
        <w:rPr>
          <w:rFonts w:hint="eastAsia" w:ascii="宋体" w:hAnsi="宋体" w:eastAsia="宋体" w:cs="宋体"/>
          <w:color w:val="auto"/>
          <w:sz w:val="24"/>
          <w:szCs w:val="24"/>
          <w:highlight w:val="none"/>
          <w:lang w:eastAsia="zh-CN"/>
        </w:rPr>
        <w:t>已由</w:t>
      </w:r>
      <w:r>
        <w:rPr>
          <w:rFonts w:hint="eastAsia" w:ascii="宋体" w:hAnsi="宋体" w:eastAsia="宋体" w:cs="宋体"/>
          <w:color w:val="auto"/>
          <w:sz w:val="24"/>
          <w:szCs w:val="24"/>
          <w:highlight w:val="none"/>
          <w:u w:val="single"/>
          <w:lang w:eastAsia="zh-CN"/>
        </w:rPr>
        <w:t xml:space="preserve"> 韶关市发展和改革局 </w:t>
      </w:r>
      <w:r>
        <w:rPr>
          <w:rFonts w:hint="eastAsia" w:ascii="宋体" w:hAnsi="宋体" w:eastAsia="宋体" w:cs="宋体"/>
          <w:color w:val="auto"/>
          <w:sz w:val="24"/>
          <w:szCs w:val="24"/>
          <w:highlight w:val="none"/>
          <w:lang w:eastAsia="zh-CN"/>
        </w:rPr>
        <w:t>以</w:t>
      </w:r>
      <w:r>
        <w:rPr>
          <w:rFonts w:hint="eastAsia" w:ascii="宋体" w:hAnsi="宋体" w:eastAsia="宋体" w:cs="宋体"/>
          <w:color w:val="auto"/>
          <w:sz w:val="24"/>
          <w:szCs w:val="24"/>
          <w:highlight w:val="none"/>
          <w:u w:val="single"/>
          <w:lang w:eastAsia="zh-CN"/>
        </w:rPr>
        <w:t>《韶关市发展和改革局关于韶关市S246线十里亭大桥至糖寮段公路改线工程项目可行性研究报告的批复（韶发改投审〔2025〕21号）、《韶关市发展和改革局关于乳源县桂头镇至韶关丹霞机场公路新建工程（韶关机场进场道路）项目可行性研究报告的批复》（韶发改投审〔2025〕18号）</w:t>
      </w:r>
      <w:r>
        <w:rPr>
          <w:rFonts w:hint="eastAsia" w:ascii="宋体" w:hAnsi="宋体" w:eastAsia="宋体" w:cs="宋体"/>
          <w:color w:val="auto"/>
          <w:sz w:val="24"/>
          <w:szCs w:val="24"/>
          <w:highlight w:val="none"/>
          <w:lang w:eastAsia="zh-CN"/>
        </w:rPr>
        <w:t>批准建设，项目业主为</w:t>
      </w:r>
      <w:r>
        <w:rPr>
          <w:rFonts w:hint="eastAsia" w:ascii="宋体" w:hAnsi="宋体" w:eastAsia="宋体" w:cs="宋体"/>
          <w:color w:val="auto"/>
          <w:sz w:val="24"/>
          <w:szCs w:val="24"/>
          <w:highlight w:val="none"/>
          <w:u w:val="single"/>
          <w:lang w:eastAsia="zh-CN"/>
        </w:rPr>
        <w:t xml:space="preserve"> 韶关市粤丹工程管理有限公司 </w:t>
      </w:r>
      <w:r>
        <w:rPr>
          <w:rFonts w:hint="eastAsia" w:ascii="宋体" w:hAnsi="宋体" w:eastAsia="宋体" w:cs="宋体"/>
          <w:color w:val="auto"/>
          <w:sz w:val="24"/>
          <w:szCs w:val="24"/>
          <w:highlight w:val="none"/>
          <w:lang w:eastAsia="zh-CN"/>
        </w:rPr>
        <w:t>，建设资金来自</w:t>
      </w:r>
      <w:r>
        <w:rPr>
          <w:rFonts w:hint="eastAsia" w:ascii="宋体" w:hAnsi="宋体" w:eastAsia="宋体" w:cs="宋体"/>
          <w:color w:val="auto"/>
          <w:sz w:val="24"/>
          <w:szCs w:val="24"/>
          <w:highlight w:val="none"/>
          <w:u w:val="single"/>
          <w:lang w:eastAsia="zh-CN"/>
        </w:rPr>
        <w:t xml:space="preserve"> 上级补助及市财政自筹资金 </w:t>
      </w:r>
      <w:r>
        <w:rPr>
          <w:rFonts w:hint="eastAsia" w:ascii="宋体" w:hAnsi="宋体" w:eastAsia="宋体" w:cs="宋体"/>
          <w:color w:val="auto"/>
          <w:sz w:val="24"/>
          <w:szCs w:val="24"/>
          <w:highlight w:val="none"/>
          <w:lang w:eastAsia="zh-CN"/>
        </w:rPr>
        <w:t>，出资比例为</w:t>
      </w:r>
      <w:r>
        <w:rPr>
          <w:rFonts w:hint="eastAsia" w:ascii="宋体" w:hAnsi="宋体" w:eastAsia="宋体" w:cs="宋体"/>
          <w:color w:val="auto"/>
          <w:sz w:val="24"/>
          <w:szCs w:val="24"/>
          <w:highlight w:val="none"/>
          <w:u w:val="single"/>
          <w:lang w:eastAsia="zh-CN"/>
        </w:rPr>
        <w:t xml:space="preserve"> 100% </w:t>
      </w:r>
      <w:r>
        <w:rPr>
          <w:rFonts w:hint="eastAsia" w:ascii="宋体" w:hAnsi="宋体" w:eastAsia="宋体" w:cs="宋体"/>
          <w:color w:val="auto"/>
          <w:sz w:val="24"/>
          <w:szCs w:val="24"/>
          <w:highlight w:val="none"/>
          <w:lang w:eastAsia="zh-CN"/>
        </w:rPr>
        <w:t>，招标人为</w:t>
      </w:r>
      <w:r>
        <w:rPr>
          <w:rFonts w:hint="eastAsia" w:ascii="宋体" w:hAnsi="宋体" w:eastAsia="宋体" w:cs="宋体"/>
          <w:color w:val="auto"/>
          <w:sz w:val="24"/>
          <w:szCs w:val="24"/>
          <w:highlight w:val="none"/>
          <w:u w:val="single"/>
          <w:lang w:eastAsia="zh-CN"/>
        </w:rPr>
        <w:t xml:space="preserve"> 韶关市粤丹工程管理有限公司 </w:t>
      </w:r>
      <w:r>
        <w:rPr>
          <w:rFonts w:hint="eastAsia" w:ascii="宋体" w:hAnsi="宋体" w:eastAsia="宋体" w:cs="宋体"/>
          <w:color w:val="auto"/>
          <w:sz w:val="24"/>
          <w:szCs w:val="24"/>
          <w:highlight w:val="none"/>
          <w:lang w:eastAsia="zh-CN"/>
        </w:rPr>
        <w:t>。项目已具备招标条件，现对该项目的施工图设计进行公开招标。</w:t>
      </w:r>
    </w:p>
    <w:p w14:paraId="026550CF">
      <w:pPr>
        <w:kinsoku/>
        <w:spacing w:before="191" w:line="276" w:lineRule="auto"/>
        <w:ind w:left="35"/>
        <w:outlineLvl w:val="1"/>
        <w:rPr>
          <w:rFonts w:ascii="宋体" w:hAnsi="宋体" w:eastAsia="宋体" w:cs="宋体"/>
          <w:color w:val="auto"/>
          <w:sz w:val="28"/>
          <w:szCs w:val="28"/>
          <w:highlight w:val="none"/>
          <w:lang w:eastAsia="zh-CN"/>
        </w:rPr>
      </w:pPr>
      <w:bookmarkStart w:id="7" w:name="bookmark7"/>
      <w:bookmarkEnd w:id="7"/>
      <w:bookmarkStart w:id="8" w:name="bookmark8"/>
      <w:bookmarkEnd w:id="8"/>
      <w:bookmarkStart w:id="9" w:name="_Toc28405"/>
      <w:r>
        <w:rPr>
          <w:rFonts w:hint="eastAsia" w:ascii="宋体" w:hAnsi="宋体" w:eastAsia="宋体" w:cs="宋体"/>
          <w:b/>
          <w:bCs/>
          <w:color w:val="auto"/>
          <w:sz w:val="28"/>
          <w:szCs w:val="28"/>
          <w:highlight w:val="none"/>
          <w:lang w:eastAsia="zh-CN"/>
        </w:rPr>
        <w:t>2.项目概况与招标范围</w:t>
      </w:r>
      <w:bookmarkEnd w:id="9"/>
    </w:p>
    <w:p w14:paraId="6C404B80">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 建设地点及规模：项目总长约11.442公里，共分两段。具体为：</w:t>
      </w:r>
    </w:p>
    <w:p w14:paraId="2A1A6433">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（1）本项目位于韶关市武江区东北角，起于西河镇的国道G323(朝阳路)与移山路、</w:t>
      </w:r>
      <w:r>
        <w:rPr>
          <w:rFonts w:hint="eastAsia" w:ascii="宋体" w:hAnsi="宋体" w:eastAsia="宋体" w:cs="宋体"/>
          <w:color w:val="auto"/>
          <w:sz w:val="24"/>
          <w:szCs w:val="24"/>
          <w:highlight w:val="none"/>
          <w:lang w:val="en-US" w:eastAsia="zh-CN"/>
        </w:rPr>
        <w:t>十里亭桥</w:t>
      </w:r>
      <w:r>
        <w:rPr>
          <w:rFonts w:hint="eastAsia" w:ascii="宋体" w:hAnsi="宋体" w:eastAsia="宋体" w:cs="宋体"/>
          <w:color w:val="auto"/>
          <w:sz w:val="24"/>
          <w:szCs w:val="24"/>
          <w:highlight w:val="none"/>
          <w:lang w:eastAsia="zh-CN"/>
        </w:rPr>
        <w:t>交叉口，沿现状县道X313走廊往西北方向前进(武广高铁东侧，武江西侧)，先后经过西河镇石坑村、下坑村、田心村、山蕉村、南华纪念园公墓，终于韶关北环高速糖察出口匝道，对接其现状收费站，路线全长7.19km。采用双向四车道一级公路标准建设，设计速度为80km/h，路基宽度为26.5m，沥青混凝土路面。全线共设大桥720m/2座，中桥150m/2座，桥梁长度共计870m，结构均为预应力钢筋混凝土小箱梁。涵洞（含通道）14道。全线共设置平面交叉口6处，其中灯控平交口两处(起终点各一处)，其余均为右进右出+加铺转角。</w:t>
      </w:r>
    </w:p>
    <w:p w14:paraId="68FFF1CB">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本项目位于韶关市乳源县桂头镇，路线起自省道S248与省道S250平交口，先东西走向，后南北走向，先后经过小江村、大坝村、凰村、红岭村，终点沿现状进场路，止于丹霞机场门口。路线全长4.252km。采用双向四车道一级公路标准建设，设计速度为60km/h，路基宽度为21.5m，沥青混凝土路面。共设置涵洞9道。全线共设平交8处，灯控平面交叉口6处，其余均为右进右出加铺转角的小路口。</w:t>
      </w:r>
    </w:p>
    <w:p w14:paraId="0BD7AFB0">
      <w:pPr>
        <w:tabs>
          <w:tab w:val="left" w:pos="1588"/>
        </w:tabs>
        <w:kinsoku/>
        <w:spacing w:before="79" w:line="276" w:lineRule="auto"/>
        <w:ind w:left="59" w:leftChars="28" w:right="89" w:firstLine="427" w:firstLineChars="178"/>
        <w:rPr>
          <w:rFonts w:ascii="宋体" w:hAnsi="宋体" w:eastAsia="宋体" w:cs="宋体"/>
          <w:b/>
          <w:bCs/>
          <w:color w:val="auto"/>
          <w:sz w:val="24"/>
          <w:szCs w:val="24"/>
          <w:highlight w:val="none"/>
          <w:lang w:eastAsia="zh-CN"/>
        </w:rPr>
      </w:pPr>
      <w:r>
        <w:rPr>
          <w:rFonts w:hint="eastAsia" w:ascii="宋体" w:hAnsi="宋体" w:eastAsia="宋体" w:cs="宋体"/>
          <w:color w:val="auto"/>
          <w:sz w:val="24"/>
          <w:szCs w:val="24"/>
          <w:highlight w:val="none"/>
          <w:lang w:eastAsia="zh-CN"/>
        </w:rPr>
        <w:t>2.2 勘察设计服务期限（具体详见专用合同条款8.1.3款）：180</w:t>
      </w:r>
      <w:r>
        <w:rPr>
          <w:rFonts w:hint="eastAsia" w:ascii="宋体" w:hAnsi="宋体" w:eastAsia="宋体" w:cs="宋体"/>
          <w:color w:val="auto"/>
          <w:sz w:val="24"/>
          <w:highlight w:val="none"/>
          <w:lang w:eastAsia="zh-CN"/>
        </w:rPr>
        <w:t>个日历天</w:t>
      </w:r>
    </w:p>
    <w:p w14:paraId="1C17B726">
      <w:pPr>
        <w:tabs>
          <w:tab w:val="left" w:pos="1588"/>
        </w:tabs>
        <w:kinsoku/>
        <w:spacing w:before="79" w:line="276" w:lineRule="auto"/>
        <w:ind w:left="59" w:leftChars="28" w:right="89" w:firstLine="427" w:firstLineChars="178"/>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2.2.1 合同签订后100个日历天内，提交施工图设计文件送审稿；</w:t>
      </w:r>
    </w:p>
    <w:p w14:paraId="6253AA7C">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2.2.2 施工图设计文件审查后80个日历天，完成施工图设计修编工作并提供施工图设计文件和施工图预算最终稿各8份。</w:t>
      </w:r>
    </w:p>
    <w:p w14:paraId="5411B101">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2.3 项目后期施工现场配合服务：从本项目开工至项目竣工验收，施工期暂定2年；缺陷责任期2年。</w:t>
      </w:r>
    </w:p>
    <w:p w14:paraId="49A99156">
      <w:pPr>
        <w:tabs>
          <w:tab w:val="left" w:pos="1588"/>
        </w:tabs>
        <w:kinsoku/>
        <w:spacing w:before="79" w:line="276" w:lineRule="auto"/>
        <w:ind w:left="59" w:leftChars="28" w:right="89" w:firstLine="427" w:firstLineChars="1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2.4 招标范围及标段划分：</w:t>
      </w:r>
    </w:p>
    <w:p w14:paraId="3F9A6DD1">
      <w:pPr>
        <w:tabs>
          <w:tab w:val="left" w:pos="1588"/>
        </w:tabs>
        <w:kinsoku/>
        <w:spacing w:before="79" w:line="276" w:lineRule="auto"/>
        <w:ind w:left="59" w:leftChars="28" w:right="89" w:firstLine="427" w:firstLineChars="178"/>
        <w:rPr>
          <w:rFonts w:ascii="宋体" w:hAnsi="宋体" w:cs="宋体"/>
          <w:color w:val="auto"/>
          <w:sz w:val="24"/>
          <w:highlight w:val="none"/>
          <w:lang w:eastAsia="zh-CN"/>
        </w:rPr>
      </w:pPr>
      <w:r>
        <w:rPr>
          <w:rFonts w:hint="eastAsia" w:ascii="宋体" w:hAnsi="宋体" w:cs="宋体"/>
          <w:color w:val="auto"/>
          <w:sz w:val="24"/>
          <w:highlight w:val="none"/>
          <w:lang w:eastAsia="zh-CN"/>
        </w:rPr>
        <w:t>本次招标共分</w:t>
      </w: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u w:val="single"/>
          <w:lang w:eastAsia="zh-CN"/>
        </w:rPr>
        <w:t>1</w:t>
      </w: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lang w:eastAsia="zh-CN"/>
        </w:rPr>
        <w:t>个标段类别</w:t>
      </w: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u w:val="single"/>
          <w:lang w:eastAsia="zh-CN"/>
        </w:rPr>
        <w:t>1</w:t>
      </w:r>
      <w:r>
        <w:rPr>
          <w:rFonts w:hint="eastAsia" w:ascii="宋体" w:hAnsi="宋体" w:eastAsia="宋体" w:cs="宋体"/>
          <w:color w:val="auto"/>
          <w:sz w:val="24"/>
          <w:highlight w:val="none"/>
          <w:u w:val="single"/>
          <w:lang w:eastAsia="zh-CN"/>
        </w:rPr>
        <w:t xml:space="preserve"> </w:t>
      </w:r>
      <w:r>
        <w:rPr>
          <w:rFonts w:hint="eastAsia" w:ascii="宋体" w:hAnsi="宋体" w:cs="宋体"/>
          <w:color w:val="auto"/>
          <w:sz w:val="24"/>
          <w:highlight w:val="none"/>
          <w:lang w:eastAsia="zh-CN"/>
        </w:rPr>
        <w:t>个标段，具体详见下表：</w:t>
      </w:r>
    </w:p>
    <w:tbl>
      <w:tblPr>
        <w:tblStyle w:val="15"/>
        <w:tblW w:w="1001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1526"/>
        <w:gridCol w:w="783"/>
        <w:gridCol w:w="1920"/>
        <w:gridCol w:w="1290"/>
        <w:gridCol w:w="4491"/>
      </w:tblGrid>
      <w:tr w14:paraId="4AADD2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706" w:hRule="atLeast"/>
          <w:jc w:val="center"/>
        </w:trPr>
        <w:tc>
          <w:tcPr>
            <w:tcW w:w="1526" w:type="dxa"/>
            <w:tcBorders>
              <w:top w:val="single" w:color="auto" w:sz="4" w:space="0"/>
              <w:left w:val="single" w:color="auto" w:sz="4" w:space="0"/>
              <w:bottom w:val="single" w:color="auto" w:sz="4" w:space="0"/>
              <w:right w:val="single" w:color="auto" w:sz="4" w:space="0"/>
            </w:tcBorders>
            <w:vAlign w:val="center"/>
          </w:tcPr>
          <w:p w14:paraId="1D65CE73">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标段类别</w:t>
            </w:r>
          </w:p>
        </w:tc>
        <w:tc>
          <w:tcPr>
            <w:tcW w:w="783" w:type="dxa"/>
            <w:tcBorders>
              <w:top w:val="single" w:color="auto" w:sz="4" w:space="0"/>
              <w:left w:val="single" w:color="auto" w:sz="4" w:space="0"/>
              <w:bottom w:val="single" w:color="auto" w:sz="4" w:space="0"/>
              <w:right w:val="single" w:color="auto" w:sz="4" w:space="0"/>
            </w:tcBorders>
            <w:vAlign w:val="center"/>
          </w:tcPr>
          <w:p w14:paraId="7CC0BD1F">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标段</w:t>
            </w:r>
          </w:p>
        </w:tc>
        <w:tc>
          <w:tcPr>
            <w:tcW w:w="1920" w:type="dxa"/>
            <w:tcBorders>
              <w:top w:val="single" w:color="auto" w:sz="4" w:space="0"/>
              <w:left w:val="single" w:color="auto" w:sz="4" w:space="0"/>
              <w:bottom w:val="single" w:color="auto" w:sz="4" w:space="0"/>
              <w:right w:val="single" w:color="auto" w:sz="4" w:space="0"/>
            </w:tcBorders>
            <w:vAlign w:val="center"/>
          </w:tcPr>
          <w:p w14:paraId="1F03A5A2">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里程范围</w:t>
            </w:r>
          </w:p>
        </w:tc>
        <w:tc>
          <w:tcPr>
            <w:tcW w:w="1290" w:type="dxa"/>
            <w:tcBorders>
              <w:top w:val="single" w:color="auto" w:sz="4" w:space="0"/>
              <w:left w:val="single" w:color="auto" w:sz="4" w:space="0"/>
              <w:bottom w:val="single" w:color="auto" w:sz="4" w:space="0"/>
              <w:right w:val="single" w:color="auto" w:sz="4" w:space="0"/>
            </w:tcBorders>
            <w:vAlign w:val="center"/>
          </w:tcPr>
          <w:p w14:paraId="1E7490C7">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长度</w:t>
            </w:r>
          </w:p>
        </w:tc>
        <w:tc>
          <w:tcPr>
            <w:tcW w:w="4491" w:type="dxa"/>
            <w:tcBorders>
              <w:top w:val="single" w:color="auto" w:sz="4" w:space="0"/>
              <w:left w:val="single" w:color="auto" w:sz="4" w:space="0"/>
              <w:bottom w:val="single" w:color="auto" w:sz="4" w:space="0"/>
              <w:right w:val="single" w:color="auto" w:sz="4" w:space="0"/>
            </w:tcBorders>
            <w:vAlign w:val="center"/>
          </w:tcPr>
          <w:p w14:paraId="60A0D827">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工作内容</w:t>
            </w:r>
          </w:p>
        </w:tc>
      </w:tr>
      <w:tr w14:paraId="22C57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1205" w:hRule="atLeast"/>
          <w:jc w:val="center"/>
        </w:trPr>
        <w:tc>
          <w:tcPr>
            <w:tcW w:w="1526" w:type="dxa"/>
            <w:tcBorders>
              <w:top w:val="single" w:color="auto" w:sz="4" w:space="0"/>
              <w:left w:val="single" w:color="auto" w:sz="4" w:space="0"/>
              <w:right w:val="single" w:color="auto" w:sz="4" w:space="0"/>
            </w:tcBorders>
            <w:vAlign w:val="center"/>
          </w:tcPr>
          <w:p w14:paraId="506C0DC8">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A类</w:t>
            </w:r>
          </w:p>
          <w:p w14:paraId="5EE00FC7">
            <w:pPr>
              <w:spacing w:line="360" w:lineRule="exact"/>
              <w:jc w:val="center"/>
              <w:rPr>
                <w:rFonts w:asciiTheme="majorEastAsia" w:hAnsiTheme="majorEastAsia" w:eastAsiaTheme="majorEastAsia" w:cstheme="majorEastAsia"/>
                <w:color w:val="auto"/>
                <w:sz w:val="24"/>
                <w:highlight w:val="none"/>
              </w:rPr>
            </w:pPr>
            <w:r>
              <w:rPr>
                <w:rFonts w:hint="eastAsia" w:asciiTheme="majorEastAsia" w:hAnsiTheme="majorEastAsia" w:eastAsiaTheme="majorEastAsia" w:cstheme="majorEastAsia"/>
                <w:color w:val="auto"/>
                <w:sz w:val="24"/>
                <w:highlight w:val="none"/>
              </w:rPr>
              <w:t>(土建工程）</w:t>
            </w:r>
          </w:p>
        </w:tc>
        <w:tc>
          <w:tcPr>
            <w:tcW w:w="3993" w:type="dxa"/>
            <w:gridSpan w:val="3"/>
            <w:tcBorders>
              <w:top w:val="single" w:color="auto" w:sz="4" w:space="0"/>
              <w:left w:val="single" w:color="auto" w:sz="4" w:space="0"/>
              <w:right w:val="single" w:color="auto" w:sz="4" w:space="0"/>
            </w:tcBorders>
            <w:vAlign w:val="center"/>
          </w:tcPr>
          <w:p w14:paraId="7293810A">
            <w:pPr>
              <w:spacing w:after="131" w:line="314" w:lineRule="atLeast"/>
              <w:jc w:val="center"/>
              <w:rPr>
                <w:rFonts w:eastAsia="宋体" w:asciiTheme="majorEastAsia" w:hAnsiTheme="majorEastAsia" w:cstheme="majorEastAsia"/>
                <w:color w:val="auto"/>
                <w:sz w:val="24"/>
                <w:highlight w:val="none"/>
                <w:lang w:eastAsia="zh-CN"/>
              </w:rPr>
            </w:pPr>
            <w:r>
              <w:rPr>
                <w:rFonts w:hint="eastAsia" w:ascii="宋体" w:hAnsi="宋体" w:cs="宋体"/>
                <w:color w:val="auto"/>
                <w:sz w:val="24"/>
                <w:szCs w:val="24"/>
                <w:highlight w:val="none"/>
                <w:lang w:eastAsia="zh-CN"/>
              </w:rPr>
              <w:t>标段的划分及主要工程项目情况详见</w:t>
            </w:r>
            <w:r>
              <w:rPr>
                <w:rFonts w:hint="eastAsia" w:ascii="宋体" w:hAnsi="宋体" w:eastAsia="宋体" w:cs="宋体"/>
                <w:color w:val="auto"/>
                <w:sz w:val="24"/>
                <w:szCs w:val="24"/>
                <w:highlight w:val="none"/>
                <w:lang w:eastAsia="zh-CN"/>
              </w:rPr>
              <w:t>本</w:t>
            </w:r>
            <w:r>
              <w:rPr>
                <w:rFonts w:hint="eastAsia" w:ascii="宋体" w:hAnsi="宋体" w:cs="宋体"/>
                <w:color w:val="auto"/>
                <w:sz w:val="24"/>
                <w:szCs w:val="24"/>
                <w:highlight w:val="none"/>
                <w:lang w:eastAsia="zh-CN"/>
              </w:rPr>
              <w:t>招标公告2.1及2.2条及2.3条</w:t>
            </w:r>
          </w:p>
        </w:tc>
        <w:tc>
          <w:tcPr>
            <w:tcW w:w="4491" w:type="dxa"/>
            <w:tcBorders>
              <w:top w:val="single" w:color="auto" w:sz="4" w:space="0"/>
              <w:left w:val="single" w:color="auto" w:sz="4" w:space="0"/>
              <w:right w:val="single" w:color="auto" w:sz="4" w:space="0"/>
            </w:tcBorders>
            <w:vAlign w:val="center"/>
          </w:tcPr>
          <w:p w14:paraId="41B204A7">
            <w:pPr>
              <w:kinsoku/>
              <w:spacing w:after="131" w:line="314" w:lineRule="atLeast"/>
              <w:ind w:left="59" w:leftChars="28" w:right="61" w:rightChars="29"/>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1.新建路段里程范围的路线、路基、路面、桥涵、路线交叉的勘察设计；</w:t>
            </w:r>
          </w:p>
          <w:p w14:paraId="08E61599">
            <w:pPr>
              <w:kinsoku/>
              <w:spacing w:after="131" w:line="314" w:lineRule="atLeast"/>
              <w:ind w:left="59" w:leftChars="28" w:right="61" w:rightChars="29"/>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2.新建路段范围内的景观绿化的勘察设计；</w:t>
            </w:r>
          </w:p>
          <w:p w14:paraId="3E3B6F21">
            <w:pPr>
              <w:kinsoku/>
              <w:spacing w:after="131" w:line="314" w:lineRule="atLeast"/>
              <w:ind w:left="59" w:leftChars="28" w:right="61" w:rightChars="29"/>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3.沿线设施（含交通安全设施）的勘察设计；</w:t>
            </w:r>
          </w:p>
          <w:p w14:paraId="43AE6AA5">
            <w:pPr>
              <w:kinsoku/>
              <w:spacing w:after="131" w:line="314" w:lineRule="atLeast"/>
              <w:ind w:left="59" w:leftChars="28" w:right="61" w:rightChars="29"/>
              <w:rPr>
                <w:color w:val="auto"/>
                <w:highlight w:val="none"/>
                <w:lang w:eastAsia="zh-CN"/>
              </w:rPr>
            </w:pPr>
            <w:r>
              <w:rPr>
                <w:rFonts w:hint="eastAsia" w:asciiTheme="majorEastAsia" w:hAnsiTheme="majorEastAsia" w:eastAsiaTheme="majorEastAsia" w:cstheme="majorEastAsia"/>
                <w:color w:val="auto"/>
                <w:sz w:val="24"/>
                <w:highlight w:val="none"/>
                <w:lang w:eastAsia="zh-CN"/>
              </w:rPr>
              <w:t>上述勘察设计包括详勘、定测、专题报告研究（如有）、施工图设计、预算、工程量清单（含清单预算）及施工专用技术规范文件编制、交通组织措施方案设计、征地拆迁图编绘、施工配合服务工作及后续服务工作等。</w:t>
            </w:r>
          </w:p>
        </w:tc>
      </w:tr>
    </w:tbl>
    <w:p w14:paraId="6AD84C98">
      <w:pPr>
        <w:kinsoku/>
        <w:spacing w:before="190" w:line="219" w:lineRule="auto"/>
        <w:ind w:left="33"/>
        <w:outlineLvl w:val="1"/>
        <w:rPr>
          <w:rFonts w:ascii="宋体" w:hAnsi="宋体" w:eastAsia="宋体" w:cs="宋体"/>
          <w:color w:val="auto"/>
          <w:sz w:val="28"/>
          <w:szCs w:val="28"/>
          <w:highlight w:val="none"/>
          <w:lang w:eastAsia="zh-CN"/>
        </w:rPr>
      </w:pPr>
      <w:bookmarkStart w:id="10" w:name="bookmark10"/>
      <w:bookmarkEnd w:id="10"/>
      <w:bookmarkStart w:id="11" w:name="bookmark9"/>
      <w:bookmarkEnd w:id="11"/>
      <w:bookmarkStart w:id="12" w:name="_Toc671"/>
      <w:r>
        <w:rPr>
          <w:rFonts w:hint="eastAsia" w:ascii="宋体" w:hAnsi="宋体" w:eastAsia="宋体" w:cs="宋体"/>
          <w:b/>
          <w:bCs/>
          <w:color w:val="auto"/>
          <w:sz w:val="28"/>
          <w:szCs w:val="28"/>
          <w:highlight w:val="none"/>
          <w:lang w:eastAsia="zh-CN"/>
        </w:rPr>
        <w:t>3.投标人资格要求</w:t>
      </w:r>
      <w:bookmarkEnd w:id="12"/>
    </w:p>
    <w:p w14:paraId="36680091">
      <w:pPr>
        <w:kinsoku/>
        <w:spacing w:before="78" w:line="276" w:lineRule="auto"/>
        <w:ind w:left="42" w:right="73" w:firstLine="475"/>
        <w:rPr>
          <w:rFonts w:ascii="宋体" w:hAnsi="宋体"/>
          <w:color w:val="auto"/>
          <w:sz w:val="24"/>
          <w:highlight w:val="none"/>
          <w:lang w:eastAsia="zh-CN"/>
        </w:rPr>
      </w:pPr>
      <w:r>
        <w:rPr>
          <w:rFonts w:hint="eastAsia" w:ascii="宋体" w:hAnsi="宋体" w:eastAsia="宋体" w:cs="宋体"/>
          <w:color w:val="auto"/>
          <w:sz w:val="24"/>
          <w:szCs w:val="24"/>
          <w:highlight w:val="none"/>
          <w:lang w:eastAsia="zh-CN"/>
        </w:rPr>
        <w:t xml:space="preserve">3.1 </w:t>
      </w:r>
      <w:r>
        <w:rPr>
          <w:rFonts w:hint="eastAsia" w:ascii="宋体" w:hAnsi="宋体"/>
          <w:color w:val="auto"/>
          <w:sz w:val="24"/>
          <w:highlight w:val="none"/>
          <w:lang w:eastAsia="zh-CN"/>
        </w:rPr>
        <w:t>资格资质要求</w:t>
      </w:r>
    </w:p>
    <w:p w14:paraId="6D68AFA5">
      <w:pPr>
        <w:kinsoku/>
        <w:spacing w:before="78" w:line="276" w:lineRule="auto"/>
        <w:ind w:left="42" w:right="73" w:firstLine="475"/>
        <w:rPr>
          <w:rFonts w:eastAsia="宋体"/>
          <w:color w:val="auto"/>
          <w:highlight w:val="none"/>
          <w:lang w:eastAsia="zh-CN"/>
        </w:rPr>
      </w:pPr>
      <w:r>
        <w:rPr>
          <w:rFonts w:hint="eastAsia" w:ascii="宋体" w:hAnsi="宋体" w:eastAsia="宋体"/>
          <w:color w:val="auto"/>
          <w:sz w:val="24"/>
          <w:highlight w:val="none"/>
          <w:lang w:eastAsia="zh-CN"/>
        </w:rPr>
        <w:t xml:space="preserve">3.1.1 </w:t>
      </w:r>
      <w:r>
        <w:rPr>
          <w:rFonts w:hint="eastAsia" w:ascii="宋体" w:hAnsi="宋体" w:cs="宋体"/>
          <w:color w:val="auto"/>
          <w:sz w:val="24"/>
          <w:highlight w:val="none"/>
          <w:lang w:eastAsia="zh-CN"/>
        </w:rPr>
        <w:t>具有在中华人民共和国境内工商管理部门注册的有效的独立企业法人营业执照。</w:t>
      </w:r>
    </w:p>
    <w:p w14:paraId="7B4260B8">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3.1.2 投标人应同时具备以下第[1]、[2]项资质：</w:t>
      </w:r>
    </w:p>
    <w:p w14:paraId="78FAAAF0">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[1]勘察资质必须具备以下资质之一：</w:t>
      </w:r>
    </w:p>
    <w:p w14:paraId="32040B29">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①工程勘察综合类甲级资质；</w:t>
      </w:r>
    </w:p>
    <w:p w14:paraId="7CDCD959">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②工程勘察专业类（岩土工程）甲级资质和工程勘察专业类（工程测量）乙级以上（含乙级）资质；</w:t>
      </w:r>
    </w:p>
    <w:p w14:paraId="68FD6720">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③工程勘察专业类（岩土工程（勘察））甲级资质和工程勘察专业类（工程测量）乙级以上（含乙级）资质。</w:t>
      </w:r>
    </w:p>
    <w:p w14:paraId="534362A6">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[2]设计资质必须具备以下资质之一：</w:t>
      </w:r>
    </w:p>
    <w:p w14:paraId="27BBA387">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①工程设计综合资质甲级；</w:t>
      </w:r>
    </w:p>
    <w:p w14:paraId="0F9FCF70">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②工程设计公路行业甲级资质；</w:t>
      </w:r>
    </w:p>
    <w:p w14:paraId="50FBC44B">
      <w:pPr>
        <w:kinsoku/>
        <w:spacing w:before="78" w:line="276"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③工程设计公路行业（公路）专业甲级资质。</w:t>
      </w:r>
    </w:p>
    <w:p w14:paraId="17CDEBBE">
      <w:pPr>
        <w:kinsoku/>
        <w:wordWrap w:val="0"/>
        <w:spacing w:before="78" w:line="276" w:lineRule="auto"/>
        <w:ind w:left="40" w:right="74" w:firstLine="476"/>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投标人应进入交通运输部“全国公路建设市场监督管理系统（https://hwdms.mot.gov.cn/BMWebSite/）”中的公路工程设计资质企业名录，且投标人名称和资质与该名录中的相应企业名称和资质完全一致。</w:t>
      </w:r>
    </w:p>
    <w:p w14:paraId="673BA31A">
      <w:pPr>
        <w:kinsoku/>
        <w:wordWrap w:val="0"/>
        <w:spacing w:before="78" w:line="276" w:lineRule="auto"/>
        <w:ind w:left="40" w:right="74" w:firstLine="476"/>
        <w:rPr>
          <w:rFonts w:ascii="宋体" w:hAnsi="宋体" w:eastAsia="宋体" w:cs="宋体"/>
          <w:color w:val="auto"/>
          <w:sz w:val="24"/>
          <w:highlight w:val="none"/>
          <w:lang w:eastAsia="zh-CN"/>
        </w:rPr>
      </w:pPr>
      <w:r>
        <w:rPr>
          <w:rFonts w:hint="eastAsia" w:ascii="宋体" w:hAnsi="宋体" w:eastAsia="宋体" w:cs="宋体"/>
          <w:color w:val="auto"/>
          <w:sz w:val="24"/>
          <w:szCs w:val="24"/>
          <w:highlight w:val="none"/>
          <w:lang w:eastAsia="zh-CN"/>
        </w:rPr>
        <w:t>3.2 本次招标</w:t>
      </w:r>
      <w:r>
        <w:rPr>
          <w:rFonts w:hint="eastAsia" w:ascii="宋体" w:hAnsi="宋体" w:eastAsia="宋体" w:cs="宋体"/>
          <w:color w:val="auto"/>
          <w:sz w:val="24"/>
          <w:szCs w:val="24"/>
          <w:highlight w:val="none"/>
          <w:u w:val="single"/>
          <w:lang w:eastAsia="zh-CN"/>
        </w:rPr>
        <w:t xml:space="preserve"> 不接受 </w:t>
      </w:r>
      <w:r>
        <w:rPr>
          <w:rFonts w:hint="eastAsia" w:ascii="宋体" w:hAnsi="宋体" w:eastAsia="宋体" w:cs="宋体"/>
          <w:color w:val="auto"/>
          <w:sz w:val="24"/>
          <w:szCs w:val="24"/>
          <w:highlight w:val="none"/>
          <w:lang w:eastAsia="zh-CN"/>
        </w:rPr>
        <w:t>联合体投标。</w:t>
      </w:r>
    </w:p>
    <w:p w14:paraId="46C5136B">
      <w:pPr>
        <w:kinsoku/>
        <w:spacing w:before="62" w:line="276" w:lineRule="auto"/>
        <w:ind w:left="42" w:right="75"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 每个投标人最多可对</w:t>
      </w:r>
      <w:r>
        <w:rPr>
          <w:rFonts w:hint="eastAsia" w:ascii="宋体" w:hAnsi="宋体" w:eastAsia="宋体" w:cs="宋体"/>
          <w:color w:val="auto"/>
          <w:sz w:val="24"/>
          <w:szCs w:val="24"/>
          <w:highlight w:val="none"/>
          <w:u w:val="single"/>
          <w:lang w:eastAsia="zh-CN"/>
        </w:rPr>
        <w:t xml:space="preserve"> 1 </w:t>
      </w:r>
      <w:r>
        <w:rPr>
          <w:rFonts w:hint="eastAsia" w:ascii="宋体" w:hAnsi="宋体" w:eastAsia="宋体" w:cs="宋体"/>
          <w:color w:val="auto"/>
          <w:sz w:val="24"/>
          <w:szCs w:val="24"/>
          <w:highlight w:val="none"/>
          <w:lang w:eastAsia="zh-CN"/>
        </w:rPr>
        <w:t>个标段投标；每个投标人允许中</w:t>
      </w:r>
      <w:r>
        <w:rPr>
          <w:rFonts w:hint="eastAsia" w:ascii="宋体" w:hAnsi="宋体" w:eastAsia="宋体" w:cs="宋体"/>
          <w:color w:val="auto"/>
          <w:sz w:val="24"/>
          <w:szCs w:val="24"/>
          <w:highlight w:val="none"/>
          <w:u w:val="single"/>
          <w:lang w:eastAsia="zh-CN"/>
        </w:rPr>
        <w:t xml:space="preserve"> 1 </w:t>
      </w:r>
      <w:r>
        <w:rPr>
          <w:rFonts w:hint="eastAsia" w:ascii="宋体" w:hAnsi="宋体" w:eastAsia="宋体" w:cs="宋体"/>
          <w:color w:val="auto"/>
          <w:sz w:val="24"/>
          <w:szCs w:val="24"/>
          <w:highlight w:val="none"/>
          <w:lang w:eastAsia="zh-CN"/>
        </w:rPr>
        <w:t>个标。</w:t>
      </w:r>
    </w:p>
    <w:p w14:paraId="5CB58131">
      <w:pPr>
        <w:kinsoku/>
        <w:spacing w:before="62" w:line="276" w:lineRule="auto"/>
        <w:ind w:left="42" w:right="75" w:firstLine="475"/>
        <w:rPr>
          <w:rFonts w:eastAsia="宋体"/>
          <w:color w:val="auto"/>
          <w:highlight w:val="none"/>
          <w:lang w:eastAsia="zh-CN"/>
        </w:rPr>
      </w:pPr>
      <w:r>
        <w:rPr>
          <w:rFonts w:hint="eastAsia" w:ascii="宋体" w:hAnsi="宋体" w:eastAsia="宋体" w:cs="宋体"/>
          <w:color w:val="auto"/>
          <w:sz w:val="24"/>
          <w:szCs w:val="24"/>
          <w:highlight w:val="none"/>
          <w:lang w:eastAsia="zh-CN"/>
        </w:rPr>
        <w:t xml:space="preserve">3.4 </w:t>
      </w:r>
      <w:r>
        <w:rPr>
          <w:rFonts w:hint="eastAsia" w:ascii="宋体" w:hAnsi="宋体" w:cs="宋体"/>
          <w:color w:val="auto"/>
          <w:sz w:val="24"/>
          <w:highlight w:val="none"/>
          <w:lang w:eastAsia="zh-CN"/>
        </w:rPr>
        <w:t>本项目的</w:t>
      </w:r>
      <w:r>
        <w:rPr>
          <w:rFonts w:hint="eastAsia" w:ascii="宋体" w:hAnsi="宋体" w:eastAsia="宋体" w:cs="宋体"/>
          <w:color w:val="auto"/>
          <w:sz w:val="24"/>
          <w:highlight w:val="none"/>
          <w:lang w:eastAsia="zh-CN"/>
        </w:rPr>
        <w:t>勘察</w:t>
      </w:r>
      <w:r>
        <w:rPr>
          <w:rFonts w:hint="eastAsia" w:ascii="宋体" w:hAnsi="宋体" w:cs="宋体"/>
          <w:color w:val="auto"/>
          <w:sz w:val="24"/>
          <w:highlight w:val="none"/>
          <w:lang w:eastAsia="zh-CN"/>
        </w:rPr>
        <w:t>设计咨询中标单位与其存在利害关系的单位均不得参加本项目的设计投标。</w:t>
      </w:r>
    </w:p>
    <w:p w14:paraId="53A515D6">
      <w:pPr>
        <w:kinsoku/>
        <w:spacing w:before="78" w:line="276" w:lineRule="auto"/>
        <w:ind w:left="39" w:right="213" w:firstLine="506" w:firstLineChars="21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 与招标人存在利害关系可能影响招标公正性的单位，不得参加投标。单位负责人为同一人或存在控股、管理关系的不同单位，不得参加同一标段投标，否则，相关投标均无效。</w:t>
      </w:r>
    </w:p>
    <w:p w14:paraId="3CE885DF">
      <w:pPr>
        <w:kinsoku/>
        <w:spacing w:before="114" w:line="276" w:lineRule="auto"/>
        <w:ind w:left="41" w:right="216" w:firstLine="477"/>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6</w:t>
      </w:r>
      <w:r>
        <w:rPr>
          <w:rFonts w:hint="eastAsia" w:ascii="宋体" w:hAnsi="宋体" w:eastAsia="宋体" w:cs="宋体"/>
          <w:color w:val="auto"/>
          <w:sz w:val="24"/>
          <w:szCs w:val="24"/>
          <w:highlight w:val="none"/>
        </w:rPr>
        <w:t xml:space="preserve"> 在“信用中国”网站（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eastAsia="宋体" w:cs="宋体"/>
          <w:color w:val="auto"/>
          <w:sz w:val="24"/>
          <w:szCs w:val="24"/>
          <w:highlight w:val="none"/>
          <w:lang w:eastAsia="zh-CN"/>
        </w:rPr>
        <w:t>https://www.creditchina.gov.cn/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rPr>
        <w:t>）中被列入失信被执行人名单的投标人，</w:t>
      </w:r>
      <w:r>
        <w:rPr>
          <w:rFonts w:hint="eastAsia" w:ascii="宋体" w:hAnsi="宋体" w:cs="宋体"/>
          <w:color w:val="auto"/>
          <w:sz w:val="24"/>
          <w:highlight w:val="none"/>
        </w:rPr>
        <w:t>在国家企业信用信息公示系统（www.gsxt.gov.cn）中被列入严重违法失信企业名单的投标人，均</w:t>
      </w:r>
      <w:r>
        <w:rPr>
          <w:rFonts w:hint="eastAsia" w:ascii="宋体" w:hAnsi="宋体" w:eastAsia="宋体" w:cs="宋体"/>
          <w:color w:val="auto"/>
          <w:sz w:val="24"/>
          <w:szCs w:val="24"/>
          <w:highlight w:val="none"/>
        </w:rPr>
        <w:t>不得参加投标。</w:t>
      </w:r>
    </w:p>
    <w:p w14:paraId="751E2A79">
      <w:pPr>
        <w:kinsoku/>
        <w:spacing w:before="261" w:line="276" w:lineRule="auto"/>
        <w:ind w:left="35"/>
        <w:outlineLvl w:val="1"/>
        <w:rPr>
          <w:rFonts w:ascii="宋体" w:hAnsi="宋体" w:eastAsia="宋体" w:cs="宋体"/>
          <w:color w:val="auto"/>
          <w:sz w:val="13"/>
          <w:szCs w:val="13"/>
          <w:highlight w:val="none"/>
          <w:lang w:eastAsia="zh-CN"/>
        </w:rPr>
      </w:pPr>
      <w:bookmarkStart w:id="13" w:name="bookmark12"/>
      <w:bookmarkEnd w:id="13"/>
      <w:bookmarkStart w:id="14" w:name="bookmark11"/>
      <w:bookmarkEnd w:id="14"/>
      <w:bookmarkStart w:id="15" w:name="_Toc6956"/>
      <w:r>
        <w:rPr>
          <w:rFonts w:hint="eastAsia" w:ascii="宋体" w:hAnsi="宋体" w:eastAsia="宋体" w:cs="宋体"/>
          <w:b/>
          <w:bCs/>
          <w:color w:val="auto"/>
          <w:sz w:val="28"/>
          <w:szCs w:val="28"/>
          <w:highlight w:val="none"/>
          <w:lang w:eastAsia="zh-CN"/>
        </w:rPr>
        <w:t>4.技术成果经济补偿</w:t>
      </w:r>
      <w:bookmarkEnd w:id="15"/>
    </w:p>
    <w:p w14:paraId="5E715A01">
      <w:pPr>
        <w:kinsoku/>
        <w:spacing w:before="78" w:line="276" w:lineRule="auto"/>
        <w:ind w:left="37" w:right="237"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本次招标对未中标人投标文件中的技术成果</w:t>
      </w:r>
      <w:r>
        <w:rPr>
          <w:rFonts w:hint="eastAsia" w:ascii="宋体" w:hAnsi="宋体" w:eastAsia="宋体" w:cs="宋体"/>
          <w:color w:val="auto"/>
          <w:sz w:val="24"/>
          <w:szCs w:val="24"/>
          <w:highlight w:val="none"/>
          <w:u w:val="single"/>
          <w:lang w:eastAsia="zh-CN"/>
        </w:rPr>
        <w:t xml:space="preserve"> 不给予 </w:t>
      </w:r>
      <w:r>
        <w:rPr>
          <w:rFonts w:hint="eastAsia" w:ascii="宋体" w:hAnsi="宋体" w:eastAsia="宋体" w:cs="宋体"/>
          <w:color w:val="auto"/>
          <w:sz w:val="24"/>
          <w:szCs w:val="24"/>
          <w:highlight w:val="none"/>
          <w:lang w:eastAsia="zh-CN"/>
        </w:rPr>
        <w:t>经济补偿。</w:t>
      </w:r>
    </w:p>
    <w:p w14:paraId="575D587D">
      <w:pPr>
        <w:kinsoku/>
        <w:spacing w:before="273" w:line="276" w:lineRule="auto"/>
        <w:ind w:left="38"/>
        <w:outlineLvl w:val="1"/>
        <w:rPr>
          <w:rFonts w:ascii="宋体" w:hAnsi="宋体" w:eastAsia="宋体" w:cs="宋体"/>
          <w:color w:val="auto"/>
          <w:sz w:val="28"/>
          <w:szCs w:val="28"/>
          <w:highlight w:val="none"/>
          <w:lang w:eastAsia="zh-CN"/>
        </w:rPr>
      </w:pPr>
      <w:bookmarkStart w:id="16" w:name="bookmark14"/>
      <w:bookmarkEnd w:id="16"/>
      <w:bookmarkStart w:id="17" w:name="bookmark13"/>
      <w:bookmarkEnd w:id="17"/>
      <w:bookmarkStart w:id="18" w:name="_Toc30487"/>
      <w:r>
        <w:rPr>
          <w:rFonts w:hint="eastAsia" w:ascii="宋体" w:hAnsi="宋体" w:eastAsia="宋体" w:cs="宋体"/>
          <w:b/>
          <w:bCs/>
          <w:color w:val="auto"/>
          <w:sz w:val="28"/>
          <w:szCs w:val="28"/>
          <w:highlight w:val="none"/>
          <w:lang w:eastAsia="zh-CN"/>
        </w:rPr>
        <w:t>5.招标文件的获取</w:t>
      </w:r>
      <w:bookmarkEnd w:id="18"/>
    </w:p>
    <w:p w14:paraId="603356D4">
      <w:pPr>
        <w:kinsoku/>
        <w:wordWrap w:val="0"/>
        <w:spacing w:line="276" w:lineRule="auto"/>
        <w:ind w:firstLine="480" w:firstLineChars="200"/>
        <w:rPr>
          <w:rFonts w:ascii="宋体" w:hAnsi="宋体"/>
          <w:color w:val="auto"/>
          <w:sz w:val="24"/>
          <w:highlight w:val="none"/>
          <w:lang w:eastAsia="zh-CN"/>
        </w:rPr>
      </w:pPr>
      <w:r>
        <w:rPr>
          <w:rFonts w:hint="eastAsia" w:ascii="宋体" w:hAnsi="宋体"/>
          <w:color w:val="auto"/>
          <w:sz w:val="24"/>
          <w:highlight w:val="none"/>
          <w:lang w:eastAsia="zh-CN"/>
        </w:rPr>
        <w:t>5.1</w:t>
      </w:r>
      <w:r>
        <w:rPr>
          <w:rFonts w:hint="eastAsia" w:ascii="宋体" w:hAnsi="宋体" w:eastAsia="宋体"/>
          <w:color w:val="auto"/>
          <w:sz w:val="24"/>
          <w:highlight w:val="none"/>
          <w:lang w:eastAsia="zh-CN"/>
        </w:rPr>
        <w:t xml:space="preserve"> </w:t>
      </w:r>
      <w:r>
        <w:rPr>
          <w:rFonts w:hint="eastAsia" w:ascii="宋体" w:hAnsi="宋体"/>
          <w:color w:val="auto"/>
          <w:sz w:val="24"/>
          <w:highlight w:val="none"/>
          <w:lang w:eastAsia="zh-CN"/>
        </w:rPr>
        <w:t>本次招标实行电子投标。本项目招标文件随招标公告一并在全国公共资源交易平台（广东省·韶关市）（https://ygp.gdzwfw.gov.cn/ggzy-portal/#/440200/index）网站发布。招标文件一经在交易平台发布，视为发送投标人，招标文件及相关附件由投标人自行在交易平台网站下载。招标文件获取期间（见“重要事项时间地点一览表”，招标文件获取期间与招标公告发布时间一致），投标人须登录全国公共资源交易平台（广东省·韶关市）（https://ygp.gdzwfw.gov.cn/ggzy-portal/#/440200/index）下载招标文件及相关附件，并于电子投标截止时间（见“重要事项时间地点一览表”）前完成电子投标。投标人可登录全国公共资源交易平台（广东省·韶关市）（https://ygp.gdzwfw.gov.cn/ggzy-portal/#/440200/index），在【服务指南】栏目中下载《韶关市公共资源建设工程交易系统-投标人操作指南（电子评标）》，了解网上获取招标文件操作流程。技术咨询电话：18819797080/0751-8379671伍先生，业务咨询电话：0751-8633211。</w:t>
      </w:r>
    </w:p>
    <w:p w14:paraId="1613943F">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5.2 只有申领了数字证书（CA）、“粤企签”或GDCA/SZCA/NETCA等符合法律法规规定的电子印章，并在交易平台中完成企业信息数据入库的投标人，方可在交易平台获取招标文件和电子投标。</w:t>
      </w:r>
    </w:p>
    <w:p w14:paraId="7ADF18C9">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首次在韶关市参与建设工程招标投标活动的投标人，必须在交易平台上传企业相关资料办理企业入库事宜。投标人可登录全国公共资源交易平台（广东省·韶关市）（https://ygp.gdzwfw.gov.cn/ggzy-portal/#/440200/index）办理企业入库、数字证书及电子印章事宜，具体请在交易平台查阅相应的交易指引。</w:t>
      </w:r>
    </w:p>
    <w:p w14:paraId="07EC3BBB">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已入库企业有关信息（如单位名称、基本账号、资质、人员等）发生变化的，须及时在交易平台进行相应变更。投标人未及时变更信息而造成的损失和后果，由投标人自行承担。</w:t>
      </w:r>
    </w:p>
    <w:p w14:paraId="69B4BC1D">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电子印章：是指获得国家工业和信息化部颁发的《电子认证服务许可证》、国家密码管理局颁发的《电子认证服务使用密码许可证》等资质，具备承担因数字证书原因产生纠纷的相关责任的能力，且在广东省内具有数量基础和服务能力的依法设立的电子认证服务机构签发的电子签章认证证书（即CA数字证书）。投标人应当到相关服务机构办理并取得数字证书介质和应用。电子印章包括机构法人电子形式印章，单位法定代表人、被委托人及其他个人的电子形式印章。电子印章与手写签名或者盖章具有同等的法律效力。</w:t>
      </w:r>
    </w:p>
    <w:p w14:paraId="416E9D6B">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5.3 投标保证：投标人须缴纳金额为人民币</w:t>
      </w:r>
      <w:r>
        <w:rPr>
          <w:rFonts w:hint="eastAsia" w:ascii="宋体" w:hAnsi="宋体"/>
          <w:color w:val="auto"/>
          <w:sz w:val="24"/>
          <w:highlight w:val="none"/>
          <w:u w:val="single"/>
          <w:lang w:eastAsia="zh-CN"/>
        </w:rPr>
        <w:t>6万元</w:t>
      </w:r>
      <w:r>
        <w:rPr>
          <w:rFonts w:hint="eastAsia" w:ascii="宋体" w:hAnsi="宋体"/>
          <w:color w:val="auto"/>
          <w:sz w:val="24"/>
          <w:highlight w:val="none"/>
          <w:lang w:eastAsia="zh-CN"/>
        </w:rPr>
        <w:t>整的投标保证。</w:t>
      </w:r>
    </w:p>
    <w:p w14:paraId="07789903">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5.3.1 投标保证的形式包括投标保证金、投标保证担保、投标保证保险三种，由投标人自主选择。</w:t>
      </w:r>
    </w:p>
    <w:p w14:paraId="5FEB88FF">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(1)采用投标保证金的，投标人在建设工程交易系统获取招标文件后，即可在系统申请缴纳投标保证金，获取本次招标投标保证金缴纳账号。投标人须于投标保证金到账截止时间(详见“重要事项时间地点一览表”)前，从其基本账户将投标保证金转账到指定的缴纳账号。逾期到账的、从非投标人基本账户转出的，其投标无效。</w:t>
      </w:r>
    </w:p>
    <w:p w14:paraId="38F7C55D">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(2)采用投标保证担保的，投标人应提交有效的电子保函或保证保险，电子保函或保证保险的有效期不得短于投标有效期。投标人必须在投标保证担保截止时间（详见“重要事项时间地点一览表”）前，使用工程建设交易系统完成网上办理电子保函或保证保险。</w:t>
      </w:r>
    </w:p>
    <w:p w14:paraId="246443E8">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(3)采用投标保证保险的，投标人须在投标保证保险投保截止时间（详见“重要事项时间地点一览表”）前，使用建设工程交易系统完成网上投保。投标人可在系统选择保险机构、录入投保信息、支付保费、打印电子保单，电子保单的有效期不得短于投标有效期。投标人可登录全国公共资源交易平台（广东省·韶关市）（https://ygp.gdzwfw.gov.cn/ggzy-portal/#/440200/index），在【服务指南】栏目中下载《韶关市公共资源建设工程交易系统-投标人操作指南》，了解网上投保具体操作流程。逾期投保的，其投标无效。</w:t>
      </w:r>
    </w:p>
    <w:p w14:paraId="3F771EF3">
      <w:pPr>
        <w:pStyle w:val="20"/>
        <w:spacing w:line="276" w:lineRule="auto"/>
        <w:rPr>
          <w:rFonts w:ascii="宋体" w:hAnsi="宋体"/>
          <w:color w:val="auto"/>
          <w:sz w:val="24"/>
          <w:highlight w:val="none"/>
          <w:lang w:eastAsia="zh-CN"/>
        </w:rPr>
      </w:pPr>
      <w:r>
        <w:rPr>
          <w:rFonts w:hint="eastAsia" w:ascii="宋体" w:hAnsi="宋体"/>
          <w:color w:val="auto"/>
          <w:sz w:val="24"/>
          <w:highlight w:val="none"/>
          <w:lang w:eastAsia="zh-CN"/>
        </w:rPr>
        <w:t>温馨提醒：投标人采用投标保证担保的，为避免在评标过程中因有效期发生争议，建议投标人将银行保函有效期设置为较招标文件规定的投标有效期延长不少于20个日历天。</w:t>
      </w:r>
    </w:p>
    <w:p w14:paraId="30D2E9CE">
      <w:pPr>
        <w:pStyle w:val="20"/>
        <w:spacing w:line="276" w:lineRule="auto"/>
        <w:rPr>
          <w:rFonts w:ascii="宋体" w:hAnsi="宋体" w:eastAsia="宋体" w:cs="宋体"/>
          <w:color w:val="auto"/>
          <w:sz w:val="24"/>
          <w:szCs w:val="24"/>
          <w:highlight w:val="none"/>
          <w:lang w:eastAsia="zh-CN"/>
        </w:rPr>
      </w:pPr>
      <w:r>
        <w:rPr>
          <w:rFonts w:hint="eastAsia" w:ascii="宋体" w:hAnsi="宋体"/>
          <w:color w:val="auto"/>
          <w:sz w:val="24"/>
          <w:highlight w:val="none"/>
          <w:lang w:eastAsia="zh-CN"/>
        </w:rPr>
        <w:t>5.4 若投标人因自身原因未能正确完成网上获取招标文件、电子投标、缴纳投标保证的，其投标无效。</w:t>
      </w:r>
    </w:p>
    <w:p w14:paraId="343E83A2">
      <w:pPr>
        <w:kinsoku/>
        <w:spacing w:before="274" w:line="276" w:lineRule="auto"/>
        <w:ind w:left="39"/>
        <w:outlineLvl w:val="1"/>
        <w:rPr>
          <w:rFonts w:ascii="宋体" w:hAnsi="宋体" w:eastAsia="宋体" w:cs="宋体"/>
          <w:color w:val="auto"/>
          <w:sz w:val="28"/>
          <w:szCs w:val="28"/>
          <w:highlight w:val="none"/>
          <w:lang w:eastAsia="zh-CN"/>
        </w:rPr>
      </w:pPr>
      <w:bookmarkStart w:id="19" w:name="bookmark16"/>
      <w:bookmarkEnd w:id="19"/>
      <w:bookmarkStart w:id="20" w:name="bookmark15"/>
      <w:bookmarkEnd w:id="20"/>
      <w:bookmarkStart w:id="21" w:name="_Toc21010"/>
      <w:r>
        <w:rPr>
          <w:rFonts w:hint="eastAsia" w:ascii="宋体" w:hAnsi="宋体" w:eastAsia="宋体" w:cs="宋体"/>
          <w:b/>
          <w:bCs/>
          <w:color w:val="auto"/>
          <w:sz w:val="28"/>
          <w:szCs w:val="28"/>
          <w:highlight w:val="none"/>
          <w:lang w:eastAsia="zh-CN"/>
        </w:rPr>
        <w:t>6.投标文件的递交及相关事宜</w:t>
      </w:r>
      <w:bookmarkEnd w:id="21"/>
    </w:p>
    <w:p w14:paraId="367EDE31">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6</w:t>
      </w:r>
      <w:r>
        <w:rPr>
          <w:rFonts w:hint="eastAsia" w:ascii="宋体" w:hAnsi="宋体" w:eastAsia="宋体" w:cs="Calibri"/>
          <w:color w:val="auto"/>
          <w:kern w:val="2"/>
          <w:sz w:val="24"/>
          <w:szCs w:val="28"/>
          <w:highlight w:val="none"/>
          <w:lang w:eastAsia="zh-CN"/>
        </w:rPr>
        <w:t>.1 招标文件随本公告一并公开发布，投标人可登录广东省招标投标监管网（https://www.gdzwfw.gov.cn/ztbjg-portal/#/index）或全国公共资源交易平台（广东省·韶关市）（https://ygp.gdzwfw.gov.cn/ggzy-portal/#/440200/index）免费下载。投标人在交易平台报名完毕后，即可在系统内免费下载本招标项目其它相关资料。</w:t>
      </w:r>
    </w:p>
    <w:p w14:paraId="7643769A">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6</w:t>
      </w:r>
      <w:r>
        <w:rPr>
          <w:rFonts w:hint="eastAsia" w:ascii="宋体" w:hAnsi="宋体" w:eastAsia="宋体" w:cs="Calibri"/>
          <w:color w:val="auto"/>
          <w:kern w:val="2"/>
          <w:sz w:val="24"/>
          <w:szCs w:val="28"/>
          <w:highlight w:val="none"/>
          <w:lang w:eastAsia="zh-CN"/>
        </w:rPr>
        <w:t>.2 投标人若对招标文件等资料有疑问，应在提问截止时间（</w:t>
      </w:r>
      <w:r>
        <w:rPr>
          <w:rFonts w:hint="eastAsia" w:ascii="宋体" w:hAnsi="宋体" w:cs="Calibri"/>
          <w:color w:val="auto"/>
          <w:kern w:val="2"/>
          <w:sz w:val="24"/>
          <w:szCs w:val="28"/>
          <w:highlight w:val="none"/>
          <w:lang w:eastAsia="zh-CN"/>
        </w:rPr>
        <w:t>见“重要事项时间地点一览表”</w:t>
      </w:r>
      <w:r>
        <w:rPr>
          <w:rFonts w:hint="eastAsia" w:ascii="宋体" w:hAnsi="宋体" w:eastAsia="宋体" w:cs="Calibri"/>
          <w:color w:val="auto"/>
          <w:kern w:val="2"/>
          <w:sz w:val="24"/>
          <w:szCs w:val="28"/>
          <w:highlight w:val="none"/>
          <w:lang w:eastAsia="zh-CN"/>
        </w:rPr>
        <w:t>）</w:t>
      </w:r>
      <w:r>
        <w:rPr>
          <w:rFonts w:hint="eastAsia" w:ascii="宋体" w:hAnsi="宋体" w:eastAsia="宋体"/>
          <w:color w:val="auto"/>
          <w:sz w:val="24"/>
          <w:highlight w:val="none"/>
          <w:lang w:eastAsia="zh-CN"/>
        </w:rPr>
        <w:t>前使用建设工程交易系统提出问题。</w:t>
      </w:r>
      <w:r>
        <w:rPr>
          <w:rFonts w:hint="eastAsia" w:ascii="宋体" w:hAnsi="宋体" w:eastAsia="宋体" w:cs="Calibri"/>
          <w:color w:val="auto"/>
          <w:kern w:val="2"/>
          <w:sz w:val="24"/>
          <w:szCs w:val="28"/>
          <w:highlight w:val="none"/>
          <w:lang w:eastAsia="zh-CN"/>
        </w:rPr>
        <w:t>未在指定时间前、未采用指定方式提出的，招标人不予受理。</w:t>
      </w:r>
    </w:p>
    <w:p w14:paraId="26A46297">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6</w:t>
      </w:r>
      <w:r>
        <w:rPr>
          <w:rFonts w:hint="eastAsia" w:ascii="宋体" w:hAnsi="宋体" w:eastAsia="宋体" w:cs="Calibri"/>
          <w:color w:val="auto"/>
          <w:kern w:val="2"/>
          <w:sz w:val="24"/>
          <w:szCs w:val="28"/>
          <w:highlight w:val="none"/>
          <w:lang w:eastAsia="zh-CN"/>
        </w:rPr>
        <w:t>.3 招标人在提问截止时间（</w:t>
      </w:r>
      <w:r>
        <w:rPr>
          <w:rFonts w:hint="eastAsia" w:ascii="宋体" w:hAnsi="宋体" w:cs="Calibri"/>
          <w:color w:val="auto"/>
          <w:kern w:val="2"/>
          <w:sz w:val="24"/>
          <w:szCs w:val="28"/>
          <w:highlight w:val="none"/>
          <w:lang w:eastAsia="zh-CN"/>
        </w:rPr>
        <w:t>见“重要事项时间地点一览表”</w:t>
      </w:r>
      <w:r>
        <w:rPr>
          <w:rFonts w:hint="eastAsia" w:ascii="宋体" w:hAnsi="宋体" w:eastAsia="宋体" w:cs="Calibri"/>
          <w:color w:val="auto"/>
          <w:kern w:val="2"/>
          <w:sz w:val="24"/>
          <w:szCs w:val="28"/>
          <w:highlight w:val="none"/>
          <w:lang w:eastAsia="zh-CN"/>
        </w:rPr>
        <w:t>）后3日内，一次性对收到的所有问题作出答复，并形成答疑（或修改）公告在发布招标公告的媒介上公开发布。答疑（或修改）公告一旦发布，即视所有潜在投标人已经知悉答疑（或修改）内容，投标人未及时关注而造成的损失和后果，由投标人自行承担。</w:t>
      </w:r>
    </w:p>
    <w:p w14:paraId="72913E9B">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6</w:t>
      </w:r>
      <w:r>
        <w:rPr>
          <w:rFonts w:hint="eastAsia" w:ascii="宋体" w:hAnsi="宋体" w:eastAsia="宋体" w:cs="Calibri"/>
          <w:color w:val="auto"/>
          <w:kern w:val="2"/>
          <w:sz w:val="24"/>
          <w:szCs w:val="28"/>
          <w:highlight w:val="none"/>
          <w:lang w:eastAsia="zh-CN"/>
        </w:rPr>
        <w:t>.4 招标人对招标文件所作的答疑（或修改）公告，构成招标文件的组成部分。</w:t>
      </w:r>
    </w:p>
    <w:p w14:paraId="22A965F2">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 xml:space="preserve">6.5 </w:t>
      </w:r>
      <w:r>
        <w:rPr>
          <w:rFonts w:hint="eastAsia" w:ascii="宋体" w:hAnsi="宋体" w:eastAsia="宋体" w:cs="Calibri"/>
          <w:color w:val="auto"/>
          <w:kern w:val="2"/>
          <w:sz w:val="24"/>
          <w:szCs w:val="28"/>
          <w:highlight w:val="none"/>
          <w:lang w:eastAsia="zh-CN"/>
        </w:rPr>
        <w:t>投标人必须在规定的截止时间前（</w:t>
      </w:r>
      <w:r>
        <w:rPr>
          <w:rFonts w:hint="eastAsia" w:ascii="宋体" w:hAnsi="宋体" w:cs="Calibri"/>
          <w:color w:val="auto"/>
          <w:kern w:val="2"/>
          <w:sz w:val="24"/>
          <w:szCs w:val="28"/>
          <w:highlight w:val="none"/>
          <w:lang w:eastAsia="zh-CN"/>
        </w:rPr>
        <w:t>见“重要事项时间地点一览表”</w:t>
      </w:r>
      <w:r>
        <w:rPr>
          <w:rFonts w:hint="eastAsia" w:ascii="宋体" w:hAnsi="宋体" w:eastAsia="宋体" w:cs="Calibri"/>
          <w:color w:val="auto"/>
          <w:kern w:val="2"/>
          <w:sz w:val="24"/>
          <w:szCs w:val="28"/>
          <w:highlight w:val="none"/>
          <w:lang w:eastAsia="zh-CN"/>
        </w:rPr>
        <w:t>）</w:t>
      </w:r>
      <w:r>
        <w:rPr>
          <w:rFonts w:hint="eastAsia" w:ascii="宋体" w:hAnsi="宋体" w:eastAsia="宋体"/>
          <w:color w:val="auto"/>
          <w:sz w:val="24"/>
          <w:highlight w:val="none"/>
          <w:lang w:eastAsia="zh-CN"/>
        </w:rPr>
        <w:t>使用交易系统完成网上获取招标文件、缴纳投标保证和全流程电子投标。只有满足以上所有条件，方为有效投标。</w:t>
      </w:r>
    </w:p>
    <w:p w14:paraId="0C0304C4">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 xml:space="preserve">6.6 </w:t>
      </w:r>
      <w:r>
        <w:rPr>
          <w:rFonts w:hint="eastAsia" w:ascii="宋体" w:hAnsi="宋体" w:eastAsia="宋体" w:cs="Calibri"/>
          <w:color w:val="auto"/>
          <w:kern w:val="2"/>
          <w:sz w:val="24"/>
          <w:szCs w:val="28"/>
          <w:highlight w:val="none"/>
          <w:lang w:eastAsia="zh-CN"/>
        </w:rPr>
        <w:t>根据《关于全面启用全流程电子化招标投标的通知》（韶交易发〔2022〕24号）文件，进入交易平台以招标方式进行交易的项目将全面启用全流程电子化招标投标。投标人可通过交易平台在线办理电子保函、保证保险和投标、下载中标通知书等业务。全流程电子化招标投标项目不再接收纸质投标文件，也不接收纸质保函等单证资料。</w:t>
      </w:r>
    </w:p>
    <w:p w14:paraId="57DE59E4">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cs="Calibri"/>
          <w:color w:val="auto"/>
          <w:kern w:val="2"/>
          <w:sz w:val="24"/>
          <w:szCs w:val="28"/>
          <w:highlight w:val="none"/>
          <w:lang w:eastAsia="zh-CN"/>
        </w:rPr>
        <w:t xml:space="preserve">6.7 </w:t>
      </w:r>
      <w:r>
        <w:rPr>
          <w:rFonts w:hint="eastAsia" w:ascii="宋体" w:hAnsi="宋体" w:eastAsia="宋体" w:cs="Calibri"/>
          <w:color w:val="auto"/>
          <w:kern w:val="2"/>
          <w:sz w:val="24"/>
          <w:szCs w:val="28"/>
          <w:highlight w:val="none"/>
          <w:lang w:eastAsia="zh-CN"/>
        </w:rPr>
        <w:t>投标人在交易平台按要求上传加盖电子印章并经加密的电子投标文件，并在交易平台录入准确的页码信息即可完成在线投标。由于投标人原因导致未按投标截至时限上传完整投标文件、在交易平台中上传的投标文件无法解密、投标文件损坏或格式不正确、投标文件未按招标文件要求加盖电子印章或电子印章不完整、电子投标文件解密失败且未按要求上传备用投标文件等情形导致投标无效的，由投标人自行负责。</w:t>
      </w:r>
    </w:p>
    <w:p w14:paraId="755CC805">
      <w:pPr>
        <w:spacing w:after="136" w:line="276" w:lineRule="auto"/>
        <w:ind w:firstLine="600" w:firstLineChars="250"/>
        <w:rPr>
          <w:rFonts w:ascii="宋体" w:hAnsi="宋体" w:eastAsia="宋体" w:cs="Calibri"/>
          <w:color w:val="auto"/>
          <w:kern w:val="2"/>
          <w:sz w:val="24"/>
          <w:szCs w:val="28"/>
          <w:highlight w:val="none"/>
          <w:lang w:eastAsia="zh-CN"/>
        </w:rPr>
      </w:pPr>
      <w:r>
        <w:rPr>
          <w:rFonts w:hint="eastAsia" w:ascii="宋体" w:hAnsi="宋体" w:eastAsia="宋体" w:cs="Calibri"/>
          <w:color w:val="auto"/>
          <w:kern w:val="2"/>
          <w:sz w:val="24"/>
          <w:szCs w:val="28"/>
          <w:highlight w:val="none"/>
          <w:lang w:eastAsia="zh-CN"/>
        </w:rPr>
        <w:t>备注：在规定时间内，因投标人之外原因（指网络瘫痪、服务器损坏、交易系统故障短期无法恢复）等导致的电子投标文件解密失败，在开标现场解密环节由代理授权后，解密失败投标人可在交易平台在规定时间（代理机构授权后30分钟内）内重新提交投标文件继续开标程序。</w:t>
      </w:r>
    </w:p>
    <w:p w14:paraId="7ED12A21">
      <w:pPr>
        <w:spacing w:after="136" w:line="276" w:lineRule="auto"/>
        <w:ind w:firstLine="600" w:firstLineChars="250"/>
        <w:rPr>
          <w:rFonts w:ascii="宋体" w:hAnsi="宋体" w:eastAsia="宋体" w:cs="宋体"/>
          <w:color w:val="auto"/>
          <w:sz w:val="24"/>
          <w:szCs w:val="24"/>
          <w:highlight w:val="none"/>
          <w:lang w:eastAsia="zh-CN"/>
        </w:rPr>
      </w:pPr>
      <w:r>
        <w:rPr>
          <w:rFonts w:hint="eastAsia" w:ascii="宋体" w:hAnsi="宋体" w:cs="Calibri"/>
          <w:color w:val="auto"/>
          <w:kern w:val="2"/>
          <w:sz w:val="24"/>
          <w:szCs w:val="28"/>
          <w:highlight w:val="none"/>
          <w:lang w:eastAsia="zh-CN"/>
        </w:rPr>
        <w:t xml:space="preserve">6.8 </w:t>
      </w:r>
      <w:r>
        <w:rPr>
          <w:rFonts w:hint="eastAsia" w:ascii="宋体" w:hAnsi="宋体" w:eastAsia="宋体"/>
          <w:color w:val="auto"/>
          <w:sz w:val="24"/>
          <w:highlight w:val="none"/>
          <w:lang w:eastAsia="zh-CN"/>
        </w:rPr>
        <w:t>开标时间和地点：见“重要事项时间地点一览表”。投标人无须进行现场签到（需要提交评审原件时，投标人可在规定的地点、时间内递交至开标现场，无原件的不作要求），可登录交易平台及时观看开标实况、提出异议或进行澄清、确认等操作，具体详见招标文件和系统操作手册为准。</w:t>
      </w:r>
    </w:p>
    <w:p w14:paraId="0F2582FC">
      <w:pPr>
        <w:kinsoku/>
        <w:spacing w:before="192" w:line="276" w:lineRule="auto"/>
        <w:ind w:left="38"/>
        <w:outlineLvl w:val="1"/>
        <w:rPr>
          <w:rFonts w:ascii="宋体" w:hAnsi="宋体" w:eastAsia="宋体" w:cs="宋体"/>
          <w:color w:val="auto"/>
          <w:sz w:val="28"/>
          <w:szCs w:val="28"/>
          <w:highlight w:val="none"/>
        </w:rPr>
      </w:pPr>
      <w:bookmarkStart w:id="22" w:name="bookmark18"/>
      <w:bookmarkEnd w:id="22"/>
      <w:bookmarkStart w:id="23" w:name="bookmark17"/>
      <w:bookmarkEnd w:id="23"/>
      <w:bookmarkStart w:id="24" w:name="_Toc5788"/>
      <w:r>
        <w:rPr>
          <w:rFonts w:hint="eastAsia" w:ascii="宋体" w:hAnsi="宋体" w:eastAsia="宋体" w:cs="宋体"/>
          <w:b/>
          <w:bCs/>
          <w:color w:val="auto"/>
          <w:sz w:val="28"/>
          <w:szCs w:val="28"/>
          <w:highlight w:val="none"/>
        </w:rPr>
        <w:t>7.发布公告的媒介</w:t>
      </w:r>
      <w:bookmarkEnd w:id="24"/>
    </w:p>
    <w:p w14:paraId="1009ED6C">
      <w:pPr>
        <w:spacing w:after="136" w:line="276" w:lineRule="auto"/>
        <w:ind w:firstLine="600" w:firstLineChars="250"/>
        <w:rPr>
          <w:rFonts w:ascii="宋体" w:hAnsi="宋体" w:cs="宋体"/>
          <w:color w:val="auto"/>
          <w:sz w:val="24"/>
          <w:highlight w:val="none"/>
        </w:rPr>
      </w:pPr>
      <w:r>
        <w:rPr>
          <w:rFonts w:hint="eastAsia" w:ascii="宋体" w:hAnsi="宋体" w:cs="宋体"/>
          <w:color w:val="auto"/>
          <w:sz w:val="24"/>
          <w:highlight w:val="none"/>
        </w:rPr>
        <w:t>本次招标公告同时在广东省招标投标监管网（</w:t>
      </w:r>
      <w:r>
        <w:rPr>
          <w:rFonts w:hint="eastAsia" w:ascii="宋体" w:hAnsi="宋体" w:eastAsia="宋体" w:cs="宋体"/>
          <w:color w:val="auto"/>
          <w:sz w:val="24"/>
          <w:highlight w:val="none"/>
          <w:lang w:eastAsia="zh-CN"/>
        </w:rPr>
        <w:t>https://www.gdzwfw.gov.cn/ztbjg-portal/#/index</w:t>
      </w:r>
      <w:r>
        <w:rPr>
          <w:rFonts w:hint="eastAsia" w:ascii="宋体" w:hAnsi="宋体" w:cs="宋体"/>
          <w:color w:val="auto"/>
          <w:sz w:val="24"/>
          <w:highlight w:val="none"/>
        </w:rPr>
        <w:t>）及</w:t>
      </w:r>
      <w:r>
        <w:rPr>
          <w:rFonts w:hint="eastAsia" w:ascii="宋体" w:hAnsi="宋体" w:eastAsia="宋体" w:cs="Calibri"/>
          <w:color w:val="auto"/>
          <w:kern w:val="2"/>
          <w:sz w:val="24"/>
          <w:szCs w:val="28"/>
          <w:highlight w:val="none"/>
          <w:lang w:eastAsia="zh-CN"/>
        </w:rPr>
        <w:t>全国公共资源交易平台（广东省·韶关市）（https://ygp.gdzwfw.gov.cn/ggzy-portal/#/440200/index）</w:t>
      </w:r>
      <w:r>
        <w:rPr>
          <w:rFonts w:hint="eastAsia" w:ascii="宋体" w:hAnsi="宋体" w:cs="宋体"/>
          <w:color w:val="auto"/>
          <w:sz w:val="24"/>
          <w:highlight w:val="none"/>
        </w:rPr>
        <w:t>公布</w:t>
      </w:r>
      <w:r>
        <w:rPr>
          <w:rFonts w:hint="eastAsia" w:ascii="宋体" w:hAnsi="宋体" w:cs="宋体"/>
          <w:color w:val="auto"/>
          <w:sz w:val="24"/>
          <w:highlight w:val="none"/>
          <w:lang w:eastAsia="zh-CN"/>
        </w:rPr>
        <w:t>，</w:t>
      </w:r>
      <w:r>
        <w:rPr>
          <w:rFonts w:hint="eastAsia" w:ascii="宋体" w:hAnsi="宋体" w:cs="宋体"/>
          <w:color w:val="auto"/>
          <w:sz w:val="24"/>
          <w:highlight w:val="none"/>
        </w:rPr>
        <w:t>如公告详细内容不一致者</w:t>
      </w:r>
      <w:r>
        <w:rPr>
          <w:rFonts w:hint="eastAsia" w:ascii="宋体" w:hAnsi="宋体" w:cs="宋体"/>
          <w:color w:val="auto"/>
          <w:sz w:val="24"/>
          <w:highlight w:val="none"/>
          <w:lang w:eastAsia="zh-CN"/>
        </w:rPr>
        <w:t>，</w:t>
      </w:r>
      <w:r>
        <w:rPr>
          <w:rFonts w:hint="eastAsia" w:ascii="宋体" w:hAnsi="宋体" w:cs="宋体"/>
          <w:color w:val="auto"/>
          <w:sz w:val="24"/>
          <w:highlight w:val="none"/>
        </w:rPr>
        <w:t>以</w:t>
      </w:r>
      <w:r>
        <w:rPr>
          <w:rFonts w:hint="eastAsia" w:ascii="宋体" w:hAnsi="宋体" w:eastAsia="宋体" w:cs="Calibri"/>
          <w:color w:val="auto"/>
          <w:kern w:val="2"/>
          <w:sz w:val="24"/>
          <w:szCs w:val="28"/>
          <w:highlight w:val="none"/>
          <w:lang w:eastAsia="zh-CN"/>
        </w:rPr>
        <w:t>全国公共资源交易平台（广东省·韶关市）（https://ygp.gdzwfw.gov.cn/ggzy-portal/#/440200/index）</w:t>
      </w:r>
      <w:r>
        <w:rPr>
          <w:rFonts w:hint="eastAsia" w:ascii="宋体" w:hAnsi="宋体" w:cs="宋体"/>
          <w:color w:val="auto"/>
          <w:sz w:val="24"/>
          <w:highlight w:val="none"/>
        </w:rPr>
        <w:t>公告为准。</w:t>
      </w:r>
    </w:p>
    <w:p w14:paraId="40B450EA">
      <w:pPr>
        <w:spacing w:after="136" w:line="276" w:lineRule="auto"/>
        <w:ind w:firstLine="600" w:firstLineChars="250"/>
        <w:rPr>
          <w:rFonts w:ascii="宋体" w:hAnsi="宋体" w:cs="宋体"/>
          <w:color w:val="auto"/>
          <w:sz w:val="24"/>
          <w:highlight w:val="none"/>
          <w:lang w:eastAsia="zh-CN"/>
        </w:rPr>
      </w:pPr>
      <w:r>
        <w:rPr>
          <w:rFonts w:hint="eastAsia" w:ascii="宋体" w:hAnsi="宋体" w:cs="宋体"/>
          <w:color w:val="auto"/>
          <w:sz w:val="24"/>
          <w:highlight w:val="none"/>
          <w:lang w:eastAsia="zh-CN"/>
        </w:rPr>
        <w:t>在规定的获取招标文件期间，如本标段获取招标文件的投标人不足3家时，招标人依法有权选择以下任一方式：（1）在全国公共资源交易平台（广东省·韶关市）发布公告延长获取招标文件时间，在延期获取招标文件时间内，已获取招标文件投标人的资料仍有效并可自行补充资料，未获取招标文件的投标人可根据公告的约定进行获取招标文件；（3）依法重新组织招标或不再招标。</w:t>
      </w:r>
    </w:p>
    <w:p w14:paraId="5C1879CB">
      <w:pPr>
        <w:spacing w:after="136" w:line="276" w:lineRule="auto"/>
        <w:ind w:firstLine="600" w:firstLineChars="250"/>
        <w:rPr>
          <w:rFonts w:ascii="宋体" w:hAnsi="宋体" w:eastAsia="宋体" w:cs="宋体"/>
          <w:color w:val="auto"/>
          <w:sz w:val="24"/>
          <w:szCs w:val="24"/>
          <w:highlight w:val="none"/>
          <w:lang w:eastAsia="zh-CN"/>
        </w:rPr>
      </w:pPr>
      <w:r>
        <w:rPr>
          <w:rFonts w:hint="eastAsia" w:ascii="宋体" w:hAnsi="宋体" w:cs="宋体"/>
          <w:color w:val="auto"/>
          <w:sz w:val="24"/>
          <w:highlight w:val="none"/>
          <w:lang w:eastAsia="zh-CN"/>
        </w:rPr>
        <w:t>投标保证金缴纳截止时间到期后，若</w:t>
      </w:r>
      <w:r>
        <w:rPr>
          <w:rFonts w:hint="eastAsia" w:ascii="宋体" w:hAnsi="宋体" w:eastAsia="宋体" w:cs="Calibri"/>
          <w:color w:val="auto"/>
          <w:kern w:val="2"/>
          <w:sz w:val="24"/>
          <w:szCs w:val="28"/>
          <w:highlight w:val="none"/>
          <w:lang w:eastAsia="zh-CN"/>
        </w:rPr>
        <w:t>全国公共资源交易平台（广东省·韶关市）</w:t>
      </w:r>
      <w:r>
        <w:rPr>
          <w:rFonts w:hint="eastAsia" w:ascii="宋体" w:hAnsi="宋体" w:cs="宋体"/>
          <w:color w:val="auto"/>
          <w:sz w:val="24"/>
          <w:highlight w:val="none"/>
          <w:lang w:eastAsia="zh-CN"/>
        </w:rPr>
        <w:t>交易系统显示成功缴纳投标保证金的投标人数量少于3家时，招标人将取消于次日召开的项目开标会，重新组织招标。投标人可在投标保证金缴纳截止时间起至电子投标截止时间前自行登录</w:t>
      </w:r>
      <w:r>
        <w:rPr>
          <w:rFonts w:hint="eastAsia" w:ascii="宋体" w:hAnsi="宋体" w:eastAsia="宋体" w:cs="Calibri"/>
          <w:color w:val="auto"/>
          <w:kern w:val="2"/>
          <w:sz w:val="24"/>
          <w:szCs w:val="28"/>
          <w:highlight w:val="none"/>
          <w:lang w:eastAsia="zh-CN"/>
        </w:rPr>
        <w:t>全国公共资源交易平台（广东省·韶关市）</w:t>
      </w:r>
      <w:r>
        <w:rPr>
          <w:rFonts w:hint="eastAsia" w:ascii="宋体" w:hAnsi="宋体" w:cs="宋体"/>
          <w:color w:val="auto"/>
          <w:sz w:val="24"/>
          <w:highlight w:val="none"/>
          <w:lang w:eastAsia="zh-CN"/>
        </w:rPr>
        <w:t>查询是否发布了取消项目开标会的相关信息。</w:t>
      </w:r>
    </w:p>
    <w:p w14:paraId="3FD04F92">
      <w:pPr>
        <w:kinsoku/>
        <w:spacing w:before="274" w:line="232" w:lineRule="auto"/>
        <w:ind w:left="38"/>
        <w:outlineLvl w:val="1"/>
        <w:rPr>
          <w:rFonts w:ascii="宋体" w:hAnsi="宋体" w:eastAsia="宋体" w:cs="宋体"/>
          <w:color w:val="auto"/>
          <w:sz w:val="28"/>
          <w:szCs w:val="28"/>
          <w:highlight w:val="none"/>
        </w:rPr>
      </w:pPr>
      <w:bookmarkStart w:id="25" w:name="bookmark19"/>
      <w:bookmarkEnd w:id="25"/>
      <w:bookmarkStart w:id="26" w:name="bookmark20"/>
      <w:bookmarkEnd w:id="26"/>
      <w:bookmarkStart w:id="27" w:name="_Toc9088"/>
      <w:r>
        <w:rPr>
          <w:rFonts w:hint="eastAsia" w:ascii="宋体" w:hAnsi="宋体" w:eastAsia="宋体" w:cs="宋体"/>
          <w:b/>
          <w:bCs/>
          <w:color w:val="auto"/>
          <w:sz w:val="28"/>
          <w:szCs w:val="28"/>
          <w:highlight w:val="none"/>
        </w:rPr>
        <w:t>8.联系方式</w:t>
      </w:r>
      <w:bookmarkEnd w:id="27"/>
    </w:p>
    <w:tbl>
      <w:tblPr>
        <w:tblStyle w:val="16"/>
        <w:tblW w:w="985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926"/>
        <w:gridCol w:w="4926"/>
      </w:tblGrid>
      <w:tr w14:paraId="7EA62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jc w:val="center"/>
        </w:trPr>
        <w:tc>
          <w:tcPr>
            <w:tcW w:w="4926" w:type="dxa"/>
            <w:tcBorders>
              <w:tl2br w:val="nil"/>
              <w:tr2bl w:val="nil"/>
            </w:tcBorders>
          </w:tcPr>
          <w:p w14:paraId="1310C7B7">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招 标 人：韶关市粤丹工程管理有限公司</w:t>
            </w:r>
          </w:p>
          <w:p w14:paraId="45C54933">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地    址：韶关市浈江区黄金村大桥东南侧韶关国际会展中心B馆二层206室</w:t>
            </w:r>
          </w:p>
          <w:p w14:paraId="2CE2B99A">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邮政编码：512000</w:t>
            </w:r>
          </w:p>
          <w:p w14:paraId="198C744F">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联 系 人：相工</w:t>
            </w:r>
          </w:p>
          <w:p w14:paraId="756D0B89">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rPr>
              <w:t>电    话：</w:t>
            </w:r>
            <w:r>
              <w:rPr>
                <w:rFonts w:hint="eastAsia" w:ascii="宋体" w:hAnsi="宋体" w:eastAsia="宋体" w:cs="宋体"/>
                <w:color w:val="auto"/>
                <w:sz w:val="24"/>
                <w:highlight w:val="none"/>
                <w:lang w:eastAsia="zh-CN"/>
              </w:rPr>
              <w:t>15875125031</w:t>
            </w:r>
          </w:p>
        </w:tc>
        <w:tc>
          <w:tcPr>
            <w:tcW w:w="4926" w:type="dxa"/>
            <w:tcBorders>
              <w:tl2br w:val="nil"/>
              <w:tr2bl w:val="nil"/>
            </w:tcBorders>
          </w:tcPr>
          <w:p w14:paraId="40F606C4">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代理机构：广东盛远招标有限公司</w:t>
            </w:r>
          </w:p>
          <w:p w14:paraId="62C605CF">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地    址：韶关市浈江区北江路2幢电信综合楼四楼</w:t>
            </w:r>
          </w:p>
          <w:p w14:paraId="567579B4">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邮政编码：512000</w:t>
            </w:r>
          </w:p>
          <w:p w14:paraId="31C666E4">
            <w:pPr>
              <w:widowControl w:val="0"/>
              <w:spacing w:line="420" w:lineRule="exact"/>
              <w:jc w:val="both"/>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联 系 人：张工、赖工</w:t>
            </w:r>
          </w:p>
          <w:p w14:paraId="732F54C3">
            <w:pPr>
              <w:widowControl w:val="0"/>
              <w:spacing w:line="420" w:lineRule="exact"/>
              <w:jc w:val="both"/>
              <w:rPr>
                <w:rFonts w:ascii="宋体" w:hAnsi="宋体" w:eastAsia="宋体" w:cs="宋体"/>
                <w:color w:val="auto"/>
                <w:sz w:val="24"/>
                <w:highlight w:val="none"/>
              </w:rPr>
            </w:pPr>
            <w:r>
              <w:rPr>
                <w:rFonts w:hint="eastAsia" w:ascii="宋体" w:hAnsi="宋体" w:eastAsia="宋体" w:cs="宋体"/>
                <w:color w:val="auto"/>
                <w:sz w:val="24"/>
                <w:highlight w:val="none"/>
              </w:rPr>
              <w:t>电    话：</w:t>
            </w:r>
            <w:r>
              <w:rPr>
                <w:rFonts w:hint="eastAsia" w:ascii="宋体" w:hAnsi="宋体" w:eastAsia="宋体" w:cs="宋体"/>
                <w:color w:val="auto"/>
                <w:sz w:val="24"/>
                <w:highlight w:val="none"/>
                <w:lang w:eastAsia="zh-CN"/>
              </w:rPr>
              <w:t>0751-8228655</w:t>
            </w:r>
          </w:p>
        </w:tc>
      </w:tr>
      <w:tr w14:paraId="502D8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9852" w:type="dxa"/>
            <w:gridSpan w:val="2"/>
            <w:tcBorders>
              <w:tl2br w:val="nil"/>
              <w:tr2bl w:val="nil"/>
            </w:tcBorders>
          </w:tcPr>
          <w:p w14:paraId="08C53AD9">
            <w:pPr>
              <w:pStyle w:val="14"/>
              <w:widowControl/>
              <w:spacing w:before="240" w:beforeLines="100"/>
              <w:jc w:val="right"/>
              <w:rPr>
                <w:rFonts w:ascii="宋体" w:hAnsi="宋体" w:cs="宋体"/>
                <w:color w:val="auto"/>
                <w:highlight w:val="none"/>
              </w:rPr>
            </w:pPr>
            <w:r>
              <w:rPr>
                <w:rFonts w:hint="eastAsia" w:ascii="宋体" w:hAnsi="宋体" w:cs="宋体"/>
                <w:color w:val="auto"/>
                <w:highlight w:val="none"/>
              </w:rPr>
              <w:t xml:space="preserve">     2025年</w:t>
            </w:r>
            <w:r>
              <w:rPr>
                <w:rFonts w:hint="eastAsia" w:ascii="宋体" w:hAnsi="宋体" w:eastAsia="宋体" w:cs="宋体"/>
                <w:color w:val="auto"/>
                <w:highlight w:val="none"/>
                <w:lang w:val="en-US" w:eastAsia="zh-CN"/>
              </w:rPr>
              <w:t>5</w:t>
            </w:r>
            <w:r>
              <w:rPr>
                <w:rFonts w:hint="eastAsia" w:ascii="宋体" w:hAnsi="宋体" w:cs="宋体"/>
                <w:color w:val="auto"/>
                <w:highlight w:val="none"/>
              </w:rPr>
              <w:t>月</w:t>
            </w:r>
            <w:r>
              <w:rPr>
                <w:rFonts w:hint="eastAsia" w:ascii="宋体" w:hAnsi="宋体" w:eastAsia="宋体" w:cs="宋体"/>
                <w:color w:val="auto"/>
                <w:highlight w:val="none"/>
                <w:lang w:val="en-US" w:eastAsia="zh-CN"/>
              </w:rPr>
              <w:t>28</w:t>
            </w:r>
            <w:r>
              <w:rPr>
                <w:rFonts w:hint="eastAsia" w:ascii="宋体" w:hAnsi="宋体" w:cs="宋体"/>
                <w:color w:val="auto"/>
                <w:highlight w:val="none"/>
              </w:rPr>
              <w:t>日</w:t>
            </w:r>
          </w:p>
        </w:tc>
      </w:tr>
    </w:tbl>
    <w:p w14:paraId="14588619">
      <w:pPr>
        <w:rPr>
          <w:rFonts w:ascii="宋体" w:hAnsi="宋体" w:cs="宋体"/>
          <w:b/>
          <w:color w:val="auto"/>
          <w:sz w:val="28"/>
          <w:szCs w:val="28"/>
          <w:highlight w:val="none"/>
          <w:lang w:eastAsia="zh-CN"/>
        </w:rPr>
      </w:pPr>
      <w:r>
        <w:rPr>
          <w:rFonts w:hint="eastAsia" w:ascii="宋体" w:hAnsi="宋体" w:cs="宋体"/>
          <w:b/>
          <w:color w:val="auto"/>
          <w:sz w:val="28"/>
          <w:szCs w:val="28"/>
          <w:highlight w:val="none"/>
          <w:lang w:eastAsia="zh-CN"/>
        </w:rPr>
        <w:br w:type="page"/>
      </w:r>
    </w:p>
    <w:p w14:paraId="069620AE">
      <w:pPr>
        <w:kinsoku/>
        <w:spacing w:before="274" w:line="232" w:lineRule="auto"/>
        <w:ind w:left="38"/>
        <w:outlineLvl w:val="1"/>
        <w:rPr>
          <w:rFonts w:ascii="宋体" w:hAnsi="宋体" w:eastAsia="宋体" w:cs="宋体"/>
          <w:b/>
          <w:bCs/>
          <w:color w:val="auto"/>
          <w:sz w:val="28"/>
          <w:szCs w:val="28"/>
          <w:highlight w:val="none"/>
          <w:lang w:eastAsia="zh-CN"/>
        </w:rPr>
      </w:pPr>
      <w:bookmarkStart w:id="28" w:name="_Toc7292"/>
      <w:r>
        <w:rPr>
          <w:rFonts w:hint="eastAsia" w:ascii="宋体" w:hAnsi="宋体" w:eastAsia="宋体" w:cs="宋体"/>
          <w:b/>
          <w:bCs/>
          <w:color w:val="auto"/>
          <w:sz w:val="28"/>
          <w:szCs w:val="28"/>
          <w:highlight w:val="none"/>
          <w:lang w:eastAsia="zh-CN"/>
        </w:rPr>
        <w:t>9.重要事项时间地点一览表</w:t>
      </w:r>
      <w:bookmarkEnd w:id="28"/>
    </w:p>
    <w:tbl>
      <w:tblPr>
        <w:tblStyle w:val="15"/>
        <w:tblW w:w="9180"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681"/>
        <w:gridCol w:w="1489"/>
        <w:gridCol w:w="7010"/>
      </w:tblGrid>
      <w:tr w14:paraId="2EFD058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062"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1925CAF7">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1</w:t>
            </w:r>
          </w:p>
        </w:tc>
        <w:tc>
          <w:tcPr>
            <w:tcW w:w="1489" w:type="dxa"/>
            <w:tcBorders>
              <w:top w:val="single" w:color="080000" w:sz="4" w:space="0"/>
              <w:left w:val="single" w:color="080000" w:sz="4" w:space="0"/>
              <w:bottom w:val="single" w:color="080000" w:sz="4" w:space="0"/>
              <w:right w:val="single" w:color="080000" w:sz="4" w:space="0"/>
            </w:tcBorders>
            <w:vAlign w:val="center"/>
          </w:tcPr>
          <w:p w14:paraId="46F46B88">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招标公告</w:t>
            </w:r>
          </w:p>
          <w:p w14:paraId="7E94B2CC">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发布时间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6C5B4CA9">
            <w:pPr>
              <w:pStyle w:val="26"/>
              <w:wordWrap w:val="0"/>
              <w:adjustRightInd w:val="0"/>
              <w:snapToGrid w:val="0"/>
              <w:spacing w:after="0" w:line="240" w:lineRule="auto"/>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lang w:eastAsia="zh-CN"/>
              </w:rPr>
              <w:t xml:space="preserve"> </w:t>
            </w:r>
            <w:r>
              <w:rPr>
                <w:rFonts w:hint="eastAsia" w:ascii="宋体" w:hAnsi="宋体" w:cs="宋体"/>
                <w:snapToGrid w:val="0"/>
                <w:color w:val="auto"/>
                <w:sz w:val="24"/>
                <w:szCs w:val="24"/>
                <w:highlight w:val="none"/>
              </w:rPr>
              <w:t>202</w:t>
            </w:r>
            <w:r>
              <w:rPr>
                <w:rFonts w:hint="eastAsia" w:ascii="宋体" w:hAnsi="宋体" w:cs="宋体"/>
                <w:snapToGrid w:val="0"/>
                <w:color w:val="auto"/>
                <w:sz w:val="24"/>
                <w:szCs w:val="24"/>
                <w:highlight w:val="none"/>
                <w:lang w:eastAsia="zh-CN"/>
              </w:rPr>
              <w:t>5</w:t>
            </w:r>
            <w:r>
              <w:rPr>
                <w:rFonts w:hint="eastAsia" w:ascii="宋体" w:hAnsi="宋体" w:cs="宋体"/>
                <w:snapToGrid w:val="0"/>
                <w:color w:val="auto"/>
                <w:sz w:val="24"/>
                <w:szCs w:val="24"/>
                <w:highlight w:val="none"/>
              </w:rPr>
              <w:t>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5</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28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17</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00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p>
        </w:tc>
      </w:tr>
      <w:tr w14:paraId="31DBB4F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807"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79155A14">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2</w:t>
            </w:r>
          </w:p>
        </w:tc>
        <w:tc>
          <w:tcPr>
            <w:tcW w:w="1489" w:type="dxa"/>
            <w:tcBorders>
              <w:top w:val="single" w:color="080000" w:sz="4" w:space="0"/>
              <w:left w:val="single" w:color="080000" w:sz="4" w:space="0"/>
              <w:bottom w:val="single" w:color="080000" w:sz="4" w:space="0"/>
              <w:right w:val="single" w:color="080000" w:sz="4" w:space="0"/>
            </w:tcBorders>
            <w:vAlign w:val="center"/>
          </w:tcPr>
          <w:p w14:paraId="74ECA476">
            <w:pPr>
              <w:pStyle w:val="26"/>
              <w:wordWrap w:val="0"/>
              <w:adjustRightInd w:val="0"/>
              <w:snapToGrid w:val="0"/>
              <w:spacing w:after="0" w:line="240" w:lineRule="auto"/>
              <w:jc w:val="center"/>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获取招标文件截止时间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537AFE81">
            <w:pPr>
              <w:pStyle w:val="26"/>
              <w:wordWrap w:val="0"/>
              <w:adjustRightInd w:val="0"/>
              <w:snapToGrid w:val="0"/>
              <w:spacing w:after="0" w:line="240" w:lineRule="auto"/>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lang w:eastAsia="zh-CN"/>
              </w:rPr>
              <w:t xml:space="preserve"> </w:t>
            </w:r>
            <w:r>
              <w:rPr>
                <w:rFonts w:hint="eastAsia" w:ascii="宋体" w:hAnsi="宋体" w:cs="宋体"/>
                <w:snapToGrid w:val="0"/>
                <w:color w:val="auto"/>
                <w:sz w:val="24"/>
                <w:szCs w:val="24"/>
                <w:highlight w:val="none"/>
              </w:rPr>
              <w:t>202</w:t>
            </w:r>
            <w:r>
              <w:rPr>
                <w:rFonts w:hint="eastAsia" w:ascii="宋体" w:hAnsi="宋体" w:cs="宋体"/>
                <w:snapToGrid w:val="0"/>
                <w:color w:val="auto"/>
                <w:sz w:val="24"/>
                <w:szCs w:val="24"/>
                <w:highlight w:val="none"/>
                <w:lang w:eastAsia="zh-CN"/>
              </w:rPr>
              <w:t>5</w:t>
            </w:r>
            <w:r>
              <w:rPr>
                <w:rFonts w:hint="eastAsia" w:ascii="宋体" w:hAnsi="宋体" w:cs="宋体"/>
                <w:snapToGrid w:val="0"/>
                <w:color w:val="auto"/>
                <w:sz w:val="24"/>
                <w:szCs w:val="24"/>
                <w:highlight w:val="none"/>
              </w:rPr>
              <w:t>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p>
        </w:tc>
      </w:tr>
      <w:tr w14:paraId="594DA79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023"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08B6E3D2">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3</w:t>
            </w:r>
          </w:p>
        </w:tc>
        <w:tc>
          <w:tcPr>
            <w:tcW w:w="1489" w:type="dxa"/>
            <w:tcBorders>
              <w:top w:val="single" w:color="080000" w:sz="4" w:space="0"/>
              <w:left w:val="single" w:color="080000" w:sz="4" w:space="0"/>
              <w:bottom w:val="single" w:color="080000" w:sz="4" w:space="0"/>
              <w:right w:val="single" w:color="080000" w:sz="4" w:space="0"/>
            </w:tcBorders>
            <w:vAlign w:val="center"/>
          </w:tcPr>
          <w:p w14:paraId="5A294FC4">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网上提问截止时间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45A79921">
            <w:pPr>
              <w:pStyle w:val="26"/>
              <w:wordWrap w:val="0"/>
              <w:adjustRightInd w:val="0"/>
              <w:snapToGrid w:val="0"/>
              <w:spacing w:after="0" w:line="240" w:lineRule="auto"/>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lang w:eastAsia="zh-CN"/>
              </w:rPr>
              <w:t xml:space="preserve"> </w:t>
            </w:r>
            <w:r>
              <w:rPr>
                <w:rFonts w:hint="eastAsia" w:ascii="宋体" w:hAnsi="宋体" w:cs="宋体"/>
                <w:snapToGrid w:val="0"/>
                <w:color w:val="auto"/>
                <w:sz w:val="24"/>
                <w:szCs w:val="24"/>
                <w:highlight w:val="none"/>
              </w:rPr>
              <w:t>202</w:t>
            </w:r>
            <w:r>
              <w:rPr>
                <w:rFonts w:hint="eastAsia" w:ascii="宋体" w:hAnsi="宋体" w:cs="宋体"/>
                <w:snapToGrid w:val="0"/>
                <w:color w:val="auto"/>
                <w:sz w:val="24"/>
                <w:szCs w:val="24"/>
                <w:highlight w:val="none"/>
                <w:lang w:eastAsia="zh-CN"/>
              </w:rPr>
              <w:t>5</w:t>
            </w:r>
            <w:r>
              <w:rPr>
                <w:rFonts w:hint="eastAsia" w:ascii="宋体" w:hAnsi="宋体" w:cs="宋体"/>
                <w:snapToGrid w:val="0"/>
                <w:color w:val="auto"/>
                <w:sz w:val="24"/>
                <w:szCs w:val="24"/>
                <w:highlight w:val="none"/>
              </w:rPr>
              <w:t>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00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p>
        </w:tc>
      </w:tr>
      <w:tr w14:paraId="68500C7C">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736"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243A3072">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4</w:t>
            </w:r>
          </w:p>
        </w:tc>
        <w:tc>
          <w:tcPr>
            <w:tcW w:w="1489" w:type="dxa"/>
            <w:tcBorders>
              <w:top w:val="single" w:color="080000" w:sz="4" w:space="0"/>
              <w:left w:val="single" w:color="080000" w:sz="4" w:space="0"/>
              <w:bottom w:val="single" w:color="080000" w:sz="4" w:space="0"/>
              <w:right w:val="single" w:color="080000" w:sz="4" w:space="0"/>
            </w:tcBorders>
            <w:vAlign w:val="center"/>
          </w:tcPr>
          <w:p w14:paraId="0A7823C9">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网上答疑时间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2FDB117D">
            <w:pPr>
              <w:pStyle w:val="26"/>
              <w:wordWrap w:val="0"/>
              <w:adjustRightInd w:val="0"/>
              <w:snapToGrid w:val="0"/>
              <w:spacing w:after="0" w:line="240" w:lineRule="auto"/>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 xml:space="preserve"> 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lang w:eastAsia="zh-CN"/>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lang w:eastAsia="zh-CN"/>
              </w:rPr>
              <w:t>日</w:t>
            </w:r>
            <w:r>
              <w:rPr>
                <w:rFonts w:hint="eastAsia" w:ascii="宋体" w:hAnsi="宋体" w:cs="宋体"/>
                <w:snapToGrid w:val="0"/>
                <w:color w:val="auto"/>
                <w:sz w:val="24"/>
                <w:szCs w:val="24"/>
                <w:highlight w:val="none"/>
                <w:u w:val="single"/>
                <w:lang w:val="en-US" w:eastAsia="zh-CN"/>
              </w:rPr>
              <w:t>16</w:t>
            </w:r>
            <w:r>
              <w:rPr>
                <w:rFonts w:hint="eastAsia" w:ascii="宋体" w:hAnsi="宋体" w:cs="宋体"/>
                <w:snapToGrid w:val="0"/>
                <w:color w:val="auto"/>
                <w:sz w:val="24"/>
                <w:szCs w:val="24"/>
                <w:highlight w:val="none"/>
                <w:lang w:eastAsia="zh-CN"/>
              </w:rPr>
              <w:t>时</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lang w:eastAsia="zh-CN"/>
              </w:rPr>
              <w:t>分至2025年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lang w:eastAsia="zh-CN"/>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11</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lang w:eastAsia="zh-CN"/>
              </w:rPr>
              <w:t>日</w:t>
            </w:r>
            <w:r>
              <w:rPr>
                <w:rFonts w:hint="eastAsia" w:ascii="宋体" w:hAnsi="宋体" w:cs="宋体"/>
                <w:snapToGrid w:val="0"/>
                <w:color w:val="auto"/>
                <w:sz w:val="24"/>
                <w:szCs w:val="24"/>
                <w:highlight w:val="none"/>
                <w:u w:val="single"/>
                <w:lang w:val="en-US" w:eastAsia="zh-CN"/>
              </w:rPr>
              <w:t>16</w:t>
            </w:r>
            <w:r>
              <w:rPr>
                <w:rFonts w:hint="eastAsia" w:ascii="宋体" w:hAnsi="宋体" w:cs="宋体"/>
                <w:snapToGrid w:val="0"/>
                <w:color w:val="auto"/>
                <w:sz w:val="24"/>
                <w:szCs w:val="24"/>
                <w:highlight w:val="none"/>
                <w:lang w:eastAsia="zh-CN"/>
              </w:rPr>
              <w:t>时</w:t>
            </w:r>
            <w:r>
              <w:rPr>
                <w:rFonts w:hint="eastAsia" w:ascii="宋体" w:hAnsi="宋体" w:cs="宋体"/>
                <w:snapToGrid w:val="0"/>
                <w:color w:val="auto"/>
                <w:sz w:val="24"/>
                <w:szCs w:val="24"/>
                <w:highlight w:val="none"/>
                <w:u w:val="single"/>
                <w:lang w:val="en-US" w:eastAsia="zh-CN"/>
              </w:rPr>
              <w:t>00</w:t>
            </w:r>
            <w:r>
              <w:rPr>
                <w:rFonts w:hint="eastAsia" w:ascii="宋体" w:hAnsi="宋体" w:cs="宋体"/>
                <w:snapToGrid w:val="0"/>
                <w:color w:val="auto"/>
                <w:sz w:val="24"/>
                <w:szCs w:val="24"/>
                <w:highlight w:val="none"/>
                <w:lang w:eastAsia="zh-CN"/>
              </w:rPr>
              <w:t>分</w:t>
            </w:r>
          </w:p>
        </w:tc>
      </w:tr>
      <w:tr w14:paraId="68CAE19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817"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008334B8">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5</w:t>
            </w:r>
          </w:p>
        </w:tc>
        <w:tc>
          <w:tcPr>
            <w:tcW w:w="1489" w:type="dxa"/>
            <w:tcBorders>
              <w:top w:val="single" w:color="080000" w:sz="4" w:space="0"/>
              <w:left w:val="single" w:color="080000" w:sz="4" w:space="0"/>
              <w:bottom w:val="single" w:color="080000" w:sz="4" w:space="0"/>
              <w:right w:val="single" w:color="080000" w:sz="4" w:space="0"/>
            </w:tcBorders>
            <w:vAlign w:val="center"/>
          </w:tcPr>
          <w:p w14:paraId="2BC7E8AB">
            <w:pPr>
              <w:pStyle w:val="26"/>
              <w:wordWrap w:val="0"/>
              <w:adjustRightInd w:val="0"/>
              <w:snapToGrid w:val="0"/>
              <w:spacing w:after="0" w:line="240" w:lineRule="auto"/>
              <w:jc w:val="center"/>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投标保证缴纳截止时间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3230FFD1">
            <w:pPr>
              <w:pStyle w:val="26"/>
              <w:wordWrap w:val="0"/>
              <w:adjustRightInd w:val="0"/>
              <w:snapToGrid w:val="0"/>
              <w:spacing w:after="0" w:line="360" w:lineRule="auto"/>
              <w:ind w:firstLine="120" w:firstLineChars="50"/>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投标保证金到账截止时间：2025年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17</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r>
              <w:rPr>
                <w:rFonts w:hint="eastAsia" w:ascii="宋体" w:hAnsi="宋体" w:cs="宋体"/>
                <w:snapToGrid w:val="0"/>
                <w:color w:val="auto"/>
                <w:sz w:val="24"/>
                <w:szCs w:val="24"/>
                <w:highlight w:val="none"/>
                <w:lang w:eastAsia="zh-CN"/>
              </w:rPr>
              <w:t>；</w:t>
            </w:r>
          </w:p>
          <w:p w14:paraId="6ABBF194">
            <w:pPr>
              <w:pStyle w:val="26"/>
              <w:wordWrap w:val="0"/>
              <w:adjustRightInd w:val="0"/>
              <w:snapToGrid w:val="0"/>
              <w:spacing w:after="0" w:line="360" w:lineRule="auto"/>
              <w:ind w:firstLine="120" w:firstLineChars="50"/>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投标保证担保提交截止时间：2025年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17</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r>
              <w:rPr>
                <w:rFonts w:hint="eastAsia" w:ascii="宋体" w:hAnsi="宋体" w:cs="宋体"/>
                <w:snapToGrid w:val="0"/>
                <w:color w:val="auto"/>
                <w:sz w:val="24"/>
                <w:szCs w:val="24"/>
                <w:highlight w:val="none"/>
                <w:lang w:eastAsia="zh-CN"/>
              </w:rPr>
              <w:t>；</w:t>
            </w:r>
          </w:p>
          <w:p w14:paraId="0E46C64C">
            <w:pPr>
              <w:pStyle w:val="13"/>
              <w:wordWrap w:val="0"/>
              <w:spacing w:line="360" w:lineRule="auto"/>
              <w:ind w:firstLine="120" w:firstLineChars="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投标保证保险投保截止时间：</w:t>
            </w:r>
            <w:r>
              <w:rPr>
                <w:rFonts w:hint="eastAsia" w:ascii="宋体" w:hAnsi="宋体" w:cs="宋体"/>
                <w:color w:val="auto"/>
                <w:sz w:val="24"/>
                <w:szCs w:val="24"/>
                <w:highlight w:val="none"/>
                <w:lang w:eastAsia="zh-CN"/>
              </w:rPr>
              <w:t>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17</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r>
              <w:rPr>
                <w:rFonts w:hint="eastAsia" w:ascii="宋体" w:hAnsi="宋体" w:eastAsia="宋体" w:cs="宋体"/>
                <w:color w:val="auto"/>
                <w:sz w:val="24"/>
                <w:szCs w:val="24"/>
                <w:highlight w:val="none"/>
                <w:lang w:eastAsia="zh-CN"/>
              </w:rPr>
              <w:t>。</w:t>
            </w:r>
          </w:p>
        </w:tc>
      </w:tr>
      <w:tr w14:paraId="177A28A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838"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425B488E">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6</w:t>
            </w:r>
          </w:p>
        </w:tc>
        <w:tc>
          <w:tcPr>
            <w:tcW w:w="1489" w:type="dxa"/>
            <w:tcBorders>
              <w:top w:val="single" w:color="080000" w:sz="4" w:space="0"/>
              <w:left w:val="single" w:color="080000" w:sz="4" w:space="0"/>
              <w:bottom w:val="single" w:color="080000" w:sz="4" w:space="0"/>
              <w:right w:val="single" w:color="080000" w:sz="4" w:space="0"/>
            </w:tcBorders>
            <w:vAlign w:val="center"/>
          </w:tcPr>
          <w:p w14:paraId="3D6D85A8">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电子投标截止时间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5109EAD3">
            <w:pPr>
              <w:pStyle w:val="13"/>
              <w:wordWrap w:val="0"/>
              <w:spacing w:line="240" w:lineRule="auto"/>
              <w:ind w:firstLine="120" w:firstLineChars="50"/>
              <w:rPr>
                <w:rFonts w:ascii="宋体" w:hAnsi="宋体" w:eastAsia="宋体" w:cs="宋体"/>
                <w:color w:val="auto"/>
                <w:sz w:val="24"/>
                <w:szCs w:val="24"/>
                <w:highlight w:val="none"/>
              </w:rPr>
            </w:pPr>
            <w:r>
              <w:rPr>
                <w:rFonts w:hint="eastAsia" w:ascii="宋体" w:hAnsi="宋体" w:cs="宋体"/>
                <w:color w:val="auto"/>
                <w:sz w:val="24"/>
                <w:szCs w:val="24"/>
                <w:highlight w:val="none"/>
              </w:rPr>
              <w:t>202</w:t>
            </w: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p>
        </w:tc>
      </w:tr>
      <w:tr w14:paraId="7D5FDF1E">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134"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1F959D9A">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7</w:t>
            </w:r>
          </w:p>
        </w:tc>
        <w:tc>
          <w:tcPr>
            <w:tcW w:w="1489" w:type="dxa"/>
            <w:tcBorders>
              <w:top w:val="single" w:color="080000" w:sz="4" w:space="0"/>
              <w:left w:val="single" w:color="080000" w:sz="4" w:space="0"/>
              <w:bottom w:val="single" w:color="080000" w:sz="4" w:space="0"/>
              <w:right w:val="single" w:color="080000" w:sz="4" w:space="0"/>
            </w:tcBorders>
            <w:vAlign w:val="center"/>
          </w:tcPr>
          <w:p w14:paraId="70B1A71E">
            <w:pPr>
              <w:pStyle w:val="26"/>
              <w:wordWrap w:val="0"/>
              <w:adjustRightInd w:val="0"/>
              <w:snapToGrid w:val="0"/>
              <w:spacing w:after="0" w:line="240" w:lineRule="auto"/>
              <w:jc w:val="center"/>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投标相关资料（如有）递交时间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4C359D6D">
            <w:pPr>
              <w:pStyle w:val="13"/>
              <w:wordWrap w:val="0"/>
              <w:spacing w:line="240"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w:t>
            </w:r>
            <w:r>
              <w:rPr>
                <w:rFonts w:hint="eastAsia" w:ascii="宋体" w:hAnsi="宋体" w:cs="宋体"/>
                <w:color w:val="auto"/>
                <w:sz w:val="24"/>
                <w:szCs w:val="24"/>
                <w:highlight w:val="none"/>
                <w:lang w:eastAsia="zh-CN"/>
              </w:rPr>
              <w:t>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00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r>
              <w:rPr>
                <w:rFonts w:hint="eastAsia" w:ascii="宋体" w:hAnsi="宋体" w:eastAsia="宋体" w:cs="宋体"/>
                <w:color w:val="auto"/>
                <w:sz w:val="24"/>
                <w:szCs w:val="24"/>
                <w:highlight w:val="none"/>
                <w:lang w:eastAsia="zh-CN"/>
              </w:rPr>
              <w:t>至</w:t>
            </w:r>
            <w:r>
              <w:rPr>
                <w:rFonts w:hint="eastAsia" w:ascii="宋体" w:hAnsi="宋体" w:cs="宋体"/>
                <w:color w:val="auto"/>
                <w:sz w:val="24"/>
                <w:szCs w:val="24"/>
                <w:highlight w:val="none"/>
                <w:lang w:eastAsia="zh-CN"/>
              </w:rPr>
              <w:t>2025年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rPr>
              <w:t>分</w:t>
            </w:r>
          </w:p>
        </w:tc>
      </w:tr>
      <w:tr w14:paraId="2766C6F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299"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443A35FE">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8</w:t>
            </w:r>
          </w:p>
        </w:tc>
        <w:tc>
          <w:tcPr>
            <w:tcW w:w="1489" w:type="dxa"/>
            <w:tcBorders>
              <w:top w:val="single" w:color="080000" w:sz="4" w:space="0"/>
              <w:left w:val="single" w:color="080000" w:sz="4" w:space="0"/>
              <w:bottom w:val="single" w:color="080000" w:sz="4" w:space="0"/>
              <w:right w:val="single" w:color="080000" w:sz="4" w:space="0"/>
            </w:tcBorders>
            <w:vAlign w:val="center"/>
          </w:tcPr>
          <w:p w14:paraId="28A16762">
            <w:pPr>
              <w:pStyle w:val="26"/>
              <w:wordWrap w:val="0"/>
              <w:adjustRightInd w:val="0"/>
              <w:snapToGrid w:val="0"/>
              <w:spacing w:after="0" w:line="240" w:lineRule="auto"/>
              <w:jc w:val="center"/>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投标相关资料（如有）递交地点</w:t>
            </w:r>
          </w:p>
        </w:tc>
        <w:tc>
          <w:tcPr>
            <w:tcW w:w="7010" w:type="dxa"/>
            <w:tcBorders>
              <w:top w:val="single" w:color="080000" w:sz="4" w:space="0"/>
              <w:left w:val="single" w:color="080000" w:sz="4" w:space="0"/>
              <w:bottom w:val="single" w:color="080000" w:sz="4" w:space="0"/>
              <w:right w:val="single" w:color="080000" w:sz="4" w:space="0"/>
            </w:tcBorders>
            <w:vAlign w:val="center"/>
          </w:tcPr>
          <w:p w14:paraId="089D4D7C">
            <w:pPr>
              <w:pStyle w:val="26"/>
              <w:wordWrap w:val="0"/>
              <w:adjustRightInd w:val="0"/>
              <w:snapToGrid w:val="0"/>
              <w:spacing w:after="0" w:line="240" w:lineRule="auto"/>
              <w:jc w:val="both"/>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开标场所：韶关市公共资源交易中心</w:t>
            </w:r>
          </w:p>
          <w:p w14:paraId="3AAEA5A8">
            <w:pPr>
              <w:pStyle w:val="26"/>
              <w:wordWrap w:val="0"/>
              <w:adjustRightInd w:val="0"/>
              <w:snapToGrid w:val="0"/>
              <w:spacing w:after="0" w:line="240" w:lineRule="auto"/>
              <w:jc w:val="both"/>
              <w:rPr>
                <w:rFonts w:ascii="宋体" w:hAnsi="宋体" w:cs="宋体"/>
                <w:snapToGrid w:val="0"/>
                <w:color w:val="auto"/>
                <w:sz w:val="24"/>
                <w:szCs w:val="24"/>
                <w:highlight w:val="none"/>
                <w:lang w:eastAsia="zh-CN"/>
              </w:rPr>
            </w:pPr>
            <w:r>
              <w:rPr>
                <w:rFonts w:hint="eastAsia" w:ascii="宋体" w:hAnsi="宋体" w:cs="宋体"/>
                <w:snapToGrid w:val="0"/>
                <w:color w:val="auto"/>
                <w:sz w:val="24"/>
                <w:szCs w:val="24"/>
                <w:highlight w:val="none"/>
                <w:lang w:eastAsia="zh-CN"/>
              </w:rPr>
              <w:t>地址：广东省韶关市武江区西联镇，具体房间号以当日现场通知为准。</w:t>
            </w:r>
          </w:p>
        </w:tc>
      </w:tr>
      <w:tr w14:paraId="610F405B">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706"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0A7E7483">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9</w:t>
            </w:r>
          </w:p>
        </w:tc>
        <w:tc>
          <w:tcPr>
            <w:tcW w:w="1489" w:type="dxa"/>
            <w:tcBorders>
              <w:top w:val="single" w:color="080000" w:sz="4" w:space="0"/>
              <w:left w:val="single" w:color="080000" w:sz="4" w:space="0"/>
              <w:bottom w:val="single" w:color="080000" w:sz="4" w:space="0"/>
              <w:right w:val="single" w:color="080000" w:sz="4" w:space="0"/>
            </w:tcBorders>
            <w:vAlign w:val="center"/>
          </w:tcPr>
          <w:p w14:paraId="1641F5EF">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开标时间</w:t>
            </w:r>
          </w:p>
        </w:tc>
        <w:tc>
          <w:tcPr>
            <w:tcW w:w="7010" w:type="dxa"/>
            <w:tcBorders>
              <w:top w:val="single" w:color="080000" w:sz="4" w:space="0"/>
              <w:left w:val="single" w:color="080000" w:sz="4" w:space="0"/>
              <w:bottom w:val="single" w:color="080000" w:sz="4" w:space="0"/>
              <w:right w:val="single" w:color="080000" w:sz="4" w:space="0"/>
            </w:tcBorders>
            <w:vAlign w:val="center"/>
          </w:tcPr>
          <w:p w14:paraId="0C140E47">
            <w:pPr>
              <w:pStyle w:val="13"/>
              <w:wordWrap w:val="0"/>
              <w:spacing w:line="24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 xml:space="preserve"> </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eastAsia="zh-CN"/>
              </w:rPr>
              <w:t>5</w:t>
            </w:r>
            <w:r>
              <w:rPr>
                <w:rFonts w:hint="eastAsia" w:ascii="宋体" w:hAnsi="宋体" w:cs="宋体"/>
                <w:color w:val="auto"/>
                <w:sz w:val="24"/>
                <w:szCs w:val="24"/>
                <w:highlight w:val="none"/>
              </w:rPr>
              <w:t>年</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6</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月</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18</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日</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9</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时</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u w:val="single"/>
                <w:lang w:val="en-US" w:eastAsia="zh-CN"/>
              </w:rPr>
              <w:t>30</w:t>
            </w:r>
            <w:r>
              <w:rPr>
                <w:rFonts w:hint="eastAsia" w:ascii="宋体" w:hAnsi="宋体" w:cs="宋体"/>
                <w:snapToGrid w:val="0"/>
                <w:color w:val="auto"/>
                <w:sz w:val="24"/>
                <w:szCs w:val="24"/>
                <w:highlight w:val="none"/>
                <w:u w:val="single"/>
                <w:lang w:eastAsia="zh-CN"/>
              </w:rPr>
              <w:t xml:space="preserve"> </w:t>
            </w:r>
            <w:r>
              <w:rPr>
                <w:rFonts w:hint="eastAsia" w:ascii="宋体" w:hAnsi="宋体" w:cs="宋体"/>
                <w:snapToGrid w:val="0"/>
                <w:color w:val="auto"/>
                <w:sz w:val="24"/>
                <w:szCs w:val="24"/>
                <w:highlight w:val="none"/>
              </w:rPr>
              <w:t>分</w:t>
            </w:r>
          </w:p>
        </w:tc>
      </w:tr>
      <w:tr w14:paraId="5630C21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1287"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40843138">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10</w:t>
            </w:r>
          </w:p>
        </w:tc>
        <w:tc>
          <w:tcPr>
            <w:tcW w:w="1489" w:type="dxa"/>
            <w:tcBorders>
              <w:top w:val="single" w:color="080000" w:sz="4" w:space="0"/>
              <w:left w:val="single" w:color="080000" w:sz="4" w:space="0"/>
              <w:bottom w:val="single" w:color="080000" w:sz="4" w:space="0"/>
              <w:right w:val="single" w:color="080000" w:sz="4" w:space="0"/>
            </w:tcBorders>
            <w:vAlign w:val="center"/>
          </w:tcPr>
          <w:p w14:paraId="61CF05FD">
            <w:pPr>
              <w:pStyle w:val="13"/>
              <w:wordWrap w:val="0"/>
              <w:spacing w:line="24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w:t>
            </w:r>
          </w:p>
        </w:tc>
        <w:tc>
          <w:tcPr>
            <w:tcW w:w="7010" w:type="dxa"/>
            <w:tcBorders>
              <w:top w:val="single" w:color="080000" w:sz="4" w:space="0"/>
              <w:left w:val="single" w:color="080000" w:sz="4" w:space="0"/>
              <w:bottom w:val="single" w:color="080000" w:sz="4" w:space="0"/>
              <w:right w:val="single" w:color="080000" w:sz="4" w:space="0"/>
            </w:tcBorders>
            <w:vAlign w:val="center"/>
          </w:tcPr>
          <w:p w14:paraId="7E09FB97">
            <w:pPr>
              <w:pStyle w:val="13"/>
              <w:kinsoku/>
              <w:wordWrap w:val="0"/>
              <w:spacing w:line="240"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开标场所：韶关市公共资源交易中心，</w:t>
            </w:r>
          </w:p>
          <w:p w14:paraId="6A3C40B6">
            <w:pPr>
              <w:pStyle w:val="13"/>
              <w:kinsoku/>
              <w:wordWrap w:val="0"/>
              <w:spacing w:line="240"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地址：广东省韶关市武江区西联镇，具体房间号以当日现场通知为准。</w:t>
            </w:r>
          </w:p>
        </w:tc>
      </w:tr>
      <w:tr w14:paraId="24C22E66">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2029" w:hRule="exact"/>
          <w:jc w:val="center"/>
        </w:trPr>
        <w:tc>
          <w:tcPr>
            <w:tcW w:w="681" w:type="dxa"/>
            <w:tcBorders>
              <w:top w:val="single" w:color="080000" w:sz="4" w:space="0"/>
              <w:left w:val="single" w:color="080000" w:sz="4" w:space="0"/>
              <w:bottom w:val="single" w:color="080000" w:sz="4" w:space="0"/>
              <w:right w:val="single" w:color="080000" w:sz="4" w:space="0"/>
            </w:tcBorders>
            <w:vAlign w:val="center"/>
          </w:tcPr>
          <w:p w14:paraId="363AAA00">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11</w:t>
            </w:r>
          </w:p>
        </w:tc>
        <w:tc>
          <w:tcPr>
            <w:tcW w:w="1489" w:type="dxa"/>
            <w:tcBorders>
              <w:top w:val="single" w:color="080000" w:sz="4" w:space="0"/>
              <w:left w:val="single" w:color="080000" w:sz="4" w:space="0"/>
              <w:bottom w:val="single" w:color="080000" w:sz="4" w:space="0"/>
              <w:right w:val="single" w:color="080000" w:sz="4" w:space="0"/>
            </w:tcBorders>
            <w:vAlign w:val="center"/>
          </w:tcPr>
          <w:p w14:paraId="1F7FA2E0">
            <w:pPr>
              <w:pStyle w:val="26"/>
              <w:wordWrap w:val="0"/>
              <w:adjustRightInd w:val="0"/>
              <w:snapToGrid w:val="0"/>
              <w:spacing w:after="0" w:line="240" w:lineRule="auto"/>
              <w:jc w:val="center"/>
              <w:rPr>
                <w:rFonts w:ascii="宋体" w:hAnsi="宋体" w:cs="宋体"/>
                <w:snapToGrid w:val="0"/>
                <w:color w:val="auto"/>
                <w:sz w:val="24"/>
                <w:szCs w:val="24"/>
                <w:highlight w:val="none"/>
              </w:rPr>
            </w:pPr>
            <w:r>
              <w:rPr>
                <w:rFonts w:hint="eastAsia" w:ascii="宋体" w:hAnsi="宋体" w:cs="宋体"/>
                <w:snapToGrid w:val="0"/>
                <w:color w:val="auto"/>
                <w:sz w:val="24"/>
                <w:szCs w:val="24"/>
                <w:highlight w:val="none"/>
              </w:rPr>
              <w:t>其他</w:t>
            </w:r>
          </w:p>
        </w:tc>
        <w:tc>
          <w:tcPr>
            <w:tcW w:w="7010" w:type="dxa"/>
            <w:tcBorders>
              <w:top w:val="single" w:color="080000" w:sz="4" w:space="0"/>
              <w:left w:val="single" w:color="080000" w:sz="4" w:space="0"/>
              <w:bottom w:val="single" w:color="080000" w:sz="4" w:space="0"/>
              <w:right w:val="single" w:color="080000" w:sz="4" w:space="0"/>
            </w:tcBorders>
            <w:vAlign w:val="center"/>
          </w:tcPr>
          <w:p w14:paraId="4A89149C">
            <w:pPr>
              <w:pStyle w:val="13"/>
              <w:wordWrap w:val="0"/>
              <w:spacing w:line="240"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shd w:val="clear" w:color="auto" w:fill="FFFFFF"/>
                <w:lang w:eastAsia="zh-CN"/>
              </w:rPr>
              <w:t>投标人应按有关计划时间安排办理企业CA认证、企业入库等，获取招标文件后自行下载招标文件、资料文件及招标答疑书等。若由于投标人自身原因未能及时取得上述资料的，由此发生的任何责任由投标人自负。</w:t>
            </w:r>
          </w:p>
        </w:tc>
      </w:tr>
    </w:tbl>
    <w:p w14:paraId="1950CE55">
      <w:pPr>
        <w:kinsoku/>
        <w:spacing w:line="430" w:lineRule="auto"/>
        <w:rPr>
          <w:rFonts w:ascii="宋体" w:hAnsi="宋体" w:eastAsia="宋体" w:cs="宋体"/>
          <w:color w:val="auto"/>
          <w:highlight w:val="none"/>
          <w:lang w:eastAsia="zh-CN"/>
        </w:rPr>
      </w:pPr>
    </w:p>
    <w:p w14:paraId="724BC5ED">
      <w:pPr>
        <w:kinsoku/>
        <w:spacing w:line="260" w:lineRule="auto"/>
        <w:rPr>
          <w:rFonts w:ascii="宋体" w:hAnsi="宋体" w:eastAsia="宋体" w:cs="宋体"/>
          <w:color w:val="auto"/>
          <w:highlight w:val="none"/>
          <w:lang w:eastAsia="zh-CN"/>
        </w:rPr>
      </w:pPr>
    </w:p>
    <w:p w14:paraId="2950883C">
      <w:pPr>
        <w:kinsoku/>
        <w:spacing w:line="242" w:lineRule="auto"/>
        <w:rPr>
          <w:rFonts w:ascii="宋体" w:hAnsi="宋体" w:eastAsia="宋体" w:cs="宋体"/>
          <w:color w:val="auto"/>
          <w:highlight w:val="none"/>
          <w:lang w:eastAsia="zh-CN"/>
        </w:rPr>
      </w:pPr>
      <w:bookmarkStart w:id="29" w:name="bookmark21"/>
      <w:bookmarkEnd w:id="29"/>
      <w:bookmarkStart w:id="30" w:name="bookmark22"/>
      <w:bookmarkEnd w:id="30"/>
    </w:p>
    <w:p w14:paraId="34EA5D9F">
      <w:pPr>
        <w:kinsoku/>
        <w:spacing w:line="242" w:lineRule="auto"/>
        <w:rPr>
          <w:rFonts w:ascii="宋体" w:hAnsi="宋体" w:eastAsia="宋体" w:cs="宋体"/>
          <w:color w:val="auto"/>
          <w:highlight w:val="none"/>
          <w:lang w:eastAsia="zh-CN"/>
        </w:rPr>
      </w:pPr>
    </w:p>
    <w:p w14:paraId="76E179E9">
      <w:pPr>
        <w:kinsoku/>
        <w:spacing w:line="242" w:lineRule="auto"/>
        <w:rPr>
          <w:rFonts w:ascii="宋体" w:hAnsi="宋体" w:eastAsia="宋体" w:cs="宋体"/>
          <w:color w:val="auto"/>
          <w:highlight w:val="none"/>
          <w:lang w:eastAsia="zh-CN"/>
        </w:rPr>
      </w:pPr>
    </w:p>
    <w:p w14:paraId="3046EA7B">
      <w:pPr>
        <w:kinsoku/>
        <w:spacing w:line="242" w:lineRule="auto"/>
        <w:rPr>
          <w:rFonts w:ascii="宋体" w:hAnsi="宋体" w:eastAsia="宋体" w:cs="宋体"/>
          <w:color w:val="auto"/>
          <w:highlight w:val="none"/>
          <w:lang w:eastAsia="zh-CN"/>
        </w:rPr>
      </w:pPr>
    </w:p>
    <w:p w14:paraId="71C5CEF0">
      <w:pPr>
        <w:kinsoku/>
        <w:spacing w:line="242" w:lineRule="auto"/>
        <w:rPr>
          <w:rFonts w:ascii="宋体" w:hAnsi="宋体" w:eastAsia="宋体" w:cs="宋体"/>
          <w:color w:val="auto"/>
          <w:highlight w:val="none"/>
          <w:lang w:eastAsia="zh-CN"/>
        </w:rPr>
      </w:pPr>
    </w:p>
    <w:p w14:paraId="78451E71">
      <w:pPr>
        <w:kinsoku/>
        <w:spacing w:line="242" w:lineRule="auto"/>
        <w:rPr>
          <w:rFonts w:ascii="宋体" w:hAnsi="宋体" w:eastAsia="宋体" w:cs="宋体"/>
          <w:color w:val="auto"/>
          <w:highlight w:val="none"/>
          <w:lang w:eastAsia="zh-CN"/>
        </w:rPr>
      </w:pPr>
    </w:p>
    <w:p w14:paraId="6B1BA4BB">
      <w:pPr>
        <w:kinsoku/>
        <w:spacing w:line="242" w:lineRule="auto"/>
        <w:rPr>
          <w:rFonts w:ascii="宋体" w:hAnsi="宋体" w:eastAsia="宋体" w:cs="宋体"/>
          <w:color w:val="auto"/>
          <w:highlight w:val="none"/>
          <w:lang w:eastAsia="zh-CN"/>
        </w:rPr>
      </w:pPr>
    </w:p>
    <w:p w14:paraId="5BA559CA">
      <w:pPr>
        <w:kinsoku/>
        <w:spacing w:line="242" w:lineRule="auto"/>
        <w:rPr>
          <w:rFonts w:ascii="宋体" w:hAnsi="宋体" w:eastAsia="宋体" w:cs="宋体"/>
          <w:color w:val="auto"/>
          <w:highlight w:val="none"/>
          <w:lang w:eastAsia="zh-CN"/>
        </w:rPr>
      </w:pPr>
    </w:p>
    <w:p w14:paraId="7433CE18">
      <w:pPr>
        <w:kinsoku/>
        <w:spacing w:line="243" w:lineRule="auto"/>
        <w:rPr>
          <w:rFonts w:ascii="宋体" w:hAnsi="宋体" w:eastAsia="宋体" w:cs="宋体"/>
          <w:color w:val="auto"/>
          <w:highlight w:val="none"/>
          <w:lang w:eastAsia="zh-CN"/>
        </w:rPr>
      </w:pPr>
    </w:p>
    <w:p w14:paraId="0BBC7E4B">
      <w:pPr>
        <w:kinsoku/>
        <w:spacing w:line="243" w:lineRule="auto"/>
        <w:rPr>
          <w:rFonts w:ascii="宋体" w:hAnsi="宋体" w:eastAsia="宋体" w:cs="宋体"/>
          <w:color w:val="auto"/>
          <w:highlight w:val="none"/>
          <w:lang w:eastAsia="zh-CN"/>
        </w:rPr>
      </w:pPr>
    </w:p>
    <w:p w14:paraId="274317FF">
      <w:pPr>
        <w:kinsoku/>
        <w:spacing w:line="243" w:lineRule="auto"/>
        <w:rPr>
          <w:rFonts w:ascii="宋体" w:hAnsi="宋体" w:eastAsia="宋体" w:cs="宋体"/>
          <w:color w:val="auto"/>
          <w:highlight w:val="none"/>
          <w:lang w:eastAsia="zh-CN"/>
        </w:rPr>
      </w:pPr>
    </w:p>
    <w:p w14:paraId="251BC02A">
      <w:pPr>
        <w:kinsoku/>
        <w:spacing w:line="243" w:lineRule="auto"/>
        <w:rPr>
          <w:rFonts w:ascii="宋体" w:hAnsi="宋体" w:eastAsia="宋体" w:cs="宋体"/>
          <w:color w:val="auto"/>
          <w:highlight w:val="none"/>
          <w:lang w:eastAsia="zh-CN"/>
        </w:rPr>
      </w:pPr>
    </w:p>
    <w:p w14:paraId="69133005">
      <w:pPr>
        <w:kinsoku/>
        <w:spacing w:line="243" w:lineRule="auto"/>
        <w:rPr>
          <w:rFonts w:ascii="宋体" w:hAnsi="宋体" w:eastAsia="宋体" w:cs="宋体"/>
          <w:color w:val="auto"/>
          <w:highlight w:val="none"/>
          <w:lang w:eastAsia="zh-CN"/>
        </w:rPr>
      </w:pPr>
    </w:p>
    <w:p w14:paraId="402C9DC5">
      <w:pPr>
        <w:kinsoku/>
        <w:spacing w:line="243" w:lineRule="auto"/>
        <w:rPr>
          <w:rFonts w:ascii="宋体" w:hAnsi="宋体" w:eastAsia="宋体" w:cs="宋体"/>
          <w:color w:val="auto"/>
          <w:highlight w:val="none"/>
          <w:lang w:eastAsia="zh-CN"/>
        </w:rPr>
      </w:pPr>
    </w:p>
    <w:p w14:paraId="31005B1A">
      <w:pPr>
        <w:kinsoku/>
        <w:spacing w:line="243" w:lineRule="auto"/>
        <w:rPr>
          <w:rFonts w:ascii="宋体" w:hAnsi="宋体" w:eastAsia="宋体" w:cs="宋体"/>
          <w:color w:val="auto"/>
          <w:highlight w:val="none"/>
          <w:lang w:eastAsia="zh-CN"/>
        </w:rPr>
      </w:pPr>
    </w:p>
    <w:p w14:paraId="69615C04">
      <w:pPr>
        <w:kinsoku/>
        <w:spacing w:line="243" w:lineRule="auto"/>
        <w:rPr>
          <w:rFonts w:ascii="宋体" w:hAnsi="宋体" w:eastAsia="宋体" w:cs="宋体"/>
          <w:color w:val="auto"/>
          <w:highlight w:val="none"/>
          <w:lang w:eastAsia="zh-CN"/>
        </w:rPr>
      </w:pPr>
    </w:p>
    <w:p w14:paraId="07AB2EEB">
      <w:pPr>
        <w:kinsoku/>
        <w:spacing w:line="243" w:lineRule="auto"/>
        <w:rPr>
          <w:rFonts w:ascii="宋体" w:hAnsi="宋体" w:eastAsia="宋体" w:cs="宋体"/>
          <w:color w:val="auto"/>
          <w:highlight w:val="none"/>
          <w:lang w:eastAsia="zh-CN"/>
        </w:rPr>
      </w:pPr>
    </w:p>
    <w:p w14:paraId="5D16D9F9">
      <w:pPr>
        <w:kinsoku/>
        <w:spacing w:line="243" w:lineRule="auto"/>
        <w:rPr>
          <w:rFonts w:ascii="宋体" w:hAnsi="宋体" w:eastAsia="宋体" w:cs="宋体"/>
          <w:color w:val="auto"/>
          <w:highlight w:val="none"/>
          <w:lang w:eastAsia="zh-CN"/>
        </w:rPr>
      </w:pPr>
    </w:p>
    <w:p w14:paraId="52441A47">
      <w:pPr>
        <w:kinsoku/>
        <w:spacing w:line="243" w:lineRule="auto"/>
        <w:rPr>
          <w:rFonts w:ascii="宋体" w:hAnsi="宋体" w:eastAsia="宋体" w:cs="宋体"/>
          <w:color w:val="auto"/>
          <w:highlight w:val="none"/>
          <w:lang w:eastAsia="zh-CN"/>
        </w:rPr>
      </w:pPr>
    </w:p>
    <w:p w14:paraId="33FF5FD6">
      <w:pPr>
        <w:kinsoku/>
        <w:spacing w:line="243" w:lineRule="auto"/>
        <w:rPr>
          <w:rFonts w:ascii="宋体" w:hAnsi="宋体" w:eastAsia="宋体" w:cs="宋体"/>
          <w:color w:val="auto"/>
          <w:highlight w:val="none"/>
          <w:lang w:eastAsia="zh-CN"/>
        </w:rPr>
      </w:pPr>
    </w:p>
    <w:p w14:paraId="3400C24D">
      <w:pPr>
        <w:kinsoku/>
        <w:spacing w:line="243" w:lineRule="auto"/>
        <w:rPr>
          <w:rFonts w:ascii="宋体" w:hAnsi="宋体" w:eastAsia="宋体" w:cs="宋体"/>
          <w:color w:val="auto"/>
          <w:highlight w:val="none"/>
          <w:lang w:eastAsia="zh-CN"/>
        </w:rPr>
      </w:pPr>
    </w:p>
    <w:p w14:paraId="79B1DA43">
      <w:pPr>
        <w:kinsoku/>
        <w:spacing w:before="178" w:line="221" w:lineRule="auto"/>
        <w:ind w:left="1910"/>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第二章  投标人须知</w:t>
      </w:r>
    </w:p>
    <w:p w14:paraId="23216828">
      <w:pPr>
        <w:kinsoku/>
        <w:spacing w:line="221" w:lineRule="auto"/>
        <w:rPr>
          <w:rFonts w:ascii="宋体" w:hAnsi="宋体" w:eastAsia="宋体" w:cs="宋体"/>
          <w:color w:val="auto"/>
          <w:sz w:val="55"/>
          <w:szCs w:val="55"/>
          <w:highlight w:val="none"/>
          <w:lang w:eastAsia="zh-CN"/>
        </w:rPr>
        <w:sectPr>
          <w:headerReference r:id="rId7" w:type="default"/>
          <w:footerReference r:id="rId8" w:type="default"/>
          <w:pgSz w:w="11907" w:h="16841"/>
          <w:pgMar w:top="1173" w:right="1498" w:bottom="1254" w:left="1560" w:header="862" w:footer="1093" w:gutter="0"/>
          <w:cols w:space="720" w:num="1"/>
        </w:sectPr>
      </w:pPr>
    </w:p>
    <w:p w14:paraId="3389F199">
      <w:pPr>
        <w:kinsoku/>
        <w:spacing w:before="137" w:line="218" w:lineRule="auto"/>
        <w:ind w:left="2625"/>
        <w:outlineLvl w:val="0"/>
        <w:rPr>
          <w:rFonts w:ascii="宋体" w:hAnsi="宋体" w:eastAsia="宋体" w:cs="宋体"/>
          <w:color w:val="auto"/>
          <w:sz w:val="42"/>
          <w:szCs w:val="42"/>
          <w:highlight w:val="none"/>
          <w:lang w:eastAsia="zh-CN"/>
        </w:rPr>
      </w:pPr>
      <w:bookmarkStart w:id="31" w:name="bookmark43"/>
      <w:bookmarkEnd w:id="31"/>
      <w:bookmarkStart w:id="32" w:name="bookmark41"/>
      <w:bookmarkEnd w:id="32"/>
      <w:bookmarkStart w:id="33" w:name="bookmark40"/>
      <w:bookmarkEnd w:id="33"/>
      <w:bookmarkStart w:id="34" w:name="_Toc1276"/>
      <w:r>
        <w:rPr>
          <w:rFonts w:hint="eastAsia" w:ascii="宋体" w:hAnsi="宋体" w:eastAsia="宋体" w:cs="宋体"/>
          <w:b/>
          <w:bCs/>
          <w:color w:val="auto"/>
          <w:sz w:val="42"/>
          <w:szCs w:val="42"/>
          <w:highlight w:val="none"/>
          <w:lang w:eastAsia="zh-CN"/>
        </w:rPr>
        <w:t>第二章</w:t>
      </w:r>
      <w:r>
        <w:rPr>
          <w:rFonts w:hint="eastAsia" w:ascii="宋体" w:hAnsi="宋体" w:eastAsia="宋体" w:cs="宋体"/>
          <w:color w:val="auto"/>
          <w:sz w:val="42"/>
          <w:szCs w:val="42"/>
          <w:highlight w:val="none"/>
          <w:lang w:eastAsia="zh-CN"/>
        </w:rPr>
        <w:t xml:space="preserve">  </w:t>
      </w:r>
      <w:r>
        <w:rPr>
          <w:rFonts w:hint="eastAsia" w:ascii="宋体" w:hAnsi="宋体" w:eastAsia="宋体" w:cs="宋体"/>
          <w:b/>
          <w:bCs/>
          <w:color w:val="auto"/>
          <w:sz w:val="42"/>
          <w:szCs w:val="42"/>
          <w:highlight w:val="none"/>
          <w:lang w:eastAsia="zh-CN"/>
        </w:rPr>
        <w:t>投标人须知</w:t>
      </w:r>
      <w:bookmarkEnd w:id="34"/>
    </w:p>
    <w:p w14:paraId="74C87473">
      <w:pPr>
        <w:kinsoku/>
        <w:spacing w:line="283" w:lineRule="auto"/>
        <w:rPr>
          <w:rFonts w:ascii="宋体" w:hAnsi="宋体" w:eastAsia="宋体" w:cs="宋体"/>
          <w:color w:val="auto"/>
          <w:highlight w:val="none"/>
          <w:lang w:eastAsia="zh-CN"/>
        </w:rPr>
      </w:pPr>
    </w:p>
    <w:p w14:paraId="7F2F6DA7">
      <w:pPr>
        <w:kinsoku/>
        <w:spacing w:line="284" w:lineRule="auto"/>
        <w:rPr>
          <w:rFonts w:ascii="宋体" w:hAnsi="宋体" w:eastAsia="宋体" w:cs="宋体"/>
          <w:color w:val="auto"/>
          <w:highlight w:val="none"/>
          <w:lang w:eastAsia="zh-CN"/>
        </w:rPr>
      </w:pPr>
    </w:p>
    <w:p w14:paraId="74F041CB">
      <w:pPr>
        <w:kinsoku/>
        <w:spacing w:before="91" w:line="224" w:lineRule="auto"/>
        <w:ind w:left="121"/>
        <w:outlineLvl w:val="1"/>
        <w:rPr>
          <w:rFonts w:ascii="宋体" w:hAnsi="宋体" w:eastAsia="宋体" w:cs="宋体"/>
          <w:color w:val="auto"/>
          <w:highlight w:val="none"/>
        </w:rPr>
      </w:pPr>
      <w:bookmarkStart w:id="35" w:name="bookmark42"/>
      <w:bookmarkEnd w:id="35"/>
      <w:bookmarkStart w:id="36" w:name="_Toc31189"/>
      <w:r>
        <w:rPr>
          <w:rFonts w:hint="eastAsia" w:ascii="宋体" w:hAnsi="宋体" w:eastAsia="宋体" w:cs="宋体"/>
          <w:b/>
          <w:bCs/>
          <w:color w:val="auto"/>
          <w:sz w:val="28"/>
          <w:szCs w:val="28"/>
          <w:highlight w:val="none"/>
        </w:rPr>
        <w:t>投标人须知前附表</w:t>
      </w:r>
      <w:bookmarkEnd w:id="36"/>
    </w:p>
    <w:tbl>
      <w:tblPr>
        <w:tblStyle w:val="21"/>
        <w:tblW w:w="87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2"/>
        <w:gridCol w:w="2879"/>
        <w:gridCol w:w="4891"/>
      </w:tblGrid>
      <w:tr w14:paraId="3A9B20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FCAC33D">
            <w:pPr>
              <w:kinsoku/>
              <w:spacing w:before="123" w:line="276" w:lineRule="auto"/>
              <w:jc w:val="center"/>
              <w:rPr>
                <w:rFonts w:ascii="宋体" w:hAnsi="宋体" w:eastAsia="宋体" w:cs="宋体"/>
                <w:color w:val="auto"/>
                <w:highlight w:val="none"/>
              </w:rPr>
            </w:pPr>
            <w:r>
              <w:rPr>
                <w:rFonts w:hint="eastAsia" w:ascii="宋体" w:hAnsi="宋体" w:eastAsia="宋体" w:cs="宋体"/>
                <w:b/>
                <w:bCs/>
                <w:color w:val="auto"/>
                <w:highlight w:val="none"/>
              </w:rPr>
              <w:t>条款号</w:t>
            </w:r>
          </w:p>
        </w:tc>
        <w:tc>
          <w:tcPr>
            <w:tcW w:w="2879" w:type="dxa"/>
            <w:vAlign w:val="center"/>
          </w:tcPr>
          <w:p w14:paraId="7A75F95F">
            <w:pPr>
              <w:kinsoku/>
              <w:spacing w:before="123" w:line="276" w:lineRule="auto"/>
              <w:jc w:val="center"/>
              <w:rPr>
                <w:rFonts w:ascii="宋体" w:hAnsi="宋体" w:eastAsia="宋体" w:cs="宋体"/>
                <w:color w:val="auto"/>
                <w:highlight w:val="none"/>
              </w:rPr>
            </w:pPr>
            <w:r>
              <w:rPr>
                <w:rFonts w:hint="eastAsia" w:ascii="宋体" w:hAnsi="宋体" w:eastAsia="宋体" w:cs="宋体"/>
                <w:b/>
                <w:bCs/>
                <w:color w:val="auto"/>
                <w:highlight w:val="none"/>
              </w:rPr>
              <w:t>条款名称</w:t>
            </w:r>
          </w:p>
        </w:tc>
        <w:tc>
          <w:tcPr>
            <w:tcW w:w="4891" w:type="dxa"/>
            <w:vAlign w:val="center"/>
          </w:tcPr>
          <w:p w14:paraId="618E66FD">
            <w:pPr>
              <w:kinsoku/>
              <w:spacing w:before="123" w:line="276" w:lineRule="auto"/>
              <w:jc w:val="center"/>
              <w:rPr>
                <w:rFonts w:ascii="宋体" w:hAnsi="宋体" w:eastAsia="宋体" w:cs="宋体"/>
                <w:color w:val="auto"/>
                <w:highlight w:val="none"/>
              </w:rPr>
            </w:pPr>
            <w:r>
              <w:rPr>
                <w:rFonts w:hint="eastAsia" w:ascii="宋体" w:hAnsi="宋体" w:eastAsia="宋体" w:cs="宋体"/>
                <w:b/>
                <w:bCs/>
                <w:color w:val="auto"/>
                <w:highlight w:val="none"/>
              </w:rPr>
              <w:t>编列内容</w:t>
            </w:r>
          </w:p>
        </w:tc>
      </w:tr>
      <w:tr w14:paraId="466227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F8C2AEB">
            <w:pPr>
              <w:kinsoku/>
              <w:spacing w:before="60" w:line="276" w:lineRule="auto"/>
              <w:jc w:val="center"/>
              <w:rPr>
                <w:rFonts w:ascii="宋体" w:hAnsi="宋体" w:eastAsia="宋体" w:cs="宋体"/>
                <w:color w:val="auto"/>
                <w:highlight w:val="none"/>
              </w:rPr>
            </w:pPr>
            <w:r>
              <w:rPr>
                <w:rFonts w:hint="eastAsia" w:ascii="宋体" w:hAnsi="宋体" w:eastAsia="宋体" w:cs="宋体"/>
                <w:color w:val="auto"/>
                <w:highlight w:val="none"/>
              </w:rPr>
              <w:t>1.1.2</w:t>
            </w:r>
          </w:p>
        </w:tc>
        <w:tc>
          <w:tcPr>
            <w:tcW w:w="2879" w:type="dxa"/>
            <w:vAlign w:val="center"/>
          </w:tcPr>
          <w:p w14:paraId="70580306">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招标人</w:t>
            </w:r>
          </w:p>
        </w:tc>
        <w:tc>
          <w:tcPr>
            <w:tcW w:w="4891" w:type="dxa"/>
          </w:tcPr>
          <w:p w14:paraId="2BC8F767">
            <w:pPr>
              <w:kinsoku/>
              <w:spacing w:before="117"/>
              <w:ind w:left="116"/>
              <w:rPr>
                <w:rFonts w:ascii="宋体" w:hAnsi="宋体" w:eastAsia="宋体" w:cs="宋体"/>
                <w:color w:val="auto"/>
                <w:highlight w:val="none"/>
                <w:lang w:eastAsia="zh-CN"/>
              </w:rPr>
            </w:pPr>
            <w:r>
              <w:rPr>
                <w:rFonts w:hint="eastAsia" w:ascii="宋体" w:hAnsi="宋体" w:eastAsia="宋体" w:cs="宋体"/>
                <w:color w:val="auto"/>
                <w:highlight w:val="none"/>
                <w:lang w:eastAsia="zh-CN"/>
              </w:rPr>
              <w:t>名称：韶关市粤丹工程管理有限公司</w:t>
            </w:r>
          </w:p>
          <w:p w14:paraId="7996B37E">
            <w:pPr>
              <w:kinsoku/>
              <w:spacing w:before="117"/>
              <w:ind w:left="116"/>
              <w:rPr>
                <w:rFonts w:ascii="宋体" w:hAnsi="宋体" w:eastAsia="宋体" w:cs="宋体"/>
                <w:color w:val="auto"/>
                <w:highlight w:val="none"/>
                <w:lang w:eastAsia="zh-CN"/>
              </w:rPr>
            </w:pPr>
            <w:r>
              <w:rPr>
                <w:rFonts w:hint="eastAsia" w:ascii="宋体" w:hAnsi="宋体" w:eastAsia="宋体" w:cs="宋体"/>
                <w:color w:val="auto"/>
                <w:highlight w:val="none"/>
                <w:lang w:eastAsia="zh-CN"/>
              </w:rPr>
              <w:t>地址：韶关市浈江区黄金村大桥东南侧韶关国际会展中心B馆二层206室</w:t>
            </w:r>
          </w:p>
          <w:p w14:paraId="2201BF07">
            <w:pPr>
              <w:tabs>
                <w:tab w:val="left" w:pos="3360"/>
                <w:tab w:val="left" w:pos="3780"/>
              </w:tabs>
              <w:kinsoku/>
              <w:spacing w:before="98"/>
              <w:ind w:left="137" w:right="47" w:hanging="23"/>
              <w:rPr>
                <w:rFonts w:ascii="宋体" w:hAnsi="宋体" w:eastAsia="宋体" w:cs="宋体"/>
                <w:color w:val="auto"/>
                <w:highlight w:val="none"/>
                <w:lang w:eastAsia="zh-CN"/>
              </w:rPr>
            </w:pPr>
            <w:r>
              <w:rPr>
                <w:rFonts w:hint="eastAsia" w:ascii="宋体" w:hAnsi="宋体" w:eastAsia="宋体" w:cs="宋体"/>
                <w:color w:val="auto"/>
                <w:highlight w:val="none"/>
              </w:rPr>
              <w:t>联系人</w:t>
            </w:r>
            <w:r>
              <w:rPr>
                <w:rFonts w:hint="eastAsia" w:ascii="宋体" w:hAnsi="宋体" w:eastAsia="宋体" w:cs="宋体"/>
                <w:color w:val="auto"/>
                <w:highlight w:val="none"/>
                <w:lang w:eastAsia="zh-CN"/>
              </w:rPr>
              <w:t>：相工</w:t>
            </w:r>
          </w:p>
          <w:p w14:paraId="3A570C99">
            <w:pPr>
              <w:tabs>
                <w:tab w:val="left" w:pos="840"/>
              </w:tabs>
              <w:kinsoku/>
              <w:spacing w:before="98"/>
              <w:ind w:left="137" w:right="47" w:hanging="23"/>
              <w:rPr>
                <w:rFonts w:ascii="宋体" w:hAnsi="宋体" w:eastAsia="宋体" w:cs="宋体"/>
                <w:color w:val="auto"/>
                <w:highlight w:val="none"/>
                <w:lang w:eastAsia="zh-CN"/>
              </w:rPr>
            </w:pPr>
            <w:r>
              <w:rPr>
                <w:rFonts w:hint="eastAsia" w:ascii="宋体" w:hAnsi="宋体" w:eastAsia="宋体" w:cs="宋体"/>
                <w:color w:val="auto"/>
                <w:highlight w:val="none"/>
              </w:rPr>
              <w:t>电话：</w:t>
            </w:r>
            <w:r>
              <w:rPr>
                <w:rFonts w:hint="eastAsia" w:ascii="宋体" w:hAnsi="宋体" w:eastAsia="宋体" w:cs="宋体"/>
                <w:color w:val="auto"/>
                <w:highlight w:val="none"/>
                <w:lang w:eastAsia="zh-CN"/>
              </w:rPr>
              <w:t>15875125031</w:t>
            </w:r>
          </w:p>
        </w:tc>
      </w:tr>
      <w:tr w14:paraId="05F2F9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2A5F166">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1.1.3</w:t>
            </w:r>
          </w:p>
        </w:tc>
        <w:tc>
          <w:tcPr>
            <w:tcW w:w="2879" w:type="dxa"/>
            <w:vAlign w:val="center"/>
          </w:tcPr>
          <w:p w14:paraId="4250B989">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招标代理机构</w:t>
            </w:r>
          </w:p>
        </w:tc>
        <w:tc>
          <w:tcPr>
            <w:tcW w:w="4891" w:type="dxa"/>
          </w:tcPr>
          <w:p w14:paraId="72A0243D">
            <w:pPr>
              <w:kinsoku/>
              <w:spacing w:before="116"/>
              <w:ind w:left="99" w:leftChars="47"/>
              <w:rPr>
                <w:rFonts w:ascii="宋体" w:hAnsi="宋体" w:eastAsia="宋体" w:cs="宋体"/>
                <w:color w:val="auto"/>
                <w:highlight w:val="none"/>
                <w:lang w:eastAsia="zh-CN"/>
              </w:rPr>
            </w:pPr>
            <w:r>
              <w:rPr>
                <w:rFonts w:hint="eastAsia" w:ascii="宋体" w:hAnsi="宋体" w:eastAsia="宋体" w:cs="宋体"/>
                <w:color w:val="auto"/>
                <w:highlight w:val="none"/>
                <w:lang w:eastAsia="zh-CN"/>
              </w:rPr>
              <w:t>名称：广东盛远招标有限公司</w:t>
            </w:r>
          </w:p>
          <w:p w14:paraId="55D3F227">
            <w:pPr>
              <w:kinsoku/>
              <w:spacing w:before="106"/>
              <w:ind w:left="99" w:leftChars="47"/>
              <w:rPr>
                <w:rFonts w:ascii="宋体" w:hAnsi="宋体" w:eastAsia="宋体" w:cs="宋体"/>
                <w:color w:val="auto"/>
                <w:highlight w:val="none"/>
                <w:lang w:eastAsia="zh-CN"/>
              </w:rPr>
            </w:pPr>
            <w:r>
              <w:rPr>
                <w:rFonts w:hint="eastAsia" w:ascii="宋体" w:hAnsi="宋体" w:eastAsia="宋体" w:cs="宋体"/>
                <w:color w:val="auto"/>
                <w:highlight w:val="none"/>
                <w:lang w:eastAsia="zh-CN"/>
              </w:rPr>
              <w:t>地址：韶关市浈江区北江路2幢电信综合楼四楼</w:t>
            </w:r>
          </w:p>
          <w:p w14:paraId="08BE39B0">
            <w:pPr>
              <w:kinsoku/>
              <w:spacing w:before="98"/>
              <w:ind w:left="99" w:leftChars="47" w:right="47"/>
              <w:rPr>
                <w:rFonts w:ascii="宋体" w:hAnsi="宋体" w:eastAsia="宋体" w:cs="宋体"/>
                <w:color w:val="auto"/>
                <w:highlight w:val="none"/>
                <w:lang w:eastAsia="zh-CN"/>
              </w:rPr>
            </w:pPr>
            <w:r>
              <w:rPr>
                <w:rFonts w:hint="eastAsia" w:ascii="宋体" w:hAnsi="宋体" w:eastAsia="宋体" w:cs="宋体"/>
                <w:color w:val="auto"/>
                <w:highlight w:val="none"/>
                <w:lang w:eastAsia="zh-CN"/>
              </w:rPr>
              <w:t>联系人：张工、赖工</w:t>
            </w:r>
          </w:p>
          <w:p w14:paraId="20CE29F2">
            <w:pPr>
              <w:kinsoku/>
              <w:spacing w:before="98"/>
              <w:ind w:left="99" w:leftChars="47" w:right="47"/>
              <w:rPr>
                <w:rFonts w:ascii="宋体" w:hAnsi="宋体" w:eastAsia="宋体" w:cs="宋体"/>
                <w:color w:val="auto"/>
                <w:highlight w:val="none"/>
                <w:lang w:eastAsia="zh-CN"/>
              </w:rPr>
            </w:pPr>
            <w:r>
              <w:rPr>
                <w:rFonts w:hint="eastAsia" w:ascii="宋体" w:hAnsi="宋体" w:eastAsia="宋体" w:cs="宋体"/>
                <w:color w:val="auto"/>
                <w:highlight w:val="none"/>
                <w:lang w:eastAsia="zh-CN"/>
              </w:rPr>
              <w:t>电话：0751-8228655</w:t>
            </w:r>
          </w:p>
        </w:tc>
      </w:tr>
      <w:tr w14:paraId="1D84C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6BD2F62">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1.1.4</w:t>
            </w:r>
          </w:p>
        </w:tc>
        <w:tc>
          <w:tcPr>
            <w:tcW w:w="2879" w:type="dxa"/>
            <w:vAlign w:val="center"/>
          </w:tcPr>
          <w:p w14:paraId="21A83CB4">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招标项目名称</w:t>
            </w:r>
          </w:p>
        </w:tc>
        <w:tc>
          <w:tcPr>
            <w:tcW w:w="4891" w:type="dxa"/>
            <w:vAlign w:val="center"/>
          </w:tcPr>
          <w:p w14:paraId="13C7A83B">
            <w:pPr>
              <w:kinsoku/>
              <w:spacing w:line="276" w:lineRule="auto"/>
              <w:ind w:left="80" w:leftChars="38"/>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韶关市S246线十里亭大桥至糖寮段公路改线工程、乳源县桂头镇至韶关丹霞机场公路新建工程（韶关机场进场道路）施工图设计</w:t>
            </w:r>
          </w:p>
        </w:tc>
      </w:tr>
      <w:tr w14:paraId="3C0D8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2E11592">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1.1.5</w:t>
            </w:r>
          </w:p>
        </w:tc>
        <w:tc>
          <w:tcPr>
            <w:tcW w:w="2879" w:type="dxa"/>
            <w:vAlign w:val="center"/>
          </w:tcPr>
          <w:p w14:paraId="59BE79E0">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标段建设地点</w:t>
            </w:r>
          </w:p>
        </w:tc>
        <w:tc>
          <w:tcPr>
            <w:tcW w:w="4891" w:type="dxa"/>
            <w:vAlign w:val="center"/>
          </w:tcPr>
          <w:p w14:paraId="13CAE613">
            <w:pPr>
              <w:tabs>
                <w:tab w:val="left" w:pos="4830"/>
              </w:tabs>
              <w:kinsoku/>
              <w:spacing w:line="276" w:lineRule="auto"/>
              <w:ind w:left="80" w:leftChars="38" w:right="65" w:rightChars="31"/>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（1）韶关市S246线十里亭大桥至糖寮段公路改线工程，韶关市武江区西河镇。</w:t>
            </w:r>
          </w:p>
          <w:p w14:paraId="74C3BD06">
            <w:pPr>
              <w:tabs>
                <w:tab w:val="left" w:pos="4830"/>
              </w:tabs>
              <w:kinsoku/>
              <w:spacing w:line="276" w:lineRule="auto"/>
              <w:ind w:left="80" w:leftChars="38" w:right="65" w:rightChars="31"/>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（2）乳源县桂头镇至韶关丹霞机场公路新建工程(韶关机场进场道路），韶关市乳源县桂头镇。</w:t>
            </w:r>
          </w:p>
        </w:tc>
      </w:tr>
      <w:tr w14:paraId="1869D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1E985D93">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1.1.6</w:t>
            </w:r>
          </w:p>
        </w:tc>
        <w:tc>
          <w:tcPr>
            <w:tcW w:w="2879" w:type="dxa"/>
            <w:vAlign w:val="center"/>
          </w:tcPr>
          <w:p w14:paraId="0B6729CB">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标段建设规模</w:t>
            </w:r>
          </w:p>
        </w:tc>
        <w:tc>
          <w:tcPr>
            <w:tcW w:w="4891" w:type="dxa"/>
            <w:vAlign w:val="center"/>
          </w:tcPr>
          <w:p w14:paraId="48CDE030">
            <w:pPr>
              <w:tabs>
                <w:tab w:val="left" w:pos="1588"/>
              </w:tabs>
              <w:kinsoku/>
              <w:spacing w:before="79" w:line="276" w:lineRule="auto"/>
              <w:ind w:left="59" w:leftChars="28" w:right="89" w:firstLine="373" w:firstLineChars="178"/>
              <w:rPr>
                <w:rFonts w:ascii="宋体" w:hAnsi="宋体" w:eastAsia="宋体" w:cs="宋体"/>
                <w:color w:val="auto"/>
                <w:highlight w:val="none"/>
                <w:lang w:eastAsia="zh-CN"/>
              </w:rPr>
            </w:pPr>
            <w:r>
              <w:rPr>
                <w:rFonts w:hint="eastAsia" w:ascii="宋体" w:hAnsi="宋体" w:eastAsia="宋体" w:cs="宋体"/>
                <w:color w:val="auto"/>
                <w:highlight w:val="none"/>
                <w:lang w:eastAsia="zh-CN"/>
              </w:rPr>
              <w:t>建设地点及规模：项目总长约11.442公里，共分两段。具体为：</w:t>
            </w:r>
          </w:p>
          <w:p w14:paraId="37C6EA9A">
            <w:pPr>
              <w:tabs>
                <w:tab w:val="left" w:pos="4830"/>
              </w:tabs>
              <w:kinsoku/>
              <w:spacing w:line="276" w:lineRule="auto"/>
              <w:ind w:left="80" w:leftChars="38" w:right="65" w:rightChars="31"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（1）本项目位于韶关市武江区东北角，起于西河镇的国道G323(朝阳路)与移山路、</w:t>
            </w:r>
            <w:r>
              <w:rPr>
                <w:rFonts w:hint="eastAsia" w:ascii="宋体" w:hAnsi="宋体" w:eastAsia="宋体" w:cs="宋体"/>
                <w:color w:val="auto"/>
                <w:highlight w:val="none"/>
                <w:lang w:val="en-US" w:eastAsia="zh-CN"/>
              </w:rPr>
              <w:t>十里亭桥</w:t>
            </w:r>
            <w:r>
              <w:rPr>
                <w:rFonts w:hint="eastAsia" w:ascii="宋体" w:hAnsi="宋体" w:eastAsia="宋体" w:cs="宋体"/>
                <w:color w:val="auto"/>
                <w:highlight w:val="none"/>
                <w:lang w:eastAsia="zh-CN"/>
              </w:rPr>
              <w:t>交叉口，沿现状县道X313走廊往西北方向前进(武广高铁东侧，武江西侧)，先后经过西河镇石坑村、下坑村、田心村、山蕉村、南华纪念园公墓，终于韶关北环高速糖察出口匝道，对接其现状收费站，路线全长7.19km。采用双向四车道一级公路标准建设，设计速度为80km/h，路基宽度为26.5m，沥青混凝土路面。全线共设大桥720m/2座，中桥150m/2座，桥梁长度共计870m，结构均为预应力钢筋混凝土小箱梁。涵洞（含通道）14道。全线共设置平面交叉口6处，其中灯控平交口两处(起终点各一处)，其余均为右进右出+加铺转角。</w:t>
            </w:r>
          </w:p>
          <w:p w14:paraId="63173994">
            <w:pPr>
              <w:tabs>
                <w:tab w:val="left" w:pos="4830"/>
              </w:tabs>
              <w:kinsoku/>
              <w:spacing w:line="276" w:lineRule="auto"/>
              <w:ind w:left="80" w:leftChars="38" w:right="65" w:rightChars="31"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（2）本项目位于韶关市乳源县桂头镇，路线起自省道S248与省道S250平交口，先东西走向，后南北走向，先后经过小江村、大坝村、凰村、红岭村，终点沿现状进场路，止于丹霞机场门口。路线全长 4.252km。采用双向四车道一级公路标准建设，设计速度为60km/h，路基宽度为21.5m，沥青混凝土路面。共设置涵洞9道。全线共设平交8处，灯控平面交叉口6处，其余均为右进右出加铺转角的小路口。</w:t>
            </w:r>
          </w:p>
        </w:tc>
      </w:tr>
      <w:tr w14:paraId="0E3695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1B93F54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1.1.7</w:t>
            </w:r>
          </w:p>
        </w:tc>
        <w:tc>
          <w:tcPr>
            <w:tcW w:w="2879" w:type="dxa"/>
            <w:vAlign w:val="center"/>
          </w:tcPr>
          <w:p w14:paraId="75A0C5A7">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标段投资估算</w:t>
            </w:r>
          </w:p>
        </w:tc>
        <w:tc>
          <w:tcPr>
            <w:tcW w:w="4891" w:type="dxa"/>
            <w:vAlign w:val="center"/>
          </w:tcPr>
          <w:p w14:paraId="4D7B21FE">
            <w:pPr>
              <w:tabs>
                <w:tab w:val="left" w:pos="4830"/>
              </w:tabs>
              <w:kinsoku/>
              <w:spacing w:line="276" w:lineRule="auto"/>
              <w:ind w:left="80" w:leftChars="38" w:right="65" w:rightChars="31"/>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项目概算总投资71803.87万元。</w:t>
            </w:r>
          </w:p>
        </w:tc>
      </w:tr>
      <w:tr w14:paraId="0A3B4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8F58221">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1.2.1</w:t>
            </w:r>
          </w:p>
        </w:tc>
        <w:tc>
          <w:tcPr>
            <w:tcW w:w="2879" w:type="dxa"/>
            <w:vAlign w:val="center"/>
          </w:tcPr>
          <w:p w14:paraId="0115BD81">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资金来源及比例</w:t>
            </w:r>
          </w:p>
        </w:tc>
        <w:tc>
          <w:tcPr>
            <w:tcW w:w="4891" w:type="dxa"/>
            <w:vAlign w:val="center"/>
          </w:tcPr>
          <w:p w14:paraId="0BAAFBE4">
            <w:pPr>
              <w:tabs>
                <w:tab w:val="left" w:pos="4830"/>
              </w:tabs>
              <w:kinsoku/>
              <w:spacing w:line="276" w:lineRule="auto"/>
              <w:ind w:left="80" w:leftChars="38" w:right="65" w:rightChars="31"/>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上级补助及市财政自筹资金100%</w:t>
            </w:r>
          </w:p>
        </w:tc>
      </w:tr>
      <w:tr w14:paraId="7FF23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46DCA9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1.2.2</w:t>
            </w:r>
          </w:p>
        </w:tc>
        <w:tc>
          <w:tcPr>
            <w:tcW w:w="2879" w:type="dxa"/>
            <w:vAlign w:val="center"/>
          </w:tcPr>
          <w:p w14:paraId="41DF5134">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资金落实情况</w:t>
            </w:r>
          </w:p>
        </w:tc>
        <w:tc>
          <w:tcPr>
            <w:tcW w:w="4891" w:type="dxa"/>
            <w:vAlign w:val="center"/>
          </w:tcPr>
          <w:p w14:paraId="5D76C0C8">
            <w:pPr>
              <w:tabs>
                <w:tab w:val="left" w:pos="4830"/>
              </w:tabs>
              <w:kinsoku/>
              <w:spacing w:line="276" w:lineRule="auto"/>
              <w:ind w:left="80" w:leftChars="38" w:right="65" w:rightChars="31"/>
              <w:jc w:val="both"/>
              <w:rPr>
                <w:rFonts w:ascii="宋体" w:hAnsi="宋体" w:eastAsia="宋体" w:cs="宋体"/>
                <w:color w:val="auto"/>
                <w:highlight w:val="none"/>
              </w:rPr>
            </w:pPr>
            <w:r>
              <w:rPr>
                <w:rFonts w:hint="eastAsia" w:ascii="宋体" w:hAnsi="宋体" w:eastAsia="宋体" w:cs="宋体"/>
                <w:color w:val="auto"/>
                <w:highlight w:val="none"/>
              </w:rPr>
              <w:t>已落实</w:t>
            </w:r>
          </w:p>
        </w:tc>
      </w:tr>
      <w:tr w14:paraId="2D5ECD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E07E250">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1.3.1</w:t>
            </w:r>
          </w:p>
        </w:tc>
        <w:tc>
          <w:tcPr>
            <w:tcW w:w="2879" w:type="dxa"/>
            <w:vAlign w:val="center"/>
          </w:tcPr>
          <w:p w14:paraId="4C47A61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招标范围</w:t>
            </w:r>
          </w:p>
        </w:tc>
        <w:tc>
          <w:tcPr>
            <w:tcW w:w="4891" w:type="dxa"/>
          </w:tcPr>
          <w:p w14:paraId="40C3A38E">
            <w:pPr>
              <w:kinsoku/>
              <w:spacing w:before="116" w:line="276" w:lineRule="auto"/>
              <w:ind w:left="136"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□初勘、初测</w:t>
            </w:r>
          </w:p>
          <w:p w14:paraId="7D85B471">
            <w:pPr>
              <w:kinsoku/>
              <w:spacing w:before="116" w:line="276" w:lineRule="auto"/>
              <w:ind w:left="136"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☑详勘、定测</w:t>
            </w:r>
          </w:p>
          <w:p w14:paraId="092AA31C">
            <w:pPr>
              <w:kinsoku/>
              <w:spacing w:before="116" w:line="276" w:lineRule="auto"/>
              <w:ind w:left="136"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□初步设计</w:t>
            </w:r>
          </w:p>
          <w:p w14:paraId="6480BB2E">
            <w:pPr>
              <w:kinsoku/>
              <w:spacing w:before="116" w:line="276" w:lineRule="auto"/>
              <w:ind w:left="136"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☑技术设计</w:t>
            </w:r>
          </w:p>
          <w:p w14:paraId="073BD45D">
            <w:pPr>
              <w:kinsoku/>
              <w:spacing w:before="116" w:line="276" w:lineRule="auto"/>
              <w:ind w:left="136" w:right="45"/>
              <w:rPr>
                <w:rFonts w:eastAsia="宋体"/>
                <w:color w:val="auto"/>
                <w:highlight w:val="none"/>
                <w:lang w:eastAsia="zh-CN"/>
              </w:rPr>
            </w:pPr>
            <w:r>
              <w:rPr>
                <w:rFonts w:hint="eastAsia" w:ascii="宋体" w:hAnsi="宋体" w:eastAsia="宋体" w:cs="宋体"/>
                <w:color w:val="auto"/>
                <w:highlight w:val="none"/>
                <w:lang w:eastAsia="zh-CN"/>
              </w:rPr>
              <w:t>☑专题研究报告</w:t>
            </w:r>
          </w:p>
          <w:p w14:paraId="3E0AAEDB">
            <w:pPr>
              <w:kinsoku/>
              <w:spacing w:before="116" w:line="276" w:lineRule="auto"/>
              <w:ind w:left="136"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☑施工图设计</w:t>
            </w:r>
          </w:p>
          <w:p w14:paraId="43830A21">
            <w:pPr>
              <w:kinsoku/>
              <w:spacing w:before="116" w:line="276" w:lineRule="auto"/>
              <w:ind w:left="136" w:right="45"/>
              <w:rPr>
                <w:rFonts w:asciiTheme="majorEastAsia" w:hAnsiTheme="majorEastAsia" w:eastAsiaTheme="majorEastAsia" w:cstheme="majorEastAsia"/>
                <w:color w:val="auto"/>
                <w:sz w:val="24"/>
                <w:highlight w:val="none"/>
                <w:lang w:eastAsia="zh-CN"/>
              </w:rPr>
            </w:pPr>
            <w:r>
              <w:rPr>
                <w:rFonts w:hint="eastAsia" w:ascii="宋体" w:hAnsi="宋体" w:eastAsia="宋体" w:cs="宋体"/>
                <w:color w:val="auto"/>
                <w:highlight w:val="none"/>
                <w:lang w:eastAsia="zh-CN"/>
              </w:rPr>
              <w:t>☑其他：预算、招标工程量清单（含清单预算）及施工专用技术规范文件编制、交通组织措施方案设计、征地拆迁图编绘、施工配合服务工作及后续服务工作等。</w:t>
            </w:r>
          </w:p>
        </w:tc>
      </w:tr>
      <w:tr w14:paraId="36227D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9C5965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1.3.2</w:t>
            </w:r>
          </w:p>
        </w:tc>
        <w:tc>
          <w:tcPr>
            <w:tcW w:w="2879" w:type="dxa"/>
            <w:vAlign w:val="center"/>
          </w:tcPr>
          <w:p w14:paraId="6929D2B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勘察设计服务期限</w:t>
            </w:r>
          </w:p>
        </w:tc>
        <w:tc>
          <w:tcPr>
            <w:tcW w:w="4891" w:type="dxa"/>
            <w:vAlign w:val="center"/>
          </w:tcPr>
          <w:p w14:paraId="10CD5B48">
            <w:pPr>
              <w:tabs>
                <w:tab w:val="left" w:pos="4800"/>
              </w:tabs>
              <w:kinsoku/>
              <w:spacing w:line="276" w:lineRule="auto"/>
              <w:ind w:left="19" w:leftChars="9"/>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详见专用合同条款第8.1.3款的规定</w:t>
            </w:r>
          </w:p>
        </w:tc>
      </w:tr>
      <w:tr w14:paraId="44BBC0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84859BE">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1.3.3</w:t>
            </w:r>
          </w:p>
        </w:tc>
        <w:tc>
          <w:tcPr>
            <w:tcW w:w="2879" w:type="dxa"/>
            <w:vAlign w:val="center"/>
          </w:tcPr>
          <w:p w14:paraId="1D814D8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质量要求</w:t>
            </w:r>
          </w:p>
        </w:tc>
        <w:tc>
          <w:tcPr>
            <w:tcW w:w="4891" w:type="dxa"/>
            <w:vAlign w:val="center"/>
          </w:tcPr>
          <w:p w14:paraId="0FCA3061">
            <w:pPr>
              <w:tabs>
                <w:tab w:val="left" w:pos="4800"/>
              </w:tabs>
              <w:kinsoku/>
              <w:spacing w:line="276" w:lineRule="auto"/>
              <w:ind w:left="19" w:leftChars="9"/>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达到现行交通运输部颁及国家相关的技术规范和标准要求。</w:t>
            </w:r>
          </w:p>
        </w:tc>
      </w:tr>
      <w:tr w14:paraId="5D66C2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FAFCBA1">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1.3.4</w:t>
            </w:r>
          </w:p>
        </w:tc>
        <w:tc>
          <w:tcPr>
            <w:tcW w:w="2879" w:type="dxa"/>
            <w:vAlign w:val="center"/>
          </w:tcPr>
          <w:p w14:paraId="172D047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安全目标</w:t>
            </w:r>
          </w:p>
        </w:tc>
        <w:tc>
          <w:tcPr>
            <w:tcW w:w="4891" w:type="dxa"/>
            <w:vAlign w:val="center"/>
          </w:tcPr>
          <w:p w14:paraId="2F9661EF">
            <w:pPr>
              <w:tabs>
                <w:tab w:val="left" w:pos="4800"/>
              </w:tabs>
              <w:kinsoku/>
              <w:spacing w:line="276" w:lineRule="auto"/>
              <w:ind w:left="19" w:leftChars="9"/>
              <w:jc w:val="both"/>
              <w:rPr>
                <w:rFonts w:ascii="宋体" w:hAnsi="宋体" w:eastAsia="宋体" w:cs="宋体"/>
                <w:color w:val="auto"/>
                <w:highlight w:val="none"/>
              </w:rPr>
            </w:pPr>
            <w:r>
              <w:rPr>
                <w:rFonts w:hint="eastAsia" w:ascii="宋体" w:hAnsi="宋体" w:eastAsia="宋体" w:cs="宋体"/>
                <w:color w:val="auto"/>
                <w:highlight w:val="none"/>
              </w:rPr>
              <w:t>无安全责任事故</w:t>
            </w:r>
          </w:p>
        </w:tc>
      </w:tr>
      <w:tr w14:paraId="5DC097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7A615F5">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1.4.1</w:t>
            </w:r>
          </w:p>
        </w:tc>
        <w:tc>
          <w:tcPr>
            <w:tcW w:w="2879" w:type="dxa"/>
            <w:vAlign w:val="center"/>
          </w:tcPr>
          <w:p w14:paraId="66413B1C">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投标人资质条件、能力和信誉</w:t>
            </w:r>
          </w:p>
        </w:tc>
        <w:tc>
          <w:tcPr>
            <w:tcW w:w="4891" w:type="dxa"/>
          </w:tcPr>
          <w:p w14:paraId="0BCFE402">
            <w:pPr>
              <w:pStyle w:val="22"/>
              <w:kinsoku/>
              <w:spacing w:before="124" w:line="276" w:lineRule="auto"/>
              <w:ind w:left="80" w:leftChars="38"/>
              <w:rPr>
                <w:rFonts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资质要求：见附录1</w:t>
            </w:r>
          </w:p>
          <w:p w14:paraId="4F376877">
            <w:pPr>
              <w:pStyle w:val="22"/>
              <w:kinsoku/>
              <w:spacing w:before="110" w:line="276" w:lineRule="auto"/>
              <w:ind w:left="80" w:leftChars="38"/>
              <w:rPr>
                <w:rFonts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业绩要求：见附录2</w:t>
            </w:r>
          </w:p>
          <w:p w14:paraId="2E8A3523">
            <w:pPr>
              <w:pStyle w:val="22"/>
              <w:kinsoku/>
              <w:spacing w:before="117" w:line="276" w:lineRule="auto"/>
              <w:ind w:left="80" w:leftChars="38"/>
              <w:rPr>
                <w:rFonts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信誉要求：见附录3</w:t>
            </w:r>
          </w:p>
          <w:p w14:paraId="1A777ABB">
            <w:pPr>
              <w:pStyle w:val="22"/>
              <w:kinsoku/>
              <w:spacing w:before="109" w:line="276" w:lineRule="auto"/>
              <w:ind w:left="80" w:leftChars="38"/>
              <w:rPr>
                <w:rFonts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项目负责人资格：见附录4</w:t>
            </w:r>
          </w:p>
          <w:p w14:paraId="649E2E1F">
            <w:pPr>
              <w:pStyle w:val="22"/>
              <w:kinsoku/>
              <w:spacing w:before="110" w:line="276" w:lineRule="auto"/>
              <w:ind w:left="80" w:leftChars="38"/>
              <w:rPr>
                <w:rFonts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其他要求：</w:t>
            </w:r>
            <w:r>
              <w:rPr>
                <w:rFonts w:hint="eastAsia" w:ascii="宋体" w:hAnsi="宋体" w:eastAsia="宋体" w:cs="宋体"/>
                <w:color w:val="auto"/>
                <w:sz w:val="21"/>
                <w:szCs w:val="21"/>
                <w:highlight w:val="none"/>
                <w:lang w:eastAsia="zh-CN"/>
              </w:rPr>
              <w:t>/</w:t>
            </w:r>
          </w:p>
        </w:tc>
      </w:tr>
      <w:tr w14:paraId="061B68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011111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1.4.2</w:t>
            </w:r>
          </w:p>
        </w:tc>
        <w:tc>
          <w:tcPr>
            <w:tcW w:w="2879" w:type="dxa"/>
            <w:vAlign w:val="center"/>
          </w:tcPr>
          <w:p w14:paraId="16612551">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是否接受联合体投标</w:t>
            </w:r>
          </w:p>
        </w:tc>
        <w:tc>
          <w:tcPr>
            <w:tcW w:w="4891" w:type="dxa"/>
          </w:tcPr>
          <w:p w14:paraId="607F4D6E">
            <w:pPr>
              <w:kinsoku/>
              <w:spacing w:before="65" w:line="276" w:lineRule="auto"/>
              <w:ind w:left="120" w:leftChars="57"/>
              <w:rPr>
                <w:rFonts w:ascii="宋体" w:hAnsi="宋体" w:eastAsia="宋体" w:cs="宋体"/>
                <w:color w:val="auto"/>
                <w:highlight w:val="none"/>
                <w:lang w:eastAsia="zh-CN"/>
              </w:rPr>
            </w:pPr>
            <w:r>
              <w:rPr>
                <w:rFonts w:hint="eastAsia" w:ascii="宋体" w:hAnsi="宋体" w:eastAsia="宋体" w:cs="宋体"/>
                <w:color w:val="auto"/>
                <w:highlight w:val="none"/>
                <w:lang w:eastAsia="zh-CN"/>
              </w:rPr>
              <w:t>☑不接受</w:t>
            </w:r>
          </w:p>
          <w:p w14:paraId="7A739A34">
            <w:pPr>
              <w:kinsoku/>
              <w:spacing w:before="6" w:line="276" w:lineRule="auto"/>
              <w:ind w:left="120" w:leftChars="57"/>
              <w:rPr>
                <w:rFonts w:ascii="宋体" w:hAnsi="宋体" w:eastAsia="宋体" w:cs="宋体"/>
                <w:color w:val="auto"/>
                <w:highlight w:val="none"/>
                <w:lang w:eastAsia="zh-CN"/>
              </w:rPr>
            </w:pPr>
            <w:r>
              <w:rPr>
                <w:rFonts w:hint="eastAsia" w:ascii="宋体" w:hAnsi="宋体" w:eastAsia="宋体" w:cs="宋体"/>
                <w:color w:val="auto"/>
                <w:highlight w:val="none"/>
                <w:lang w:eastAsia="zh-CN"/>
              </w:rPr>
              <w:t>□接受，应满足下列要求：</w:t>
            </w:r>
          </w:p>
          <w:p w14:paraId="294EA5A2">
            <w:pPr>
              <w:ind w:left="720" w:firstLine="105" w:firstLineChars="50"/>
              <w:rPr>
                <w:rFonts w:ascii="宋体" w:hAnsi="宋体" w:cs="宋体"/>
                <w:color w:val="auto"/>
                <w:highlight w:val="none"/>
                <w:lang w:eastAsia="zh-CN"/>
              </w:rPr>
            </w:pPr>
            <w:r>
              <w:rPr>
                <w:rFonts w:ascii="宋体" w:hAnsi="宋体" w:cs="宋体"/>
                <w:color w:val="auto"/>
                <w:highlight w:val="none"/>
                <w:lang w:eastAsia="zh-CN"/>
              </w:rPr>
              <w:t>1.</w:t>
            </w:r>
            <w:r>
              <w:rPr>
                <w:rFonts w:hint="eastAsia" w:ascii="宋体" w:hAnsi="宋体" w:cs="宋体"/>
                <w:color w:val="auto"/>
                <w:highlight w:val="none"/>
                <w:lang w:eastAsia="zh-CN"/>
              </w:rPr>
              <w:t>联合体所有成员数量不得超过</w:t>
            </w:r>
            <w:r>
              <w:rPr>
                <w:rFonts w:hint="eastAsia" w:ascii="宋体" w:hAnsi="宋体" w:eastAsia="宋体" w:cs="宋体"/>
                <w:color w:val="auto"/>
                <w:highlight w:val="none"/>
                <w:u w:val="single"/>
                <w:lang w:eastAsia="zh-CN"/>
              </w:rPr>
              <w:t xml:space="preserve"> / </w:t>
            </w:r>
            <w:r>
              <w:rPr>
                <w:rFonts w:hint="eastAsia" w:ascii="宋体" w:hAnsi="宋体" w:cs="宋体"/>
                <w:color w:val="auto"/>
                <w:highlight w:val="none"/>
                <w:lang w:eastAsia="zh-CN"/>
              </w:rPr>
              <w:t>家；</w:t>
            </w:r>
          </w:p>
          <w:p w14:paraId="5863AE28">
            <w:pPr>
              <w:ind w:left="720" w:firstLine="105" w:firstLineChars="50"/>
              <w:rPr>
                <w:rFonts w:ascii="宋体" w:hAnsi="宋体" w:cs="宋体"/>
                <w:color w:val="auto"/>
                <w:highlight w:val="none"/>
                <w:lang w:eastAsia="zh-CN"/>
              </w:rPr>
            </w:pPr>
            <w:r>
              <w:rPr>
                <w:rFonts w:ascii="宋体" w:hAnsi="宋体" w:cs="宋体"/>
                <w:color w:val="auto"/>
                <w:highlight w:val="none"/>
                <w:lang w:eastAsia="zh-CN"/>
              </w:rPr>
              <w:t>2.</w:t>
            </w:r>
            <w:r>
              <w:rPr>
                <w:rFonts w:hint="eastAsia" w:ascii="宋体" w:hAnsi="宋体" w:cs="宋体"/>
                <w:color w:val="auto"/>
                <w:highlight w:val="none"/>
                <w:lang w:eastAsia="zh-CN"/>
              </w:rPr>
              <w:t>联合体牵头人应具</w:t>
            </w:r>
            <w:r>
              <w:rPr>
                <w:rFonts w:hint="eastAsia" w:ascii="宋体" w:hAnsi="宋体" w:eastAsia="宋体" w:cs="宋体"/>
                <w:color w:val="auto"/>
                <w:highlight w:val="none"/>
                <w:u w:val="single"/>
                <w:lang w:eastAsia="zh-CN"/>
              </w:rPr>
              <w:t xml:space="preserve"> / </w:t>
            </w:r>
            <w:r>
              <w:rPr>
                <w:rFonts w:hint="eastAsia" w:ascii="宋体" w:hAnsi="宋体" w:cs="宋体"/>
                <w:color w:val="auto"/>
                <w:highlight w:val="none"/>
                <w:lang w:eastAsia="zh-CN"/>
              </w:rPr>
              <w:t>有资质；</w:t>
            </w:r>
          </w:p>
          <w:p w14:paraId="5FF14EC7">
            <w:pPr>
              <w:kinsoku/>
              <w:spacing w:before="31" w:line="276" w:lineRule="auto"/>
              <w:ind w:left="120" w:leftChars="57"/>
              <w:rPr>
                <w:rFonts w:ascii="宋体" w:hAnsi="宋体" w:eastAsia="宋体" w:cs="宋体"/>
                <w:color w:val="auto"/>
                <w:highlight w:val="none"/>
              </w:rPr>
            </w:pPr>
            <w:r>
              <w:rPr>
                <w:rFonts w:hint="eastAsia" w:ascii="宋体" w:hAnsi="宋体" w:cs="宋体"/>
                <w:color w:val="auto"/>
                <w:highlight w:val="none"/>
              </w:rPr>
              <w:t>.......</w:t>
            </w:r>
          </w:p>
        </w:tc>
      </w:tr>
      <w:tr w14:paraId="06D72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15BBD1B">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1.4.3</w:t>
            </w:r>
          </w:p>
        </w:tc>
        <w:tc>
          <w:tcPr>
            <w:tcW w:w="2879" w:type="dxa"/>
            <w:vAlign w:val="center"/>
          </w:tcPr>
          <w:p w14:paraId="09004525">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投标人不得存在的其他关联情形</w:t>
            </w:r>
          </w:p>
        </w:tc>
        <w:tc>
          <w:tcPr>
            <w:tcW w:w="4891" w:type="dxa"/>
            <w:vAlign w:val="center"/>
          </w:tcPr>
          <w:p w14:paraId="159318F8">
            <w:pPr>
              <w:kinsoku/>
              <w:spacing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w:t>
            </w:r>
          </w:p>
        </w:tc>
      </w:tr>
      <w:tr w14:paraId="41F58F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E10E19A">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1.4.4</w:t>
            </w:r>
          </w:p>
        </w:tc>
        <w:tc>
          <w:tcPr>
            <w:tcW w:w="2879" w:type="dxa"/>
            <w:vAlign w:val="center"/>
          </w:tcPr>
          <w:p w14:paraId="0937312E">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投标人不得存在的其他不良状况或不良信用记录</w:t>
            </w:r>
          </w:p>
        </w:tc>
        <w:tc>
          <w:tcPr>
            <w:tcW w:w="4891" w:type="dxa"/>
            <w:vAlign w:val="center"/>
          </w:tcPr>
          <w:p w14:paraId="3BD929E5">
            <w:pPr>
              <w:kinsoku/>
              <w:spacing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w:t>
            </w:r>
          </w:p>
        </w:tc>
      </w:tr>
      <w:tr w14:paraId="5BB0BC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restart"/>
            <w:tcBorders>
              <w:bottom w:val="nil"/>
            </w:tcBorders>
            <w:vAlign w:val="center"/>
          </w:tcPr>
          <w:p w14:paraId="0BA935CD">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1.10.2</w:t>
            </w:r>
          </w:p>
        </w:tc>
        <w:tc>
          <w:tcPr>
            <w:tcW w:w="2879" w:type="dxa"/>
            <w:vMerge w:val="restart"/>
            <w:tcBorders>
              <w:bottom w:val="nil"/>
            </w:tcBorders>
            <w:vAlign w:val="center"/>
          </w:tcPr>
          <w:p w14:paraId="28F215AC">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投标人在投标预备会前提出问题</w:t>
            </w:r>
          </w:p>
        </w:tc>
        <w:tc>
          <w:tcPr>
            <w:tcW w:w="4891" w:type="dxa"/>
          </w:tcPr>
          <w:p w14:paraId="6DA03981">
            <w:pPr>
              <w:kinsoku/>
              <w:spacing w:before="120" w:line="276" w:lineRule="auto"/>
              <w:ind w:left="123"/>
              <w:rPr>
                <w:rFonts w:ascii="宋体" w:hAnsi="宋体" w:eastAsia="宋体" w:cs="宋体"/>
                <w:color w:val="auto"/>
                <w:highlight w:val="none"/>
                <w:lang w:eastAsia="zh-CN"/>
              </w:rPr>
            </w:pPr>
            <w:r>
              <w:rPr>
                <w:rFonts w:hint="eastAsia" w:ascii="宋体" w:hAnsi="宋体" w:eastAsia="宋体" w:cs="宋体"/>
                <w:color w:val="auto"/>
                <w:highlight w:val="none"/>
                <w:lang w:eastAsia="zh-CN"/>
              </w:rPr>
              <w:t>时间：本次招标不召开投标预备会。</w:t>
            </w:r>
          </w:p>
        </w:tc>
      </w:tr>
      <w:tr w14:paraId="7C963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continue"/>
            <w:tcBorders>
              <w:top w:val="nil"/>
            </w:tcBorders>
            <w:vAlign w:val="center"/>
          </w:tcPr>
          <w:p w14:paraId="160B6369">
            <w:pPr>
              <w:kinsoku/>
              <w:spacing w:before="61" w:line="276" w:lineRule="auto"/>
              <w:jc w:val="center"/>
              <w:rPr>
                <w:rFonts w:ascii="宋体" w:hAnsi="宋体" w:eastAsia="宋体" w:cs="宋体"/>
                <w:color w:val="auto"/>
                <w:highlight w:val="none"/>
                <w:lang w:eastAsia="zh-CN"/>
              </w:rPr>
            </w:pPr>
          </w:p>
        </w:tc>
        <w:tc>
          <w:tcPr>
            <w:tcW w:w="2879" w:type="dxa"/>
            <w:vMerge w:val="continue"/>
            <w:tcBorders>
              <w:top w:val="nil"/>
            </w:tcBorders>
            <w:vAlign w:val="center"/>
          </w:tcPr>
          <w:p w14:paraId="6EAB2733">
            <w:pPr>
              <w:kinsoku/>
              <w:spacing w:before="61" w:line="276" w:lineRule="auto"/>
              <w:jc w:val="center"/>
              <w:rPr>
                <w:rFonts w:ascii="宋体" w:hAnsi="宋体" w:eastAsia="宋体" w:cs="宋体"/>
                <w:color w:val="auto"/>
                <w:highlight w:val="none"/>
                <w:lang w:eastAsia="zh-CN"/>
              </w:rPr>
            </w:pPr>
          </w:p>
        </w:tc>
        <w:tc>
          <w:tcPr>
            <w:tcW w:w="4891" w:type="dxa"/>
          </w:tcPr>
          <w:p w14:paraId="10952606">
            <w:pPr>
              <w:kinsoku/>
              <w:spacing w:before="137" w:line="276" w:lineRule="auto"/>
              <w:ind w:left="116"/>
              <w:rPr>
                <w:rFonts w:ascii="宋体" w:hAnsi="宋体" w:eastAsia="宋体" w:cs="宋体"/>
                <w:color w:val="auto"/>
                <w:highlight w:val="none"/>
                <w:lang w:eastAsia="zh-CN"/>
              </w:rPr>
            </w:pPr>
            <w:r>
              <w:rPr>
                <w:rFonts w:hint="eastAsia" w:ascii="宋体" w:hAnsi="宋体" w:eastAsia="宋体" w:cs="宋体"/>
                <w:color w:val="auto"/>
                <w:highlight w:val="none"/>
              </w:rPr>
              <w:t>形式：</w:t>
            </w:r>
            <w:r>
              <w:rPr>
                <w:rFonts w:hint="eastAsia" w:ascii="宋体" w:hAnsi="宋体" w:eastAsia="宋体" w:cs="宋体"/>
                <w:color w:val="auto"/>
                <w:highlight w:val="none"/>
                <w:lang w:eastAsia="zh-CN"/>
              </w:rPr>
              <w:t>/</w:t>
            </w:r>
          </w:p>
        </w:tc>
      </w:tr>
      <w:tr w14:paraId="7A437B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602B9C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1.11.1</w:t>
            </w:r>
          </w:p>
        </w:tc>
        <w:tc>
          <w:tcPr>
            <w:tcW w:w="2879" w:type="dxa"/>
            <w:vAlign w:val="center"/>
          </w:tcPr>
          <w:p w14:paraId="448DCBE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分  包</w:t>
            </w:r>
          </w:p>
        </w:tc>
        <w:tc>
          <w:tcPr>
            <w:tcW w:w="4891" w:type="dxa"/>
          </w:tcPr>
          <w:p w14:paraId="1A6F1077">
            <w:pPr>
              <w:kinsoku/>
              <w:spacing w:before="57"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☑不允许</w:t>
            </w:r>
          </w:p>
          <w:p w14:paraId="72FB943B">
            <w:pPr>
              <w:kinsoku/>
              <w:spacing w:before="7" w:line="276" w:lineRule="auto"/>
              <w:ind w:left="217" w:right="106" w:hanging="90"/>
              <w:rPr>
                <w:rFonts w:ascii="宋体" w:hAnsi="宋体" w:eastAsia="宋体" w:cs="宋体"/>
                <w:color w:val="auto"/>
                <w:highlight w:val="none"/>
                <w:lang w:eastAsia="zh-CN"/>
              </w:rPr>
            </w:pPr>
            <w:r>
              <w:rPr>
                <w:rFonts w:hint="eastAsia" w:ascii="宋体" w:hAnsi="宋体" w:eastAsia="宋体" w:cs="宋体"/>
                <w:color w:val="auto"/>
                <w:highlight w:val="none"/>
                <w:lang w:eastAsia="zh-CN"/>
              </w:rPr>
              <w:t>□允许，允许分包的工程（或不允许分包的工程）：</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对分包人的资格要求：</w:t>
            </w:r>
            <w:r>
              <w:rPr>
                <w:rFonts w:hint="eastAsia" w:ascii="宋体" w:hAnsi="宋体" w:eastAsia="宋体" w:cs="宋体"/>
                <w:color w:val="auto"/>
                <w:highlight w:val="none"/>
                <w:u w:val="single"/>
                <w:lang w:eastAsia="zh-CN"/>
              </w:rPr>
              <w:t xml:space="preserve">         </w:t>
            </w:r>
          </w:p>
        </w:tc>
      </w:tr>
      <w:tr w14:paraId="533ECE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545DE80">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2.1</w:t>
            </w:r>
          </w:p>
        </w:tc>
        <w:tc>
          <w:tcPr>
            <w:tcW w:w="2879" w:type="dxa"/>
            <w:vAlign w:val="center"/>
          </w:tcPr>
          <w:p w14:paraId="684E5EA9">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构成招标文件的其他资料</w:t>
            </w:r>
          </w:p>
        </w:tc>
        <w:tc>
          <w:tcPr>
            <w:tcW w:w="4891" w:type="dxa"/>
            <w:vAlign w:val="center"/>
          </w:tcPr>
          <w:p w14:paraId="75CE737C">
            <w:pPr>
              <w:kinsoku/>
              <w:spacing w:line="276" w:lineRule="auto"/>
              <w:ind w:left="80" w:leftChars="38"/>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补遗书、答疑文件等。</w:t>
            </w:r>
          </w:p>
        </w:tc>
      </w:tr>
      <w:tr w14:paraId="203D7B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012" w:type="dxa"/>
            <w:vMerge w:val="restart"/>
            <w:tcBorders>
              <w:bottom w:val="nil"/>
            </w:tcBorders>
            <w:vAlign w:val="center"/>
          </w:tcPr>
          <w:p w14:paraId="42D2A7B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2.2.1</w:t>
            </w:r>
          </w:p>
        </w:tc>
        <w:tc>
          <w:tcPr>
            <w:tcW w:w="2879" w:type="dxa"/>
            <w:vMerge w:val="restart"/>
            <w:tcBorders>
              <w:bottom w:val="nil"/>
            </w:tcBorders>
            <w:vAlign w:val="center"/>
          </w:tcPr>
          <w:p w14:paraId="15F4B1E0">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投标人要求澄清招标文件</w:t>
            </w:r>
          </w:p>
        </w:tc>
        <w:tc>
          <w:tcPr>
            <w:tcW w:w="4891" w:type="dxa"/>
            <w:vAlign w:val="center"/>
          </w:tcPr>
          <w:p w14:paraId="3DB78D7F">
            <w:pPr>
              <w:kinsoku/>
              <w:spacing w:before="100" w:line="276" w:lineRule="auto"/>
              <w:ind w:left="123"/>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时间：</w:t>
            </w:r>
            <w:r>
              <w:rPr>
                <w:rFonts w:hint="eastAsia" w:ascii="宋体" w:hAnsi="宋体" w:eastAsia="宋体" w:cs="宋体"/>
                <w:color w:val="auto"/>
                <w:highlight w:val="none"/>
                <w:u w:val="single"/>
                <w:lang w:eastAsia="zh-CN"/>
              </w:rPr>
              <w:t>开标时间截止之日</w:t>
            </w:r>
            <w:r>
              <w:rPr>
                <w:rFonts w:hint="eastAsia" w:ascii="宋体" w:hAnsi="宋体" w:eastAsia="宋体" w:cs="宋体"/>
                <w:color w:val="auto"/>
                <w:highlight w:val="none"/>
                <w:u w:val="single"/>
                <w:lang w:val="en-US" w:eastAsia="zh-CN"/>
              </w:rPr>
              <w:t>18</w:t>
            </w:r>
            <w:r>
              <w:rPr>
                <w:rFonts w:hint="eastAsia" w:ascii="宋体" w:hAnsi="宋体" w:eastAsia="宋体" w:cs="宋体"/>
                <w:color w:val="auto"/>
                <w:highlight w:val="none"/>
                <w:u w:val="single"/>
                <w:lang w:eastAsia="zh-CN"/>
              </w:rPr>
              <w:t>天前</w:t>
            </w:r>
          </w:p>
        </w:tc>
      </w:tr>
      <w:tr w14:paraId="60BDCA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continue"/>
            <w:tcBorders>
              <w:top w:val="nil"/>
            </w:tcBorders>
            <w:vAlign w:val="center"/>
          </w:tcPr>
          <w:p w14:paraId="6F19600A">
            <w:pPr>
              <w:kinsoku/>
              <w:spacing w:before="61" w:line="276" w:lineRule="auto"/>
              <w:jc w:val="center"/>
              <w:rPr>
                <w:rFonts w:ascii="宋体" w:hAnsi="宋体" w:eastAsia="宋体" w:cs="宋体"/>
                <w:color w:val="auto"/>
                <w:highlight w:val="none"/>
                <w:lang w:eastAsia="zh-CN"/>
              </w:rPr>
            </w:pPr>
          </w:p>
        </w:tc>
        <w:tc>
          <w:tcPr>
            <w:tcW w:w="2879" w:type="dxa"/>
            <w:vMerge w:val="continue"/>
            <w:tcBorders>
              <w:top w:val="nil"/>
            </w:tcBorders>
            <w:vAlign w:val="center"/>
          </w:tcPr>
          <w:p w14:paraId="00492E90">
            <w:pPr>
              <w:kinsoku/>
              <w:spacing w:before="61" w:line="276" w:lineRule="auto"/>
              <w:jc w:val="center"/>
              <w:rPr>
                <w:rFonts w:ascii="宋体" w:hAnsi="宋体" w:eastAsia="宋体" w:cs="宋体"/>
                <w:color w:val="auto"/>
                <w:highlight w:val="none"/>
                <w:lang w:eastAsia="zh-CN"/>
              </w:rPr>
            </w:pPr>
          </w:p>
        </w:tc>
        <w:tc>
          <w:tcPr>
            <w:tcW w:w="4891" w:type="dxa"/>
            <w:vAlign w:val="center"/>
          </w:tcPr>
          <w:p w14:paraId="2AC55093">
            <w:pPr>
              <w:kinsoku/>
              <w:wordWrap w:val="0"/>
              <w:spacing w:before="136" w:line="276" w:lineRule="auto"/>
              <w:ind w:left="113"/>
              <w:jc w:val="both"/>
              <w:rPr>
                <w:rFonts w:ascii="宋体" w:hAnsi="宋体" w:eastAsia="宋体" w:cs="宋体"/>
                <w:color w:val="auto"/>
                <w:highlight w:val="none"/>
              </w:rPr>
            </w:pPr>
            <w:r>
              <w:rPr>
                <w:rFonts w:hint="eastAsia" w:ascii="宋体" w:hAnsi="宋体" w:eastAsia="宋体" w:cs="宋体"/>
                <w:color w:val="auto"/>
                <w:highlight w:val="none"/>
              </w:rPr>
              <w:t>形式：投标人在全国公共资源交易平台（广东省·韶关市）（https://ygp.gdzwfw.gov.cn/ggzy-portal/#/440200/index）招标答疑栏以不记名方式提出。</w:t>
            </w:r>
          </w:p>
        </w:tc>
      </w:tr>
      <w:tr w14:paraId="7750A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C7E25F3">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2.2.2</w:t>
            </w:r>
          </w:p>
        </w:tc>
        <w:tc>
          <w:tcPr>
            <w:tcW w:w="2879" w:type="dxa"/>
            <w:vAlign w:val="center"/>
          </w:tcPr>
          <w:p w14:paraId="48574A07">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招标文件澄清发出的形式</w:t>
            </w:r>
          </w:p>
        </w:tc>
        <w:tc>
          <w:tcPr>
            <w:tcW w:w="4891" w:type="dxa"/>
          </w:tcPr>
          <w:p w14:paraId="0B535D2B">
            <w:pPr>
              <w:kinsoku/>
              <w:spacing w:line="276" w:lineRule="auto"/>
              <w:ind w:left="80" w:leftChars="38"/>
              <w:rPr>
                <w:rFonts w:ascii="宋体" w:hAnsi="宋体" w:eastAsia="宋体" w:cs="宋体"/>
                <w:color w:val="auto"/>
                <w:highlight w:val="none"/>
              </w:rPr>
            </w:pPr>
            <w:r>
              <w:rPr>
                <w:rFonts w:hint="eastAsia" w:ascii="宋体" w:hAnsi="宋体" w:eastAsia="宋体" w:cs="宋体"/>
                <w:color w:val="auto"/>
                <w:highlight w:val="none"/>
              </w:rPr>
              <w:t>网站公告：全国公共资源交易平台（广东省·韶关市）（https://ygp.gdzwfw.gov.cn/ggzy-portal/#/440200/index）发布。</w:t>
            </w:r>
          </w:p>
        </w:tc>
      </w:tr>
      <w:tr w14:paraId="51B3FC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restart"/>
            <w:tcBorders>
              <w:bottom w:val="nil"/>
            </w:tcBorders>
            <w:vAlign w:val="center"/>
          </w:tcPr>
          <w:p w14:paraId="76F45DA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2.2.3</w:t>
            </w:r>
          </w:p>
        </w:tc>
        <w:tc>
          <w:tcPr>
            <w:tcW w:w="2879" w:type="dxa"/>
            <w:vMerge w:val="restart"/>
            <w:tcBorders>
              <w:bottom w:val="nil"/>
            </w:tcBorders>
            <w:vAlign w:val="center"/>
          </w:tcPr>
          <w:p w14:paraId="73748754">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投标人确认收到招标文件澄清</w:t>
            </w:r>
          </w:p>
        </w:tc>
        <w:tc>
          <w:tcPr>
            <w:tcW w:w="4891" w:type="dxa"/>
            <w:vAlign w:val="center"/>
          </w:tcPr>
          <w:p w14:paraId="7B294A08">
            <w:pPr>
              <w:kinsoku/>
              <w:wordWrap w:val="0"/>
              <w:spacing w:before="109" w:line="276" w:lineRule="auto"/>
              <w:ind w:left="125" w:right="86" w:rightChars="41"/>
              <w:jc w:val="both"/>
              <w:rPr>
                <w:rFonts w:ascii="宋体" w:hAnsi="宋体" w:eastAsia="宋体" w:cs="宋体"/>
                <w:color w:val="auto"/>
                <w:highlight w:val="none"/>
              </w:rPr>
            </w:pPr>
            <w:r>
              <w:rPr>
                <w:rFonts w:hint="eastAsia" w:ascii="宋体" w:hAnsi="宋体" w:eastAsia="宋体" w:cs="宋体"/>
                <w:color w:val="auto"/>
                <w:highlight w:val="none"/>
              </w:rPr>
              <w:t>时间：以</w:t>
            </w:r>
            <w:r>
              <w:rPr>
                <w:rFonts w:hint="eastAsia" w:ascii="宋体" w:hAnsi="宋体" w:eastAsia="宋体" w:cs="宋体"/>
                <w:color w:val="auto"/>
                <w:highlight w:val="none"/>
                <w:lang w:eastAsia="zh-CN"/>
              </w:rPr>
              <w:t>全国公共资源交易平台（广东省·韶关市）（https://ygp.gdzwfw.gov.cn/ggzy-portal/#/440200/index）</w:t>
            </w:r>
            <w:r>
              <w:rPr>
                <w:rFonts w:hint="eastAsia" w:ascii="宋体" w:hAnsi="宋体" w:eastAsia="宋体" w:cs="宋体"/>
                <w:color w:val="auto"/>
                <w:highlight w:val="none"/>
              </w:rPr>
              <w:t>发布时间为准。</w:t>
            </w:r>
          </w:p>
        </w:tc>
      </w:tr>
      <w:tr w14:paraId="58DAA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continue"/>
            <w:tcBorders>
              <w:top w:val="nil"/>
            </w:tcBorders>
            <w:vAlign w:val="center"/>
          </w:tcPr>
          <w:p w14:paraId="180090B6">
            <w:pPr>
              <w:kinsoku/>
              <w:spacing w:before="61" w:line="276" w:lineRule="auto"/>
              <w:jc w:val="center"/>
              <w:rPr>
                <w:rFonts w:ascii="宋体" w:hAnsi="宋体" w:eastAsia="宋体" w:cs="宋体"/>
                <w:color w:val="auto"/>
                <w:highlight w:val="none"/>
              </w:rPr>
            </w:pPr>
          </w:p>
        </w:tc>
        <w:tc>
          <w:tcPr>
            <w:tcW w:w="2879" w:type="dxa"/>
            <w:vMerge w:val="continue"/>
            <w:tcBorders>
              <w:top w:val="nil"/>
            </w:tcBorders>
            <w:vAlign w:val="center"/>
          </w:tcPr>
          <w:p w14:paraId="64DC3D24">
            <w:pPr>
              <w:kinsoku/>
              <w:spacing w:before="61" w:line="276" w:lineRule="auto"/>
              <w:jc w:val="center"/>
              <w:rPr>
                <w:rFonts w:ascii="宋体" w:hAnsi="宋体" w:eastAsia="宋体" w:cs="宋体"/>
                <w:color w:val="auto"/>
                <w:highlight w:val="none"/>
              </w:rPr>
            </w:pPr>
          </w:p>
        </w:tc>
        <w:tc>
          <w:tcPr>
            <w:tcW w:w="4891" w:type="dxa"/>
            <w:vAlign w:val="center"/>
          </w:tcPr>
          <w:p w14:paraId="7BFCE603">
            <w:pPr>
              <w:kinsoku/>
              <w:spacing w:before="145" w:line="276" w:lineRule="auto"/>
              <w:ind w:left="116" w:right="86" w:rightChars="41"/>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形式：投标人应及时留意浏览网上发出的澄清公告，因投标人自身原因未及时获知澄清内容而导致的任何后果将由投标人自行承担。</w:t>
            </w:r>
          </w:p>
        </w:tc>
      </w:tr>
      <w:tr w14:paraId="4AA045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B075F6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2.3.1</w:t>
            </w:r>
          </w:p>
        </w:tc>
        <w:tc>
          <w:tcPr>
            <w:tcW w:w="2879" w:type="dxa"/>
            <w:vAlign w:val="center"/>
          </w:tcPr>
          <w:p w14:paraId="500FF8AC">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招标文件修改发出的形式</w:t>
            </w:r>
          </w:p>
        </w:tc>
        <w:tc>
          <w:tcPr>
            <w:tcW w:w="4891" w:type="dxa"/>
            <w:vAlign w:val="center"/>
          </w:tcPr>
          <w:p w14:paraId="31383747">
            <w:pPr>
              <w:kinsoku/>
              <w:wordWrap w:val="0"/>
              <w:spacing w:line="276" w:lineRule="auto"/>
              <w:ind w:left="99" w:leftChars="47" w:right="126" w:rightChars="60"/>
              <w:jc w:val="both"/>
              <w:rPr>
                <w:rFonts w:ascii="宋体" w:hAnsi="宋体" w:eastAsia="宋体" w:cs="宋体"/>
                <w:color w:val="auto"/>
                <w:highlight w:val="none"/>
              </w:rPr>
            </w:pPr>
            <w:r>
              <w:rPr>
                <w:rFonts w:hint="eastAsia" w:ascii="宋体" w:hAnsi="宋体" w:eastAsia="宋体" w:cs="宋体"/>
                <w:color w:val="auto"/>
                <w:highlight w:val="none"/>
              </w:rPr>
              <w:t>网站公告（</w:t>
            </w:r>
            <w:r>
              <w:rPr>
                <w:rFonts w:hint="eastAsia" w:ascii="宋体" w:hAnsi="宋体" w:eastAsia="宋体" w:cs="宋体"/>
                <w:color w:val="auto"/>
                <w:highlight w:val="none"/>
                <w:lang w:eastAsia="zh-CN"/>
              </w:rPr>
              <w:t>全国公共资源交易平台（广东省·韶关市）（https://ygp.gdzwfw.gov.cn/ggzy-portal/#/440200/index）。</w:t>
            </w:r>
          </w:p>
        </w:tc>
      </w:tr>
      <w:tr w14:paraId="6A328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restart"/>
            <w:tcBorders>
              <w:bottom w:val="nil"/>
            </w:tcBorders>
            <w:vAlign w:val="center"/>
          </w:tcPr>
          <w:p w14:paraId="0E02A4B6">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2.3.2</w:t>
            </w:r>
          </w:p>
        </w:tc>
        <w:tc>
          <w:tcPr>
            <w:tcW w:w="2879" w:type="dxa"/>
            <w:vMerge w:val="restart"/>
            <w:tcBorders>
              <w:bottom w:val="nil"/>
            </w:tcBorders>
            <w:vAlign w:val="center"/>
          </w:tcPr>
          <w:p w14:paraId="44230824">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投标人确认收到招标文件修改</w:t>
            </w:r>
          </w:p>
        </w:tc>
        <w:tc>
          <w:tcPr>
            <w:tcW w:w="4891" w:type="dxa"/>
            <w:vAlign w:val="center"/>
          </w:tcPr>
          <w:p w14:paraId="38BE4ABB">
            <w:pPr>
              <w:kinsoku/>
              <w:wordWrap w:val="0"/>
              <w:spacing w:line="276" w:lineRule="auto"/>
              <w:ind w:left="59" w:leftChars="28"/>
              <w:rPr>
                <w:rFonts w:ascii="宋体" w:hAnsi="宋体" w:eastAsia="宋体" w:cs="宋体"/>
                <w:color w:val="auto"/>
                <w:highlight w:val="none"/>
              </w:rPr>
            </w:pPr>
            <w:r>
              <w:rPr>
                <w:rFonts w:hint="eastAsia" w:ascii="宋体" w:hAnsi="宋体" w:eastAsia="宋体" w:cs="宋体"/>
                <w:color w:val="auto"/>
                <w:highlight w:val="none"/>
              </w:rPr>
              <w:t>时间：以</w:t>
            </w:r>
            <w:r>
              <w:rPr>
                <w:rFonts w:hint="eastAsia" w:ascii="宋体" w:hAnsi="宋体" w:eastAsia="宋体" w:cs="宋体"/>
                <w:color w:val="auto"/>
                <w:highlight w:val="none"/>
                <w:lang w:eastAsia="zh-CN"/>
              </w:rPr>
              <w:t>全国公共资源交易平台（广东省·韶关市）（https://ygp.gdzwfw.gov.cn/ggzy-portal/#/440200/index）</w:t>
            </w:r>
            <w:r>
              <w:rPr>
                <w:rFonts w:hint="eastAsia" w:ascii="宋体" w:hAnsi="宋体" w:eastAsia="宋体" w:cs="宋体"/>
                <w:color w:val="auto"/>
                <w:highlight w:val="none"/>
              </w:rPr>
              <w:t>发布时间为准</w:t>
            </w:r>
            <w:r>
              <w:rPr>
                <w:rFonts w:hint="eastAsia" w:ascii="宋体" w:hAnsi="宋体" w:eastAsia="宋体" w:cs="宋体"/>
                <w:color w:val="auto"/>
                <w:highlight w:val="none"/>
                <w:lang w:eastAsia="zh-CN"/>
              </w:rPr>
              <w:t>。</w:t>
            </w:r>
          </w:p>
        </w:tc>
      </w:tr>
      <w:tr w14:paraId="3A986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Merge w:val="continue"/>
            <w:tcBorders>
              <w:top w:val="nil"/>
            </w:tcBorders>
            <w:vAlign w:val="center"/>
          </w:tcPr>
          <w:p w14:paraId="3716615F">
            <w:pPr>
              <w:kinsoku/>
              <w:spacing w:before="61" w:line="276" w:lineRule="auto"/>
              <w:jc w:val="center"/>
              <w:rPr>
                <w:rFonts w:ascii="宋体" w:hAnsi="宋体" w:eastAsia="宋体" w:cs="宋体"/>
                <w:color w:val="auto"/>
                <w:highlight w:val="none"/>
              </w:rPr>
            </w:pPr>
          </w:p>
        </w:tc>
        <w:tc>
          <w:tcPr>
            <w:tcW w:w="2879" w:type="dxa"/>
            <w:vMerge w:val="continue"/>
            <w:tcBorders>
              <w:top w:val="nil"/>
            </w:tcBorders>
            <w:vAlign w:val="center"/>
          </w:tcPr>
          <w:p w14:paraId="7F11B92F">
            <w:pPr>
              <w:kinsoku/>
              <w:spacing w:before="61" w:line="276" w:lineRule="auto"/>
              <w:jc w:val="center"/>
              <w:rPr>
                <w:rFonts w:ascii="宋体" w:hAnsi="宋体" w:eastAsia="宋体" w:cs="宋体"/>
                <w:color w:val="auto"/>
                <w:highlight w:val="none"/>
              </w:rPr>
            </w:pPr>
          </w:p>
        </w:tc>
        <w:tc>
          <w:tcPr>
            <w:tcW w:w="4891" w:type="dxa"/>
            <w:vAlign w:val="center"/>
          </w:tcPr>
          <w:p w14:paraId="335B0076">
            <w:pPr>
              <w:kinsoku/>
              <w:wordWrap w:val="0"/>
              <w:spacing w:line="276" w:lineRule="auto"/>
              <w:ind w:left="59" w:leftChars="28"/>
              <w:rPr>
                <w:rFonts w:ascii="宋体" w:hAnsi="宋体" w:eastAsia="宋体" w:cs="宋体"/>
                <w:color w:val="auto"/>
                <w:highlight w:val="none"/>
                <w:lang w:eastAsia="zh-CN"/>
              </w:rPr>
            </w:pPr>
            <w:r>
              <w:rPr>
                <w:rFonts w:hint="eastAsia" w:ascii="宋体" w:hAnsi="宋体" w:eastAsia="宋体" w:cs="宋体"/>
                <w:color w:val="auto"/>
                <w:highlight w:val="none"/>
                <w:lang w:eastAsia="zh-CN"/>
              </w:rPr>
              <w:t>形式：投标人应及时留意浏览网上发出的修改公告，因投标人自身原因未及时获知修改内容而导致的任何后果将由投标人自行承担。</w:t>
            </w:r>
          </w:p>
        </w:tc>
      </w:tr>
      <w:tr w14:paraId="47399E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BD056FB">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3.1.1</w:t>
            </w:r>
          </w:p>
        </w:tc>
        <w:tc>
          <w:tcPr>
            <w:tcW w:w="2879" w:type="dxa"/>
            <w:vAlign w:val="center"/>
          </w:tcPr>
          <w:p w14:paraId="0E5A85D1">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构成投标文件的其他资料</w:t>
            </w:r>
          </w:p>
        </w:tc>
        <w:tc>
          <w:tcPr>
            <w:tcW w:w="4891" w:type="dxa"/>
            <w:vAlign w:val="center"/>
          </w:tcPr>
          <w:p w14:paraId="1AE41F90">
            <w:pPr>
              <w:kinsoku/>
              <w:spacing w:line="276" w:lineRule="auto"/>
              <w:ind w:left="120" w:leftChars="57" w:right="86" w:rightChars="41"/>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w:t>
            </w:r>
          </w:p>
        </w:tc>
      </w:tr>
      <w:tr w14:paraId="158F24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1E8603E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3.2.1</w:t>
            </w:r>
          </w:p>
        </w:tc>
        <w:tc>
          <w:tcPr>
            <w:tcW w:w="2879" w:type="dxa"/>
            <w:vAlign w:val="center"/>
          </w:tcPr>
          <w:p w14:paraId="0A6EAB45">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增值税税金的计算方法</w:t>
            </w:r>
          </w:p>
        </w:tc>
        <w:tc>
          <w:tcPr>
            <w:tcW w:w="4891" w:type="dxa"/>
            <w:vAlign w:val="center"/>
          </w:tcPr>
          <w:p w14:paraId="33FF2035">
            <w:pPr>
              <w:kinsoku/>
              <w:spacing w:line="276" w:lineRule="auto"/>
              <w:ind w:left="120" w:leftChars="57" w:right="86" w:rightChars="41"/>
              <w:jc w:val="both"/>
              <w:rPr>
                <w:rFonts w:ascii="宋体" w:hAnsi="宋体" w:eastAsia="宋体" w:cs="宋体"/>
                <w:color w:val="auto"/>
                <w:highlight w:val="none"/>
              </w:rPr>
            </w:pPr>
            <w:r>
              <w:rPr>
                <w:rFonts w:hint="eastAsia" w:ascii="宋体" w:hAnsi="宋体" w:eastAsia="宋体" w:cs="宋体"/>
                <w:color w:val="auto"/>
                <w:highlight w:val="none"/>
              </w:rPr>
              <w:t>按一般计税方法计算</w:t>
            </w:r>
          </w:p>
        </w:tc>
      </w:tr>
      <w:tr w14:paraId="12EBF4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386F3FB">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3.2.3</w:t>
            </w:r>
          </w:p>
        </w:tc>
        <w:tc>
          <w:tcPr>
            <w:tcW w:w="2879" w:type="dxa"/>
            <w:vAlign w:val="center"/>
          </w:tcPr>
          <w:p w14:paraId="293FFBF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报价方式</w:t>
            </w:r>
          </w:p>
        </w:tc>
        <w:tc>
          <w:tcPr>
            <w:tcW w:w="4891" w:type="dxa"/>
          </w:tcPr>
          <w:p w14:paraId="0A341459">
            <w:pPr>
              <w:kinsoku/>
              <w:spacing w:before="127" w:line="276" w:lineRule="auto"/>
              <w:ind w:left="120"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总价</w:t>
            </w:r>
          </w:p>
          <w:p w14:paraId="27145D45">
            <w:pPr>
              <w:kinsoku/>
              <w:spacing w:before="127" w:line="276" w:lineRule="auto"/>
              <w:ind w:left="120"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单价</w:t>
            </w:r>
          </w:p>
        </w:tc>
      </w:tr>
      <w:tr w14:paraId="358CA5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890A666">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3.2.4</w:t>
            </w:r>
          </w:p>
        </w:tc>
        <w:tc>
          <w:tcPr>
            <w:tcW w:w="2879" w:type="dxa"/>
            <w:vAlign w:val="center"/>
          </w:tcPr>
          <w:p w14:paraId="1901E06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最高投标限价</w:t>
            </w:r>
          </w:p>
        </w:tc>
        <w:tc>
          <w:tcPr>
            <w:tcW w:w="4891" w:type="dxa"/>
          </w:tcPr>
          <w:p w14:paraId="7825799E">
            <w:pPr>
              <w:kinsoku/>
              <w:spacing w:before="124" w:line="276" w:lineRule="auto"/>
              <w:ind w:left="120"/>
              <w:rPr>
                <w:rFonts w:ascii="宋体" w:hAnsi="宋体" w:eastAsia="宋体" w:cs="宋体"/>
                <w:color w:val="auto"/>
                <w:highlight w:val="none"/>
                <w:lang w:eastAsia="zh-CN"/>
              </w:rPr>
            </w:pPr>
            <w:r>
              <w:rPr>
                <w:rFonts w:hint="eastAsia" w:ascii="宋体" w:hAnsi="宋体" w:eastAsia="宋体" w:cs="宋体"/>
                <w:color w:val="auto"/>
                <w:highlight w:val="none"/>
                <w:lang w:eastAsia="zh-CN"/>
              </w:rPr>
              <w:t>□无</w:t>
            </w:r>
          </w:p>
          <w:p w14:paraId="43483EE9">
            <w:pPr>
              <w:kinsoku/>
              <w:spacing w:before="124" w:line="276" w:lineRule="auto"/>
              <w:ind w:left="120"/>
              <w:rPr>
                <w:rFonts w:ascii="宋体" w:hAnsi="宋体" w:eastAsia="宋体" w:cs="宋体"/>
                <w:color w:val="auto"/>
                <w:highlight w:val="none"/>
                <w:lang w:eastAsia="zh-CN"/>
              </w:rPr>
            </w:pPr>
            <w:r>
              <w:rPr>
                <w:rFonts w:hint="eastAsia" w:ascii="宋体" w:hAnsi="宋体" w:eastAsia="宋体" w:cs="宋体"/>
                <w:color w:val="auto"/>
                <w:highlight w:val="none"/>
                <w:lang w:eastAsia="zh-CN"/>
              </w:rPr>
              <w:t>☑有，最高投标限价为</w:t>
            </w:r>
            <w:r>
              <w:rPr>
                <w:rFonts w:hint="eastAsia" w:ascii="宋体" w:hAnsi="宋体" w:eastAsia="宋体" w:cs="宋体"/>
                <w:color w:val="auto"/>
                <w:highlight w:val="none"/>
                <w:u w:val="single"/>
                <w:lang w:eastAsia="zh-CN"/>
              </w:rPr>
              <w:t>3</w:t>
            </w:r>
            <w:r>
              <w:rPr>
                <w:rFonts w:hint="eastAsia" w:ascii="宋体" w:hAnsi="宋体" w:eastAsia="宋体" w:cs="宋体"/>
                <w:color w:val="auto"/>
                <w:highlight w:val="none"/>
                <w:u w:val="single"/>
                <w:lang w:val="en-US" w:eastAsia="zh-CN"/>
              </w:rPr>
              <w:t>85</w:t>
            </w:r>
            <w:r>
              <w:rPr>
                <w:rFonts w:hint="eastAsia" w:ascii="宋体" w:hAnsi="宋体" w:eastAsia="宋体" w:cs="宋体"/>
                <w:color w:val="auto"/>
                <w:highlight w:val="none"/>
                <w:u w:val="single"/>
                <w:lang w:eastAsia="zh-CN"/>
              </w:rPr>
              <w:t>万</w:t>
            </w:r>
            <w:r>
              <w:rPr>
                <w:rFonts w:hint="eastAsia" w:ascii="宋体" w:hAnsi="宋体" w:eastAsia="宋体" w:cs="宋体"/>
                <w:color w:val="auto"/>
                <w:highlight w:val="none"/>
                <w:lang w:eastAsia="zh-CN"/>
              </w:rPr>
              <w:t>元。</w:t>
            </w:r>
          </w:p>
        </w:tc>
      </w:tr>
      <w:tr w14:paraId="73C3DE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07DECD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3.2.5</w:t>
            </w:r>
          </w:p>
        </w:tc>
        <w:tc>
          <w:tcPr>
            <w:tcW w:w="2879" w:type="dxa"/>
            <w:vAlign w:val="center"/>
          </w:tcPr>
          <w:p w14:paraId="026B051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投标报价的其他要求</w:t>
            </w:r>
          </w:p>
        </w:tc>
        <w:tc>
          <w:tcPr>
            <w:tcW w:w="4891" w:type="dxa"/>
            <w:vAlign w:val="center"/>
          </w:tcPr>
          <w:p w14:paraId="18AE7706">
            <w:pPr>
              <w:kinsoku/>
              <w:spacing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w:t>
            </w:r>
          </w:p>
        </w:tc>
      </w:tr>
      <w:tr w14:paraId="4A7475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21E8BE6">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3.3.1</w:t>
            </w:r>
          </w:p>
        </w:tc>
        <w:tc>
          <w:tcPr>
            <w:tcW w:w="2879" w:type="dxa"/>
            <w:vAlign w:val="center"/>
          </w:tcPr>
          <w:p w14:paraId="168EAFAE">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投标有效期</w:t>
            </w:r>
          </w:p>
        </w:tc>
        <w:tc>
          <w:tcPr>
            <w:tcW w:w="4891" w:type="dxa"/>
            <w:vAlign w:val="center"/>
          </w:tcPr>
          <w:p w14:paraId="1D73D4F3">
            <w:pPr>
              <w:kinsoku/>
              <w:spacing w:before="117" w:line="276" w:lineRule="auto"/>
              <w:ind w:left="148"/>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自投标人提交投标文件截止之日起计算</w:t>
            </w:r>
            <w:r>
              <w:rPr>
                <w:rFonts w:hint="eastAsia" w:ascii="宋体" w:hAnsi="宋体" w:eastAsia="宋体" w:cs="宋体"/>
                <w:color w:val="auto"/>
                <w:highlight w:val="none"/>
                <w:u w:val="single"/>
                <w:lang w:eastAsia="zh-CN"/>
              </w:rPr>
              <w:t xml:space="preserve"> 120 </w:t>
            </w:r>
            <w:r>
              <w:rPr>
                <w:rFonts w:hint="eastAsia" w:ascii="宋体" w:hAnsi="宋体" w:eastAsia="宋体" w:cs="宋体"/>
                <w:color w:val="auto"/>
                <w:highlight w:val="none"/>
                <w:lang w:eastAsia="zh-CN"/>
              </w:rPr>
              <w:t>日</w:t>
            </w:r>
          </w:p>
        </w:tc>
      </w:tr>
      <w:tr w14:paraId="7E92B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D62F86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3.4.1</w:t>
            </w:r>
          </w:p>
        </w:tc>
        <w:tc>
          <w:tcPr>
            <w:tcW w:w="2879" w:type="dxa"/>
            <w:vAlign w:val="center"/>
          </w:tcPr>
          <w:p w14:paraId="6D63B7A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投标保证金</w:t>
            </w:r>
          </w:p>
        </w:tc>
        <w:tc>
          <w:tcPr>
            <w:tcW w:w="4891" w:type="dxa"/>
          </w:tcPr>
          <w:p w14:paraId="061C0B60">
            <w:pPr>
              <w:kinsoku/>
              <w:spacing w:before="129" w:line="276" w:lineRule="auto"/>
              <w:ind w:left="116"/>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是否要求投标人递交投标保证金：</w:t>
            </w:r>
          </w:p>
          <w:p w14:paraId="4AE9DBE5">
            <w:pPr>
              <w:kinsoku/>
              <w:spacing w:before="56"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☑要求，投标保证金的金额：人民币</w:t>
            </w:r>
            <w:r>
              <w:rPr>
                <w:rFonts w:hint="eastAsia" w:ascii="宋体" w:hAnsi="宋体" w:eastAsia="宋体" w:cs="宋体"/>
                <w:color w:val="auto"/>
                <w:highlight w:val="none"/>
                <w:u w:val="single"/>
                <w:lang w:eastAsia="zh-CN"/>
              </w:rPr>
              <w:t>6万元整</w:t>
            </w:r>
          </w:p>
          <w:p w14:paraId="47B3BA89">
            <w:pPr>
              <w:spacing w:line="276" w:lineRule="auto"/>
              <w:ind w:left="80" w:leftChars="38"/>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投标保证的形式包括投标保证金、投标保证担保、投标保证保险三种，由投标人自主选择。</w:t>
            </w:r>
          </w:p>
          <w:p w14:paraId="0A610CE2">
            <w:pPr>
              <w:spacing w:line="276" w:lineRule="auto"/>
              <w:ind w:left="80" w:leftChars="38"/>
              <w:rPr>
                <w:rFonts w:ascii="宋体" w:hAnsi="宋体" w:eastAsia="宋体" w:cs="宋体"/>
                <w:color w:val="auto"/>
                <w:highlight w:val="none"/>
                <w:lang w:eastAsia="zh-CN"/>
              </w:rPr>
            </w:pPr>
            <w:r>
              <w:rPr>
                <w:rFonts w:hint="eastAsia" w:ascii="宋体" w:hAnsi="宋体" w:eastAsia="宋体" w:cs="宋体"/>
                <w:color w:val="auto"/>
                <w:highlight w:val="none"/>
                <w:lang w:eastAsia="zh-CN"/>
              </w:rPr>
              <w:t>(1)采用投标保证金的，投标人在建设工程交易系统获取招标文件后，即可在系统申请缴纳投标保证金，获取本次招标投标保证金缴纳账号。投标人须于投标保证金到账截止时间(详见“重要事项时间地点一览表”)前，从其基本账户将投标保证金转账到指定的缴纳账号。逾期到账的、从非投标人基本账户转出的，其投标无效。</w:t>
            </w:r>
          </w:p>
          <w:p w14:paraId="561EE7F5">
            <w:pPr>
              <w:spacing w:line="276" w:lineRule="auto"/>
              <w:ind w:left="80" w:leftChars="38"/>
              <w:rPr>
                <w:rFonts w:ascii="宋体" w:hAnsi="宋体" w:eastAsia="宋体" w:cs="宋体"/>
                <w:color w:val="auto"/>
                <w:highlight w:val="none"/>
                <w:lang w:eastAsia="zh-CN"/>
              </w:rPr>
            </w:pPr>
            <w:r>
              <w:rPr>
                <w:rFonts w:hint="eastAsia" w:ascii="宋体" w:hAnsi="宋体" w:eastAsia="宋体" w:cs="宋体"/>
                <w:color w:val="auto"/>
                <w:highlight w:val="none"/>
                <w:lang w:eastAsia="zh-CN"/>
              </w:rPr>
              <w:t>(2)采用投标保证担保的，投标人应提交有效的电子保函或保证保险，电子保函或保证保险的有效期不得短于投标有效期。投标人必须在投标保证担保截止时间（详见“重要事项时间地点一览表”）前，使用工程建设交易系统完成网上办理电子保函或保证保险。</w:t>
            </w:r>
          </w:p>
          <w:p w14:paraId="243E9D83">
            <w:pPr>
              <w:spacing w:line="276" w:lineRule="auto"/>
              <w:ind w:left="80" w:leftChars="38"/>
              <w:rPr>
                <w:rFonts w:ascii="宋体" w:hAnsi="宋体" w:eastAsia="宋体" w:cs="宋体"/>
                <w:color w:val="auto"/>
                <w:highlight w:val="none"/>
                <w:lang w:eastAsia="zh-CN"/>
              </w:rPr>
            </w:pPr>
            <w:r>
              <w:rPr>
                <w:rFonts w:hint="eastAsia" w:ascii="宋体" w:hAnsi="宋体" w:eastAsia="宋体" w:cs="宋体"/>
                <w:color w:val="auto"/>
                <w:highlight w:val="none"/>
                <w:lang w:eastAsia="zh-CN"/>
              </w:rPr>
              <w:t>(3)采用投标保证保险的，投标人须在投标保证保险投保截止时间（详见“重要事项时间地点一览表”）前，使用建设工程交易系统完成网上投保。投标人可在系统选择保险机构、录入投保信息、支付保费、打印电子保单，电子保单的有效期不得短于投标有效期。投标人可登录全国公共资源交易平台 （广东省·韶关市）（https://ygp.gdzwfw.gov.cn/ggzy-portal/#/440200/index），在【服务指南】栏目中下载《韶关市公共资源建设工程交易系统-投标人操作指南》，了解网上投保具体操作流程。逾期投保的，其投标无效。</w:t>
            </w:r>
          </w:p>
          <w:p w14:paraId="43BE8D58">
            <w:pPr>
              <w:spacing w:line="276" w:lineRule="auto"/>
              <w:ind w:left="80" w:leftChars="38"/>
              <w:rPr>
                <w:rFonts w:ascii="宋体" w:hAnsi="宋体" w:eastAsia="宋体" w:cs="宋体"/>
                <w:bCs/>
                <w:color w:val="auto"/>
                <w:highlight w:val="none"/>
                <w:lang w:eastAsia="zh-CN"/>
              </w:rPr>
            </w:pPr>
            <w:r>
              <w:rPr>
                <w:rFonts w:hint="eastAsia" w:ascii="宋体" w:hAnsi="宋体" w:eastAsia="宋体" w:cs="宋体"/>
                <w:color w:val="auto"/>
                <w:highlight w:val="none"/>
                <w:lang w:eastAsia="zh-CN"/>
              </w:rPr>
              <w:t>温馨提醒：投标人采用投标保证担保的，为避免在评标过程中因有效期发生争议，建议投标人将银行保函有效期设置为较招标文件规定的投标有效期延长不少于20个日历</w:t>
            </w:r>
            <w:r>
              <w:rPr>
                <w:rFonts w:hint="eastAsia" w:ascii="宋体" w:hAnsi="宋体" w:eastAsia="宋体" w:cs="宋体"/>
                <w:bCs/>
                <w:color w:val="auto"/>
                <w:highlight w:val="none"/>
                <w:lang w:eastAsia="zh-CN"/>
              </w:rPr>
              <w:t>天。</w:t>
            </w:r>
          </w:p>
          <w:p w14:paraId="2E5A4A6C">
            <w:pPr>
              <w:spacing w:line="276" w:lineRule="auto"/>
              <w:ind w:left="80" w:leftChars="38"/>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不要求</w:t>
            </w:r>
          </w:p>
        </w:tc>
      </w:tr>
      <w:tr w14:paraId="5155F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F262AAD">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3.4.3</w:t>
            </w:r>
          </w:p>
        </w:tc>
        <w:tc>
          <w:tcPr>
            <w:tcW w:w="2879" w:type="dxa"/>
            <w:vAlign w:val="center"/>
          </w:tcPr>
          <w:p w14:paraId="1541B387">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投标保证金的利息计算原则</w:t>
            </w:r>
          </w:p>
        </w:tc>
        <w:tc>
          <w:tcPr>
            <w:tcW w:w="4891" w:type="dxa"/>
            <w:vAlign w:val="center"/>
          </w:tcPr>
          <w:p w14:paraId="1FA7819E">
            <w:pPr>
              <w:kinsoku/>
              <w:spacing w:before="108" w:line="276" w:lineRule="auto"/>
              <w:ind w:left="80" w:leftChars="38"/>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按韶关市公共资源交易中心相关规定进行计算</w:t>
            </w:r>
          </w:p>
        </w:tc>
      </w:tr>
      <w:tr w14:paraId="79B745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616981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3.4.4</w:t>
            </w:r>
          </w:p>
        </w:tc>
        <w:tc>
          <w:tcPr>
            <w:tcW w:w="2879" w:type="dxa"/>
            <w:vAlign w:val="center"/>
          </w:tcPr>
          <w:p w14:paraId="035CF330">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其他可以不予退还投标保证金的情形</w:t>
            </w:r>
          </w:p>
        </w:tc>
        <w:tc>
          <w:tcPr>
            <w:tcW w:w="4891" w:type="dxa"/>
          </w:tcPr>
          <w:p w14:paraId="0C8C2E28">
            <w:pPr>
              <w:spacing w:line="276" w:lineRule="auto"/>
              <w:ind w:left="80" w:leftChars="38" w:right="46" w:rightChars="22"/>
              <w:rPr>
                <w:rFonts w:ascii="宋体" w:hAnsi="宋体" w:eastAsia="宋体" w:cs="宋体"/>
                <w:color w:val="auto"/>
                <w:highlight w:val="none"/>
                <w:lang w:eastAsia="zh-CN"/>
              </w:rPr>
            </w:pPr>
            <w:r>
              <w:rPr>
                <w:rFonts w:hint="eastAsia" w:ascii="宋体" w:hAnsi="宋体" w:eastAsia="宋体" w:cs="宋体"/>
                <w:color w:val="auto"/>
                <w:highlight w:val="none"/>
                <w:lang w:eastAsia="zh-CN"/>
              </w:rPr>
              <w:t>（4）串通投标；或</w:t>
            </w:r>
          </w:p>
          <w:p w14:paraId="6A9B7335">
            <w:pPr>
              <w:spacing w:line="276" w:lineRule="auto"/>
              <w:ind w:left="80" w:leftChars="38" w:right="46" w:rightChars="22"/>
              <w:rPr>
                <w:rFonts w:ascii="宋体" w:hAnsi="宋体" w:eastAsia="宋体" w:cs="宋体"/>
                <w:color w:val="auto"/>
                <w:highlight w:val="none"/>
                <w:lang w:eastAsia="zh-CN"/>
              </w:rPr>
            </w:pPr>
            <w:r>
              <w:rPr>
                <w:rFonts w:hint="eastAsia" w:ascii="宋体" w:hAnsi="宋体" w:eastAsia="宋体" w:cs="宋体"/>
                <w:color w:val="auto"/>
                <w:highlight w:val="none"/>
                <w:lang w:eastAsia="zh-CN"/>
              </w:rPr>
              <w:t>（5）评标、中标候选人公示、签订合同前等环节因作假而被取消中标资格；或</w:t>
            </w:r>
          </w:p>
          <w:p w14:paraId="045C4E29">
            <w:pPr>
              <w:spacing w:line="276" w:lineRule="auto"/>
              <w:ind w:left="80" w:leftChars="38" w:right="46" w:rightChars="22"/>
              <w:rPr>
                <w:rFonts w:ascii="宋体" w:hAnsi="宋体" w:eastAsia="宋体" w:cs="宋体"/>
                <w:color w:val="auto"/>
                <w:highlight w:val="none"/>
                <w:lang w:eastAsia="zh-CN"/>
              </w:rPr>
            </w:pPr>
            <w:r>
              <w:rPr>
                <w:rFonts w:hint="eastAsia" w:ascii="宋体" w:hAnsi="宋体" w:eastAsia="宋体" w:cs="宋体"/>
                <w:color w:val="auto"/>
                <w:highlight w:val="none"/>
                <w:lang w:eastAsia="zh-CN"/>
              </w:rPr>
              <w:t>（6）因投诉属实取消投标资格的；或</w:t>
            </w:r>
          </w:p>
          <w:p w14:paraId="0CCCA971">
            <w:pPr>
              <w:spacing w:line="276" w:lineRule="auto"/>
              <w:ind w:left="80" w:leftChars="38" w:right="46" w:rightChars="22"/>
              <w:rPr>
                <w:rFonts w:ascii="宋体" w:hAnsi="宋体" w:eastAsia="宋体" w:cs="宋体"/>
                <w:color w:val="auto"/>
                <w:highlight w:val="none"/>
                <w:lang w:eastAsia="zh-CN"/>
              </w:rPr>
            </w:pPr>
            <w:r>
              <w:rPr>
                <w:rFonts w:hint="eastAsia" w:ascii="宋体" w:hAnsi="宋体" w:eastAsia="宋体" w:cs="宋体"/>
                <w:color w:val="auto"/>
                <w:highlight w:val="none"/>
                <w:lang w:eastAsia="zh-CN"/>
              </w:rPr>
              <w:t>（7）其他违反规定、妨碍公平竞争准则的行为；或</w:t>
            </w:r>
          </w:p>
          <w:p w14:paraId="16D46343">
            <w:pPr>
              <w:kinsoku/>
              <w:spacing w:line="276" w:lineRule="auto"/>
              <w:ind w:left="80" w:leftChars="38" w:right="46" w:rightChars="22"/>
              <w:rPr>
                <w:rFonts w:ascii="宋体" w:hAnsi="宋体" w:eastAsia="宋体" w:cs="宋体"/>
                <w:color w:val="auto"/>
                <w:highlight w:val="none"/>
              </w:rPr>
            </w:pPr>
            <w:r>
              <w:rPr>
                <w:rFonts w:hint="eastAsia" w:ascii="宋体" w:hAnsi="宋体" w:eastAsia="宋体" w:cs="宋体"/>
                <w:color w:val="auto"/>
                <w:highlight w:val="none"/>
              </w:rPr>
              <w:t>……</w:t>
            </w:r>
          </w:p>
        </w:tc>
      </w:tr>
      <w:tr w14:paraId="0F4B67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75613C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3.5</w:t>
            </w:r>
          </w:p>
        </w:tc>
        <w:tc>
          <w:tcPr>
            <w:tcW w:w="2879" w:type="dxa"/>
            <w:vAlign w:val="center"/>
          </w:tcPr>
          <w:p w14:paraId="6A23F72F">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资格审查资料的特殊要求</w:t>
            </w:r>
          </w:p>
        </w:tc>
        <w:tc>
          <w:tcPr>
            <w:tcW w:w="4891" w:type="dxa"/>
          </w:tcPr>
          <w:p w14:paraId="423FA86C">
            <w:pPr>
              <w:kinsoku/>
              <w:spacing w:before="76"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□无</w:t>
            </w:r>
          </w:p>
          <w:p w14:paraId="2EE1C225">
            <w:pPr>
              <w:kinsoku/>
              <w:spacing w:before="10"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☑有，具体要求：投标人提供的各类证照扫描件均指彩色扫描件。</w:t>
            </w:r>
          </w:p>
        </w:tc>
      </w:tr>
      <w:tr w14:paraId="6881E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 w:hRule="atLeast"/>
        </w:trPr>
        <w:tc>
          <w:tcPr>
            <w:tcW w:w="1012" w:type="dxa"/>
            <w:vAlign w:val="center"/>
          </w:tcPr>
          <w:p w14:paraId="496E4FA2">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3.5.2</w:t>
            </w:r>
          </w:p>
        </w:tc>
        <w:tc>
          <w:tcPr>
            <w:tcW w:w="2879" w:type="dxa"/>
            <w:vAlign w:val="center"/>
          </w:tcPr>
          <w:p w14:paraId="12B23617">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近年完成的类似项目情况的时间要求</w:t>
            </w:r>
          </w:p>
        </w:tc>
        <w:tc>
          <w:tcPr>
            <w:tcW w:w="4891" w:type="dxa"/>
            <w:vAlign w:val="center"/>
          </w:tcPr>
          <w:p w14:paraId="0A729B36">
            <w:pPr>
              <w:tabs>
                <w:tab w:val="left" w:pos="527"/>
              </w:tabs>
              <w:kinsoku/>
              <w:spacing w:line="276" w:lineRule="auto"/>
              <w:ind w:left="108"/>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近5年内（自2020年5月1日至投标文件递交截止之日止）</w:t>
            </w:r>
          </w:p>
        </w:tc>
      </w:tr>
      <w:tr w14:paraId="614075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F5C9E31">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3.6.1</w:t>
            </w:r>
          </w:p>
        </w:tc>
        <w:tc>
          <w:tcPr>
            <w:tcW w:w="2879" w:type="dxa"/>
            <w:vAlign w:val="center"/>
          </w:tcPr>
          <w:p w14:paraId="7FE7EFD7">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是否允许递交备选投标方案</w:t>
            </w:r>
          </w:p>
        </w:tc>
        <w:tc>
          <w:tcPr>
            <w:tcW w:w="4891" w:type="dxa"/>
          </w:tcPr>
          <w:p w14:paraId="78FF704F">
            <w:pPr>
              <w:kinsoku/>
              <w:spacing w:before="77" w:line="276" w:lineRule="auto"/>
              <w:ind w:left="127"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不允许</w:t>
            </w:r>
          </w:p>
          <w:p w14:paraId="44B3ED48">
            <w:pPr>
              <w:kinsoku/>
              <w:spacing w:before="77" w:line="276" w:lineRule="auto"/>
              <w:ind w:left="127"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允许</w:t>
            </w:r>
          </w:p>
        </w:tc>
      </w:tr>
      <w:tr w14:paraId="641D5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2BF6F10">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3.7.4</w:t>
            </w:r>
          </w:p>
        </w:tc>
        <w:tc>
          <w:tcPr>
            <w:tcW w:w="2879" w:type="dxa"/>
            <w:vAlign w:val="center"/>
          </w:tcPr>
          <w:p w14:paraId="11FAC346">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投标文件副本份数及其他要求</w:t>
            </w:r>
          </w:p>
        </w:tc>
        <w:tc>
          <w:tcPr>
            <w:tcW w:w="4891" w:type="dxa"/>
          </w:tcPr>
          <w:p w14:paraId="7B42EA24">
            <w:pPr>
              <w:kinsoku/>
              <w:wordWrap w:val="0"/>
              <w:spacing w:before="110" w:line="276" w:lineRule="auto"/>
              <w:ind w:left="113"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投标文件副本份数：0份。</w:t>
            </w:r>
          </w:p>
          <w:p w14:paraId="146211DB">
            <w:pPr>
              <w:kinsoku/>
              <w:wordWrap w:val="0"/>
              <w:spacing w:before="110" w:line="276" w:lineRule="auto"/>
              <w:ind w:left="113" w:right="45"/>
              <w:rPr>
                <w:rFonts w:ascii="宋体" w:hAnsi="宋体" w:eastAsia="宋体" w:cs="宋体"/>
                <w:color w:val="auto"/>
                <w:highlight w:val="none"/>
                <w:lang w:eastAsia="zh-CN"/>
              </w:rPr>
            </w:pPr>
            <w:r>
              <w:rPr>
                <w:rFonts w:hint="eastAsia" w:ascii="宋体" w:hAnsi="宋体" w:eastAsia="宋体" w:cs="宋体"/>
                <w:color w:val="auto"/>
                <w:highlight w:val="none"/>
                <w:lang w:eastAsia="zh-CN"/>
              </w:rPr>
              <w:t>其他要求：投标文件全部采用电子文档，投标文件所附证书证件均为原件扫描件，并采用单位数字证书，按招标文件要求在相应位置加盖电子印章。投标文件中需个人签字或盖章的，应加盖个人电子印章或在线下完成后扫描上传。按照交易平台关于全流程电子化项目的相关指南进行操作。详见：全国公共资源交易平台（广东省·韶关市）（https://ygp.gdzwfw.gov.cn/ggzy-portal/#/440200/index）交易指引。</w:t>
            </w:r>
          </w:p>
        </w:tc>
      </w:tr>
      <w:tr w14:paraId="38E3B5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156BFFF">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3.7.5</w:t>
            </w:r>
          </w:p>
        </w:tc>
        <w:tc>
          <w:tcPr>
            <w:tcW w:w="2879" w:type="dxa"/>
            <w:vAlign w:val="center"/>
          </w:tcPr>
          <w:p w14:paraId="490B24B2">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装订的其他要求</w:t>
            </w:r>
          </w:p>
        </w:tc>
        <w:tc>
          <w:tcPr>
            <w:tcW w:w="4891" w:type="dxa"/>
            <w:vAlign w:val="center"/>
          </w:tcPr>
          <w:p w14:paraId="751EF769">
            <w:pPr>
              <w:kinsoku/>
              <w:spacing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w:t>
            </w:r>
          </w:p>
        </w:tc>
      </w:tr>
      <w:tr w14:paraId="1A15E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522D2D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4.1.2</w:t>
            </w:r>
          </w:p>
        </w:tc>
        <w:tc>
          <w:tcPr>
            <w:tcW w:w="2879" w:type="dxa"/>
            <w:vAlign w:val="center"/>
          </w:tcPr>
          <w:p w14:paraId="10FFF59F">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rPr>
              <w:t>封套上应载明的信息</w:t>
            </w:r>
          </w:p>
        </w:tc>
        <w:tc>
          <w:tcPr>
            <w:tcW w:w="4891" w:type="dxa"/>
          </w:tcPr>
          <w:p w14:paraId="429EAA65">
            <w:pPr>
              <w:kinsoku/>
              <w:spacing w:before="30" w:line="276" w:lineRule="auto"/>
              <w:ind w:left="115" w:right="47" w:hanging="1"/>
              <w:rPr>
                <w:rFonts w:ascii="宋体" w:hAnsi="宋体" w:eastAsia="宋体" w:cs="宋体"/>
                <w:color w:val="auto"/>
                <w:highlight w:val="none"/>
                <w:lang w:eastAsia="zh-CN"/>
              </w:rPr>
            </w:pPr>
            <w:r>
              <w:rPr>
                <w:rFonts w:hint="eastAsia" w:ascii="宋体" w:hAnsi="宋体" w:eastAsia="宋体" w:cs="宋体"/>
                <w:color w:val="auto"/>
                <w:highlight w:val="none"/>
                <w:lang w:eastAsia="zh-CN"/>
              </w:rPr>
              <w:t>本项目采用全流程电子投标，不需要提交纸质版的投标文件。</w:t>
            </w:r>
          </w:p>
        </w:tc>
      </w:tr>
      <w:tr w14:paraId="5DC7C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F86AEC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4.2.3</w:t>
            </w:r>
          </w:p>
        </w:tc>
        <w:tc>
          <w:tcPr>
            <w:tcW w:w="2879" w:type="dxa"/>
            <w:vAlign w:val="center"/>
          </w:tcPr>
          <w:p w14:paraId="605FF19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是否退还投标文件</w:t>
            </w:r>
          </w:p>
        </w:tc>
        <w:tc>
          <w:tcPr>
            <w:tcW w:w="4891" w:type="dxa"/>
          </w:tcPr>
          <w:p w14:paraId="2F953DFC">
            <w:pPr>
              <w:kinsoku/>
              <w:spacing w:before="126" w:line="276" w:lineRule="auto"/>
              <w:ind w:left="135"/>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否</w:t>
            </w:r>
          </w:p>
          <w:p w14:paraId="571E343F">
            <w:pPr>
              <w:kinsoku/>
              <w:spacing w:before="108" w:line="276" w:lineRule="auto"/>
              <w:ind w:left="135"/>
              <w:rPr>
                <w:rFonts w:ascii="宋体" w:hAnsi="宋体" w:eastAsia="宋体" w:cs="宋体"/>
                <w:color w:val="auto"/>
                <w:highlight w:val="none"/>
              </w:rPr>
            </w:pPr>
            <w:r>
              <w:rPr>
                <w:rFonts w:hint="eastAsia" w:ascii="宋体" w:hAnsi="宋体" w:eastAsia="宋体" w:cs="宋体"/>
                <w:color w:val="auto"/>
                <w:highlight w:val="none"/>
              </w:rPr>
              <w:t>□是，退还时间：</w:t>
            </w:r>
          </w:p>
        </w:tc>
      </w:tr>
      <w:tr w14:paraId="6F1C70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AF40DE1">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5.1</w:t>
            </w:r>
          </w:p>
        </w:tc>
        <w:tc>
          <w:tcPr>
            <w:tcW w:w="2879" w:type="dxa"/>
            <w:vAlign w:val="center"/>
          </w:tcPr>
          <w:p w14:paraId="6308CCB9">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开标时间和地点</w:t>
            </w:r>
          </w:p>
        </w:tc>
        <w:tc>
          <w:tcPr>
            <w:tcW w:w="4891" w:type="dxa"/>
          </w:tcPr>
          <w:p w14:paraId="6525544A">
            <w:pPr>
              <w:spacing w:line="276" w:lineRule="auto"/>
              <w:ind w:left="139" w:leftChars="66"/>
              <w:rPr>
                <w:rFonts w:ascii="宋体" w:hAnsi="宋体" w:eastAsia="宋体" w:cs="宋体"/>
                <w:color w:val="auto"/>
                <w:highlight w:val="none"/>
                <w:lang w:eastAsia="zh-CN"/>
              </w:rPr>
            </w:pPr>
            <w:r>
              <w:rPr>
                <w:rFonts w:hint="eastAsia" w:ascii="宋体" w:hAnsi="宋体" w:eastAsia="宋体" w:cs="宋体"/>
                <w:b/>
                <w:color w:val="auto"/>
                <w:highlight w:val="none"/>
                <w:lang w:eastAsia="zh-CN"/>
              </w:rPr>
              <w:t>投标文件第一信封（商务及技术文件）</w:t>
            </w:r>
            <w:r>
              <w:rPr>
                <w:rFonts w:hint="eastAsia" w:ascii="宋体" w:hAnsi="宋体" w:eastAsia="宋体" w:cs="宋体"/>
                <w:color w:val="auto"/>
                <w:highlight w:val="none"/>
                <w:lang w:eastAsia="zh-CN"/>
              </w:rPr>
              <w:t>开标时间：</w:t>
            </w:r>
            <w:r>
              <w:rPr>
                <w:rFonts w:hint="eastAsia" w:ascii="宋体" w:hAnsi="宋体" w:eastAsia="宋体" w:cs="宋体"/>
                <w:color w:val="auto"/>
                <w:highlight w:val="none"/>
                <w:u w:val="single"/>
                <w:lang w:eastAsia="zh-CN"/>
              </w:rPr>
              <w:t>见“重要事项时间地点一览表”</w:t>
            </w:r>
            <w:r>
              <w:rPr>
                <w:rFonts w:hint="eastAsia" w:ascii="宋体" w:hAnsi="宋体" w:eastAsia="宋体" w:cs="宋体"/>
                <w:color w:val="auto"/>
                <w:highlight w:val="none"/>
                <w:lang w:eastAsia="zh-CN"/>
              </w:rPr>
              <w:t>。</w:t>
            </w:r>
          </w:p>
          <w:p w14:paraId="39F2A5B1">
            <w:pPr>
              <w:spacing w:line="276" w:lineRule="auto"/>
              <w:ind w:left="139" w:leftChars="66"/>
              <w:rPr>
                <w:rFonts w:ascii="宋体" w:hAnsi="宋体" w:eastAsia="宋体" w:cs="宋体"/>
                <w:color w:val="auto"/>
                <w:highlight w:val="none"/>
                <w:lang w:eastAsia="zh-CN"/>
              </w:rPr>
            </w:pPr>
            <w:r>
              <w:rPr>
                <w:rFonts w:hint="eastAsia" w:ascii="宋体" w:hAnsi="宋体" w:eastAsia="宋体" w:cs="宋体"/>
                <w:color w:val="auto"/>
                <w:highlight w:val="none"/>
                <w:lang w:eastAsia="zh-CN"/>
              </w:rPr>
              <w:t>开标地点：</w:t>
            </w:r>
            <w:r>
              <w:rPr>
                <w:rFonts w:hint="eastAsia" w:ascii="宋体" w:hAnsi="宋体" w:eastAsia="宋体" w:cs="宋体"/>
                <w:color w:val="auto"/>
                <w:highlight w:val="none"/>
                <w:u w:val="single"/>
                <w:lang w:eastAsia="zh-CN"/>
              </w:rPr>
              <w:t>见“重要事项时间地点一览表”</w:t>
            </w:r>
            <w:r>
              <w:rPr>
                <w:rFonts w:hint="eastAsia" w:ascii="宋体" w:hAnsi="宋体" w:eastAsia="宋体" w:cs="宋体"/>
                <w:color w:val="auto"/>
                <w:highlight w:val="none"/>
                <w:lang w:eastAsia="zh-CN"/>
              </w:rPr>
              <w:t>，具体开标室以当日现场通知为准。</w:t>
            </w:r>
          </w:p>
          <w:p w14:paraId="7957D3D7">
            <w:pPr>
              <w:spacing w:line="276" w:lineRule="auto"/>
              <w:ind w:left="139" w:leftChars="66"/>
              <w:rPr>
                <w:rFonts w:ascii="宋体" w:hAnsi="宋体" w:eastAsia="宋体" w:cs="宋体"/>
                <w:color w:val="auto"/>
                <w:highlight w:val="none"/>
                <w:lang w:eastAsia="zh-CN"/>
              </w:rPr>
            </w:pPr>
            <w:r>
              <w:rPr>
                <w:rFonts w:hint="eastAsia" w:ascii="宋体" w:hAnsi="宋体" w:eastAsia="宋体" w:cs="宋体"/>
                <w:b/>
                <w:color w:val="auto"/>
                <w:highlight w:val="none"/>
                <w:lang w:eastAsia="zh-CN"/>
              </w:rPr>
              <w:t>投标文件第二信封（报价文件）开标时间</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lang w:eastAsia="zh-CN"/>
              </w:rPr>
              <w:t>见“重要事项时间地点一览表”</w:t>
            </w:r>
            <w:r>
              <w:rPr>
                <w:rFonts w:hint="eastAsia" w:ascii="宋体" w:hAnsi="宋体" w:eastAsia="宋体" w:cs="宋体"/>
                <w:color w:val="auto"/>
                <w:highlight w:val="none"/>
                <w:lang w:eastAsia="zh-CN"/>
              </w:rPr>
              <w:t>，且在宣布通过商务文件和技术文件的投标人名单后。</w:t>
            </w:r>
          </w:p>
          <w:p w14:paraId="09D74450">
            <w:pPr>
              <w:kinsoku/>
              <w:spacing w:before="31" w:line="276" w:lineRule="auto"/>
              <w:ind w:left="139" w:leftChars="66" w:right="106"/>
              <w:rPr>
                <w:rFonts w:ascii="宋体" w:hAnsi="宋体" w:eastAsia="宋体" w:cs="宋体"/>
                <w:color w:val="auto"/>
                <w:highlight w:val="none"/>
                <w:lang w:eastAsia="zh-CN"/>
              </w:rPr>
            </w:pPr>
            <w:r>
              <w:rPr>
                <w:rFonts w:hint="eastAsia" w:ascii="宋体" w:hAnsi="宋体" w:eastAsia="宋体" w:cs="宋体"/>
                <w:color w:val="auto"/>
                <w:highlight w:val="none"/>
                <w:lang w:eastAsia="zh-CN"/>
              </w:rPr>
              <w:t>开标地点：</w:t>
            </w:r>
            <w:r>
              <w:rPr>
                <w:rFonts w:hint="eastAsia" w:ascii="宋体" w:hAnsi="宋体" w:eastAsia="宋体" w:cs="宋体"/>
                <w:color w:val="auto"/>
                <w:highlight w:val="none"/>
                <w:u w:val="single"/>
                <w:lang w:eastAsia="zh-CN"/>
              </w:rPr>
              <w:t>见“重要事项时间地点一览表”</w:t>
            </w:r>
            <w:r>
              <w:rPr>
                <w:rFonts w:hint="eastAsia" w:ascii="宋体" w:hAnsi="宋体" w:eastAsia="宋体" w:cs="宋体"/>
                <w:color w:val="auto"/>
                <w:highlight w:val="none"/>
                <w:lang w:eastAsia="zh-CN"/>
              </w:rPr>
              <w:t>，具体开标室以当日现场通知为准。</w:t>
            </w:r>
          </w:p>
        </w:tc>
      </w:tr>
      <w:tr w14:paraId="3A64F7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C8D6C2F">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5.2.1</w:t>
            </w:r>
          </w:p>
        </w:tc>
        <w:tc>
          <w:tcPr>
            <w:tcW w:w="2879" w:type="dxa"/>
            <w:vAlign w:val="center"/>
          </w:tcPr>
          <w:p w14:paraId="6C4D6ED2">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第一个信封（商务及技术文件）开标程序</w:t>
            </w:r>
          </w:p>
        </w:tc>
        <w:tc>
          <w:tcPr>
            <w:tcW w:w="4891" w:type="dxa"/>
          </w:tcPr>
          <w:p w14:paraId="753272ED">
            <w:pPr>
              <w:kinsoku/>
              <w:spacing w:before="117" w:line="276" w:lineRule="auto"/>
              <w:ind w:left="114"/>
              <w:rPr>
                <w:rFonts w:ascii="宋体" w:hAnsi="宋体" w:eastAsia="宋体" w:cs="宋体"/>
                <w:color w:val="auto"/>
                <w:highlight w:val="none"/>
                <w:lang w:eastAsia="zh-CN"/>
              </w:rPr>
            </w:pPr>
            <w:r>
              <w:rPr>
                <w:rFonts w:hint="eastAsia" w:ascii="宋体" w:hAnsi="宋体" w:eastAsia="宋体" w:cs="宋体"/>
                <w:color w:val="auto"/>
                <w:highlight w:val="none"/>
                <w:lang w:eastAsia="zh-CN"/>
              </w:rPr>
              <w:t>（4）密封情况检查：</w:t>
            </w:r>
            <w:r>
              <w:rPr>
                <w:rFonts w:hint="eastAsia" w:ascii="宋体" w:hAnsi="宋体" w:eastAsia="宋体" w:cs="宋体"/>
                <w:color w:val="auto"/>
                <w:highlight w:val="none"/>
                <w:u w:val="single"/>
                <w:lang w:eastAsia="zh-CN"/>
              </w:rPr>
              <w:t>本项目采用全流程电子投标，不需检查密封情况。</w:t>
            </w:r>
          </w:p>
          <w:p w14:paraId="52323805">
            <w:pPr>
              <w:kinsoku/>
              <w:spacing w:before="124" w:line="276" w:lineRule="auto"/>
              <w:ind w:left="119"/>
              <w:rPr>
                <w:rFonts w:ascii="宋体" w:hAnsi="宋体" w:eastAsia="宋体" w:cs="宋体"/>
                <w:color w:val="auto"/>
                <w:highlight w:val="none"/>
                <w:u w:val="single"/>
                <w:lang w:eastAsia="zh-CN"/>
              </w:rPr>
            </w:pPr>
            <w:r>
              <w:rPr>
                <w:rFonts w:hint="eastAsia" w:ascii="宋体" w:hAnsi="宋体" w:eastAsia="宋体" w:cs="宋体"/>
                <w:color w:val="auto"/>
                <w:highlight w:val="none"/>
                <w:lang w:eastAsia="zh-CN"/>
              </w:rPr>
              <w:t>（5）开标顺序：</w:t>
            </w:r>
            <w:r>
              <w:rPr>
                <w:rFonts w:hint="eastAsia" w:ascii="宋体" w:hAnsi="宋体" w:eastAsia="宋体" w:cs="宋体"/>
                <w:color w:val="auto"/>
                <w:highlight w:val="none"/>
                <w:u w:val="single"/>
                <w:lang w:eastAsia="zh-CN"/>
              </w:rPr>
              <w:t>对投标截止时间前上传的电子投标文件随机开标，先对投标文件第一信封（商务及技术文件）进行开标。</w:t>
            </w:r>
          </w:p>
        </w:tc>
      </w:tr>
      <w:tr w14:paraId="27F77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88C3C2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5.2.3</w:t>
            </w:r>
          </w:p>
        </w:tc>
        <w:tc>
          <w:tcPr>
            <w:tcW w:w="2879" w:type="dxa"/>
            <w:vAlign w:val="center"/>
          </w:tcPr>
          <w:p w14:paraId="5C8C5E16">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第二个信封（报价文件）开标 程序</w:t>
            </w:r>
          </w:p>
        </w:tc>
        <w:tc>
          <w:tcPr>
            <w:tcW w:w="4891" w:type="dxa"/>
          </w:tcPr>
          <w:p w14:paraId="76B416D4">
            <w:pPr>
              <w:spacing w:line="276" w:lineRule="auto"/>
              <w:ind w:left="59" w:leftChars="28"/>
              <w:rPr>
                <w:rFonts w:ascii="宋体" w:hAnsi="宋体" w:eastAsia="宋体" w:cs="宋体"/>
                <w:color w:val="auto"/>
                <w:highlight w:val="none"/>
                <w:u w:val="single"/>
                <w:lang w:eastAsia="zh-CN"/>
              </w:rPr>
            </w:pPr>
            <w:r>
              <w:rPr>
                <w:rFonts w:hint="eastAsia" w:ascii="宋体" w:hAnsi="宋体" w:eastAsia="宋体" w:cs="宋体"/>
                <w:color w:val="auto"/>
                <w:highlight w:val="none"/>
                <w:lang w:eastAsia="zh-CN"/>
              </w:rPr>
              <w:t>（4）密封情况检查：</w:t>
            </w:r>
            <w:r>
              <w:rPr>
                <w:rFonts w:hint="eastAsia" w:ascii="宋体" w:hAnsi="宋体" w:eastAsia="宋体" w:cs="宋体"/>
                <w:color w:val="auto"/>
                <w:highlight w:val="none"/>
                <w:u w:val="single"/>
                <w:lang w:eastAsia="zh-CN"/>
              </w:rPr>
              <w:t>本项目采用全流程电子投标，不需检查密封情况。</w:t>
            </w:r>
          </w:p>
          <w:p w14:paraId="626A7E11">
            <w:pPr>
              <w:kinsoku/>
              <w:spacing w:before="108" w:line="276" w:lineRule="auto"/>
              <w:ind w:left="59" w:leftChars="28"/>
              <w:rPr>
                <w:rFonts w:ascii="宋体" w:hAnsi="宋体" w:eastAsia="宋体" w:cs="宋体"/>
                <w:color w:val="auto"/>
                <w:highlight w:val="none"/>
                <w:lang w:eastAsia="zh-CN"/>
              </w:rPr>
            </w:pPr>
            <w:r>
              <w:rPr>
                <w:rFonts w:hint="eastAsia" w:ascii="宋体" w:hAnsi="宋体" w:eastAsia="宋体" w:cs="宋体"/>
                <w:color w:val="auto"/>
                <w:highlight w:val="none"/>
                <w:lang w:eastAsia="zh-CN"/>
              </w:rPr>
              <w:t>（5）开标顺序：</w:t>
            </w:r>
            <w:r>
              <w:rPr>
                <w:rFonts w:hint="eastAsia" w:ascii="宋体" w:hAnsi="宋体" w:eastAsia="宋体" w:cs="宋体"/>
                <w:color w:val="auto"/>
                <w:highlight w:val="none"/>
                <w:u w:val="single"/>
                <w:lang w:eastAsia="zh-CN"/>
              </w:rPr>
              <w:t>对通过了投标文件第一信封（商务及技术文件）评审（是指第一信封（商务及技术文件）通过了评标办法规定的资格审查和初步评审，未出现废标情况）的投标人的电子投标文件第二信封（报价文件）进行随机开标。</w:t>
            </w:r>
          </w:p>
        </w:tc>
      </w:tr>
      <w:tr w14:paraId="0F9A8E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BF03123">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6.1.1</w:t>
            </w:r>
          </w:p>
        </w:tc>
        <w:tc>
          <w:tcPr>
            <w:tcW w:w="2879" w:type="dxa"/>
            <w:vAlign w:val="center"/>
          </w:tcPr>
          <w:p w14:paraId="0C66CBC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评标委员会的组建</w:t>
            </w:r>
          </w:p>
        </w:tc>
        <w:tc>
          <w:tcPr>
            <w:tcW w:w="4891" w:type="dxa"/>
          </w:tcPr>
          <w:p w14:paraId="035182B3">
            <w:pPr>
              <w:spacing w:line="276" w:lineRule="auto"/>
              <w:ind w:left="120" w:leftChars="57"/>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评标委员会构成：</w:t>
            </w:r>
            <w:r>
              <w:rPr>
                <w:rFonts w:hint="eastAsia" w:ascii="宋体" w:hAnsi="宋体" w:eastAsia="宋体" w:cs="宋体"/>
                <w:color w:val="auto"/>
                <w:highlight w:val="none"/>
                <w:u w:val="single"/>
                <w:lang w:eastAsia="zh-CN"/>
              </w:rPr>
              <w:t xml:space="preserve"> 9 </w:t>
            </w:r>
            <w:r>
              <w:rPr>
                <w:rFonts w:hint="eastAsia" w:ascii="宋体" w:hAnsi="宋体" w:eastAsia="宋体" w:cs="宋体"/>
                <w:color w:val="auto"/>
                <w:highlight w:val="none"/>
                <w:lang w:eastAsia="zh-CN"/>
              </w:rPr>
              <w:t>人，其中招标人代表</w:t>
            </w:r>
            <w:r>
              <w:rPr>
                <w:rFonts w:hint="eastAsia" w:ascii="宋体" w:hAnsi="宋体" w:eastAsia="宋体" w:cs="宋体"/>
                <w:color w:val="auto"/>
                <w:highlight w:val="none"/>
                <w:u w:val="single"/>
                <w:lang w:eastAsia="zh-CN"/>
              </w:rPr>
              <w:t xml:space="preserve"> 3 </w:t>
            </w:r>
            <w:r>
              <w:rPr>
                <w:rFonts w:hint="eastAsia" w:ascii="宋体" w:hAnsi="宋体" w:eastAsia="宋体" w:cs="宋体"/>
                <w:color w:val="auto"/>
                <w:highlight w:val="none"/>
                <w:lang w:eastAsia="zh-CN"/>
              </w:rPr>
              <w:t>人，专家</w:t>
            </w:r>
            <w:r>
              <w:rPr>
                <w:rFonts w:hint="eastAsia" w:ascii="宋体" w:hAnsi="宋体" w:eastAsia="宋体" w:cs="宋体"/>
                <w:color w:val="auto"/>
                <w:highlight w:val="none"/>
                <w:u w:val="single"/>
                <w:lang w:eastAsia="zh-CN"/>
              </w:rPr>
              <w:t xml:space="preserve"> 6 </w:t>
            </w:r>
            <w:r>
              <w:rPr>
                <w:rFonts w:hint="eastAsia" w:ascii="宋体" w:hAnsi="宋体" w:eastAsia="宋体" w:cs="宋体"/>
                <w:color w:val="auto"/>
                <w:highlight w:val="none"/>
                <w:lang w:eastAsia="zh-CN"/>
              </w:rPr>
              <w:t>人。</w:t>
            </w:r>
          </w:p>
          <w:p w14:paraId="17D33506">
            <w:pPr>
              <w:kinsoku/>
              <w:spacing w:before="29" w:line="276" w:lineRule="auto"/>
              <w:ind w:left="120" w:leftChars="57" w:right="105"/>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评标专家确定方式：依法从广东省综合评标评审专家库中随机抽取。</w:t>
            </w:r>
          </w:p>
        </w:tc>
      </w:tr>
      <w:tr w14:paraId="4B199F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B7BA7C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6.3.2</w:t>
            </w:r>
          </w:p>
        </w:tc>
        <w:tc>
          <w:tcPr>
            <w:tcW w:w="2879" w:type="dxa"/>
            <w:vAlign w:val="center"/>
          </w:tcPr>
          <w:p w14:paraId="19097E0F">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评标委员会推荐中标候选人的人数</w:t>
            </w:r>
          </w:p>
        </w:tc>
        <w:tc>
          <w:tcPr>
            <w:tcW w:w="4891" w:type="dxa"/>
            <w:vAlign w:val="center"/>
          </w:tcPr>
          <w:p w14:paraId="7E20CD00">
            <w:pPr>
              <w:kinsoku/>
              <w:spacing w:line="276" w:lineRule="auto"/>
              <w:ind w:left="218" w:leftChars="104"/>
              <w:jc w:val="both"/>
              <w:rPr>
                <w:rFonts w:ascii="宋体" w:hAnsi="宋体" w:eastAsia="宋体" w:cs="宋体"/>
                <w:color w:val="auto"/>
                <w:highlight w:val="none"/>
              </w:rPr>
            </w:pPr>
            <w:r>
              <w:rPr>
                <w:rFonts w:hint="eastAsia" w:ascii="宋体" w:hAnsi="宋体" w:eastAsia="宋体" w:cs="宋体"/>
                <w:color w:val="auto"/>
                <w:highlight w:val="none"/>
              </w:rPr>
              <w:t>3名</w:t>
            </w:r>
          </w:p>
        </w:tc>
      </w:tr>
      <w:tr w14:paraId="2DB054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08916A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7.1</w:t>
            </w:r>
          </w:p>
        </w:tc>
        <w:tc>
          <w:tcPr>
            <w:tcW w:w="2879" w:type="dxa"/>
            <w:vAlign w:val="center"/>
          </w:tcPr>
          <w:p w14:paraId="322508E2">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中标候选人公示媒介及期限</w:t>
            </w:r>
          </w:p>
        </w:tc>
        <w:tc>
          <w:tcPr>
            <w:tcW w:w="4891" w:type="dxa"/>
          </w:tcPr>
          <w:p w14:paraId="5EA80C66">
            <w:pPr>
              <w:kinsoku/>
              <w:spacing w:before="128" w:line="276" w:lineRule="auto"/>
              <w:ind w:left="120"/>
              <w:rPr>
                <w:rFonts w:ascii="宋体" w:hAnsi="宋体" w:eastAsia="宋体" w:cs="宋体"/>
                <w:color w:val="auto"/>
                <w:highlight w:val="none"/>
                <w:lang w:eastAsia="zh-CN"/>
              </w:rPr>
            </w:pPr>
            <w:r>
              <w:rPr>
                <w:rFonts w:hint="eastAsia" w:ascii="宋体" w:hAnsi="宋体" w:eastAsia="宋体" w:cs="宋体"/>
                <w:color w:val="auto"/>
                <w:highlight w:val="none"/>
                <w:lang w:eastAsia="zh-CN"/>
              </w:rPr>
              <w:t>公示媒介：</w:t>
            </w:r>
            <w:r>
              <w:rPr>
                <w:rFonts w:hint="eastAsia" w:ascii="宋体" w:hAnsi="宋体" w:eastAsia="宋体" w:cs="宋体"/>
                <w:color w:val="auto"/>
                <w:highlight w:val="none"/>
                <w:u w:val="single"/>
                <w:lang w:eastAsia="zh-CN"/>
              </w:rPr>
              <w:t>广东省招标投标监管网、全国公共资源交易平台（广东省·韶关市）</w:t>
            </w:r>
          </w:p>
          <w:p w14:paraId="7BCA45D1">
            <w:pPr>
              <w:kinsoku/>
              <w:spacing w:before="110" w:line="276" w:lineRule="auto"/>
              <w:ind w:left="120" w:right="2572"/>
              <w:rPr>
                <w:rFonts w:ascii="宋体" w:hAnsi="宋体" w:eastAsia="宋体" w:cs="宋体"/>
                <w:color w:val="auto"/>
                <w:highlight w:val="none"/>
                <w:lang w:eastAsia="zh-CN"/>
              </w:rPr>
            </w:pPr>
            <w:r>
              <w:rPr>
                <w:rFonts w:hint="eastAsia" w:ascii="宋体" w:hAnsi="宋体" w:eastAsia="宋体" w:cs="宋体"/>
                <w:color w:val="auto"/>
                <w:highlight w:val="none"/>
                <w:lang w:eastAsia="zh-CN"/>
              </w:rPr>
              <w:t>公示期限：3个工作日</w:t>
            </w:r>
          </w:p>
          <w:p w14:paraId="00A529B4">
            <w:pPr>
              <w:kinsoku/>
              <w:spacing w:before="110" w:line="276" w:lineRule="auto"/>
              <w:ind w:left="120" w:right="47"/>
              <w:rPr>
                <w:rFonts w:ascii="宋体" w:hAnsi="宋体" w:eastAsia="宋体" w:cs="宋体"/>
                <w:color w:val="auto"/>
                <w:highlight w:val="none"/>
                <w:lang w:eastAsia="zh-CN"/>
              </w:rPr>
            </w:pPr>
            <w:r>
              <w:rPr>
                <w:rFonts w:hint="eastAsia" w:ascii="宋体" w:hAnsi="宋体" w:eastAsia="宋体" w:cs="宋体"/>
                <w:color w:val="auto"/>
                <w:highlight w:val="none"/>
                <w:lang w:eastAsia="zh-CN"/>
              </w:rPr>
              <w:t>公示的其他内容：</w:t>
            </w:r>
            <w:r>
              <w:rPr>
                <w:rFonts w:hint="eastAsia" w:ascii="宋体" w:hAnsi="宋体" w:eastAsia="宋体" w:cs="宋体"/>
                <w:color w:val="auto"/>
                <w:highlight w:val="none"/>
                <w:u w:val="single"/>
                <w:lang w:eastAsia="zh-CN"/>
              </w:rPr>
              <w:t>最新年度AA、A级投标人的信用等级使用情况及所有承诺使用最新年度AA、A级投标人的年度信用等级使用情况。</w:t>
            </w:r>
          </w:p>
        </w:tc>
      </w:tr>
      <w:tr w14:paraId="061AAE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58DF53E">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7.4</w:t>
            </w:r>
          </w:p>
        </w:tc>
        <w:tc>
          <w:tcPr>
            <w:tcW w:w="2879" w:type="dxa"/>
            <w:vAlign w:val="center"/>
          </w:tcPr>
          <w:p w14:paraId="67F487BA">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是否授权评标委员会确定中标人</w:t>
            </w:r>
          </w:p>
        </w:tc>
        <w:tc>
          <w:tcPr>
            <w:tcW w:w="4891" w:type="dxa"/>
          </w:tcPr>
          <w:p w14:paraId="54917199">
            <w:pPr>
              <w:kinsoku/>
              <w:spacing w:before="83" w:line="276" w:lineRule="auto"/>
              <w:ind w:left="127"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是</w:t>
            </w:r>
          </w:p>
          <w:p w14:paraId="32445E4E">
            <w:pPr>
              <w:kinsoku/>
              <w:spacing w:before="83" w:line="276" w:lineRule="auto"/>
              <w:ind w:left="127" w:right="47"/>
              <w:rPr>
                <w:rFonts w:ascii="宋体" w:hAnsi="宋体" w:eastAsia="宋体" w:cs="宋体"/>
                <w:color w:val="auto"/>
                <w:highlight w:val="none"/>
              </w:rPr>
            </w:pP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否</w:t>
            </w:r>
          </w:p>
        </w:tc>
      </w:tr>
      <w:tr w14:paraId="1FA0C2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F508A04">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7.5</w:t>
            </w:r>
          </w:p>
        </w:tc>
        <w:tc>
          <w:tcPr>
            <w:tcW w:w="2879" w:type="dxa"/>
            <w:vAlign w:val="center"/>
          </w:tcPr>
          <w:p w14:paraId="4A0AAF70">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中标通知书和中标结果通知发出的形式</w:t>
            </w:r>
          </w:p>
        </w:tc>
        <w:tc>
          <w:tcPr>
            <w:tcW w:w="4891" w:type="dxa"/>
            <w:vAlign w:val="center"/>
          </w:tcPr>
          <w:p w14:paraId="0E9F2571">
            <w:pPr>
              <w:kinsoku/>
              <w:spacing w:line="276" w:lineRule="auto"/>
              <w:ind w:left="59" w:leftChars="28"/>
              <w:jc w:val="both"/>
              <w:rPr>
                <w:rFonts w:ascii="宋体" w:hAnsi="宋体" w:eastAsia="宋体" w:cs="宋体"/>
                <w:color w:val="auto"/>
                <w:highlight w:val="none"/>
              </w:rPr>
            </w:pPr>
            <w:r>
              <w:rPr>
                <w:rFonts w:hint="eastAsia" w:ascii="宋体" w:hAnsi="宋体" w:eastAsia="宋体" w:cs="宋体"/>
                <w:color w:val="auto"/>
                <w:highlight w:val="none"/>
              </w:rPr>
              <w:t>书面形式</w:t>
            </w:r>
          </w:p>
        </w:tc>
      </w:tr>
      <w:tr w14:paraId="03283C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9CBE78B">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7.6</w:t>
            </w:r>
          </w:p>
        </w:tc>
        <w:tc>
          <w:tcPr>
            <w:tcW w:w="2879" w:type="dxa"/>
            <w:vAlign w:val="center"/>
          </w:tcPr>
          <w:p w14:paraId="74D8C396">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中标结果公告媒介</w:t>
            </w:r>
          </w:p>
        </w:tc>
        <w:tc>
          <w:tcPr>
            <w:tcW w:w="4891" w:type="dxa"/>
          </w:tcPr>
          <w:p w14:paraId="35EDE155">
            <w:pPr>
              <w:kinsoku/>
              <w:wordWrap w:val="0"/>
              <w:spacing w:line="276" w:lineRule="auto"/>
              <w:ind w:left="80" w:leftChars="38"/>
              <w:rPr>
                <w:rFonts w:ascii="宋体" w:hAnsi="宋体" w:eastAsia="宋体" w:cs="宋体"/>
                <w:color w:val="auto"/>
                <w:highlight w:val="none"/>
                <w:lang w:eastAsia="zh-CN"/>
              </w:rPr>
            </w:pPr>
            <w:r>
              <w:rPr>
                <w:rFonts w:hint="eastAsia" w:ascii="宋体" w:hAnsi="宋体" w:eastAsia="宋体" w:cs="宋体"/>
                <w:color w:val="auto"/>
                <w:highlight w:val="none"/>
                <w:lang w:eastAsia="zh-CN"/>
              </w:rPr>
              <w:t>公示媒介：</w:t>
            </w:r>
            <w:r>
              <w:rPr>
                <w:rFonts w:hint="eastAsia" w:ascii="宋体" w:hAnsi="宋体" w:eastAsia="宋体" w:cs="宋体"/>
                <w:color w:val="auto"/>
                <w:highlight w:val="none"/>
                <w:u w:val="single"/>
                <w:lang w:eastAsia="zh-CN"/>
              </w:rPr>
              <w:t>广东省招标投标监管网、全国公共资源交易平台（广东省·韶关市）</w:t>
            </w:r>
          </w:p>
        </w:tc>
      </w:tr>
      <w:tr w14:paraId="7CCC4B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B2B0323">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7.7</w:t>
            </w:r>
          </w:p>
        </w:tc>
        <w:tc>
          <w:tcPr>
            <w:tcW w:w="2879" w:type="dxa"/>
            <w:vAlign w:val="center"/>
          </w:tcPr>
          <w:p w14:paraId="7B36860C">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技术成果经济补偿</w:t>
            </w:r>
          </w:p>
        </w:tc>
        <w:tc>
          <w:tcPr>
            <w:tcW w:w="4891" w:type="dxa"/>
          </w:tcPr>
          <w:p w14:paraId="06347115">
            <w:pPr>
              <w:kinsoku/>
              <w:spacing w:before="88"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☑不补偿</w:t>
            </w:r>
          </w:p>
          <w:p w14:paraId="666B04AD">
            <w:pPr>
              <w:kinsoku/>
              <w:spacing w:before="7"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□补偿，补偿标准：</w:t>
            </w:r>
          </w:p>
        </w:tc>
      </w:tr>
      <w:tr w14:paraId="29BAF3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0A17E50">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7.8.1</w:t>
            </w:r>
          </w:p>
        </w:tc>
        <w:tc>
          <w:tcPr>
            <w:tcW w:w="2879" w:type="dxa"/>
            <w:vAlign w:val="center"/>
          </w:tcPr>
          <w:p w14:paraId="0A032427">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履约保证金</w:t>
            </w:r>
          </w:p>
        </w:tc>
        <w:tc>
          <w:tcPr>
            <w:tcW w:w="4891" w:type="dxa"/>
            <w:vAlign w:val="center"/>
          </w:tcPr>
          <w:p w14:paraId="5CB6E53B">
            <w:pPr>
              <w:kinsoku/>
              <w:spacing w:line="276" w:lineRule="auto"/>
              <w:ind w:left="116"/>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是否要求中标人提交履约保证金：</w:t>
            </w:r>
          </w:p>
          <w:p w14:paraId="4A22EE3B">
            <w:pPr>
              <w:kinsoku/>
              <w:spacing w:line="276" w:lineRule="auto"/>
              <w:ind w:left="115" w:right="116" w:firstLine="12"/>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☑要求，履约保证金形式：由投标人自主选择采用现金（或支票）、或银行保函，根据《关于统一在市公共资源交易一体化服务平台缴退工程建设项目履约保证金的通知》办理相关手续。</w:t>
            </w:r>
          </w:p>
          <w:p w14:paraId="4F3F8FC1">
            <w:pPr>
              <w:kinsoku/>
              <w:spacing w:line="276" w:lineRule="auto"/>
              <w:ind w:left="115" w:right="116" w:firstLine="12"/>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履约担保的金额：10％签约合同价</w:t>
            </w:r>
          </w:p>
          <w:p w14:paraId="6EE83925">
            <w:pPr>
              <w:kinsoku/>
              <w:spacing w:line="276" w:lineRule="auto"/>
              <w:ind w:left="115" w:right="116" w:firstLine="12"/>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采用银行保函时，出具保函的银行级别:投标人公司注册所在地的全国性国有商业银行或股份制商业银行的分支机构。</w:t>
            </w:r>
          </w:p>
          <w:p w14:paraId="3694187E">
            <w:pPr>
              <w:kinsoku/>
              <w:spacing w:line="276" w:lineRule="auto"/>
              <w:ind w:left="115" w:right="116" w:firstLine="12"/>
              <w:jc w:val="both"/>
              <w:rPr>
                <w:rFonts w:ascii="宋体" w:hAnsi="宋体" w:eastAsia="宋体" w:cs="宋体"/>
                <w:color w:val="auto"/>
                <w:highlight w:val="none"/>
              </w:rPr>
            </w:pPr>
            <w:r>
              <w:rPr>
                <w:rFonts w:hint="eastAsia" w:ascii="宋体" w:hAnsi="宋体" w:eastAsia="宋体" w:cs="宋体"/>
                <w:color w:val="auto"/>
                <w:highlight w:val="none"/>
              </w:rPr>
              <w:t>□不要求</w:t>
            </w:r>
          </w:p>
        </w:tc>
      </w:tr>
      <w:tr w14:paraId="12C8D7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45FD38F">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8.5.1</w:t>
            </w:r>
          </w:p>
        </w:tc>
        <w:tc>
          <w:tcPr>
            <w:tcW w:w="2879" w:type="dxa"/>
            <w:vAlign w:val="center"/>
          </w:tcPr>
          <w:p w14:paraId="07D75DFA">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监督部门</w:t>
            </w:r>
          </w:p>
        </w:tc>
        <w:tc>
          <w:tcPr>
            <w:tcW w:w="4891" w:type="dxa"/>
          </w:tcPr>
          <w:p w14:paraId="6593A3A5">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监督部门：韶关市交通运输局</w:t>
            </w:r>
          </w:p>
          <w:p w14:paraId="59A7D32D">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地  址：广东省韶关市浈江区执信路1号</w:t>
            </w:r>
          </w:p>
          <w:p w14:paraId="2FF3B6F1">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电  话：0751-8877330</w:t>
            </w:r>
          </w:p>
          <w:p w14:paraId="45336028">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邮政编码：512000</w:t>
            </w:r>
          </w:p>
          <w:p w14:paraId="6525AD53">
            <w:pPr>
              <w:rPr>
                <w:color w:val="auto"/>
                <w:highlight w:val="none"/>
                <w:lang w:eastAsia="zh-CN"/>
              </w:rPr>
            </w:pPr>
          </w:p>
          <w:p w14:paraId="6C830040">
            <w:pPr>
              <w:spacing w:line="276" w:lineRule="auto"/>
              <w:ind w:firstLine="105" w:firstLineChars="50"/>
              <w:rPr>
                <w:rFonts w:ascii="宋体" w:hAnsi="宋体" w:eastAsia="宋体" w:cs="宋体"/>
                <w:color w:val="auto"/>
                <w:highlight w:val="none"/>
                <w:lang w:eastAsia="zh-CN"/>
              </w:rPr>
            </w:pPr>
            <w:r>
              <w:rPr>
                <w:rFonts w:hint="eastAsia" w:ascii="宋体" w:hAnsi="宋体" w:cs="宋体"/>
                <w:color w:val="auto"/>
                <w:highlight w:val="none"/>
                <w:lang w:eastAsia="zh-CN"/>
              </w:rPr>
              <w:t>上级主管单位</w:t>
            </w:r>
            <w:r>
              <w:rPr>
                <w:rFonts w:hint="eastAsia" w:ascii="宋体" w:hAnsi="宋体" w:eastAsia="宋体" w:cs="宋体"/>
                <w:color w:val="auto"/>
                <w:highlight w:val="none"/>
                <w:lang w:eastAsia="zh-CN"/>
              </w:rPr>
              <w:t>：韶关市交通运输局</w:t>
            </w:r>
          </w:p>
          <w:p w14:paraId="553701A7">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地  址：广东省韶关市浈江区执信路1号</w:t>
            </w:r>
          </w:p>
          <w:p w14:paraId="49C23432">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电  话：0751-8877330</w:t>
            </w:r>
          </w:p>
          <w:p w14:paraId="172A6A2D">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邮政编码：512000</w:t>
            </w:r>
          </w:p>
          <w:p w14:paraId="7B70A067">
            <w:pPr>
              <w:rPr>
                <w:color w:val="auto"/>
                <w:highlight w:val="none"/>
                <w:lang w:eastAsia="zh-CN"/>
              </w:rPr>
            </w:pPr>
          </w:p>
          <w:p w14:paraId="719211F6">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lang w:eastAsia="zh-CN"/>
              </w:rPr>
              <w:t>项目管理单位：韶关市粤丹工程管理有限公司</w:t>
            </w:r>
          </w:p>
          <w:p w14:paraId="0613FEB0">
            <w:pPr>
              <w:spacing w:line="276" w:lineRule="auto"/>
              <w:ind w:left="120" w:leftChars="57"/>
              <w:rPr>
                <w:rFonts w:ascii="宋体" w:hAnsi="宋体" w:eastAsia="宋体" w:cs="宋体"/>
                <w:color w:val="auto"/>
                <w:highlight w:val="none"/>
                <w:lang w:eastAsia="zh-CN"/>
              </w:rPr>
            </w:pPr>
            <w:r>
              <w:rPr>
                <w:rFonts w:hint="eastAsia" w:ascii="宋体" w:hAnsi="宋体" w:eastAsia="宋体" w:cs="宋体"/>
                <w:color w:val="auto"/>
                <w:highlight w:val="none"/>
                <w:lang w:eastAsia="zh-CN"/>
              </w:rPr>
              <w:t>地  址：韶关市浈江区黄金村大桥东南侧韶关国际会展中心B馆二层206室</w:t>
            </w:r>
          </w:p>
          <w:p w14:paraId="3176081B">
            <w:pPr>
              <w:spacing w:line="276" w:lineRule="auto"/>
              <w:ind w:firstLine="105" w:firstLineChars="50"/>
              <w:rPr>
                <w:rFonts w:ascii="宋体" w:hAnsi="宋体" w:eastAsia="宋体" w:cs="宋体"/>
                <w:color w:val="auto"/>
                <w:highlight w:val="none"/>
                <w:lang w:eastAsia="zh-CN"/>
              </w:rPr>
            </w:pPr>
            <w:r>
              <w:rPr>
                <w:rFonts w:hint="eastAsia" w:ascii="宋体" w:hAnsi="宋体" w:eastAsia="宋体" w:cs="宋体"/>
                <w:color w:val="auto"/>
                <w:highlight w:val="none"/>
              </w:rPr>
              <w:t>电  话：15875125031</w:t>
            </w:r>
          </w:p>
          <w:p w14:paraId="100D29B8">
            <w:pPr>
              <w:spacing w:line="276" w:lineRule="auto"/>
              <w:ind w:firstLine="105" w:firstLineChars="50"/>
              <w:rPr>
                <w:color w:val="auto"/>
                <w:highlight w:val="none"/>
                <w:lang w:eastAsia="zh-CN"/>
              </w:rPr>
            </w:pPr>
            <w:r>
              <w:rPr>
                <w:rFonts w:hint="eastAsia" w:ascii="宋体" w:hAnsi="宋体" w:eastAsia="宋体" w:cs="宋体"/>
                <w:color w:val="auto"/>
                <w:highlight w:val="none"/>
              </w:rPr>
              <w:t>邮政编码：</w:t>
            </w:r>
            <w:r>
              <w:rPr>
                <w:rFonts w:hint="eastAsia" w:ascii="宋体" w:hAnsi="宋体" w:eastAsia="宋体" w:cs="宋体"/>
                <w:color w:val="auto"/>
                <w:highlight w:val="none"/>
                <w:lang w:eastAsia="zh-CN"/>
              </w:rPr>
              <w:t>512000</w:t>
            </w:r>
          </w:p>
        </w:tc>
      </w:tr>
      <w:tr w14:paraId="3AEF7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1B2AEA8">
            <w:pPr>
              <w:kinsoku/>
              <w:spacing w:before="61" w:line="276" w:lineRule="auto"/>
              <w:jc w:val="center"/>
              <w:rPr>
                <w:rFonts w:ascii="宋体" w:hAnsi="宋体" w:eastAsia="宋体" w:cs="宋体"/>
                <w:color w:val="auto"/>
                <w:highlight w:val="none"/>
              </w:rPr>
            </w:pPr>
            <w:r>
              <w:rPr>
                <w:rFonts w:hint="eastAsia" w:ascii="宋体" w:hAnsi="宋体" w:eastAsia="宋体" w:cs="宋体"/>
                <w:color w:val="auto"/>
                <w:highlight w:val="none"/>
              </w:rPr>
              <w:t>9</w:t>
            </w:r>
          </w:p>
        </w:tc>
        <w:tc>
          <w:tcPr>
            <w:tcW w:w="2879" w:type="dxa"/>
            <w:vAlign w:val="center"/>
          </w:tcPr>
          <w:p w14:paraId="71AC7886">
            <w:pPr>
              <w:kinsoku/>
              <w:spacing w:before="61" w:line="276"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是否采用电子招标投标</w:t>
            </w:r>
          </w:p>
        </w:tc>
        <w:tc>
          <w:tcPr>
            <w:tcW w:w="4891" w:type="dxa"/>
          </w:tcPr>
          <w:p w14:paraId="3A124123">
            <w:pPr>
              <w:kinsoku/>
              <w:spacing w:before="71"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□否</w:t>
            </w:r>
          </w:p>
          <w:p w14:paraId="57E9A2A8">
            <w:pPr>
              <w:kinsoku/>
              <w:spacing w:before="7" w:line="276" w:lineRule="auto"/>
              <w:ind w:left="127"/>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☑是，具体要求：</w:t>
            </w:r>
          </w:p>
          <w:p w14:paraId="19989062">
            <w:pPr>
              <w:kinsoku/>
              <w:spacing w:before="7" w:line="276" w:lineRule="auto"/>
              <w:ind w:left="127" w:firstLine="422" w:firstLineChars="200"/>
              <w:rPr>
                <w:rFonts w:ascii="宋体" w:hAnsi="宋体" w:eastAsia="宋体" w:cs="宋体"/>
                <w:color w:val="auto"/>
                <w:highlight w:val="none"/>
                <w:lang w:eastAsia="zh-CN"/>
              </w:rPr>
            </w:pPr>
            <w:r>
              <w:rPr>
                <w:rFonts w:hint="eastAsia" w:ascii="宋体" w:hAnsi="宋体" w:eastAsia="宋体" w:cs="宋体"/>
                <w:b/>
                <w:bCs/>
                <w:color w:val="auto"/>
                <w:highlight w:val="none"/>
                <w:u w:val="single"/>
                <w:lang w:eastAsia="zh-CN"/>
              </w:rPr>
              <w:t>投标人必须在规定的截止时间前使用建设工程交易平台完成电子投标(包括缴纳投标保证金)。</w:t>
            </w:r>
          </w:p>
        </w:tc>
      </w:tr>
      <w:tr w14:paraId="14F895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782" w:type="dxa"/>
            <w:gridSpan w:val="3"/>
          </w:tcPr>
          <w:p w14:paraId="28BFFBE1">
            <w:pPr>
              <w:kinsoku/>
              <w:spacing w:before="121" w:line="276" w:lineRule="auto"/>
              <w:ind w:left="127"/>
              <w:rPr>
                <w:rFonts w:ascii="宋体" w:hAnsi="宋体" w:eastAsia="宋体" w:cs="宋体"/>
                <w:color w:val="auto"/>
                <w:highlight w:val="none"/>
              </w:rPr>
            </w:pPr>
            <w:r>
              <w:rPr>
                <w:rFonts w:hint="eastAsia" w:ascii="宋体" w:hAnsi="宋体" w:eastAsia="宋体" w:cs="宋体"/>
                <w:b/>
                <w:bCs/>
                <w:color w:val="auto"/>
                <w:highlight w:val="none"/>
              </w:rPr>
              <w:t>需要补充的其他内容</w:t>
            </w:r>
          </w:p>
        </w:tc>
      </w:tr>
      <w:tr w14:paraId="226D26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676267B">
            <w:pPr>
              <w:spacing w:line="276" w:lineRule="auto"/>
              <w:jc w:val="center"/>
              <w:rPr>
                <w:rFonts w:ascii="宋体" w:hAnsi="宋体" w:eastAsia="宋体" w:cs="宋体"/>
                <w:color w:val="auto"/>
                <w:highlight w:val="none"/>
              </w:rPr>
            </w:pPr>
            <w:r>
              <w:rPr>
                <w:rFonts w:hint="eastAsia" w:ascii="宋体" w:hAnsi="宋体" w:eastAsia="宋体" w:cs="宋体"/>
                <w:b/>
                <w:color w:val="auto"/>
                <w:highlight w:val="none"/>
              </w:rPr>
              <w:t>1.4.4</w:t>
            </w:r>
          </w:p>
        </w:tc>
        <w:tc>
          <w:tcPr>
            <w:tcW w:w="7770" w:type="dxa"/>
            <w:gridSpan w:val="2"/>
            <w:vAlign w:val="center"/>
          </w:tcPr>
          <w:p w14:paraId="2137EC28">
            <w:pPr>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投标人须知正文</w:t>
            </w:r>
          </w:p>
          <w:p w14:paraId="6CA1F586">
            <w:pPr>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第1.4.4项中（1）目中的“招标项目所在地”指“广东省”。</w:t>
            </w:r>
          </w:p>
          <w:p w14:paraId="532F68CF">
            <w:pPr>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第1.4.4项中（5）目内容修改如下：</w:t>
            </w:r>
          </w:p>
          <w:p w14:paraId="7E3F4832">
            <w:pPr>
              <w:wordWrap w:val="0"/>
              <w:topLinePunct/>
              <w:spacing w:line="276" w:lineRule="auto"/>
              <w:rPr>
                <w:rFonts w:ascii="宋体" w:hAnsi="宋体" w:eastAsia="宋体" w:cs="宋体"/>
                <w:color w:val="auto"/>
                <w:highlight w:val="none"/>
              </w:rPr>
            </w:pPr>
            <w:r>
              <w:rPr>
                <w:rFonts w:hint="eastAsia" w:ascii="宋体" w:hAnsi="宋体" w:eastAsia="宋体" w:cs="宋体"/>
                <w:color w:val="auto"/>
                <w:highlight w:val="none"/>
              </w:rPr>
              <w:t>（5）修改为：在“信用中国”网站（https://www.creditchina.gov.cn/）中被列入失信被执行人名单的投标人；</w:t>
            </w:r>
          </w:p>
          <w:p w14:paraId="3A51BA76">
            <w:pPr>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第1.4.4项中（6）目内容修改如下：</w:t>
            </w:r>
          </w:p>
          <w:p w14:paraId="096E2D3C">
            <w:pPr>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根据韶关市发展和改革局《关于在我市公共资源交易活动中暂停使用行贿犯罪档案的通知》(韶发改公资[2018]8号)的规定，本次招标无需提供行贿犯罪档查询结果证明。</w:t>
            </w:r>
          </w:p>
        </w:tc>
      </w:tr>
      <w:tr w14:paraId="410DF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B980446">
            <w:pPr>
              <w:spacing w:line="276" w:lineRule="auto"/>
              <w:jc w:val="center"/>
              <w:rPr>
                <w:rFonts w:ascii="宋体" w:hAnsi="宋体" w:eastAsia="宋体" w:cs="宋体"/>
                <w:color w:val="auto"/>
                <w:highlight w:val="none"/>
              </w:rPr>
            </w:pPr>
            <w:r>
              <w:rPr>
                <w:rFonts w:hint="eastAsia" w:ascii="宋体" w:hAnsi="宋体" w:eastAsia="宋体" w:cs="宋体"/>
                <w:b/>
                <w:bCs/>
                <w:color w:val="auto"/>
                <w:highlight w:val="none"/>
              </w:rPr>
              <w:t>1.5</w:t>
            </w:r>
          </w:p>
        </w:tc>
        <w:tc>
          <w:tcPr>
            <w:tcW w:w="7770" w:type="dxa"/>
            <w:gridSpan w:val="2"/>
            <w:vAlign w:val="center"/>
          </w:tcPr>
          <w:p w14:paraId="6D3CFE59">
            <w:pPr>
              <w:spacing w:line="276" w:lineRule="auto"/>
              <w:rPr>
                <w:rFonts w:ascii="宋体" w:hAnsi="宋体" w:eastAsia="宋体" w:cs="宋体"/>
                <w:color w:val="auto"/>
                <w:highlight w:val="none"/>
                <w:lang w:eastAsia="zh-CN"/>
              </w:rPr>
            </w:pPr>
            <w:r>
              <w:rPr>
                <w:rFonts w:hint="eastAsia" w:ascii="宋体" w:hAnsi="宋体" w:eastAsia="宋体" w:cs="宋体"/>
                <w:b/>
                <w:bCs/>
                <w:color w:val="auto"/>
                <w:highlight w:val="none"/>
                <w:lang w:eastAsia="zh-CN"/>
              </w:rPr>
              <w:t>投标人须知正文第1.5条款修改如下：</w:t>
            </w:r>
          </w:p>
          <w:p w14:paraId="21388D4E">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1.5.1投标人准备和参加投标活动发生的费用自理。</w:t>
            </w:r>
          </w:p>
          <w:p w14:paraId="5BEA988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1.5.2招标人对未中标人的设计成果不给予任何补偿。</w:t>
            </w:r>
          </w:p>
          <w:p w14:paraId="0AEB2D97">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1.5.3</w:t>
            </w:r>
            <w:r>
              <w:rPr>
                <w:rFonts w:hint="eastAsia" w:ascii="宋体" w:hAnsi="宋体" w:cs="宋体"/>
                <w:color w:val="auto"/>
                <w:highlight w:val="none"/>
                <w:lang w:eastAsia="zh-CN"/>
              </w:rPr>
              <w:t>本项目的招标代理服务费由中标人支付，招标代理服务费按《关于印发&lt;招标代理服务收费管理暂行办法&gt;的通知》（计价格[2002]1980号）及《国家发展改革委关于降低部分建设项目收费标准规范收费行为等有关问题的通知》（发改价格[2011]534号），以中标价为基数计算并下浮20%计取；中标人须在中标公告公示期结束后，领取《中标通知书》前，向招标代理机构缴纳招标代理服务费</w:t>
            </w:r>
            <w:r>
              <w:rPr>
                <w:rFonts w:hint="eastAsia" w:ascii="宋体" w:hAnsi="宋体" w:eastAsia="宋体" w:cs="宋体"/>
                <w:color w:val="auto"/>
                <w:highlight w:val="none"/>
                <w:lang w:eastAsia="zh-CN"/>
              </w:rPr>
              <w:t>。</w:t>
            </w:r>
          </w:p>
        </w:tc>
      </w:tr>
      <w:tr w14:paraId="17198F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0C1E2BA">
            <w:pPr>
              <w:spacing w:line="276" w:lineRule="auto"/>
              <w:jc w:val="center"/>
              <w:rPr>
                <w:rFonts w:ascii="宋体" w:hAnsi="宋体" w:eastAsia="宋体" w:cs="宋体"/>
                <w:b/>
                <w:bCs/>
                <w:color w:val="auto"/>
                <w:highlight w:val="none"/>
              </w:rPr>
            </w:pPr>
            <w:r>
              <w:rPr>
                <w:rFonts w:hint="eastAsia" w:ascii="宋体" w:hAnsi="宋体" w:eastAsia="宋体" w:cs="宋体"/>
                <w:b/>
                <w:color w:val="auto"/>
                <w:highlight w:val="none"/>
              </w:rPr>
              <w:t>2.3</w:t>
            </w:r>
          </w:p>
        </w:tc>
        <w:tc>
          <w:tcPr>
            <w:tcW w:w="7770" w:type="dxa"/>
            <w:gridSpan w:val="2"/>
            <w:vAlign w:val="center"/>
          </w:tcPr>
          <w:p w14:paraId="3060F726">
            <w:pPr>
              <w:spacing w:before="51" w:line="276" w:lineRule="auto"/>
              <w:ind w:right="176"/>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投标人须知正文第2.3款内容修改如下：</w:t>
            </w:r>
          </w:p>
          <w:p w14:paraId="307EEDD0">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2.3.1 在投标人须知前附表规定的截止投标时间15天前，招标人可以书面修改招标文件，并在</w:t>
            </w:r>
            <w:r>
              <w:rPr>
                <w:rFonts w:hint="eastAsia" w:ascii="宋体" w:hAnsi="宋体" w:eastAsia="宋体" w:cs="宋体"/>
                <w:color w:val="auto"/>
                <w:highlight w:val="none"/>
                <w:u w:val="single"/>
                <w:lang w:eastAsia="zh-CN"/>
              </w:rPr>
              <w:t>全国公共资源交易平台（广东省·韶关市）</w:t>
            </w:r>
            <w:r>
              <w:rPr>
                <w:rFonts w:hint="eastAsia" w:ascii="宋体" w:hAnsi="宋体" w:eastAsia="宋体" w:cs="宋体"/>
                <w:color w:val="auto"/>
                <w:highlight w:val="none"/>
                <w:lang w:eastAsia="zh-CN"/>
              </w:rPr>
              <w:t>网站上发布。如果修改招标文件的时间超出规定的截止时间，相应延长投标截止时间。</w:t>
            </w:r>
          </w:p>
          <w:p w14:paraId="52CD310D">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2.3.2 </w:t>
            </w:r>
            <w:r>
              <w:rPr>
                <w:rFonts w:hint="eastAsia" w:ascii="宋体" w:hAnsi="宋体" w:eastAsia="宋体" w:cs="宋体"/>
                <w:b/>
                <w:bCs/>
                <w:color w:val="auto"/>
                <w:highlight w:val="none"/>
                <w:lang w:eastAsia="zh-CN"/>
              </w:rPr>
              <w:t>招标文件的修改及有关补充通知一经在全国公共资源交易平台（广东省·韶关市）网站上发布，视作已发放给所有投标人。</w:t>
            </w:r>
          </w:p>
        </w:tc>
      </w:tr>
      <w:tr w14:paraId="407D4A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60AEE52">
            <w:pPr>
              <w:spacing w:line="480" w:lineRule="auto"/>
              <w:jc w:val="center"/>
              <w:rPr>
                <w:rFonts w:ascii="宋体" w:hAnsi="宋体" w:eastAsia="宋体" w:cs="宋体"/>
                <w:b/>
                <w:color w:val="auto"/>
                <w:highlight w:val="none"/>
              </w:rPr>
            </w:pPr>
            <w:r>
              <w:rPr>
                <w:rFonts w:ascii="宋体" w:hAnsi="宋体" w:cs="宋体"/>
                <w:b/>
                <w:color w:val="auto"/>
                <w:highlight w:val="none"/>
              </w:rPr>
              <w:t>3.1</w:t>
            </w:r>
          </w:p>
        </w:tc>
        <w:tc>
          <w:tcPr>
            <w:tcW w:w="7770" w:type="dxa"/>
            <w:gridSpan w:val="2"/>
            <w:vAlign w:val="center"/>
          </w:tcPr>
          <w:p w14:paraId="6E7A10FA">
            <w:pPr>
              <w:spacing w:line="276" w:lineRule="auto"/>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投标人须知正文第3.1款内容修改如下：</w:t>
            </w:r>
          </w:p>
          <w:p w14:paraId="0A891C4B">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3.1.1投标文件应采用双信封形式，包括下列内容：</w:t>
            </w:r>
          </w:p>
          <w:p w14:paraId="40FD9F10">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第一个信封（商务及技术文件）</w:t>
            </w:r>
          </w:p>
          <w:p w14:paraId="0AF38FEE">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商务文件：</w:t>
            </w:r>
          </w:p>
          <w:p w14:paraId="76CB18BB">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一、投标函</w:t>
            </w:r>
          </w:p>
          <w:p w14:paraId="49AB2889">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二、授权委托书或法定代表人身份证明</w:t>
            </w:r>
          </w:p>
          <w:p w14:paraId="2B06687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三、联合体协议书（如有）</w:t>
            </w:r>
          </w:p>
          <w:p w14:paraId="56F50DEC">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四、投标保证金</w:t>
            </w:r>
          </w:p>
          <w:p w14:paraId="610597A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五、拟分包项目情况表</w:t>
            </w:r>
          </w:p>
          <w:p w14:paraId="56EF5C65">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六、资格审查资料</w:t>
            </w:r>
          </w:p>
          <w:p w14:paraId="5B76C25F">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七、其他材料</w:t>
            </w:r>
          </w:p>
          <w:p w14:paraId="45A97A19">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技术文件：</w:t>
            </w:r>
          </w:p>
          <w:p w14:paraId="2BCAD3D8">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技术建议书</w:t>
            </w:r>
          </w:p>
          <w:p w14:paraId="532DEBF5">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第二个信封（报价文件）：</w:t>
            </w:r>
          </w:p>
          <w:p w14:paraId="7B73E8D2">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（1）投标函；</w:t>
            </w:r>
          </w:p>
          <w:p w14:paraId="250FD06B">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（2）勘察设计费用清单。</w:t>
            </w:r>
          </w:p>
        </w:tc>
      </w:tr>
      <w:tr w14:paraId="6C2D0B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2055C45">
            <w:pPr>
              <w:spacing w:line="276" w:lineRule="auto"/>
              <w:jc w:val="center"/>
              <w:rPr>
                <w:rFonts w:ascii="宋体" w:hAnsi="宋体" w:eastAsia="宋体" w:cs="宋体"/>
                <w:b/>
                <w:color w:val="auto"/>
                <w:highlight w:val="none"/>
              </w:rPr>
            </w:pPr>
            <w:r>
              <w:rPr>
                <w:rFonts w:hint="eastAsia" w:ascii="宋体" w:hAnsi="宋体" w:eastAsia="宋体" w:cs="宋体"/>
                <w:b/>
                <w:color w:val="auto"/>
                <w:highlight w:val="none"/>
              </w:rPr>
              <w:t>3.4.3</w:t>
            </w:r>
          </w:p>
        </w:tc>
        <w:tc>
          <w:tcPr>
            <w:tcW w:w="7770" w:type="dxa"/>
            <w:gridSpan w:val="2"/>
            <w:vAlign w:val="center"/>
          </w:tcPr>
          <w:p w14:paraId="6992BA7F">
            <w:pPr>
              <w:spacing w:before="51" w:line="276" w:lineRule="auto"/>
              <w:ind w:right="176"/>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投标人须知正文第3.4.3款内容修改如下：</w:t>
            </w:r>
          </w:p>
          <w:p w14:paraId="4EF0960D">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3.4.3（1）中标人采用银行转账方式提交的投标保证金，系统在收到招标人与中标人所签合同后五日内退还原转出银行帐号；未中标投标人的投标保证金退还，按法定的评标结果、中标结果公示结束日或异议处理结束日后五日内分批退还至原转出银行帐号。</w:t>
            </w:r>
          </w:p>
        </w:tc>
      </w:tr>
      <w:tr w14:paraId="67E536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3C9EF80">
            <w:pPr>
              <w:spacing w:line="276" w:lineRule="auto"/>
              <w:jc w:val="center"/>
              <w:rPr>
                <w:rFonts w:ascii="宋体" w:hAnsi="宋体" w:eastAsia="宋体" w:cs="宋体"/>
                <w:b/>
                <w:color w:val="auto"/>
                <w:highlight w:val="none"/>
              </w:rPr>
            </w:pPr>
            <w:r>
              <w:rPr>
                <w:rFonts w:hint="eastAsia" w:ascii="宋体" w:hAnsi="宋体" w:eastAsia="宋体" w:cs="宋体"/>
                <w:b/>
                <w:color w:val="auto"/>
                <w:highlight w:val="none"/>
              </w:rPr>
              <w:t>3.5.1</w:t>
            </w:r>
          </w:p>
        </w:tc>
        <w:tc>
          <w:tcPr>
            <w:tcW w:w="7770" w:type="dxa"/>
            <w:gridSpan w:val="2"/>
            <w:vAlign w:val="center"/>
          </w:tcPr>
          <w:p w14:paraId="71DC6F06">
            <w:pPr>
              <w:spacing w:before="51" w:line="276" w:lineRule="auto"/>
              <w:ind w:right="176"/>
              <w:rPr>
                <w:rFonts w:ascii="宋体" w:hAnsi="宋体" w:eastAsia="宋体" w:cs="宋体"/>
                <w:color w:val="auto"/>
                <w:highlight w:val="none"/>
                <w:lang w:eastAsia="zh-CN"/>
              </w:rPr>
            </w:pPr>
            <w:r>
              <w:rPr>
                <w:rFonts w:hint="eastAsia" w:ascii="宋体" w:hAnsi="宋体" w:eastAsia="宋体" w:cs="宋体"/>
                <w:b/>
                <w:color w:val="auto"/>
                <w:highlight w:val="none"/>
                <w:lang w:eastAsia="zh-CN"/>
              </w:rPr>
              <w:t>根据《中国人民银行关于取消企业银行账户许可的通知》（银发[2019]41号），投标人须知正文第3.5.1项内容中关于提供基本账户开户许可证复印件的要求修改如下</w:t>
            </w:r>
            <w:r>
              <w:rPr>
                <w:rFonts w:hint="eastAsia" w:ascii="宋体" w:hAnsi="宋体" w:eastAsia="宋体" w:cs="宋体"/>
                <w:color w:val="auto"/>
                <w:highlight w:val="none"/>
                <w:lang w:eastAsia="zh-CN"/>
              </w:rPr>
              <w:t>：</w:t>
            </w:r>
          </w:p>
          <w:p w14:paraId="683CA96B">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提供基本账户开户许可证彩色扫描件或基本存款账户开户银行出具的《基本存款账户信息》彩色扫描件。</w:t>
            </w:r>
          </w:p>
        </w:tc>
      </w:tr>
      <w:tr w14:paraId="08240B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3B422EC4">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3.5.2</w:t>
            </w:r>
          </w:p>
        </w:tc>
        <w:tc>
          <w:tcPr>
            <w:tcW w:w="7770" w:type="dxa"/>
            <w:gridSpan w:val="2"/>
            <w:vAlign w:val="center"/>
          </w:tcPr>
          <w:p w14:paraId="2565FE2B">
            <w:pPr>
              <w:spacing w:line="276" w:lineRule="auto"/>
              <w:rPr>
                <w:rFonts w:ascii="宋体" w:hAnsi="宋体" w:eastAsia="宋体" w:cs="宋体"/>
                <w:color w:val="auto"/>
                <w:highlight w:val="none"/>
                <w:lang w:eastAsia="zh-CN"/>
              </w:rPr>
            </w:pPr>
            <w:r>
              <w:rPr>
                <w:rFonts w:hint="eastAsia" w:ascii="宋体" w:hAnsi="宋体" w:eastAsia="宋体" w:cs="宋体"/>
                <w:b/>
                <w:color w:val="auto"/>
                <w:highlight w:val="none"/>
                <w:lang w:eastAsia="zh-CN"/>
              </w:rPr>
              <w:t>投标人须知正文第3.5.2项内容修改如下</w:t>
            </w:r>
            <w:r>
              <w:rPr>
                <w:rFonts w:hint="eastAsia" w:ascii="宋体" w:hAnsi="宋体" w:eastAsia="宋体" w:cs="宋体"/>
                <w:color w:val="auto"/>
                <w:highlight w:val="none"/>
                <w:lang w:eastAsia="zh-CN"/>
              </w:rPr>
              <w:t>：</w:t>
            </w:r>
          </w:p>
          <w:p w14:paraId="27294425">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近年完成的类似项目”应是已列入交通运输部“全国公路建设市场监督管理系统”并公开的“初步设计已批复或施工图设计已批复”的主包业绩或分包业绩，业绩的计算时间以交通运输部“全国公路建设市场监督管理系统”中体现的该业绩的初步设计批复或施工图设计审查（批）时间为准。具体时间要求见投标人须知前附表。</w:t>
            </w:r>
          </w:p>
          <w:p w14:paraId="4AB4945E">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近年完成的类似项目情况表”应附在交通运输部“全国公路建设市场监督管理系统”（网址：https://hwdms.mot.gov.cn/BMWebSite/）中查询到的企业“业绩信息”相关项目网页截图复印件或网页打印件，即包括“工程名称”“项目类型”“合同价”“技术等级”“主要设计内容”“人员履约信息”等栏目在内的项目详细信息网页截图。除网页截图外，投标人无须再提供任何业绩证明材料。</w:t>
            </w:r>
          </w:p>
          <w:p w14:paraId="0B98C3D3">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如投标人未提供相关项目网页截图或相关项目网页截图中的信息无法证实投标人满足招标文件规定的资格审查条件（业绩最低要求）或评标办法评分标准（如有），则该项目业绩不予认定。</w:t>
            </w:r>
          </w:p>
        </w:tc>
      </w:tr>
      <w:tr w14:paraId="358B05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19962800">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3.5.3</w:t>
            </w:r>
          </w:p>
        </w:tc>
        <w:tc>
          <w:tcPr>
            <w:tcW w:w="7770" w:type="dxa"/>
            <w:gridSpan w:val="2"/>
            <w:vAlign w:val="center"/>
          </w:tcPr>
          <w:p w14:paraId="4CD519BE">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投标人须知正文第3.5.3项内容修改如下：</w:t>
            </w:r>
          </w:p>
          <w:p w14:paraId="1B31926F">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“投标人的信誉情况表”应附投标人在国家企业信用信息公示系统中未被列入严重违法失信企业名单、在“信用中国”网站中未被列入严重失信主体名单的网页截图。</w:t>
            </w:r>
          </w:p>
        </w:tc>
      </w:tr>
      <w:tr w14:paraId="4D2608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CB209CA">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3.5.4</w:t>
            </w:r>
          </w:p>
        </w:tc>
        <w:tc>
          <w:tcPr>
            <w:tcW w:w="7770" w:type="dxa"/>
            <w:gridSpan w:val="2"/>
            <w:vAlign w:val="center"/>
          </w:tcPr>
          <w:p w14:paraId="4388032D">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投标人须知正文第3.5.4项内容修改如下：</w:t>
            </w:r>
          </w:p>
          <w:p w14:paraId="0608189A">
            <w:pPr>
              <w:kinsoku/>
              <w:wordWrap w:val="0"/>
              <w:topLinePunct/>
              <w:autoSpaceDE/>
              <w:autoSpaceDN/>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拟委任的项目负责人资历表”应同时附：①交通运输部“全国公路建设市场监督管理系统”中查询到的企业“人员信息”相关网页截图，即包括人员的“基本信息”、“职称信息”、“执业资格”、“个人业绩”等栏目在内）的网页截图。</w:t>
            </w:r>
          </w:p>
          <w:p w14:paraId="7DE8411D">
            <w:pPr>
              <w:kinsoku/>
              <w:wordWrap w:val="0"/>
              <w:topLinePunct/>
              <w:autoSpaceDE/>
              <w:autoSpaceDN/>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如投标人未提供相关网页截图或相关网页截图中的信息无法证实投标人满足招标文件规定的资格审查条件（项目负责人最低要求）或评标办法评分标准（如有），则该人员相应信息不予认定。</w:t>
            </w:r>
          </w:p>
          <w:p w14:paraId="7096CCCA">
            <w:pPr>
              <w:kinsoku/>
              <w:wordWrap w:val="0"/>
              <w:topLinePunct/>
              <w:autoSpaceDE/>
              <w:autoSpaceDN/>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②投标人所属社保机构出具的拟委任的项目负责人的社保缴费证明或其他能够证明拟委任的项目负责人参加社保的有效证明材料复印件（社保时段为开标时间截止日前半年时间内连续不少于三个月）。</w:t>
            </w:r>
          </w:p>
          <w:p w14:paraId="15EB5163">
            <w:pPr>
              <w:kinsoku/>
              <w:wordWrap w:val="0"/>
              <w:topLinePunct/>
              <w:autoSpaceDE/>
              <w:autoSpaceDN/>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除上述资料扫描件外，投标人无需再提供任何证明材料。</w:t>
            </w:r>
          </w:p>
        </w:tc>
      </w:tr>
      <w:tr w14:paraId="457CB5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5175F091">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lang w:eastAsia="zh-CN"/>
              </w:rPr>
              <w:t>3.5.5</w:t>
            </w:r>
          </w:p>
        </w:tc>
        <w:tc>
          <w:tcPr>
            <w:tcW w:w="7770" w:type="dxa"/>
            <w:gridSpan w:val="2"/>
            <w:vAlign w:val="center"/>
          </w:tcPr>
          <w:p w14:paraId="33B7A6C0">
            <w:pPr>
              <w:spacing w:line="380" w:lineRule="exact"/>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投标人须知正文第3.5.5项内容修改如下：</w:t>
            </w:r>
          </w:p>
          <w:p w14:paraId="6073E4B2">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拟委任的分项负责人汇总表”（如有）应填报满足投标人须知前附表附录5规定的各专业分项负责人的相关信息。“拟委任的分项负责人资历表”（如有）中分项负责人应附身份证、职称资格证书和资格审查条件所要求的的其他相关证书的彩色扫描件，以及投标人所述社保机构出具的社保缴费证明或其他能够证明其参加社保的有效证明材料彩色扫描件。</w:t>
            </w:r>
          </w:p>
        </w:tc>
      </w:tr>
      <w:tr w14:paraId="173848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AA5D2FC">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3.7</w:t>
            </w:r>
          </w:p>
        </w:tc>
        <w:tc>
          <w:tcPr>
            <w:tcW w:w="7770" w:type="dxa"/>
            <w:gridSpan w:val="2"/>
            <w:vAlign w:val="center"/>
          </w:tcPr>
          <w:p w14:paraId="065D22EC">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投标人须知正文第3.7项内容修改如下：</w:t>
            </w:r>
          </w:p>
          <w:p w14:paraId="01D2CD00">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3.7 投标文件的编制</w:t>
            </w:r>
          </w:p>
          <w:p w14:paraId="3A2DF7C9">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3.7.1 投标文件应按第六章“投标文件格式”进行编写，如有必要，可以增加附页，作为投标文件的组成部分。</w:t>
            </w:r>
          </w:p>
          <w:p w14:paraId="77DFA53A">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3.7.2投标文件应当对招标文件有关勘察设计服务期限、投标有效期、质量要求、安全目标、发包人要求、招标范围等实质性内容作出响应。</w:t>
            </w:r>
          </w:p>
          <w:p w14:paraId="460A0522">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3.7.3 投标文件格式中明确要求投标人法定代表人或其委托代理人签章处，必须有相关人员签章；明确要求投标人加盖单位章之处，必须加盖单位章。其中，投标函及对投标文件的澄清和说明应加盖投标人单位章。</w:t>
            </w:r>
          </w:p>
          <w:p w14:paraId="244C1C11">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如果投标文件由委托代理人签署，则投标人须提交授权委托书，授权委托书应按第六章“投标文件格式”的要求出具，并由法定代表人和委托代理人加盖签章。</w:t>
            </w:r>
          </w:p>
          <w:p w14:paraId="3F2A4593">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如果由投标人的法定代表人亲自签署投标文件，则投标人须提交法定代表人身份证明，身份证明应符合第六章“投标文件格式”的要求。</w:t>
            </w:r>
          </w:p>
          <w:p w14:paraId="48B3EAC3">
            <w:pPr>
              <w:kinsoku/>
              <w:wordWrap w:val="0"/>
              <w:spacing w:line="276" w:lineRule="auto"/>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投标文件应尽量避免涂改、行间插字或删除。如果出现上述情况，改动之处应由投标人加盖单位章。</w:t>
            </w:r>
          </w:p>
        </w:tc>
      </w:tr>
      <w:tr w14:paraId="437FF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0A9BA560">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4.1</w:t>
            </w:r>
          </w:p>
        </w:tc>
        <w:tc>
          <w:tcPr>
            <w:tcW w:w="7770" w:type="dxa"/>
            <w:gridSpan w:val="2"/>
            <w:vAlign w:val="center"/>
          </w:tcPr>
          <w:p w14:paraId="5FD10525">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投标人须知正文4.1项内容修改如下：</w:t>
            </w:r>
          </w:p>
          <w:p w14:paraId="2590E63A">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 xml:space="preserve">    投标文件的密封和标识</w:t>
            </w:r>
          </w:p>
          <w:p w14:paraId="06C40575">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本项目采用全流程电子投标，不需要提交纸质版的投标文件。</w:t>
            </w:r>
          </w:p>
        </w:tc>
      </w:tr>
      <w:tr w14:paraId="0F12D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2AE6A9C">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4.2</w:t>
            </w:r>
          </w:p>
        </w:tc>
        <w:tc>
          <w:tcPr>
            <w:tcW w:w="7770" w:type="dxa"/>
            <w:gridSpan w:val="2"/>
            <w:vAlign w:val="center"/>
          </w:tcPr>
          <w:p w14:paraId="509766CC">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投标人须知正文第4.2项内容修改如下：</w:t>
            </w:r>
          </w:p>
          <w:p w14:paraId="58F8A0E0">
            <w:pPr>
              <w:spacing w:line="276" w:lineRule="auto"/>
              <w:ind w:firstLine="422" w:firstLineChars="200"/>
              <w:rPr>
                <w:rFonts w:ascii="宋体" w:hAnsi="宋体" w:eastAsia="宋体" w:cs="宋体"/>
                <w:b/>
                <w:bCs/>
                <w:color w:val="auto"/>
                <w:highlight w:val="none"/>
                <w:lang w:eastAsia="zh-CN"/>
              </w:rPr>
            </w:pPr>
            <w:r>
              <w:rPr>
                <w:rFonts w:hint="eastAsia" w:ascii="宋体" w:hAnsi="宋体" w:eastAsia="宋体" w:cs="宋体"/>
                <w:b/>
                <w:color w:val="auto"/>
                <w:highlight w:val="none"/>
                <w:lang w:eastAsia="zh-CN"/>
              </w:rPr>
              <w:t xml:space="preserve">4.2 </w:t>
            </w:r>
            <w:r>
              <w:rPr>
                <w:rFonts w:hint="eastAsia" w:ascii="宋体" w:hAnsi="宋体" w:eastAsia="宋体" w:cs="宋体"/>
                <w:b/>
                <w:bCs/>
                <w:color w:val="auto"/>
                <w:highlight w:val="none"/>
                <w:lang w:eastAsia="zh-CN"/>
              </w:rPr>
              <w:t>投标文件的上传</w:t>
            </w:r>
          </w:p>
          <w:p w14:paraId="6EFA2453">
            <w:pPr>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4.2.1 投标人应在第一章“招标公告”规定的投标截止时间前上传投标文件。</w:t>
            </w:r>
          </w:p>
          <w:p w14:paraId="100BBD88">
            <w:pPr>
              <w:kinsoku/>
              <w:wordWrap w:val="0"/>
              <w:topLinePunct/>
              <w:autoSpaceDE/>
              <w:autoSpaceDN/>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4.2.2 投标人递交投标相关资料原件（如有）的地点：见第一章“招标公告”。</w:t>
            </w:r>
          </w:p>
          <w:p w14:paraId="2C137E6E">
            <w:pPr>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4.2.3 除投标人须知前附表另有规定外，投标人所递交的投标文件不予退还。</w:t>
            </w:r>
          </w:p>
          <w:p w14:paraId="7145A6CE">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4.2.4 投标人在递交投标相关资料原件（如有）时，应在递交投标原件登记表上签字，同时招标人负责接收投标原件的工作人员也应在递交投标相关资料原件（如有）登记表上签字确认收到该投标人的投标相关资料原件（如有）。</w:t>
            </w:r>
          </w:p>
          <w:p w14:paraId="44B009E4">
            <w:pPr>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4.2.5 投标人应在规定的截止时间前登录建设工程交易系统完成电子投标（包括缴纳投标保证金），方为有效投标。</w:t>
            </w:r>
          </w:p>
        </w:tc>
      </w:tr>
      <w:tr w14:paraId="1CA77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473E0D4">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4.</w:t>
            </w:r>
            <w:r>
              <w:rPr>
                <w:rFonts w:hint="eastAsia" w:ascii="宋体" w:hAnsi="宋体" w:eastAsia="宋体" w:cs="宋体"/>
                <w:b/>
                <w:color w:val="auto"/>
                <w:highlight w:val="none"/>
                <w:lang w:eastAsia="zh-CN"/>
              </w:rPr>
              <w:t>3</w:t>
            </w:r>
          </w:p>
        </w:tc>
        <w:tc>
          <w:tcPr>
            <w:tcW w:w="7770" w:type="dxa"/>
            <w:gridSpan w:val="2"/>
            <w:vAlign w:val="center"/>
          </w:tcPr>
          <w:p w14:paraId="1A0DBA6B">
            <w:pPr>
              <w:spacing w:line="276" w:lineRule="auto"/>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投标人须知正文第4.3项内容修改如下：</w:t>
            </w:r>
          </w:p>
          <w:p w14:paraId="2A095582">
            <w:pPr>
              <w:spacing w:line="276" w:lineRule="auto"/>
              <w:ind w:firstLine="422" w:firstLineChars="200"/>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4.3 投标文件的修改与撤回</w:t>
            </w:r>
          </w:p>
          <w:p w14:paraId="39F32A9D">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本项目采用全流程电子投标，不需要提交纸质版的投标文件；在投标截止时间到达后，投标文件不可修改与撤回。</w:t>
            </w:r>
          </w:p>
        </w:tc>
      </w:tr>
      <w:tr w14:paraId="119974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56C875D">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5.2.1</w:t>
            </w:r>
          </w:p>
        </w:tc>
        <w:tc>
          <w:tcPr>
            <w:tcW w:w="7770" w:type="dxa"/>
            <w:gridSpan w:val="2"/>
            <w:vAlign w:val="center"/>
          </w:tcPr>
          <w:p w14:paraId="218031A1">
            <w:pPr>
              <w:spacing w:line="276" w:lineRule="auto"/>
              <w:ind w:firstLine="422" w:firstLineChars="200"/>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删除投标人须知正文第5.2.1（4）款，并对序号进行修改。</w:t>
            </w:r>
          </w:p>
          <w:p w14:paraId="43AB39D7">
            <w:pPr>
              <w:spacing w:line="276" w:lineRule="auto"/>
              <w:ind w:firstLine="422" w:firstLineChars="200"/>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投标人须知正文第5.2.1（5）款修改为：</w:t>
            </w:r>
          </w:p>
          <w:p w14:paraId="0CAB8D4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bCs/>
                <w:color w:val="auto"/>
                <w:highlight w:val="none"/>
                <w:lang w:eastAsia="zh-CN"/>
              </w:rPr>
              <w:t>主持人组织，在交易场所工作人员的见证下，招标代理机构对投标人的电子投标信息进行解密，解密成功后查看各投标人投标保证金缴纳情况及第一个信封（商务及技术文件）开标一览表。</w:t>
            </w:r>
          </w:p>
        </w:tc>
      </w:tr>
      <w:tr w14:paraId="4AEB2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21B5A539">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5.2.2</w:t>
            </w:r>
          </w:p>
        </w:tc>
        <w:tc>
          <w:tcPr>
            <w:tcW w:w="7770" w:type="dxa"/>
            <w:gridSpan w:val="2"/>
            <w:vAlign w:val="center"/>
          </w:tcPr>
          <w:p w14:paraId="2406AE5D">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投标人须知正文第5.2.2</w:t>
            </w:r>
            <w:r>
              <w:rPr>
                <w:rFonts w:hint="eastAsia" w:ascii="宋体" w:hAnsi="宋体" w:eastAsia="宋体" w:cs="宋体"/>
                <w:b/>
                <w:bCs/>
                <w:color w:val="auto"/>
                <w:highlight w:val="none"/>
                <w:lang w:eastAsia="zh-CN"/>
              </w:rPr>
              <w:t>项内容修改如下</w:t>
            </w:r>
            <w:r>
              <w:rPr>
                <w:rFonts w:hint="eastAsia" w:ascii="宋体" w:hAnsi="宋体" w:eastAsia="宋体" w:cs="宋体"/>
                <w:b/>
                <w:color w:val="auto"/>
                <w:highlight w:val="none"/>
                <w:lang w:eastAsia="zh-CN"/>
              </w:rPr>
              <w:t>：</w:t>
            </w:r>
          </w:p>
          <w:p w14:paraId="2E446320">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本项目采用全流程电</w:t>
            </w:r>
            <w:r>
              <w:rPr>
                <w:rFonts w:hint="eastAsia" w:ascii="宋体" w:hAnsi="宋体" w:eastAsia="宋体" w:cs="宋体"/>
                <w:bCs/>
                <w:color w:val="auto"/>
                <w:highlight w:val="none"/>
                <w:lang w:eastAsia="zh-CN"/>
              </w:rPr>
              <w:t>子投标，</w:t>
            </w:r>
            <w:r>
              <w:rPr>
                <w:rFonts w:hint="eastAsia" w:ascii="宋体" w:hAnsi="宋体" w:eastAsia="宋体" w:cs="宋体"/>
                <w:color w:val="auto"/>
                <w:highlight w:val="none"/>
                <w:lang w:eastAsia="zh-CN"/>
              </w:rPr>
              <w:t>在投标文件第一个信封（商务及技术文件）开标现场，投标文件第二个信封（报价文件）不予解密开标。</w:t>
            </w:r>
          </w:p>
        </w:tc>
      </w:tr>
      <w:tr w14:paraId="3904FD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4C67DD1D">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5.2.3</w:t>
            </w:r>
          </w:p>
        </w:tc>
        <w:tc>
          <w:tcPr>
            <w:tcW w:w="7770" w:type="dxa"/>
            <w:gridSpan w:val="2"/>
            <w:vAlign w:val="center"/>
          </w:tcPr>
          <w:p w14:paraId="045CC6F5">
            <w:pPr>
              <w:spacing w:line="276" w:lineRule="auto"/>
              <w:ind w:firstLine="422" w:firstLineChars="200"/>
              <w:jc w:val="both"/>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删除投标人须知正文第5.2.3（4）款，并对序号进行修改。</w:t>
            </w:r>
          </w:p>
          <w:p w14:paraId="7490A95A">
            <w:pPr>
              <w:spacing w:line="276" w:lineRule="auto"/>
              <w:ind w:firstLine="422" w:firstLineChars="200"/>
              <w:jc w:val="both"/>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投标人须知正文第5.2.3（7）款内容修改如下：</w:t>
            </w:r>
          </w:p>
          <w:p w14:paraId="3162989D">
            <w:pPr>
              <w:spacing w:line="276" w:lineRule="auto"/>
              <w:ind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本项目采用全流程电</w:t>
            </w:r>
            <w:r>
              <w:rPr>
                <w:rFonts w:hint="eastAsia" w:ascii="宋体" w:hAnsi="宋体" w:eastAsia="宋体" w:cs="宋体"/>
                <w:bCs/>
                <w:color w:val="auto"/>
                <w:highlight w:val="none"/>
                <w:lang w:eastAsia="zh-CN"/>
              </w:rPr>
              <w:t>子投标，</w:t>
            </w:r>
            <w:r>
              <w:rPr>
                <w:rFonts w:hint="eastAsia" w:ascii="宋体" w:hAnsi="宋体" w:eastAsia="宋体" w:cs="宋体"/>
                <w:color w:val="auto"/>
                <w:highlight w:val="none"/>
                <w:lang w:eastAsia="zh-CN"/>
              </w:rPr>
              <w:t>不需要提交纸质版的投标文件，电子投标文件不予</w:t>
            </w:r>
            <w:r>
              <w:rPr>
                <w:rFonts w:hint="eastAsia" w:ascii="宋体" w:hAnsi="宋体" w:eastAsia="宋体" w:cs="宋体"/>
                <w:bCs/>
                <w:color w:val="auto"/>
                <w:highlight w:val="none"/>
                <w:lang w:eastAsia="zh-CN"/>
              </w:rPr>
              <w:t>退回给投标人。</w:t>
            </w:r>
          </w:p>
        </w:tc>
      </w:tr>
      <w:tr w14:paraId="1C5FD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A1955F7">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6.1.2</w:t>
            </w:r>
          </w:p>
        </w:tc>
        <w:tc>
          <w:tcPr>
            <w:tcW w:w="7770" w:type="dxa"/>
            <w:gridSpan w:val="2"/>
            <w:vAlign w:val="center"/>
          </w:tcPr>
          <w:p w14:paraId="39C89660">
            <w:pPr>
              <w:spacing w:line="276" w:lineRule="auto"/>
              <w:rPr>
                <w:rFonts w:ascii="宋体" w:hAnsi="宋体" w:eastAsia="宋体" w:cs="宋体"/>
                <w:b/>
                <w:color w:val="auto"/>
                <w:highlight w:val="none"/>
                <w:lang w:eastAsia="zh-CN"/>
              </w:rPr>
            </w:pPr>
            <w:r>
              <w:rPr>
                <w:rFonts w:hint="eastAsia" w:ascii="宋体" w:hAnsi="宋体" w:eastAsia="宋体" w:cs="宋体"/>
                <w:b/>
                <w:color w:val="auto"/>
                <w:highlight w:val="none"/>
                <w:lang w:eastAsia="zh-CN"/>
              </w:rPr>
              <w:t>投标人须知正文原6.1.2项末增加如下内容：</w:t>
            </w:r>
          </w:p>
          <w:p w14:paraId="0B15DA4A">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招标人及其子公司、招标人的上级主管部门或者控股公司、招标代理机构的工作人员或者退休人员不得以专家身份参与本单位招标或者招标代理项目的评标。</w:t>
            </w:r>
          </w:p>
        </w:tc>
      </w:tr>
      <w:tr w14:paraId="70B84A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6F2C4F71">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rPr>
              <w:t>10</w:t>
            </w:r>
          </w:p>
        </w:tc>
        <w:tc>
          <w:tcPr>
            <w:tcW w:w="7770" w:type="dxa"/>
            <w:gridSpan w:val="2"/>
            <w:vAlign w:val="center"/>
          </w:tcPr>
          <w:p w14:paraId="15C4F20A">
            <w:pPr>
              <w:spacing w:line="276" w:lineRule="auto"/>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投标人须知正文增加第10.2款-10.7款内容：</w:t>
            </w:r>
          </w:p>
          <w:p w14:paraId="2EE5E8B0">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10.2 信用等级的确定原则：</w:t>
            </w:r>
          </w:p>
          <w:p w14:paraId="58EA861A">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10.2.1 招标文件中的信用等级指的是广东省交通运输厅最新年度的信用评价等级。如无最新年度广东省信用等级而有上一年度广东省信用等级的，则其原信用等级可延续一年，但在递交投标文件时信用等级的使用次数应按上一年度公布的信用评价结果顺延上一年度的使用次数，使用次数有关规定执行粤交基[2014]564号文的要求。</w:t>
            </w:r>
          </w:p>
          <w:p w14:paraId="762B966F">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10.2.2 信用等级延续1年后仍无信用评价等级的，按照初次进入我省确定，原则上按B级对待，但下列情况除外：最新年度的全国公路从业单位（设计单位）信用评价结果为C级或D级的，则按最新年度的全国公路从业单位（设计单位）信用评价结果对待；或最新年度的全国公路从业单位（设计单位）信用评价结果未被评为C级或D级的，但在广东省最近年度原评价等级为D级的，则按C级对待。</w:t>
            </w:r>
          </w:p>
          <w:p w14:paraId="2AA9E5EF">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10.2.3 AA、A级单位是指使用广东省信用评价等级申请承诺书的单位。提交申请承诺书未使用AA、A时，在评标过程中，AA级信用等级企业按A级对待、A级信用等级企业按B级对待。</w:t>
            </w:r>
          </w:p>
          <w:p w14:paraId="08ACA345">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10.2.4 在招标评标中，信用评价等级采用按次、按标段申请使用的原则，即在同一次招标中的多个标段的投标，可自愿对其中部分或全部标段申请使用AA或A信用等级，无论中标与否，均应根据申请递交投标文件情况按标段计算使用次数（非投标人原因导致招标失败的情况除外）。</w:t>
            </w:r>
          </w:p>
          <w:p w14:paraId="28E90DA3">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10.3 如果推荐的第一中标候选人放弃中标、因不可抗力提出不能履行合同、或因被投诉经查证属实取消中标一资格的，或者招标文件规定应当提交履约保证金而在规定的期限内未能提交的，招标人可以确定排名第二的中标候选人为中标人，或重新组织招标，以此类推。</w:t>
            </w:r>
          </w:p>
          <w:p w14:paraId="3F97FA42">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10.4 如果开标后至中标通知书发出前，第一中标候选人发生投标人须知1.4.4项（1）至（7）目中的情形及中标候选人信用等级被广东省交通运输厅直接降为D级的情形，则均取消其中标资格，招标人按推荐中标候选人排名顺序依次确定中标人，或重新组织招标。</w:t>
            </w:r>
          </w:p>
          <w:p w14:paraId="6BE57242">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10.5 本招标文件中所有 “类似工程”均指</w:t>
            </w:r>
            <w:r>
              <w:rPr>
                <w:rFonts w:hint="eastAsia" w:ascii="宋体" w:hAnsi="宋体" w:eastAsia="宋体" w:cs="宋体"/>
                <w:b/>
                <w:color w:val="auto"/>
                <w:highlight w:val="none"/>
                <w:u w:val="single"/>
                <w:lang w:eastAsia="zh-CN"/>
              </w:rPr>
              <w:t>新建、改建、扩建一级以上（含一级）公路项目</w:t>
            </w:r>
            <w:r>
              <w:rPr>
                <w:rFonts w:hint="eastAsia" w:ascii="宋体" w:hAnsi="宋体" w:eastAsia="宋体" w:cs="宋体"/>
                <w:color w:val="auto"/>
                <w:highlight w:val="none"/>
                <w:lang w:eastAsia="zh-CN"/>
              </w:rPr>
              <w:t>。在采用新建的公路项目完工业绩时，对于同公路等级改、扩建中的新建桥梁或隧道工程业绩也应认可。</w:t>
            </w:r>
          </w:p>
          <w:p w14:paraId="2F37D9CB">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10.6 若投标人在递交投标文件期间，出现采取不正当手段妨碍其他投标人投标的过激行为，或出现在开标会现场扰乱招投标市场秩序的行为，招标人有权将投标人此行为上报省级交通主管部门，作为不良记录纳入全国公路建设市场监督管理系统。</w:t>
            </w:r>
          </w:p>
          <w:p w14:paraId="3BC85AA9">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10.7 招标文件中如无特别说明，土建工程里程累计长度均不扣除桥隧等构造物长度。</w:t>
            </w:r>
          </w:p>
          <w:p w14:paraId="508A37A7">
            <w:pPr>
              <w:kinsoku/>
              <w:wordWrap w:val="0"/>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10.8 中标人须在中标通知书发出之日起30天内到招标人指定地点签署合同，如中标人未按上述要求执行，招标人将取消其中标资格，不退还其投标保证金，并上报交通运输主管部门。发生以上情况时，招标人按推荐中标候选人排名顺序确定中标人，或重新组织招标。</w:t>
            </w:r>
          </w:p>
        </w:tc>
      </w:tr>
      <w:tr w14:paraId="28B92B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12" w:type="dxa"/>
            <w:vAlign w:val="center"/>
          </w:tcPr>
          <w:p w14:paraId="7324CE7C">
            <w:pPr>
              <w:spacing w:line="480" w:lineRule="auto"/>
              <w:jc w:val="center"/>
              <w:rPr>
                <w:rFonts w:ascii="宋体" w:hAnsi="宋体" w:eastAsia="宋体" w:cs="宋体"/>
                <w:b/>
                <w:color w:val="auto"/>
                <w:highlight w:val="none"/>
              </w:rPr>
            </w:pPr>
            <w:r>
              <w:rPr>
                <w:rFonts w:hint="eastAsia" w:ascii="宋体" w:hAnsi="宋体" w:eastAsia="宋体" w:cs="宋体"/>
                <w:b/>
                <w:color w:val="auto"/>
                <w:highlight w:val="none"/>
                <w:lang w:eastAsia="zh-CN"/>
              </w:rPr>
              <w:t>11</w:t>
            </w:r>
          </w:p>
        </w:tc>
        <w:tc>
          <w:tcPr>
            <w:tcW w:w="7770" w:type="dxa"/>
            <w:gridSpan w:val="2"/>
            <w:vAlign w:val="center"/>
          </w:tcPr>
          <w:p w14:paraId="1671072F">
            <w:pPr>
              <w:spacing w:line="276" w:lineRule="auto"/>
              <w:rPr>
                <w:rFonts w:ascii="宋体" w:hAnsi="宋体" w:eastAsia="宋体" w:cs="宋体"/>
                <w:color w:val="auto"/>
                <w:highlight w:val="none"/>
                <w:lang w:eastAsia="zh-CN"/>
              </w:rPr>
            </w:pPr>
            <w:r>
              <w:rPr>
                <w:rFonts w:hint="eastAsia" w:ascii="宋体" w:hAnsi="宋体" w:eastAsia="宋体" w:cs="宋体"/>
                <w:b/>
                <w:bCs/>
                <w:color w:val="auto"/>
                <w:highlight w:val="none"/>
                <w:lang w:eastAsia="zh-CN"/>
              </w:rPr>
              <w:t>投标人须知正文增加第11款内容：</w:t>
            </w:r>
          </w:p>
          <w:p w14:paraId="7229305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11.电子投标及投标解密失败及突发情况的补救方案</w:t>
            </w:r>
          </w:p>
          <w:p w14:paraId="48AB73D3">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11.1 按照交易平台关于全流程电子化项目的相关指南进行操作。详见全国公共资源交易平台（广东省·韶关市）发布的最新版操作指引。</w:t>
            </w:r>
          </w:p>
          <w:p w14:paraId="2A030AF0">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11.2 投标人在交易平台按要求上传加盖电子印章并经加密的电子投标文件，并在交易平台录入准确的页码信息即可完成在线投标。由于投标人原因导致未按投标截至时限上传完整投标文件、在交易平台中上传的投标文件无法解密、投标文件损坏或格式不正确、投标文件未按招标文件要求加盖电子印章或电子印章不完整、电子投标文件解密失败且未按要求上传备用投标文件等情形导致投标无效的，由投标人自行负责。</w:t>
            </w:r>
          </w:p>
          <w:p w14:paraId="05EB6C35">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11.3 补救方案</w:t>
            </w:r>
          </w:p>
          <w:p w14:paraId="638C1A5F">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（1）投标文件解密失败的补救方案：</w:t>
            </w:r>
          </w:p>
          <w:p w14:paraId="14B6F900">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在规定时间内，因投标人之外原因(指网络瘫痪、服务器损坏、交易平台故障短期无法恢复)等导致的电子投标文件解密失败，投标人应在规定的时限内按要求成功上传未加密的备用投标文件，继续开标程序。电子投标文件解密失败且未在规定的时限内按要求成功上传未加密的备用投标文件的，视为无效投标。</w:t>
            </w:r>
          </w:p>
          <w:p w14:paraId="2379B018">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（2）评标时突发情况的补救方案</w:t>
            </w:r>
          </w:p>
          <w:p w14:paraId="34C7DF54">
            <w:pPr>
              <w:spacing w:line="276" w:lineRule="auto"/>
              <w:ind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在评标过程中，因主场或副场网络故障、电子设备或者评标系统故障，以及其他原因导致无法继续进行评标时，在4小时以内解除故障的可继续评标，超过4小时无法解除故障的，由招标人确定是否进行评标。如延期评标，招标人及参与评标活动的各方主体及其有关工作人员应当配合主场、副场做好招投标资料的封存和保密工作，另行组建评标委员会重新评标。原评标委员会成员应当对评标情况保密，不得对外透露与评标有关的任何信息与情况。</w:t>
            </w:r>
          </w:p>
        </w:tc>
      </w:tr>
    </w:tbl>
    <w:p w14:paraId="5B4466A4">
      <w:pPr>
        <w:kinsoku/>
        <w:rPr>
          <w:rFonts w:ascii="宋体" w:hAnsi="宋体" w:eastAsia="宋体" w:cs="宋体"/>
          <w:color w:val="auto"/>
          <w:highlight w:val="none"/>
          <w:lang w:eastAsia="zh-CN"/>
        </w:rPr>
        <w:sectPr>
          <w:headerReference r:id="rId9" w:type="default"/>
          <w:footerReference r:id="rId10" w:type="default"/>
          <w:pgSz w:w="11907" w:h="16841"/>
          <w:pgMar w:top="1173" w:right="1498" w:bottom="1254" w:left="1476" w:header="862" w:footer="1076" w:gutter="0"/>
          <w:cols w:space="720" w:num="1"/>
        </w:sectPr>
      </w:pPr>
    </w:p>
    <w:p w14:paraId="153FA46E">
      <w:pPr>
        <w:kinsoku/>
        <w:spacing w:before="91" w:line="225" w:lineRule="auto"/>
        <w:ind w:left="1883"/>
        <w:outlineLvl w:val="1"/>
        <w:rPr>
          <w:rFonts w:ascii="宋体" w:hAnsi="宋体" w:eastAsia="宋体" w:cs="宋体"/>
          <w:b/>
          <w:bCs/>
          <w:color w:val="auto"/>
          <w:sz w:val="28"/>
          <w:szCs w:val="28"/>
          <w:highlight w:val="none"/>
          <w:lang w:eastAsia="zh-CN"/>
        </w:rPr>
      </w:pPr>
      <w:bookmarkStart w:id="37" w:name="bookmark44"/>
      <w:bookmarkEnd w:id="37"/>
      <w:bookmarkStart w:id="38" w:name="bookmark45"/>
      <w:bookmarkEnd w:id="38"/>
      <w:bookmarkStart w:id="39" w:name="_Toc22064"/>
      <w:r>
        <w:rPr>
          <w:rFonts w:hint="eastAsia" w:ascii="宋体" w:hAnsi="宋体" w:eastAsia="宋体" w:cs="宋体"/>
          <w:b/>
          <w:bCs/>
          <w:color w:val="auto"/>
          <w:sz w:val="28"/>
          <w:szCs w:val="28"/>
          <w:highlight w:val="none"/>
          <w:lang w:eastAsia="zh-CN"/>
        </w:rPr>
        <w:t>附录</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1  资格审查条件（资质最低要求）</w:t>
      </w:r>
      <w:bookmarkEnd w:id="39"/>
    </w:p>
    <w:p w14:paraId="6D2BB0C0">
      <w:pPr>
        <w:kinsoku/>
        <w:spacing w:line="230" w:lineRule="exact"/>
        <w:rPr>
          <w:rFonts w:ascii="宋体" w:hAnsi="宋体" w:eastAsia="宋体" w:cs="宋体"/>
          <w:color w:val="auto"/>
          <w:highlight w:val="none"/>
          <w:lang w:eastAsia="zh-CN"/>
        </w:rPr>
      </w:pPr>
    </w:p>
    <w:tbl>
      <w:tblPr>
        <w:tblStyle w:val="21"/>
        <w:tblW w:w="8602" w:type="dxa"/>
        <w:tblInd w:w="1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02"/>
      </w:tblGrid>
      <w:tr w14:paraId="586A64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8602" w:type="dxa"/>
            <w:vAlign w:val="center"/>
          </w:tcPr>
          <w:p w14:paraId="2E16B7CF">
            <w:pPr>
              <w:kinsoku/>
              <w:spacing w:before="68" w:line="221" w:lineRule="auto"/>
              <w:jc w:val="center"/>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勘察设计企业资质等级要求</w:t>
            </w:r>
          </w:p>
        </w:tc>
      </w:tr>
      <w:tr w14:paraId="2FEB05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08" w:hRule="atLeast"/>
        </w:trPr>
        <w:tc>
          <w:tcPr>
            <w:tcW w:w="8602" w:type="dxa"/>
          </w:tcPr>
          <w:p w14:paraId="76839E7C">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同时具备以下第[1]、[2]项资质：</w:t>
            </w:r>
          </w:p>
          <w:p w14:paraId="25CE3D0B">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[1]勘察资质必须具备以下资质之一：</w:t>
            </w:r>
          </w:p>
          <w:p w14:paraId="3736A338">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①工程勘察综合类甲级资质；</w:t>
            </w:r>
          </w:p>
          <w:p w14:paraId="707F53DB">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②工程勘察专业类（岩土工程）甲级资质和工程勘察专业类（工程测量）乙级以上（含乙级）资质；</w:t>
            </w:r>
          </w:p>
          <w:p w14:paraId="355E3E3E">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③工程勘察专业类（岩土工程（勘察））甲级资质和工程勘察专业类（工程测量）乙级以上（含乙级）资质。</w:t>
            </w:r>
          </w:p>
          <w:p w14:paraId="7E732E84">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[2]设计资质必须具备以下资质之一：</w:t>
            </w:r>
          </w:p>
          <w:p w14:paraId="32457AE3">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①工程设计综合资质甲级；</w:t>
            </w:r>
          </w:p>
          <w:p w14:paraId="27A32578">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②工程设计公路行业甲级资质；</w:t>
            </w:r>
          </w:p>
          <w:p w14:paraId="165A66BC">
            <w:pPr>
              <w:kinsoku/>
              <w:spacing w:before="78" w:line="360" w:lineRule="auto"/>
              <w:ind w:left="42" w:right="7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③工程设计公路行业（公路）专业甲级资质。</w:t>
            </w:r>
          </w:p>
        </w:tc>
      </w:tr>
    </w:tbl>
    <w:p w14:paraId="36DEFC94">
      <w:pPr>
        <w:kinsoku/>
        <w:spacing w:line="264" w:lineRule="auto"/>
        <w:rPr>
          <w:rFonts w:ascii="宋体" w:hAnsi="宋体" w:eastAsia="宋体" w:cs="宋体"/>
          <w:color w:val="auto"/>
          <w:highlight w:val="none"/>
          <w:lang w:eastAsia="zh-CN"/>
        </w:rPr>
      </w:pPr>
    </w:p>
    <w:p w14:paraId="697EA60F">
      <w:pPr>
        <w:kinsoku/>
        <w:spacing w:before="52" w:line="186" w:lineRule="auto"/>
        <w:ind w:left="4336"/>
        <w:rPr>
          <w:rFonts w:ascii="宋体" w:hAnsi="宋体" w:eastAsia="宋体" w:cs="宋体"/>
          <w:color w:val="auto"/>
          <w:sz w:val="18"/>
          <w:szCs w:val="18"/>
          <w:highlight w:val="none"/>
          <w:lang w:eastAsia="zh-CN"/>
        </w:rPr>
      </w:pPr>
    </w:p>
    <w:p w14:paraId="3C974209">
      <w:pPr>
        <w:kinsoku/>
        <w:spacing w:line="186" w:lineRule="auto"/>
        <w:rPr>
          <w:rFonts w:ascii="宋体" w:hAnsi="宋体" w:eastAsia="宋体" w:cs="宋体"/>
          <w:color w:val="auto"/>
          <w:sz w:val="18"/>
          <w:szCs w:val="18"/>
          <w:highlight w:val="none"/>
          <w:lang w:eastAsia="zh-CN"/>
        </w:rPr>
        <w:sectPr>
          <w:headerReference r:id="rId11" w:type="default"/>
          <w:pgSz w:w="11907" w:h="16841"/>
          <w:pgMar w:top="1173" w:right="1498" w:bottom="400" w:left="1560" w:header="862" w:footer="0" w:gutter="0"/>
          <w:cols w:space="720" w:num="1"/>
        </w:sectPr>
      </w:pPr>
    </w:p>
    <w:p w14:paraId="601DBBDD">
      <w:pPr>
        <w:kinsoku/>
        <w:spacing w:before="91" w:line="225" w:lineRule="auto"/>
        <w:ind w:left="1883"/>
        <w:outlineLvl w:val="1"/>
        <w:rPr>
          <w:rFonts w:ascii="宋体" w:hAnsi="宋体" w:eastAsia="宋体" w:cs="宋体"/>
          <w:color w:val="auto"/>
          <w:sz w:val="13"/>
          <w:szCs w:val="13"/>
          <w:highlight w:val="none"/>
          <w:lang w:eastAsia="zh-CN"/>
        </w:rPr>
      </w:pPr>
      <w:bookmarkStart w:id="40" w:name="bookmark46"/>
      <w:bookmarkEnd w:id="40"/>
      <w:bookmarkStart w:id="41" w:name="bookmark47"/>
      <w:bookmarkEnd w:id="41"/>
      <w:bookmarkStart w:id="42" w:name="_Toc32414"/>
      <w:r>
        <w:rPr>
          <w:rFonts w:hint="eastAsia" w:ascii="宋体" w:hAnsi="宋体" w:eastAsia="宋体" w:cs="宋体"/>
          <w:b/>
          <w:bCs/>
          <w:color w:val="auto"/>
          <w:sz w:val="28"/>
          <w:szCs w:val="28"/>
          <w:highlight w:val="none"/>
          <w:lang w:eastAsia="zh-CN"/>
        </w:rPr>
        <w:t>附录</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2</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资格审查条件（业绩最低要求）</w:t>
      </w:r>
      <w:bookmarkEnd w:id="42"/>
    </w:p>
    <w:p w14:paraId="085E4047">
      <w:pPr>
        <w:kinsoku/>
        <w:spacing w:line="230" w:lineRule="exact"/>
        <w:rPr>
          <w:rFonts w:ascii="宋体" w:hAnsi="宋体" w:eastAsia="宋体" w:cs="宋体"/>
          <w:color w:val="auto"/>
          <w:highlight w:val="none"/>
          <w:lang w:eastAsia="zh-CN"/>
        </w:rPr>
      </w:pPr>
    </w:p>
    <w:tbl>
      <w:tblPr>
        <w:tblStyle w:val="21"/>
        <w:tblW w:w="8602" w:type="dxa"/>
        <w:tblInd w:w="1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02"/>
      </w:tblGrid>
      <w:tr w14:paraId="0BC789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8602" w:type="dxa"/>
            <w:vAlign w:val="center"/>
          </w:tcPr>
          <w:p w14:paraId="6148841A">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sz w:val="24"/>
                <w:szCs w:val="24"/>
                <w:highlight w:val="none"/>
              </w:rPr>
              <w:t>业绩要求</w:t>
            </w:r>
          </w:p>
        </w:tc>
      </w:tr>
      <w:tr w14:paraId="328F78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3" w:hRule="atLeast"/>
        </w:trPr>
        <w:tc>
          <w:tcPr>
            <w:tcW w:w="8602" w:type="dxa"/>
          </w:tcPr>
          <w:p w14:paraId="7D727543">
            <w:pPr>
              <w:spacing w:line="360" w:lineRule="auto"/>
              <w:ind w:left="80" w:leftChars="38" w:firstLine="480" w:firstLineChars="200"/>
              <w:rPr>
                <w:rFonts w:ascii="宋体" w:hAnsi="宋体" w:cs="宋体"/>
                <w:bCs/>
                <w:color w:val="auto"/>
                <w:sz w:val="24"/>
                <w:highlight w:val="none"/>
                <w:lang w:eastAsia="zh-CN"/>
              </w:rPr>
            </w:pPr>
            <w:r>
              <w:rPr>
                <w:rFonts w:hint="eastAsia" w:ascii="宋体" w:hAnsi="宋体" w:cs="宋体"/>
                <w:bCs/>
                <w:color w:val="auto"/>
                <w:sz w:val="24"/>
                <w:highlight w:val="none"/>
                <w:lang w:eastAsia="zh-CN"/>
              </w:rPr>
              <w:t>投标人近5年内（自20</w:t>
            </w:r>
            <w:r>
              <w:rPr>
                <w:rFonts w:hint="eastAsia" w:ascii="宋体" w:hAnsi="宋体" w:eastAsia="宋体" w:cs="宋体"/>
                <w:bCs/>
                <w:color w:val="auto"/>
                <w:sz w:val="24"/>
                <w:highlight w:val="none"/>
                <w:lang w:eastAsia="zh-CN"/>
              </w:rPr>
              <w:t>20</w:t>
            </w:r>
            <w:r>
              <w:rPr>
                <w:rFonts w:hint="eastAsia" w:ascii="宋体" w:hAnsi="宋体" w:cs="宋体"/>
                <w:bCs/>
                <w:color w:val="auto"/>
                <w:sz w:val="24"/>
                <w:highlight w:val="none"/>
                <w:lang w:eastAsia="zh-CN"/>
              </w:rPr>
              <w:t>年5月1日至投标文件递交截止之日止）累计完成的类似工程业绩情况：</w:t>
            </w:r>
          </w:p>
          <w:p w14:paraId="6366C3AE">
            <w:pPr>
              <w:spacing w:line="360" w:lineRule="auto"/>
              <w:ind w:left="80" w:leftChars="38" w:firstLine="480" w:firstLineChars="200"/>
              <w:rPr>
                <w:rFonts w:ascii="宋体" w:hAnsi="宋体" w:cs="宋体"/>
                <w:bCs/>
                <w:color w:val="auto"/>
                <w:sz w:val="24"/>
                <w:highlight w:val="none"/>
                <w:lang w:eastAsia="zh-CN"/>
              </w:rPr>
            </w:pPr>
            <w:r>
              <w:rPr>
                <w:rFonts w:hint="eastAsia" w:ascii="宋体" w:hAnsi="宋体" w:cs="宋体"/>
                <w:bCs/>
                <w:color w:val="auto"/>
                <w:sz w:val="24"/>
                <w:highlight w:val="none"/>
                <w:lang w:eastAsia="zh-CN"/>
              </w:rPr>
              <w:t>累计</w:t>
            </w:r>
            <w:r>
              <w:rPr>
                <w:rFonts w:ascii="宋体" w:hAnsi="宋体" w:eastAsia="宋体" w:cs="宋体"/>
                <w:bCs/>
                <w:color w:val="auto"/>
                <w:sz w:val="24"/>
                <w:highlight w:val="none"/>
                <w:lang w:eastAsia="zh-CN"/>
              </w:rPr>
              <w:t>30</w:t>
            </w:r>
            <w:r>
              <w:rPr>
                <w:rFonts w:hint="eastAsia" w:ascii="宋体" w:hAnsi="宋体" w:cs="宋体"/>
                <w:bCs/>
                <w:color w:val="auto"/>
                <w:sz w:val="24"/>
                <w:highlight w:val="none"/>
                <w:lang w:eastAsia="zh-CN"/>
              </w:rPr>
              <w:t>km类似工程的</w:t>
            </w:r>
            <w:r>
              <w:rPr>
                <w:rFonts w:hint="eastAsia" w:ascii="宋体" w:hAnsi="宋体" w:eastAsia="宋体" w:cs="宋体"/>
                <w:bCs/>
                <w:color w:val="auto"/>
                <w:sz w:val="24"/>
                <w:highlight w:val="none"/>
                <w:lang w:eastAsia="zh-CN"/>
              </w:rPr>
              <w:t>土建工程</w:t>
            </w:r>
            <w:r>
              <w:rPr>
                <w:rFonts w:hint="eastAsia" w:ascii="宋体" w:hAnsi="宋体" w:cs="宋体"/>
                <w:bCs/>
                <w:color w:val="auto"/>
                <w:sz w:val="24"/>
                <w:highlight w:val="none"/>
                <w:lang w:eastAsia="zh-CN"/>
              </w:rPr>
              <w:t>勘察设计，且其中有1个合同段（单个合同段不少于15km）类似工程的</w:t>
            </w:r>
            <w:r>
              <w:rPr>
                <w:rFonts w:hint="eastAsia" w:ascii="宋体" w:hAnsi="宋体" w:eastAsia="宋体" w:cs="宋体"/>
                <w:bCs/>
                <w:color w:val="auto"/>
                <w:sz w:val="24"/>
                <w:highlight w:val="none"/>
                <w:lang w:eastAsia="zh-CN"/>
              </w:rPr>
              <w:t>土建工程</w:t>
            </w:r>
            <w:r>
              <w:rPr>
                <w:rFonts w:hint="eastAsia" w:ascii="宋体" w:hAnsi="宋体" w:cs="宋体"/>
                <w:bCs/>
                <w:color w:val="auto"/>
                <w:sz w:val="24"/>
                <w:highlight w:val="none"/>
                <w:lang w:eastAsia="zh-CN"/>
              </w:rPr>
              <w:t>勘察设计。</w:t>
            </w:r>
          </w:p>
          <w:p w14:paraId="6839218B">
            <w:pPr>
              <w:spacing w:line="360" w:lineRule="auto"/>
              <w:ind w:left="80" w:leftChars="38" w:firstLine="480" w:firstLineChars="200"/>
              <w:rPr>
                <w:rFonts w:ascii="宋体" w:hAnsi="宋体" w:cs="宋体"/>
                <w:bCs/>
                <w:color w:val="auto"/>
                <w:sz w:val="24"/>
                <w:highlight w:val="none"/>
                <w:lang w:eastAsia="zh-CN"/>
              </w:rPr>
            </w:pPr>
            <w:r>
              <w:rPr>
                <w:rFonts w:hint="eastAsia" w:ascii="宋体" w:hAnsi="宋体" w:cs="宋体"/>
                <w:bCs/>
                <w:color w:val="auto"/>
                <w:sz w:val="24"/>
                <w:highlight w:val="none"/>
                <w:lang w:eastAsia="zh-CN"/>
              </w:rPr>
              <w:t>累计2座类似工程的桥梁工程勘察设计。</w:t>
            </w:r>
          </w:p>
        </w:tc>
      </w:tr>
    </w:tbl>
    <w:p w14:paraId="25510B4E">
      <w:pPr>
        <w:ind w:left="630" w:leftChars="100" w:hanging="420" w:hangingChars="200"/>
        <w:rPr>
          <w:rFonts w:ascii="宋体" w:hAnsi="宋体" w:cs="宋体"/>
          <w:color w:val="auto"/>
          <w:highlight w:val="none"/>
          <w:lang w:eastAsia="zh-CN"/>
        </w:rPr>
      </w:pPr>
      <w:r>
        <w:rPr>
          <w:rFonts w:hint="eastAsia" w:ascii="宋体" w:hAnsi="宋体" w:cs="宋体"/>
          <w:color w:val="auto"/>
          <w:highlight w:val="none"/>
          <w:lang w:eastAsia="zh-CN"/>
        </w:rPr>
        <w:t>注：</w:t>
      </w:r>
    </w:p>
    <w:p w14:paraId="701C4ED9">
      <w:pPr>
        <w:ind w:left="220" w:leftChars="105" w:firstLine="417" w:firstLineChars="199"/>
        <w:rPr>
          <w:rFonts w:ascii="宋体" w:hAnsi="宋体" w:cs="宋体"/>
          <w:color w:val="auto"/>
          <w:highlight w:val="none"/>
          <w:lang w:eastAsia="zh-CN"/>
        </w:rPr>
      </w:pPr>
      <w:r>
        <w:rPr>
          <w:rFonts w:ascii="宋体" w:hAnsi="宋体" w:cs="宋体"/>
          <w:color w:val="auto"/>
          <w:highlight w:val="none"/>
          <w:lang w:eastAsia="zh-CN"/>
        </w:rPr>
        <w:t>1.若投标人提供的业绩证明为联合体业绩，则按交通运输部“</w:t>
      </w:r>
      <w:r>
        <w:rPr>
          <w:rFonts w:hint="eastAsia" w:ascii="宋体" w:hAnsi="宋体" w:cs="宋体"/>
          <w:color w:val="auto"/>
          <w:highlight w:val="none"/>
          <w:lang w:eastAsia="zh-CN"/>
        </w:rPr>
        <w:t>全国公路建设市场监督管理系统</w:t>
      </w:r>
      <w:r>
        <w:rPr>
          <w:rFonts w:ascii="宋体" w:hAnsi="宋体" w:cs="宋体"/>
          <w:color w:val="auto"/>
          <w:highlight w:val="none"/>
          <w:lang w:eastAsia="zh-CN"/>
        </w:rPr>
        <w:t>”业绩信息的网页截图体现其完成的工作量认定，无法界定其完成的工作量，此业绩不予认定。</w:t>
      </w:r>
    </w:p>
    <w:p w14:paraId="1A7233FA">
      <w:pPr>
        <w:ind w:left="220" w:leftChars="105" w:firstLine="417" w:firstLineChars="19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2.类似工程是指新建、改建、扩建一级以上（含一级）公路项目。</w:t>
      </w:r>
    </w:p>
    <w:p w14:paraId="7B74A565">
      <w:pPr>
        <w:ind w:left="220" w:leftChars="105" w:firstLine="417" w:firstLineChars="199"/>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lang w:eastAsia="zh-CN"/>
        </w:rPr>
        <w:t>如果一个项目同时满足上述多项业绩要求的，均可算作满足要求。</w:t>
      </w:r>
    </w:p>
    <w:p w14:paraId="4C5B21FD">
      <w:pPr>
        <w:kinsoku/>
        <w:rPr>
          <w:rFonts w:ascii="宋体" w:hAnsi="宋体" w:eastAsia="宋体" w:cs="宋体"/>
          <w:b/>
          <w:bCs/>
          <w:color w:val="auto"/>
          <w:sz w:val="28"/>
          <w:szCs w:val="28"/>
          <w:highlight w:val="none"/>
          <w:lang w:eastAsia="zh-CN"/>
        </w:rPr>
      </w:pPr>
      <w:bookmarkStart w:id="43" w:name="bookmark49"/>
      <w:bookmarkEnd w:id="43"/>
      <w:bookmarkStart w:id="44" w:name="bookmark48"/>
      <w:bookmarkEnd w:id="44"/>
      <w:r>
        <w:rPr>
          <w:rFonts w:hint="eastAsia" w:ascii="宋体" w:hAnsi="宋体" w:eastAsia="宋体" w:cs="宋体"/>
          <w:b/>
          <w:bCs/>
          <w:color w:val="auto"/>
          <w:sz w:val="28"/>
          <w:szCs w:val="28"/>
          <w:highlight w:val="none"/>
          <w:lang w:eastAsia="zh-CN"/>
        </w:rPr>
        <w:br w:type="page"/>
      </w:r>
    </w:p>
    <w:p w14:paraId="1FCC0823">
      <w:pPr>
        <w:kinsoku/>
        <w:spacing w:before="91" w:line="225" w:lineRule="auto"/>
        <w:ind w:left="1883"/>
        <w:outlineLvl w:val="1"/>
        <w:rPr>
          <w:rFonts w:ascii="宋体" w:hAnsi="宋体" w:eastAsia="宋体" w:cs="宋体"/>
          <w:color w:val="auto"/>
          <w:sz w:val="13"/>
          <w:szCs w:val="13"/>
          <w:highlight w:val="none"/>
          <w:lang w:eastAsia="zh-CN"/>
        </w:rPr>
      </w:pPr>
      <w:bookmarkStart w:id="45" w:name="_Toc16967"/>
      <w:r>
        <w:rPr>
          <w:rFonts w:hint="eastAsia" w:ascii="宋体" w:hAnsi="宋体" w:eastAsia="宋体" w:cs="宋体"/>
          <w:b/>
          <w:bCs/>
          <w:color w:val="auto"/>
          <w:sz w:val="28"/>
          <w:szCs w:val="28"/>
          <w:highlight w:val="none"/>
          <w:lang w:eastAsia="zh-CN"/>
        </w:rPr>
        <w:t>附录</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3</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资格审查条件（信誉最低要求）</w:t>
      </w:r>
      <w:bookmarkEnd w:id="45"/>
    </w:p>
    <w:p w14:paraId="3CF23440">
      <w:pPr>
        <w:kinsoku/>
        <w:spacing w:line="230" w:lineRule="exact"/>
        <w:rPr>
          <w:rFonts w:ascii="宋体" w:hAnsi="宋体" w:eastAsia="宋体" w:cs="宋体"/>
          <w:color w:val="auto"/>
          <w:highlight w:val="none"/>
          <w:lang w:eastAsia="zh-CN"/>
        </w:rPr>
      </w:pPr>
    </w:p>
    <w:tbl>
      <w:tblPr>
        <w:tblStyle w:val="21"/>
        <w:tblW w:w="8602" w:type="dxa"/>
        <w:tblInd w:w="1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02"/>
      </w:tblGrid>
      <w:tr w14:paraId="723D1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3" w:hRule="atLeast"/>
        </w:trPr>
        <w:tc>
          <w:tcPr>
            <w:tcW w:w="8602" w:type="dxa"/>
            <w:vAlign w:val="center"/>
          </w:tcPr>
          <w:p w14:paraId="3EF9755D">
            <w:pPr>
              <w:kinsoku/>
              <w:spacing w:before="69" w:line="220" w:lineRule="auto"/>
              <w:jc w:val="center"/>
              <w:rPr>
                <w:rFonts w:ascii="宋体" w:hAnsi="宋体" w:eastAsia="宋体" w:cs="宋体"/>
                <w:color w:val="auto"/>
                <w:highlight w:val="none"/>
              </w:rPr>
            </w:pPr>
            <w:r>
              <w:rPr>
                <w:rFonts w:hint="eastAsia" w:ascii="宋体" w:hAnsi="宋体" w:eastAsia="宋体" w:cs="宋体"/>
                <w:color w:val="auto"/>
                <w:sz w:val="24"/>
                <w:szCs w:val="24"/>
                <w:highlight w:val="none"/>
              </w:rPr>
              <w:t>信誉要求</w:t>
            </w:r>
          </w:p>
        </w:tc>
      </w:tr>
      <w:tr w14:paraId="469E13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08" w:hRule="atLeast"/>
        </w:trPr>
        <w:tc>
          <w:tcPr>
            <w:tcW w:w="8602" w:type="dxa"/>
          </w:tcPr>
          <w:p w14:paraId="7A4563E6">
            <w:pPr>
              <w:spacing w:line="400" w:lineRule="exact"/>
              <w:ind w:left="80" w:leftChars="38" w:right="97" w:rightChars="46" w:firstLine="480" w:firstLineChars="200"/>
              <w:contextualSpacing/>
              <w:jc w:val="both"/>
              <w:rPr>
                <w:rFonts w:ascii="宋体" w:hAnsi="宋体" w:cs="宋体"/>
                <w:color w:val="auto"/>
                <w:sz w:val="24"/>
                <w:highlight w:val="none"/>
                <w:lang w:eastAsia="zh-CN"/>
              </w:rPr>
            </w:pPr>
            <w:r>
              <w:rPr>
                <w:rFonts w:hint="eastAsia" w:ascii="宋体" w:hAnsi="宋体" w:cs="宋体"/>
                <w:color w:val="auto"/>
                <w:sz w:val="24"/>
                <w:highlight w:val="none"/>
                <w:lang w:eastAsia="zh-CN"/>
              </w:rPr>
              <w:t>在最新年度广东省公路工程从业单位（设计单位）信用评价（含无最新年度而上一年度有信用评价）中，信用等级未被评为D级；</w:t>
            </w:r>
          </w:p>
          <w:p w14:paraId="2B3F3AFE">
            <w:pPr>
              <w:spacing w:line="400" w:lineRule="exact"/>
              <w:ind w:left="80" w:leftChars="38" w:right="97" w:rightChars="46" w:firstLine="480" w:firstLineChars="200"/>
              <w:contextualSpacing/>
              <w:jc w:val="both"/>
              <w:rPr>
                <w:rFonts w:ascii="宋体" w:hAnsi="宋体" w:eastAsia="宋体" w:cs="宋体"/>
                <w:color w:val="auto"/>
                <w:highlight w:val="none"/>
                <w:lang w:eastAsia="zh-CN"/>
              </w:rPr>
            </w:pPr>
            <w:r>
              <w:rPr>
                <w:rFonts w:hint="eastAsia" w:ascii="宋体" w:hAnsi="宋体" w:cs="宋体"/>
                <w:color w:val="auto"/>
                <w:sz w:val="24"/>
                <w:highlight w:val="none"/>
                <w:lang w:eastAsia="zh-CN"/>
              </w:rPr>
              <w:t>初次进入广东省的投标人，在最新年度全国公路从业单位（勘察设计单位）信用评价结果中未被评为D级。</w:t>
            </w:r>
          </w:p>
        </w:tc>
      </w:tr>
    </w:tbl>
    <w:p w14:paraId="3C593A9D">
      <w:pPr>
        <w:ind w:left="420" w:leftChars="200"/>
        <w:rPr>
          <w:rFonts w:ascii="宋体" w:hAnsi="宋体" w:cs="宋体"/>
          <w:color w:val="auto"/>
          <w:highlight w:val="none"/>
          <w:lang w:eastAsia="zh-CN"/>
        </w:rPr>
      </w:pPr>
      <w:bookmarkStart w:id="46" w:name="bookmark50"/>
      <w:bookmarkEnd w:id="46"/>
      <w:bookmarkStart w:id="47" w:name="bookmark51"/>
      <w:bookmarkEnd w:id="47"/>
    </w:p>
    <w:p w14:paraId="0A60F003">
      <w:pPr>
        <w:ind w:left="420" w:leftChars="200"/>
        <w:rPr>
          <w:rFonts w:ascii="宋体" w:hAnsi="宋体" w:eastAsia="宋体" w:cs="宋体"/>
          <w:b/>
          <w:bCs/>
          <w:color w:val="auto"/>
          <w:sz w:val="28"/>
          <w:szCs w:val="28"/>
          <w:highlight w:val="none"/>
          <w:lang w:eastAsia="zh-CN"/>
        </w:rPr>
      </w:pPr>
      <w:r>
        <w:rPr>
          <w:rFonts w:hint="eastAsia" w:ascii="宋体" w:hAnsi="宋体" w:cs="宋体"/>
          <w:color w:val="auto"/>
          <w:highlight w:val="none"/>
          <w:lang w:eastAsia="zh-CN"/>
        </w:rPr>
        <w:t>注：信用等级的确定原则遵循投标人须知前附表10.2款的规定。</w:t>
      </w:r>
      <w:r>
        <w:rPr>
          <w:rFonts w:hint="eastAsia" w:ascii="宋体" w:hAnsi="宋体" w:eastAsia="宋体" w:cs="宋体"/>
          <w:b/>
          <w:bCs/>
          <w:color w:val="auto"/>
          <w:sz w:val="28"/>
          <w:szCs w:val="28"/>
          <w:highlight w:val="none"/>
          <w:lang w:eastAsia="zh-CN"/>
        </w:rPr>
        <w:br w:type="page"/>
      </w:r>
    </w:p>
    <w:p w14:paraId="2039A6D6">
      <w:pPr>
        <w:kinsoku/>
        <w:spacing w:before="91" w:line="224" w:lineRule="auto"/>
        <w:ind w:left="1461"/>
        <w:outlineLvl w:val="1"/>
        <w:rPr>
          <w:rFonts w:ascii="宋体" w:hAnsi="宋体" w:eastAsia="宋体" w:cs="宋体"/>
          <w:color w:val="auto"/>
          <w:sz w:val="13"/>
          <w:szCs w:val="13"/>
          <w:highlight w:val="none"/>
          <w:lang w:eastAsia="zh-CN"/>
        </w:rPr>
      </w:pPr>
      <w:bookmarkStart w:id="48" w:name="_Toc8224"/>
      <w:r>
        <w:rPr>
          <w:rFonts w:hint="eastAsia" w:ascii="宋体" w:hAnsi="宋体" w:eastAsia="宋体" w:cs="宋体"/>
          <w:b/>
          <w:bCs/>
          <w:color w:val="auto"/>
          <w:sz w:val="28"/>
          <w:szCs w:val="28"/>
          <w:highlight w:val="none"/>
          <w:lang w:eastAsia="zh-CN"/>
        </w:rPr>
        <w:t>附录</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4</w:t>
      </w:r>
      <w:r>
        <w:rPr>
          <w:rFonts w:hint="eastAsia" w:ascii="宋体" w:hAnsi="宋体" w:eastAsia="宋体" w:cs="宋体"/>
          <w:color w:val="auto"/>
          <w:sz w:val="28"/>
          <w:szCs w:val="28"/>
          <w:highlight w:val="none"/>
          <w:lang w:eastAsia="zh-CN"/>
        </w:rPr>
        <w:t xml:space="preserve">  </w:t>
      </w:r>
      <w:r>
        <w:rPr>
          <w:rFonts w:hint="eastAsia" w:ascii="宋体" w:hAnsi="宋体" w:eastAsia="宋体" w:cs="宋体"/>
          <w:b/>
          <w:bCs/>
          <w:color w:val="auto"/>
          <w:sz w:val="28"/>
          <w:szCs w:val="28"/>
          <w:highlight w:val="none"/>
          <w:lang w:eastAsia="zh-CN"/>
        </w:rPr>
        <w:t>资格审查条件（项目负责人最低要求）</w:t>
      </w:r>
      <w:bookmarkEnd w:id="48"/>
    </w:p>
    <w:p w14:paraId="446AADAB">
      <w:pPr>
        <w:kinsoku/>
        <w:spacing w:line="231" w:lineRule="exact"/>
        <w:rPr>
          <w:rFonts w:ascii="宋体" w:hAnsi="宋体" w:eastAsia="宋体" w:cs="宋体"/>
          <w:color w:val="auto"/>
          <w:highlight w:val="none"/>
          <w:lang w:eastAsia="zh-CN"/>
        </w:rPr>
      </w:pPr>
    </w:p>
    <w:tbl>
      <w:tblPr>
        <w:tblStyle w:val="21"/>
        <w:tblW w:w="8782" w:type="dxa"/>
        <w:tblInd w:w="3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4"/>
        <w:gridCol w:w="1746"/>
        <w:gridCol w:w="4892"/>
      </w:tblGrid>
      <w:tr w14:paraId="057D5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2144" w:type="dxa"/>
          </w:tcPr>
          <w:p w14:paraId="138376C0">
            <w:pPr>
              <w:kinsoku/>
              <w:spacing w:before="204" w:line="222"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人员</w:t>
            </w:r>
          </w:p>
        </w:tc>
        <w:tc>
          <w:tcPr>
            <w:tcW w:w="1746" w:type="dxa"/>
          </w:tcPr>
          <w:p w14:paraId="222BD1BF">
            <w:pPr>
              <w:kinsoku/>
              <w:spacing w:before="204" w:line="221" w:lineRule="auto"/>
              <w:ind w:left="561"/>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892" w:type="dxa"/>
          </w:tcPr>
          <w:p w14:paraId="374B4A2B">
            <w:pPr>
              <w:kinsoku/>
              <w:spacing w:before="204" w:line="221" w:lineRule="auto"/>
              <w:ind w:left="1883"/>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资格要求</w:t>
            </w:r>
          </w:p>
        </w:tc>
      </w:tr>
      <w:tr w14:paraId="685E1A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08" w:hRule="atLeast"/>
        </w:trPr>
        <w:tc>
          <w:tcPr>
            <w:tcW w:w="2144" w:type="dxa"/>
            <w:vAlign w:val="center"/>
          </w:tcPr>
          <w:p w14:paraId="13782C2D">
            <w:pPr>
              <w:kinsoku/>
              <w:spacing w:before="68" w:line="221"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项目负责人</w:t>
            </w:r>
          </w:p>
        </w:tc>
        <w:tc>
          <w:tcPr>
            <w:tcW w:w="1746" w:type="dxa"/>
            <w:vAlign w:val="center"/>
          </w:tcPr>
          <w:p w14:paraId="3EE86978">
            <w:pPr>
              <w:kinsoku/>
              <w:jc w:val="center"/>
              <w:rPr>
                <w:rFonts w:ascii="宋体" w:hAnsi="宋体" w:eastAsia="宋体" w:cs="宋体"/>
                <w:color w:val="auto"/>
                <w:sz w:val="24"/>
                <w:szCs w:val="24"/>
                <w:highlight w:val="none"/>
              </w:rPr>
            </w:pPr>
            <w:r>
              <w:rPr>
                <w:rFonts w:hint="eastAsia" w:ascii="宋体" w:hAnsi="宋体" w:cs="宋体"/>
                <w:color w:val="auto"/>
                <w:sz w:val="24"/>
                <w:szCs w:val="24"/>
                <w:highlight w:val="none"/>
              </w:rPr>
              <w:t>1</w:t>
            </w:r>
          </w:p>
        </w:tc>
        <w:tc>
          <w:tcPr>
            <w:tcW w:w="4892" w:type="dxa"/>
            <w:vAlign w:val="center"/>
          </w:tcPr>
          <w:p w14:paraId="14AEDBA2">
            <w:pPr>
              <w:kinsoku/>
              <w:ind w:left="80" w:leftChars="38" w:right="86" w:rightChars="41"/>
              <w:jc w:val="both"/>
              <w:rPr>
                <w:rFonts w:ascii="宋体" w:hAnsi="宋体" w:eastAsia="宋体" w:cs="宋体"/>
                <w:color w:val="auto"/>
                <w:sz w:val="24"/>
                <w:szCs w:val="24"/>
                <w:highlight w:val="none"/>
                <w:lang w:eastAsia="zh-CN"/>
              </w:rPr>
            </w:pPr>
            <w:r>
              <w:rPr>
                <w:rFonts w:hint="eastAsia" w:ascii="宋体" w:hAnsi="宋体" w:cs="宋体"/>
                <w:color w:val="auto"/>
                <w:sz w:val="24"/>
                <w:highlight w:val="none"/>
                <w:lang w:eastAsia="zh-CN"/>
              </w:rPr>
              <w:t>路桥相关专业高级工程师以上（含高级工程师）职称，近5年内（</w:t>
            </w:r>
            <w:r>
              <w:rPr>
                <w:rFonts w:hint="eastAsia" w:ascii="宋体" w:hAnsi="宋体" w:cs="宋体"/>
                <w:bCs/>
                <w:color w:val="auto"/>
                <w:sz w:val="24"/>
                <w:highlight w:val="none"/>
                <w:lang w:eastAsia="zh-CN"/>
              </w:rPr>
              <w:t>自20</w:t>
            </w:r>
            <w:r>
              <w:rPr>
                <w:rFonts w:hint="eastAsia" w:ascii="宋体" w:hAnsi="宋体" w:eastAsia="宋体" w:cs="宋体"/>
                <w:bCs/>
                <w:color w:val="auto"/>
                <w:sz w:val="24"/>
                <w:highlight w:val="none"/>
                <w:lang w:eastAsia="zh-CN"/>
              </w:rPr>
              <w:t>20</w:t>
            </w:r>
            <w:r>
              <w:rPr>
                <w:rFonts w:hint="eastAsia" w:ascii="宋体" w:hAnsi="宋体" w:cs="宋体"/>
                <w:bCs/>
                <w:color w:val="auto"/>
                <w:sz w:val="24"/>
                <w:highlight w:val="none"/>
                <w:lang w:eastAsia="zh-CN"/>
              </w:rPr>
              <w:t>年5月1日至投标文件递交截止之日止</w:t>
            </w:r>
            <w:r>
              <w:rPr>
                <w:rFonts w:hint="eastAsia" w:ascii="宋体" w:hAnsi="宋体" w:cs="宋体"/>
                <w:color w:val="auto"/>
                <w:sz w:val="24"/>
                <w:highlight w:val="none"/>
                <w:lang w:eastAsia="zh-CN"/>
              </w:rPr>
              <w:t>）作为项目负责人主持过1个合同段类似工程的勘察设计工作。</w:t>
            </w:r>
          </w:p>
        </w:tc>
      </w:tr>
    </w:tbl>
    <w:p w14:paraId="77156AB8">
      <w:pPr>
        <w:kinsoku/>
        <w:rPr>
          <w:rFonts w:ascii="宋体" w:hAnsi="宋体" w:eastAsia="宋体" w:cs="宋体"/>
          <w:color w:val="auto"/>
          <w:highlight w:val="none"/>
          <w:lang w:eastAsia="zh-CN"/>
        </w:rPr>
      </w:pPr>
    </w:p>
    <w:p w14:paraId="10DD342A">
      <w:pPr>
        <w:kinsoku/>
        <w:spacing w:line="354" w:lineRule="auto"/>
        <w:rPr>
          <w:rFonts w:ascii="宋体" w:hAnsi="宋体" w:cs="宋体"/>
          <w:color w:val="auto"/>
          <w:highlight w:val="none"/>
          <w:lang w:eastAsia="zh-CN"/>
        </w:rPr>
      </w:pPr>
      <w:r>
        <w:rPr>
          <w:rFonts w:hint="eastAsia" w:ascii="宋体" w:hAnsi="宋体" w:cs="宋体"/>
          <w:color w:val="auto"/>
          <w:highlight w:val="none"/>
          <w:lang w:eastAsia="zh-CN"/>
        </w:rPr>
        <w:t>注：类似工程是指新建、改建、扩建</w:t>
      </w:r>
      <w:r>
        <w:rPr>
          <w:rFonts w:hint="eastAsia" w:ascii="宋体" w:hAnsi="宋体" w:eastAsia="宋体" w:cs="宋体"/>
          <w:color w:val="auto"/>
          <w:highlight w:val="none"/>
          <w:lang w:eastAsia="zh-CN"/>
        </w:rPr>
        <w:t>一</w:t>
      </w:r>
      <w:r>
        <w:rPr>
          <w:rFonts w:hint="eastAsia" w:ascii="宋体" w:hAnsi="宋体" w:cs="宋体"/>
          <w:color w:val="auto"/>
          <w:highlight w:val="none"/>
          <w:lang w:eastAsia="zh-CN"/>
        </w:rPr>
        <w:t>级以上（含</w:t>
      </w:r>
      <w:r>
        <w:rPr>
          <w:rFonts w:hint="eastAsia" w:ascii="宋体" w:hAnsi="宋体" w:eastAsia="宋体" w:cs="宋体"/>
          <w:color w:val="auto"/>
          <w:highlight w:val="none"/>
          <w:lang w:eastAsia="zh-CN"/>
        </w:rPr>
        <w:t>一</w:t>
      </w:r>
      <w:r>
        <w:rPr>
          <w:rFonts w:hint="eastAsia" w:ascii="宋体" w:hAnsi="宋体" w:cs="宋体"/>
          <w:color w:val="auto"/>
          <w:highlight w:val="none"/>
          <w:lang w:eastAsia="zh-CN"/>
        </w:rPr>
        <w:t>级）公路项目</w:t>
      </w:r>
    </w:p>
    <w:p w14:paraId="6D0C8C66">
      <w:pPr>
        <w:kinsoku/>
        <w:spacing w:line="354" w:lineRule="auto"/>
        <w:rPr>
          <w:rFonts w:ascii="宋体" w:hAnsi="宋体" w:cs="宋体"/>
          <w:color w:val="auto"/>
          <w:highlight w:val="none"/>
          <w:lang w:eastAsia="zh-CN"/>
        </w:rPr>
      </w:pPr>
    </w:p>
    <w:p w14:paraId="40884998">
      <w:pPr>
        <w:kinsoku/>
        <w:spacing w:before="91" w:line="224" w:lineRule="auto"/>
        <w:ind w:left="1461"/>
        <w:outlineLvl w:val="1"/>
        <w:rPr>
          <w:rFonts w:ascii="宋体" w:hAnsi="宋体" w:eastAsia="宋体" w:cs="宋体"/>
          <w:b/>
          <w:bCs/>
          <w:color w:val="auto"/>
          <w:sz w:val="28"/>
          <w:szCs w:val="28"/>
          <w:highlight w:val="none"/>
          <w:lang w:eastAsia="zh-CN"/>
        </w:rPr>
      </w:pPr>
    </w:p>
    <w:p w14:paraId="0E13E219">
      <w:pPr>
        <w:kinsoku/>
        <w:rPr>
          <w:rFonts w:ascii="宋体" w:hAnsi="宋体" w:eastAsia="宋体" w:cs="宋体"/>
          <w:b/>
          <w:bCs/>
          <w:color w:val="auto"/>
          <w:sz w:val="28"/>
          <w:szCs w:val="28"/>
          <w:highlight w:val="none"/>
          <w:lang w:eastAsia="zh-CN"/>
        </w:rPr>
      </w:pPr>
      <w:bookmarkStart w:id="49" w:name="bookmark53"/>
      <w:bookmarkEnd w:id="49"/>
      <w:bookmarkStart w:id="50" w:name="bookmark52"/>
      <w:bookmarkEnd w:id="50"/>
      <w:r>
        <w:rPr>
          <w:rFonts w:hint="eastAsia" w:ascii="宋体" w:hAnsi="宋体" w:eastAsia="宋体" w:cs="宋体"/>
          <w:b/>
          <w:bCs/>
          <w:color w:val="auto"/>
          <w:sz w:val="28"/>
          <w:szCs w:val="28"/>
          <w:highlight w:val="none"/>
          <w:lang w:eastAsia="zh-CN"/>
        </w:rPr>
        <w:br w:type="page"/>
      </w:r>
    </w:p>
    <w:p w14:paraId="17127A89">
      <w:pPr>
        <w:kinsoku/>
        <w:spacing w:before="91" w:line="219" w:lineRule="auto"/>
        <w:ind w:left="54"/>
        <w:outlineLvl w:val="2"/>
        <w:rPr>
          <w:rFonts w:ascii="宋体" w:hAnsi="宋体" w:eastAsia="宋体" w:cs="宋体"/>
          <w:b/>
          <w:bCs/>
          <w:color w:val="auto"/>
          <w:sz w:val="28"/>
          <w:szCs w:val="28"/>
          <w:highlight w:val="none"/>
          <w:lang w:eastAsia="zh-CN"/>
        </w:rPr>
      </w:pPr>
      <w:bookmarkStart w:id="51" w:name="bookmark54"/>
      <w:bookmarkEnd w:id="51"/>
      <w:bookmarkStart w:id="52" w:name="bookmark57"/>
      <w:bookmarkEnd w:id="52"/>
      <w:bookmarkStart w:id="53" w:name="bookmark55"/>
      <w:bookmarkEnd w:id="53"/>
      <w:bookmarkStart w:id="54" w:name="_Toc11530"/>
      <w:r>
        <w:rPr>
          <w:rFonts w:hint="eastAsia" w:ascii="宋体" w:hAnsi="宋体" w:eastAsia="宋体" w:cs="宋体"/>
          <w:b/>
          <w:bCs/>
          <w:color w:val="auto"/>
          <w:sz w:val="28"/>
          <w:szCs w:val="28"/>
          <w:highlight w:val="none"/>
          <w:lang w:eastAsia="zh-CN"/>
        </w:rPr>
        <w:t>1. 总则</w:t>
      </w:r>
      <w:bookmarkEnd w:id="54"/>
    </w:p>
    <w:p w14:paraId="69164FB6">
      <w:pPr>
        <w:kinsoku/>
        <w:spacing w:before="264" w:line="218" w:lineRule="auto"/>
        <w:ind w:left="50"/>
        <w:outlineLvl w:val="2"/>
        <w:rPr>
          <w:rFonts w:ascii="宋体" w:hAnsi="宋体" w:eastAsia="宋体" w:cs="宋体"/>
          <w:b/>
          <w:bCs/>
          <w:color w:val="auto"/>
          <w:sz w:val="24"/>
          <w:szCs w:val="24"/>
          <w:highlight w:val="none"/>
          <w:lang w:eastAsia="zh-CN"/>
        </w:rPr>
      </w:pPr>
      <w:bookmarkStart w:id="55" w:name="bookmark56"/>
      <w:bookmarkEnd w:id="55"/>
      <w:bookmarkStart w:id="56" w:name="_Toc28699"/>
      <w:r>
        <w:rPr>
          <w:rFonts w:hint="eastAsia" w:ascii="宋体" w:hAnsi="宋体" w:eastAsia="宋体" w:cs="宋体"/>
          <w:b/>
          <w:bCs/>
          <w:color w:val="auto"/>
          <w:sz w:val="24"/>
          <w:szCs w:val="24"/>
          <w:highlight w:val="none"/>
          <w:lang w:eastAsia="zh-CN"/>
        </w:rPr>
        <w:t>1.1 项目概况</w:t>
      </w:r>
      <w:bookmarkEnd w:id="56"/>
    </w:p>
    <w:p w14:paraId="273AC639">
      <w:pPr>
        <w:kinsoku/>
        <w:spacing w:before="78" w:line="298" w:lineRule="auto"/>
        <w:ind w:left="39" w:firstLine="497"/>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 根据《中华人民共和国招标投标法》《中华人民共和国招标投标法实施条例》《公路工程建设项目招标投标管理办法》等有关法律、法规和规章的规定，本招标项目已具备招标条件，现对本标段勘察设计进行招标。</w:t>
      </w:r>
    </w:p>
    <w:p w14:paraId="590130EE">
      <w:pPr>
        <w:kinsoku/>
        <w:spacing w:before="36"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 本招标项目招标人：见投标人须知前附表。</w:t>
      </w:r>
    </w:p>
    <w:p w14:paraId="233FC518">
      <w:pPr>
        <w:kinsoku/>
        <w:spacing w:before="114"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1.1.3 本标段招标代理机构：见投标人须知前附表。</w:t>
      </w:r>
    </w:p>
    <w:p w14:paraId="4C8D1841">
      <w:pPr>
        <w:kinsoku/>
        <w:spacing w:before="116"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1.1.4 本招标项目名称：见投标人须知前附表。</w:t>
      </w:r>
    </w:p>
    <w:p w14:paraId="16354A79">
      <w:pPr>
        <w:kinsoku/>
        <w:spacing w:before="116"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1.1.5 本标段建设地点：见投标人须知前附表。</w:t>
      </w:r>
    </w:p>
    <w:p w14:paraId="07626662">
      <w:pPr>
        <w:kinsoku/>
        <w:spacing w:before="113"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1.1.6 本标段建设规模：见投标人须知前附表。</w:t>
      </w:r>
    </w:p>
    <w:p w14:paraId="2771ECD9">
      <w:pPr>
        <w:kinsoku/>
        <w:spacing w:before="117" w:line="218" w:lineRule="auto"/>
        <w:ind w:left="536"/>
        <w:rPr>
          <w:rFonts w:ascii="宋体" w:hAnsi="宋体" w:eastAsia="宋体" w:cs="宋体"/>
          <w:color w:val="auto"/>
          <w:sz w:val="24"/>
          <w:szCs w:val="24"/>
          <w:highlight w:val="none"/>
          <w:lang w:eastAsia="zh-CN"/>
        </w:rPr>
      </w:pPr>
      <w:bookmarkStart w:id="57" w:name="bookmark59"/>
      <w:bookmarkEnd w:id="57"/>
      <w:r>
        <w:rPr>
          <w:rFonts w:hint="eastAsia" w:ascii="宋体" w:hAnsi="宋体" w:eastAsia="宋体" w:cs="宋体"/>
          <w:color w:val="auto"/>
          <w:sz w:val="24"/>
          <w:szCs w:val="24"/>
          <w:highlight w:val="none"/>
          <w:lang w:eastAsia="zh-CN"/>
        </w:rPr>
        <w:t>1.1.7 本标段投资估算：见投标人须知前附表。</w:t>
      </w:r>
    </w:p>
    <w:p w14:paraId="6A5D4887">
      <w:pPr>
        <w:kinsoku/>
        <w:spacing w:before="268" w:line="218" w:lineRule="auto"/>
        <w:ind w:left="50"/>
        <w:outlineLvl w:val="2"/>
        <w:rPr>
          <w:rFonts w:ascii="宋体" w:hAnsi="宋体" w:eastAsia="宋体" w:cs="宋体"/>
          <w:b/>
          <w:bCs/>
          <w:color w:val="auto"/>
          <w:sz w:val="24"/>
          <w:szCs w:val="24"/>
          <w:highlight w:val="none"/>
          <w:lang w:eastAsia="zh-CN"/>
        </w:rPr>
      </w:pPr>
      <w:bookmarkStart w:id="58" w:name="bookmark58"/>
      <w:bookmarkEnd w:id="58"/>
      <w:bookmarkStart w:id="59" w:name="_Toc4586"/>
      <w:r>
        <w:rPr>
          <w:rFonts w:hint="eastAsia" w:ascii="宋体" w:hAnsi="宋体" w:eastAsia="宋体" w:cs="宋体"/>
          <w:b/>
          <w:bCs/>
          <w:color w:val="auto"/>
          <w:sz w:val="24"/>
          <w:szCs w:val="24"/>
          <w:highlight w:val="none"/>
          <w:lang w:eastAsia="zh-CN"/>
        </w:rPr>
        <w:t>1.2 招标项目的资金来源和落实情况</w:t>
      </w:r>
      <w:bookmarkEnd w:id="59"/>
    </w:p>
    <w:p w14:paraId="66D8D011">
      <w:pPr>
        <w:kinsoku/>
        <w:spacing w:before="79"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 资金来源及比例：见投标人须知前附表。</w:t>
      </w:r>
    </w:p>
    <w:p w14:paraId="39F27269">
      <w:pPr>
        <w:kinsoku/>
        <w:spacing w:before="117" w:line="219" w:lineRule="auto"/>
        <w:ind w:left="536"/>
        <w:rPr>
          <w:rFonts w:ascii="宋体" w:hAnsi="宋体" w:eastAsia="宋体" w:cs="宋体"/>
          <w:color w:val="auto"/>
          <w:sz w:val="24"/>
          <w:szCs w:val="24"/>
          <w:highlight w:val="none"/>
          <w:lang w:eastAsia="zh-CN"/>
        </w:rPr>
      </w:pPr>
      <w:bookmarkStart w:id="60" w:name="bookmark61"/>
      <w:bookmarkEnd w:id="60"/>
      <w:r>
        <w:rPr>
          <w:rFonts w:hint="eastAsia" w:ascii="宋体" w:hAnsi="宋体" w:eastAsia="宋体" w:cs="宋体"/>
          <w:color w:val="auto"/>
          <w:sz w:val="24"/>
          <w:szCs w:val="24"/>
          <w:highlight w:val="none"/>
          <w:lang w:eastAsia="zh-CN"/>
        </w:rPr>
        <w:t>1.2.2 资金落实情况：见投标人须知前附表。</w:t>
      </w:r>
    </w:p>
    <w:p w14:paraId="5D259D9D">
      <w:pPr>
        <w:kinsoku/>
        <w:spacing w:before="267" w:line="218" w:lineRule="auto"/>
        <w:ind w:left="50"/>
        <w:outlineLvl w:val="2"/>
        <w:rPr>
          <w:rFonts w:ascii="宋体" w:hAnsi="宋体" w:eastAsia="宋体" w:cs="宋体"/>
          <w:b/>
          <w:bCs/>
          <w:color w:val="auto"/>
          <w:sz w:val="24"/>
          <w:szCs w:val="24"/>
          <w:highlight w:val="none"/>
          <w:lang w:eastAsia="zh-CN"/>
        </w:rPr>
      </w:pPr>
      <w:bookmarkStart w:id="61" w:name="bookmark60"/>
      <w:bookmarkEnd w:id="61"/>
      <w:bookmarkStart w:id="62" w:name="_Toc12840"/>
      <w:r>
        <w:rPr>
          <w:rFonts w:hint="eastAsia" w:ascii="宋体" w:hAnsi="宋体" w:eastAsia="宋体" w:cs="宋体"/>
          <w:b/>
          <w:bCs/>
          <w:color w:val="auto"/>
          <w:sz w:val="24"/>
          <w:szCs w:val="24"/>
          <w:highlight w:val="none"/>
          <w:lang w:eastAsia="zh-CN"/>
        </w:rPr>
        <w:t>1.3 招标范围、勘察设计服务期限、质量要求和安全目标</w:t>
      </w:r>
      <w:bookmarkEnd w:id="62"/>
    </w:p>
    <w:p w14:paraId="7A1527AC">
      <w:pPr>
        <w:kinsoku/>
        <w:spacing w:before="79"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1.3.1 招标范围：见投标人须知前附表。</w:t>
      </w:r>
    </w:p>
    <w:p w14:paraId="7D37608A">
      <w:pPr>
        <w:kinsoku/>
        <w:spacing w:before="116"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1.3.2 本标段的勘察设计服务期限：见投标人须知前附表。</w:t>
      </w:r>
    </w:p>
    <w:p w14:paraId="6298CA61">
      <w:pPr>
        <w:kinsoku/>
        <w:spacing w:before="116"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1.3.3 本标段的质量要求：见投标人须知前附表。</w:t>
      </w:r>
    </w:p>
    <w:p w14:paraId="24DD8B24">
      <w:pPr>
        <w:kinsoku/>
        <w:spacing w:before="114" w:line="219" w:lineRule="auto"/>
        <w:ind w:left="536"/>
        <w:rPr>
          <w:rFonts w:ascii="宋体" w:hAnsi="宋体" w:eastAsia="宋体" w:cs="宋体"/>
          <w:color w:val="auto"/>
          <w:sz w:val="24"/>
          <w:szCs w:val="24"/>
          <w:highlight w:val="none"/>
          <w:lang w:eastAsia="zh-CN"/>
        </w:rPr>
      </w:pPr>
      <w:bookmarkStart w:id="63" w:name="bookmark63"/>
      <w:bookmarkEnd w:id="63"/>
      <w:r>
        <w:rPr>
          <w:rFonts w:hint="eastAsia" w:ascii="宋体" w:hAnsi="宋体" w:eastAsia="宋体" w:cs="宋体"/>
          <w:color w:val="auto"/>
          <w:sz w:val="24"/>
          <w:szCs w:val="24"/>
          <w:highlight w:val="none"/>
          <w:lang w:eastAsia="zh-CN"/>
        </w:rPr>
        <w:t>1.3.4 本标段的安全目标：见投标人须知前附表。</w:t>
      </w:r>
    </w:p>
    <w:p w14:paraId="3A3DFCA7">
      <w:pPr>
        <w:kinsoku/>
        <w:spacing w:before="265" w:line="219" w:lineRule="auto"/>
        <w:ind w:left="50"/>
        <w:outlineLvl w:val="2"/>
        <w:rPr>
          <w:rFonts w:ascii="宋体" w:hAnsi="宋体" w:eastAsia="宋体" w:cs="宋体"/>
          <w:b/>
          <w:bCs/>
          <w:color w:val="auto"/>
          <w:sz w:val="24"/>
          <w:szCs w:val="24"/>
          <w:highlight w:val="none"/>
          <w:lang w:eastAsia="zh-CN"/>
        </w:rPr>
      </w:pPr>
      <w:bookmarkStart w:id="64" w:name="bookmark62"/>
      <w:bookmarkEnd w:id="64"/>
      <w:bookmarkStart w:id="65" w:name="bookmark64"/>
      <w:bookmarkEnd w:id="65"/>
      <w:bookmarkStart w:id="66" w:name="_Toc11358"/>
      <w:r>
        <w:rPr>
          <w:rFonts w:hint="eastAsia" w:ascii="宋体" w:hAnsi="宋体" w:eastAsia="宋体" w:cs="宋体"/>
          <w:b/>
          <w:bCs/>
          <w:color w:val="auto"/>
          <w:sz w:val="24"/>
          <w:szCs w:val="24"/>
          <w:highlight w:val="none"/>
          <w:lang w:eastAsia="zh-CN"/>
        </w:rPr>
        <w:t>1.4 投标人资格要求</w:t>
      </w:r>
      <w:bookmarkEnd w:id="66"/>
    </w:p>
    <w:p w14:paraId="2AE7D4EC">
      <w:pPr>
        <w:kinsoku/>
        <w:spacing w:before="79"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1.4.1 投标人应具备承担本标段勘察设计的资质条件、能力和信誉。</w:t>
      </w:r>
    </w:p>
    <w:p w14:paraId="6A83FDEE">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（1）资质要求：见投标人须知前附表；</w:t>
      </w:r>
    </w:p>
    <w:p w14:paraId="5FEC5349">
      <w:pPr>
        <w:kinsoku/>
        <w:spacing w:before="114"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（2）业绩要求：见投标人须知前附表；</w:t>
      </w:r>
    </w:p>
    <w:p w14:paraId="1AD75F6C">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（3）信誉要求：见投标人须知前附表；</w:t>
      </w:r>
    </w:p>
    <w:p w14:paraId="35B049BA">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（4）项目负责人资格：见投标人须知前附表；</w:t>
      </w:r>
    </w:p>
    <w:p w14:paraId="6B74750D">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（5）分项负责人资格：见投标人须知前附表；</w:t>
      </w:r>
    </w:p>
    <w:p w14:paraId="56E52C48">
      <w:pPr>
        <w:kinsoku/>
        <w:spacing w:before="114" w:line="219" w:lineRule="auto"/>
        <w:ind w:left="524"/>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（6）其他要求：见投标人须知前附表。</w:t>
      </w:r>
    </w:p>
    <w:p w14:paraId="0E49AF8E">
      <w:pPr>
        <w:kinsoku/>
        <w:spacing w:before="78" w:line="219" w:lineRule="auto"/>
        <w:ind w:left="53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需要提交的相关证明材料见本章第3.5款的规定。</w:t>
      </w:r>
    </w:p>
    <w:p w14:paraId="2B64560D">
      <w:pPr>
        <w:kinsoku/>
        <w:spacing w:before="112" w:line="264" w:lineRule="auto"/>
        <w:ind w:left="42" w:right="26" w:firstLine="49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1.4.2 投标人须知前附表规定接受联合体投标的，联合体除应符合本章第1.4.1项和投标人须知前附表的要求外，还应遵守以下规定：</w:t>
      </w:r>
    </w:p>
    <w:p w14:paraId="1AAED7A0">
      <w:pPr>
        <w:kinsoku/>
        <w:spacing w:before="116" w:line="263" w:lineRule="auto"/>
        <w:ind w:left="40" w:right="33"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（1）联合体各方应按招标文件提供的格式签订联合体协议书，明确联合体牵头人和各方权利义务，并承诺就中标项目向招标人承担连带责任；</w:t>
      </w:r>
    </w:p>
    <w:p w14:paraId="7F5B1DBD">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（2）由同一专业的单位组成的联合体，按照资质等级较低的单位确定资质等级；</w:t>
      </w:r>
    </w:p>
    <w:p w14:paraId="5A32B5A8">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（3）联合体各方不得再以自己名义单独或参加其他联合体在同一标段中投标；</w:t>
      </w:r>
    </w:p>
    <w:p w14:paraId="0B19E949">
      <w:pPr>
        <w:kinsoku/>
        <w:spacing w:before="115" w:line="278" w:lineRule="auto"/>
        <w:ind w:left="39" w:right="30"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联合体各方应分别按照本招标文件的要求，填写投标文件中的相应表格，并由联合体牵头人负责对联合体各成员的资料进行统一汇总后一并提交给招标人；联合体牵头人所提交的投标文件应认为已代表了联合体各成员的真实情况；</w:t>
      </w:r>
    </w:p>
    <w:p w14:paraId="0ADAA524">
      <w:pPr>
        <w:kinsoku/>
        <w:spacing w:before="114" w:line="264" w:lineRule="auto"/>
        <w:ind w:left="39" w:right="28"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（5）尽管委任了联合体牵头人，但联合体各成员在投标、签订合同与履行合同过程中，仍负有连带的和各自的法律责任。</w:t>
      </w:r>
    </w:p>
    <w:p w14:paraId="5B9FF8EB">
      <w:pPr>
        <w:kinsoku/>
        <w:spacing w:before="115" w:line="219" w:lineRule="auto"/>
        <w:ind w:left="536" w:right="-391" w:rightChars="-1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1.4.3 投标人（包括联合体各成员）不得与本标段相关单位存在下列关联情形：</w:t>
      </w:r>
    </w:p>
    <w:p w14:paraId="2CCB5F69">
      <w:pPr>
        <w:kinsoku/>
        <w:spacing w:before="114"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（1）为招标人不具有独立法人资格的附属机构（单位）；</w:t>
      </w:r>
    </w:p>
    <w:p w14:paraId="3112B181">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（2）与招标人存在利害关系且可能影响招标公正性；</w:t>
      </w:r>
    </w:p>
    <w:p w14:paraId="69768955">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（3）与本标段的其他投标人同为一个单位负责人；</w:t>
      </w:r>
    </w:p>
    <w:p w14:paraId="5F2E53AF">
      <w:pPr>
        <w:kinsoku/>
        <w:spacing w:before="114"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（4）与本标段的其他投标人存在控股、管理关系；</w:t>
      </w:r>
    </w:p>
    <w:p w14:paraId="7D35EF6F">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（5）为本标段的代建人；</w:t>
      </w:r>
    </w:p>
    <w:p w14:paraId="407CC9C7">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（6）为本标段的招标代理机构；</w:t>
      </w:r>
    </w:p>
    <w:p w14:paraId="0751F6F4">
      <w:pPr>
        <w:kinsoku/>
        <w:spacing w:before="114"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（7）与本标段的代建人或招标代理机构同为一个法定代表人；</w:t>
      </w:r>
    </w:p>
    <w:p w14:paraId="20741AFF">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（8）与本标段的代建人或招标代理机构存在控股或参股关系；</w:t>
      </w:r>
    </w:p>
    <w:p w14:paraId="5AFBE1A0">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（9）法律法规或投标人须知前附表规定的其他情形。</w:t>
      </w:r>
    </w:p>
    <w:p w14:paraId="55C01279">
      <w:pPr>
        <w:kinsoku/>
        <w:spacing w:before="113" w:line="220"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1.4.4 投标人（包括联合体各成员）不得存在下列不良状况或不良信用记录：</w:t>
      </w:r>
    </w:p>
    <w:p w14:paraId="6925DC66">
      <w:pPr>
        <w:kinsoku/>
        <w:spacing w:before="116" w:line="264" w:lineRule="auto"/>
        <w:ind w:left="43" w:right="33"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（1）被省级及以上交通运输主管部门取消招标项目所在地的投标资格且处于有效期内；</w:t>
      </w:r>
    </w:p>
    <w:p w14:paraId="14C4A123">
      <w:pPr>
        <w:kinsoku/>
        <w:spacing w:before="113"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（2）被责令停业，暂扣或吊销执照，或吊销资质证书；</w:t>
      </w:r>
    </w:p>
    <w:p w14:paraId="16B8E405">
      <w:pPr>
        <w:kinsoku/>
        <w:spacing w:before="116"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（3）进入清算程序，或被宣告破产，或其他丧失履约能力的情形；</w:t>
      </w:r>
    </w:p>
    <w:p w14:paraId="2098DF46">
      <w:pPr>
        <w:kinsoku/>
        <w:spacing w:before="117" w:line="263" w:lineRule="auto"/>
        <w:ind w:left="43" w:right="31" w:firstLine="48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（4）在国家企业信用信息公示系统（http://www.gsxt.gov.cn/）中被列入严重违法失信企业名单；</w:t>
      </w:r>
    </w:p>
    <w:p w14:paraId="1F8B7B48">
      <w:pPr>
        <w:kinsoku/>
        <w:spacing w:before="117" w:line="264" w:lineRule="auto"/>
        <w:ind w:left="40" w:right="28" w:firstLine="484"/>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（5）在“信用中国”网站（</w:t>
      </w:r>
      <w:r>
        <w:rPr>
          <w:rFonts w:hint="eastAsia" w:ascii="宋体" w:hAnsi="宋体" w:eastAsia="宋体" w:cs="宋体"/>
          <w:color w:val="auto"/>
          <w:sz w:val="24"/>
          <w:szCs w:val="24"/>
          <w:highlight w:val="none"/>
          <w:lang w:eastAsia="zh-CN"/>
        </w:rPr>
        <w:t>https://www.creditchina.gov.cn/</w:t>
      </w:r>
      <w:r>
        <w:rPr>
          <w:rFonts w:hint="eastAsia" w:ascii="宋体" w:hAnsi="宋体" w:eastAsia="宋体" w:cs="宋体"/>
          <w:color w:val="auto"/>
          <w:sz w:val="24"/>
          <w:szCs w:val="24"/>
          <w:highlight w:val="none"/>
        </w:rPr>
        <w:t>）中被列入失信被执行人名单；</w:t>
      </w:r>
    </w:p>
    <w:p w14:paraId="58D844F9">
      <w:pPr>
        <w:kinsoku/>
        <w:spacing w:before="111" w:line="264" w:lineRule="auto"/>
        <w:ind w:left="57" w:right="29" w:firstLine="46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（6）投标人或其法定代表人、拟委任的项目负责人在近三年内有行贿犯罪行为的（行贿犯罪行为的认定以检察机关职务犯罪预防部门出具的查询结果为准）；</w:t>
      </w:r>
    </w:p>
    <w:p w14:paraId="66B359E5">
      <w:pPr>
        <w:kinsoku/>
        <w:spacing w:before="116" w:line="219" w:lineRule="auto"/>
        <w:ind w:left="524"/>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（7）法律法规或投标人须知前附表规定的其他情形。</w:t>
      </w:r>
    </w:p>
    <w:p w14:paraId="5EBCDC1F">
      <w:pPr>
        <w:kinsoku/>
        <w:spacing w:before="78" w:line="299" w:lineRule="auto"/>
        <w:ind w:left="38" w:right="79" w:firstLine="498"/>
        <w:jc w:val="both"/>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rPr>
        <w:t>1.4.5 投标人（包括联合体各成员）应进入交通运输部“</w:t>
      </w:r>
      <w:r>
        <w:rPr>
          <w:rFonts w:hint="eastAsia" w:ascii="宋体" w:hAnsi="宋体" w:eastAsia="宋体" w:cs="宋体"/>
          <w:color w:val="auto"/>
          <w:sz w:val="24"/>
          <w:szCs w:val="24"/>
          <w:highlight w:val="none"/>
          <w:lang w:eastAsia="zh-CN"/>
        </w:rPr>
        <w:t>全国公路建设市场监督管理系统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https://hwdms.mot.gov.cn/BMWebSite/</w:t>
      </w:r>
      <w:r>
        <w:rPr>
          <w:rFonts w:hint="eastAsia" w:ascii="宋体" w:hAnsi="宋体" w:eastAsia="宋体" w:cs="宋体"/>
          <w:color w:val="auto"/>
          <w:sz w:val="24"/>
          <w:szCs w:val="24"/>
          <w:highlight w:val="none"/>
        </w:rPr>
        <w:t>）”中的公路工程设计资质企业名录，且投标人名称和资质与该名录中的相应企业名称和资质完全一致。</w:t>
      </w:r>
      <w:r>
        <w:rPr>
          <w:rFonts w:hint="eastAsia" w:ascii="宋体" w:hAnsi="宋体" w:eastAsia="宋体" w:cs="宋体"/>
          <w:color w:val="auto"/>
          <w:sz w:val="24"/>
          <w:szCs w:val="24"/>
          <w:highlight w:val="none"/>
          <w:lang w:eastAsia="zh-CN"/>
        </w:rPr>
        <w:t>投标人不满足本项规定条件</w:t>
      </w:r>
      <w:bookmarkStart w:id="67" w:name="bookmark67"/>
      <w:bookmarkEnd w:id="67"/>
      <w:r>
        <w:rPr>
          <w:rFonts w:hint="eastAsia" w:ascii="宋体" w:hAnsi="宋体" w:eastAsia="宋体" w:cs="宋体"/>
          <w:color w:val="auto"/>
          <w:sz w:val="24"/>
          <w:szCs w:val="24"/>
          <w:highlight w:val="none"/>
          <w:lang w:eastAsia="zh-CN"/>
        </w:rPr>
        <w:t>的，将被否决投标。</w:t>
      </w:r>
    </w:p>
    <w:p w14:paraId="54DA7197">
      <w:pPr>
        <w:kinsoku/>
        <w:spacing w:before="193" w:line="220" w:lineRule="auto"/>
        <w:outlineLvl w:val="2"/>
        <w:rPr>
          <w:rFonts w:ascii="宋体" w:hAnsi="宋体" w:eastAsia="宋体" w:cs="宋体"/>
          <w:b/>
          <w:bCs/>
          <w:color w:val="auto"/>
          <w:sz w:val="24"/>
          <w:szCs w:val="24"/>
          <w:highlight w:val="none"/>
          <w:lang w:eastAsia="zh-CN"/>
        </w:rPr>
      </w:pPr>
      <w:bookmarkStart w:id="68" w:name="bookmark66"/>
      <w:bookmarkEnd w:id="68"/>
      <w:bookmarkStart w:id="69" w:name="_Toc10521"/>
      <w:r>
        <w:rPr>
          <w:rFonts w:hint="eastAsia" w:ascii="宋体" w:hAnsi="宋体" w:eastAsia="宋体" w:cs="宋体"/>
          <w:b/>
          <w:bCs/>
          <w:color w:val="auto"/>
          <w:sz w:val="24"/>
          <w:szCs w:val="24"/>
          <w:highlight w:val="none"/>
          <w:lang w:eastAsia="zh-CN"/>
        </w:rPr>
        <w:t>1.5 费用承担</w:t>
      </w:r>
      <w:bookmarkEnd w:id="69"/>
    </w:p>
    <w:p w14:paraId="0568D229">
      <w:pPr>
        <w:kinsoku/>
        <w:spacing w:before="78" w:line="220"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投标人准备和参加投标活动发生的费用自理。</w:t>
      </w:r>
    </w:p>
    <w:p w14:paraId="5A2EA964">
      <w:pPr>
        <w:kinsoku/>
        <w:spacing w:before="193" w:line="220" w:lineRule="auto"/>
        <w:outlineLvl w:val="2"/>
        <w:rPr>
          <w:rFonts w:ascii="宋体" w:hAnsi="宋体" w:eastAsia="宋体" w:cs="宋体"/>
          <w:b/>
          <w:bCs/>
          <w:color w:val="auto"/>
          <w:sz w:val="24"/>
          <w:szCs w:val="24"/>
          <w:highlight w:val="none"/>
          <w:lang w:eastAsia="zh-CN"/>
        </w:rPr>
      </w:pPr>
      <w:bookmarkStart w:id="70" w:name="bookmark68"/>
      <w:bookmarkEnd w:id="70"/>
      <w:bookmarkStart w:id="71" w:name="bookmark69"/>
      <w:bookmarkEnd w:id="71"/>
      <w:bookmarkStart w:id="72" w:name="_Toc15427"/>
      <w:r>
        <w:rPr>
          <w:rFonts w:hint="eastAsia" w:ascii="宋体" w:hAnsi="宋体" w:eastAsia="宋体" w:cs="宋体"/>
          <w:b/>
          <w:bCs/>
          <w:color w:val="auto"/>
          <w:sz w:val="24"/>
          <w:szCs w:val="24"/>
          <w:highlight w:val="none"/>
          <w:lang w:eastAsia="zh-CN"/>
        </w:rPr>
        <w:t>1.6 保密</w:t>
      </w:r>
      <w:bookmarkEnd w:id="72"/>
    </w:p>
    <w:p w14:paraId="34CF3BC2">
      <w:pPr>
        <w:kinsoku/>
        <w:spacing w:before="78" w:line="295" w:lineRule="auto"/>
        <w:ind w:left="45" w:right="16"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参与招标投标活动的各方应对招标文件和投标文件中的商业和技术等秘密保密，</w:t>
      </w:r>
      <w:bookmarkStart w:id="73" w:name="bookmark71"/>
      <w:bookmarkEnd w:id="73"/>
      <w:r>
        <w:rPr>
          <w:rFonts w:hint="eastAsia" w:ascii="宋体" w:hAnsi="宋体" w:eastAsia="宋体" w:cs="宋体"/>
          <w:color w:val="auto"/>
          <w:sz w:val="24"/>
          <w:szCs w:val="24"/>
          <w:highlight w:val="none"/>
          <w:lang w:eastAsia="zh-CN"/>
        </w:rPr>
        <w:t>否则应承担相应的法律责任。</w:t>
      </w:r>
    </w:p>
    <w:p w14:paraId="01983621">
      <w:pPr>
        <w:kinsoku/>
        <w:spacing w:before="193" w:line="220" w:lineRule="auto"/>
        <w:outlineLvl w:val="2"/>
        <w:rPr>
          <w:rFonts w:ascii="宋体" w:hAnsi="宋体" w:eastAsia="宋体" w:cs="宋体"/>
          <w:b/>
          <w:bCs/>
          <w:color w:val="auto"/>
          <w:sz w:val="24"/>
          <w:szCs w:val="24"/>
          <w:highlight w:val="none"/>
          <w:lang w:eastAsia="zh-CN"/>
        </w:rPr>
      </w:pPr>
      <w:bookmarkStart w:id="74" w:name="bookmark70"/>
      <w:bookmarkEnd w:id="74"/>
      <w:bookmarkStart w:id="75" w:name="_Toc17507"/>
      <w:r>
        <w:rPr>
          <w:rFonts w:hint="eastAsia" w:ascii="宋体" w:hAnsi="宋体" w:eastAsia="宋体" w:cs="宋体"/>
          <w:b/>
          <w:bCs/>
          <w:color w:val="auto"/>
          <w:sz w:val="24"/>
          <w:szCs w:val="24"/>
          <w:highlight w:val="none"/>
          <w:lang w:eastAsia="zh-CN"/>
        </w:rPr>
        <w:t>1.7 语言文字</w:t>
      </w:r>
      <w:bookmarkEnd w:id="75"/>
    </w:p>
    <w:p w14:paraId="1412B680">
      <w:pPr>
        <w:kinsoku/>
        <w:spacing w:before="78" w:line="219" w:lineRule="auto"/>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招标投标文件使用的语言文字为中文。专用术语使用外文的，应附有中文注释。</w:t>
      </w:r>
    </w:p>
    <w:p w14:paraId="0BF05449">
      <w:pPr>
        <w:kinsoku/>
        <w:spacing w:before="193" w:line="220" w:lineRule="auto"/>
        <w:outlineLvl w:val="2"/>
        <w:rPr>
          <w:rFonts w:ascii="宋体" w:hAnsi="宋体" w:eastAsia="宋体" w:cs="宋体"/>
          <w:b/>
          <w:bCs/>
          <w:color w:val="auto"/>
          <w:sz w:val="24"/>
          <w:szCs w:val="24"/>
          <w:highlight w:val="none"/>
          <w:lang w:eastAsia="zh-CN"/>
        </w:rPr>
      </w:pPr>
      <w:bookmarkStart w:id="76" w:name="bookmark73"/>
      <w:bookmarkEnd w:id="76"/>
      <w:bookmarkStart w:id="77" w:name="bookmark72"/>
      <w:bookmarkEnd w:id="77"/>
      <w:bookmarkStart w:id="78" w:name="_Toc3610"/>
      <w:r>
        <w:rPr>
          <w:rFonts w:hint="eastAsia" w:ascii="宋体" w:hAnsi="宋体" w:eastAsia="宋体" w:cs="宋体"/>
          <w:b/>
          <w:bCs/>
          <w:color w:val="auto"/>
          <w:sz w:val="24"/>
          <w:szCs w:val="24"/>
          <w:highlight w:val="none"/>
          <w:lang w:eastAsia="zh-CN"/>
        </w:rPr>
        <w:t>1.8 计量单位</w:t>
      </w:r>
      <w:bookmarkEnd w:id="78"/>
    </w:p>
    <w:p w14:paraId="4BE9501B">
      <w:pPr>
        <w:kinsoku/>
        <w:spacing w:before="79" w:line="219"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所有计量均采用中华人民共和国法定计量单位。</w:t>
      </w:r>
    </w:p>
    <w:p w14:paraId="464E1F24">
      <w:pPr>
        <w:kinsoku/>
        <w:spacing w:before="193" w:line="220" w:lineRule="auto"/>
        <w:outlineLvl w:val="2"/>
        <w:rPr>
          <w:rFonts w:ascii="宋体" w:hAnsi="宋体" w:eastAsia="宋体" w:cs="宋体"/>
          <w:b/>
          <w:bCs/>
          <w:color w:val="auto"/>
          <w:sz w:val="24"/>
          <w:szCs w:val="24"/>
          <w:highlight w:val="none"/>
          <w:lang w:eastAsia="zh-CN"/>
        </w:rPr>
      </w:pPr>
      <w:bookmarkStart w:id="79" w:name="bookmark75"/>
      <w:bookmarkEnd w:id="79"/>
      <w:bookmarkStart w:id="80" w:name="bookmark74"/>
      <w:bookmarkEnd w:id="80"/>
      <w:bookmarkStart w:id="81" w:name="_Toc21979"/>
      <w:r>
        <w:rPr>
          <w:rFonts w:hint="eastAsia" w:ascii="宋体" w:hAnsi="宋体" w:eastAsia="宋体" w:cs="宋体"/>
          <w:b/>
          <w:bCs/>
          <w:color w:val="auto"/>
          <w:sz w:val="24"/>
          <w:szCs w:val="24"/>
          <w:highlight w:val="none"/>
          <w:lang w:eastAsia="zh-CN"/>
        </w:rPr>
        <w:t>1.9 踏勘现场</w:t>
      </w:r>
      <w:bookmarkEnd w:id="81"/>
    </w:p>
    <w:p w14:paraId="76370EF6">
      <w:pPr>
        <w:kinsoku/>
        <w:spacing w:before="79" w:line="299" w:lineRule="auto"/>
        <w:ind w:left="43" w:right="81" w:firstLine="492"/>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1.9.1 第一章“招标公告”或“投标邀请书”规定组织踏勘现场的，招标人按规定的时间、地点组织投标人踏勘项目现场。部分投标人未按时参加踏勘现场的，不影响踏勘现场的正常进行。招标人不得组织单个或部分投标人踏勘项目现场。</w:t>
      </w:r>
    </w:p>
    <w:p w14:paraId="6C5138C9">
      <w:pPr>
        <w:kinsoku/>
        <w:spacing w:before="35" w:line="220"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1.9.2 投标人踏勘现场发生的费用自理。</w:t>
      </w:r>
    </w:p>
    <w:p w14:paraId="2363BBDB">
      <w:pPr>
        <w:kinsoku/>
        <w:spacing w:before="116" w:line="263" w:lineRule="auto"/>
        <w:ind w:left="38" w:right="85" w:firstLine="49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1.9.3 除招标人的原因外，投标人自行负责在踏勘现场中所发生的人员伤亡和财产损失。</w:t>
      </w:r>
    </w:p>
    <w:p w14:paraId="176E92C0">
      <w:pPr>
        <w:kinsoku/>
        <w:spacing w:before="115" w:line="264" w:lineRule="auto"/>
        <w:ind w:left="40" w:right="85" w:firstLine="49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1.9.4 招标人在踏勘现场中介绍的工程场地和相关的周边环境情况，供投标人在 编制投标文件时参考，招标人不对投标人据此作出的判断和决策负责。</w:t>
      </w:r>
    </w:p>
    <w:p w14:paraId="3AFA77D1">
      <w:pPr>
        <w:kinsoku/>
        <w:spacing w:before="193" w:line="220" w:lineRule="auto"/>
        <w:outlineLvl w:val="2"/>
        <w:rPr>
          <w:rFonts w:ascii="宋体" w:hAnsi="宋体" w:eastAsia="宋体" w:cs="宋体"/>
          <w:b/>
          <w:bCs/>
          <w:color w:val="auto"/>
          <w:sz w:val="24"/>
          <w:szCs w:val="24"/>
          <w:highlight w:val="none"/>
          <w:lang w:eastAsia="zh-CN"/>
        </w:rPr>
      </w:pPr>
      <w:bookmarkStart w:id="82" w:name="bookmark77"/>
      <w:bookmarkEnd w:id="82"/>
      <w:bookmarkStart w:id="83" w:name="bookmark76"/>
      <w:bookmarkEnd w:id="83"/>
      <w:bookmarkStart w:id="84" w:name="_Toc28251"/>
      <w:r>
        <w:rPr>
          <w:rFonts w:hint="eastAsia" w:ascii="宋体" w:hAnsi="宋体" w:eastAsia="宋体" w:cs="宋体"/>
          <w:b/>
          <w:bCs/>
          <w:color w:val="auto"/>
          <w:sz w:val="24"/>
          <w:szCs w:val="24"/>
          <w:highlight w:val="none"/>
          <w:lang w:eastAsia="zh-CN"/>
        </w:rPr>
        <w:t>1.10 投标预备会</w:t>
      </w:r>
      <w:bookmarkEnd w:id="84"/>
    </w:p>
    <w:p w14:paraId="16CC6165">
      <w:pPr>
        <w:kinsoku/>
        <w:spacing w:before="79" w:line="264" w:lineRule="auto"/>
        <w:ind w:left="39" w:right="81" w:firstLine="49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1.10.1 第一章“招标公告”或“投标邀请书”规定召开投标预备会的，招标人按规定的时间和地点召开投标预备会，澄清投标人提出的问题。</w:t>
      </w:r>
    </w:p>
    <w:p w14:paraId="2A9310EB">
      <w:pPr>
        <w:kinsoku/>
        <w:spacing w:before="78" w:line="263" w:lineRule="auto"/>
        <w:ind w:left="40" w:right="30" w:firstLine="49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1.10.2 投标人应按投标人须知前附表规定的时间和形式将提出的问题送达招标人，以便招标人在会议期间澄清。</w:t>
      </w:r>
    </w:p>
    <w:p w14:paraId="0F4FB324">
      <w:pPr>
        <w:kinsoku/>
        <w:spacing w:before="116" w:line="264" w:lineRule="auto"/>
        <w:ind w:left="57" w:right="31"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1.10.3 投标预备会后，招标人将对投标人所提问题的澄清，以本章第2.2款规定的形式通知所有购买招标文件的投标人。该澄清内容为招标文件的组成部分。</w:t>
      </w:r>
    </w:p>
    <w:p w14:paraId="399F644F">
      <w:pPr>
        <w:kinsoku/>
        <w:spacing w:before="193" w:line="220" w:lineRule="auto"/>
        <w:outlineLvl w:val="2"/>
        <w:rPr>
          <w:rFonts w:ascii="宋体" w:hAnsi="宋体" w:eastAsia="宋体" w:cs="宋体"/>
          <w:b/>
          <w:bCs/>
          <w:color w:val="auto"/>
          <w:sz w:val="24"/>
          <w:szCs w:val="24"/>
          <w:highlight w:val="none"/>
          <w:lang w:eastAsia="zh-CN"/>
        </w:rPr>
      </w:pPr>
      <w:bookmarkStart w:id="85" w:name="bookmark79"/>
      <w:bookmarkEnd w:id="85"/>
      <w:bookmarkStart w:id="86" w:name="bookmark78"/>
      <w:bookmarkEnd w:id="86"/>
      <w:bookmarkStart w:id="87" w:name="_Toc31301"/>
      <w:r>
        <w:rPr>
          <w:rFonts w:hint="eastAsia" w:ascii="宋体" w:hAnsi="宋体" w:eastAsia="宋体" w:cs="宋体"/>
          <w:b/>
          <w:bCs/>
          <w:color w:val="auto"/>
          <w:sz w:val="24"/>
          <w:szCs w:val="24"/>
          <w:highlight w:val="none"/>
          <w:lang w:eastAsia="zh-CN"/>
        </w:rPr>
        <w:t>1.11 分包</w:t>
      </w:r>
      <w:bookmarkEnd w:id="87"/>
    </w:p>
    <w:p w14:paraId="53C5AF0D">
      <w:pPr>
        <w:kinsoku/>
        <w:spacing w:before="78" w:line="295" w:lineRule="auto"/>
        <w:ind w:left="57" w:right="31"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1.11.1 投标人拟在中标后将中标项目的非主体、非关键性勘察设计工作进行分包的，应符合以下规定：</w:t>
      </w:r>
    </w:p>
    <w:p w14:paraId="4B8CE6A1">
      <w:pPr>
        <w:kinsoku/>
        <w:spacing w:before="30" w:line="279" w:lineRule="auto"/>
        <w:ind w:left="37" w:right="28" w:firstLine="4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（1）分包内容要求：允许分包的范围仅限于工程设计中跨专业或有特殊要求的勘察、设计工作。招标人允许分包或不允许分包的工程（如有）应在投标人须知前附表中载明。</w:t>
      </w:r>
    </w:p>
    <w:p w14:paraId="570691FC">
      <w:pPr>
        <w:kinsoku/>
        <w:spacing w:before="112" w:line="264" w:lineRule="auto"/>
        <w:ind w:left="39" w:right="31"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（2）接受分包的第三人资格要求：分包人的资格能力应与其分包工程的标准和规模相适应，且具备投标人须知前附表中规定的资格条件。</w:t>
      </w:r>
    </w:p>
    <w:p w14:paraId="29C34AFB">
      <w:pPr>
        <w:kinsoku/>
        <w:spacing w:before="117" w:line="278" w:lineRule="auto"/>
        <w:ind w:left="39" w:right="37"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（3）其他要求：投标人如有分包计划，应按第六章“投标文件格式”的要求填写“拟分包项目情况表”，明确拟分包的工程及规模，且投标人中标后的分包应满足合同条款第4.3款的相关要求。</w:t>
      </w:r>
    </w:p>
    <w:p w14:paraId="1FEDC359">
      <w:pPr>
        <w:kinsoku/>
        <w:spacing w:before="116" w:line="293" w:lineRule="auto"/>
        <w:ind w:left="40" w:right="28" w:firstLine="49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1.11.2 中标人不得向他人转让中标项目，接受分包的人不得再次分包。中标人应就分包项目向招标人负责，接受分包的人就分包项目承担连带责任。</w:t>
      </w:r>
    </w:p>
    <w:p w14:paraId="12F4C380">
      <w:pPr>
        <w:kinsoku/>
        <w:spacing w:before="193" w:line="220" w:lineRule="auto"/>
        <w:outlineLvl w:val="2"/>
        <w:rPr>
          <w:rFonts w:ascii="宋体" w:hAnsi="宋体" w:eastAsia="宋体" w:cs="宋体"/>
          <w:b/>
          <w:bCs/>
          <w:color w:val="auto"/>
          <w:sz w:val="24"/>
          <w:szCs w:val="24"/>
          <w:highlight w:val="none"/>
          <w:lang w:eastAsia="zh-CN"/>
        </w:rPr>
      </w:pPr>
      <w:bookmarkStart w:id="88" w:name="bookmark80"/>
      <w:bookmarkEnd w:id="88"/>
      <w:bookmarkStart w:id="89" w:name="bookmark81"/>
      <w:bookmarkEnd w:id="89"/>
      <w:bookmarkStart w:id="90" w:name="_Toc10292"/>
      <w:r>
        <w:rPr>
          <w:rFonts w:hint="eastAsia" w:ascii="宋体" w:hAnsi="宋体" w:eastAsia="宋体" w:cs="宋体"/>
          <w:b/>
          <w:bCs/>
          <w:color w:val="auto"/>
          <w:sz w:val="24"/>
          <w:szCs w:val="24"/>
          <w:highlight w:val="none"/>
          <w:lang w:eastAsia="zh-CN"/>
        </w:rPr>
        <w:t>1.12 响应和偏差</w:t>
      </w:r>
      <w:bookmarkEnd w:id="90"/>
    </w:p>
    <w:p w14:paraId="495BB6D5">
      <w:pPr>
        <w:kinsoku/>
        <w:spacing w:before="78" w:line="263" w:lineRule="auto"/>
        <w:ind w:left="38" w:right="28" w:firstLine="49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1.12.1 投标文件偏离招标文件某些要求，视为投标文件存在偏差。偏差包括重大偏差和细微偏差。</w:t>
      </w:r>
    </w:p>
    <w:p w14:paraId="42F24443">
      <w:pPr>
        <w:kinsoku/>
        <w:spacing w:before="116" w:line="264" w:lineRule="auto"/>
        <w:ind w:left="40" w:right="29" w:firstLine="49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1.12.2 投标文件应对招标文件的实质性要求和条件作出满足性或更有利于招标人的响应，否则，视为投标文件存在重大偏差，投标人的投标将被否决。</w:t>
      </w:r>
    </w:p>
    <w:p w14:paraId="6B722AA6">
      <w:pPr>
        <w:kinsoku/>
        <w:spacing w:before="113" w:line="295" w:lineRule="auto"/>
        <w:ind w:left="38" w:right="32" w:firstLine="48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投标文件存在第三章“评标办法”中所列任一否决投标情形的，均属于存在重大偏差。</w:t>
      </w:r>
    </w:p>
    <w:p w14:paraId="1256BA01">
      <w:pPr>
        <w:kinsoku/>
        <w:spacing w:before="34" w:line="220"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1.12.3 投标文件中的下列偏差为细微偏差：</w:t>
      </w:r>
    </w:p>
    <w:p w14:paraId="5FF14003">
      <w:pPr>
        <w:kinsoku/>
        <w:spacing w:before="112" w:line="279" w:lineRule="auto"/>
        <w:ind w:left="40" w:right="30"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（1）在按照第三章“评标办法”的规定对投标价进行算术性错误修正后，最终投标报价未超过最高投标限价（如有）的情况下，出现第三章“评标办法”规定的算术性错误；</w:t>
      </w:r>
    </w:p>
    <w:p w14:paraId="7A0884FC">
      <w:pPr>
        <w:kinsoku/>
        <w:spacing w:before="113"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（2）技术建议书不够完善；</w:t>
      </w:r>
    </w:p>
    <w:p w14:paraId="6471C523">
      <w:pPr>
        <w:kinsoku/>
        <w:spacing w:before="116" w:line="264" w:lineRule="auto"/>
        <w:ind w:left="39" w:right="33"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（3）投标文件页码不连续、采用活页夹装订、个别文字有遗漏错误等不影响投标文件实质性内容的偏差。</w:t>
      </w:r>
    </w:p>
    <w:p w14:paraId="248458B5">
      <w:pPr>
        <w:kinsoku/>
        <w:spacing w:before="113"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1.12.4 评标委员会对投标文件中的细微偏差按如下规定处理：</w:t>
      </w:r>
    </w:p>
    <w:p w14:paraId="45DFACB8">
      <w:pPr>
        <w:kinsoku/>
        <w:spacing w:before="116" w:line="264" w:lineRule="auto"/>
        <w:ind w:left="39" w:right="33"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（1）对于本章第1.12.3项（1）目所述的细微偏差，按照第三章“评标办法”的规定予以修正并要求投标人进行澄清；</w:t>
      </w:r>
    </w:p>
    <w:p w14:paraId="56F0907A">
      <w:pPr>
        <w:kinsoku/>
        <w:spacing w:before="116" w:line="264" w:lineRule="auto"/>
        <w:ind w:left="37" w:right="29" w:firstLine="4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（2）对于本章第1.12.3项（2）、（3）目所述的细微偏差，可在相关评分因素的评分中酌情扣分。</w:t>
      </w:r>
    </w:p>
    <w:p w14:paraId="01C161A0">
      <w:pPr>
        <w:kinsoku/>
        <w:spacing w:before="112" w:line="265" w:lineRule="auto"/>
        <w:ind w:left="50" w:right="29" w:firstLine="4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1.12.5 投标人应根据招标文件的要求提供技术建议书等内容以对招标文件作出响应。</w:t>
      </w:r>
    </w:p>
    <w:p w14:paraId="378CE9E1">
      <w:pPr>
        <w:kinsoku/>
        <w:spacing w:before="91" w:line="219" w:lineRule="auto"/>
        <w:ind w:left="37"/>
        <w:outlineLvl w:val="2"/>
        <w:rPr>
          <w:rFonts w:ascii="宋体" w:hAnsi="宋体" w:eastAsia="宋体" w:cs="宋体"/>
          <w:b/>
          <w:bCs/>
          <w:color w:val="auto"/>
          <w:sz w:val="28"/>
          <w:szCs w:val="28"/>
          <w:highlight w:val="none"/>
          <w:lang w:eastAsia="zh-CN"/>
        </w:rPr>
      </w:pPr>
      <w:bookmarkStart w:id="91" w:name="bookmark85"/>
      <w:bookmarkEnd w:id="91"/>
      <w:bookmarkStart w:id="92" w:name="bookmark82"/>
      <w:bookmarkEnd w:id="92"/>
      <w:bookmarkStart w:id="93" w:name="bookmark83"/>
      <w:bookmarkEnd w:id="93"/>
      <w:bookmarkStart w:id="94" w:name="_Toc29586"/>
      <w:r>
        <w:rPr>
          <w:rFonts w:hint="eastAsia" w:ascii="宋体" w:hAnsi="宋体" w:eastAsia="宋体" w:cs="宋体"/>
          <w:b/>
          <w:bCs/>
          <w:color w:val="auto"/>
          <w:sz w:val="28"/>
          <w:szCs w:val="28"/>
          <w:highlight w:val="none"/>
          <w:lang w:eastAsia="zh-CN"/>
        </w:rPr>
        <w:t>2. 招标文件</w:t>
      </w:r>
      <w:bookmarkEnd w:id="94"/>
    </w:p>
    <w:p w14:paraId="38DE2D1B">
      <w:pPr>
        <w:kinsoku/>
        <w:spacing w:before="193" w:line="220" w:lineRule="auto"/>
        <w:outlineLvl w:val="2"/>
        <w:rPr>
          <w:rFonts w:ascii="宋体" w:hAnsi="宋体" w:eastAsia="宋体" w:cs="宋体"/>
          <w:b/>
          <w:bCs/>
          <w:color w:val="auto"/>
          <w:sz w:val="24"/>
          <w:szCs w:val="24"/>
          <w:highlight w:val="none"/>
          <w:lang w:eastAsia="zh-CN"/>
        </w:rPr>
      </w:pPr>
      <w:bookmarkStart w:id="95" w:name="bookmark84"/>
      <w:bookmarkEnd w:id="95"/>
      <w:bookmarkStart w:id="96" w:name="_Toc29548"/>
      <w:r>
        <w:rPr>
          <w:rFonts w:hint="eastAsia" w:ascii="宋体" w:hAnsi="宋体" w:eastAsia="宋体" w:cs="宋体"/>
          <w:b/>
          <w:bCs/>
          <w:color w:val="auto"/>
          <w:sz w:val="24"/>
          <w:szCs w:val="24"/>
          <w:highlight w:val="none"/>
          <w:lang w:eastAsia="zh-CN"/>
        </w:rPr>
        <w:t>2.1 招标文件的组成</w:t>
      </w:r>
      <w:bookmarkEnd w:id="96"/>
    </w:p>
    <w:p w14:paraId="5B67E912">
      <w:pPr>
        <w:kinsoku/>
        <w:spacing w:before="78" w:line="219"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本招标文件包括：</w:t>
      </w:r>
    </w:p>
    <w:p w14:paraId="13DE1E97">
      <w:pPr>
        <w:kinsoku/>
        <w:spacing w:before="114"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（1）招标公告（或投标邀请书）；</w:t>
      </w:r>
    </w:p>
    <w:p w14:paraId="3BCC0D6D">
      <w:pPr>
        <w:kinsoku/>
        <w:spacing w:before="117"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（2）投标人须知；</w:t>
      </w:r>
    </w:p>
    <w:p w14:paraId="7EBEB862">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（3）评标办法；</w:t>
      </w:r>
    </w:p>
    <w:p w14:paraId="63E2454D">
      <w:pPr>
        <w:kinsoku/>
        <w:spacing w:before="112"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（4）合同条款及格式；</w:t>
      </w:r>
    </w:p>
    <w:p w14:paraId="1EDCC3BD">
      <w:pPr>
        <w:kinsoku/>
        <w:spacing w:before="116"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（5）发包人要求；</w:t>
      </w:r>
    </w:p>
    <w:p w14:paraId="61B7F4B6">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（6）投标文件格式；</w:t>
      </w:r>
    </w:p>
    <w:p w14:paraId="4E813455">
      <w:pPr>
        <w:kinsoku/>
        <w:spacing w:before="113"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（7）投标人须知前附表规定的其他资料。</w:t>
      </w:r>
    </w:p>
    <w:p w14:paraId="0BC61E2E">
      <w:pPr>
        <w:kinsoku/>
        <w:spacing w:before="116" w:line="295" w:lineRule="auto"/>
        <w:ind w:left="39" w:right="27"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根据本章第1.10款、第2.2款和第2.3款对招标文件所作的澄清、修改，构成招标文件的组成部分。</w:t>
      </w:r>
    </w:p>
    <w:p w14:paraId="518CCC79">
      <w:pPr>
        <w:kinsoku/>
        <w:spacing w:before="32" w:line="295" w:lineRule="auto"/>
        <w:ind w:left="58" w:right="30"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当招标文件、招标文件的澄清或修改等在同一内容的表述上不一致时，以最后发</w:t>
      </w:r>
      <w:bookmarkStart w:id="97" w:name="bookmark87"/>
      <w:bookmarkEnd w:id="97"/>
      <w:r>
        <w:rPr>
          <w:rFonts w:hint="eastAsia" w:ascii="宋体" w:hAnsi="宋体" w:eastAsia="宋体" w:cs="宋体"/>
          <w:color w:val="auto"/>
          <w:sz w:val="24"/>
          <w:szCs w:val="24"/>
          <w:highlight w:val="none"/>
          <w:lang w:eastAsia="zh-CN"/>
        </w:rPr>
        <w:t>出的书面文件为准。</w:t>
      </w:r>
    </w:p>
    <w:p w14:paraId="4BF5917B">
      <w:pPr>
        <w:kinsoku/>
        <w:spacing w:before="193" w:line="220" w:lineRule="auto"/>
        <w:outlineLvl w:val="2"/>
        <w:rPr>
          <w:rFonts w:ascii="宋体" w:hAnsi="宋体" w:eastAsia="宋体" w:cs="宋体"/>
          <w:b/>
          <w:bCs/>
          <w:color w:val="auto"/>
          <w:sz w:val="24"/>
          <w:szCs w:val="24"/>
          <w:highlight w:val="none"/>
          <w:lang w:eastAsia="zh-CN"/>
        </w:rPr>
      </w:pPr>
      <w:bookmarkStart w:id="98" w:name="bookmark86"/>
      <w:bookmarkEnd w:id="98"/>
      <w:bookmarkStart w:id="99" w:name="_Toc27060"/>
      <w:r>
        <w:rPr>
          <w:rFonts w:hint="eastAsia" w:ascii="宋体" w:hAnsi="宋体" w:eastAsia="宋体" w:cs="宋体"/>
          <w:b/>
          <w:bCs/>
          <w:color w:val="auto"/>
          <w:sz w:val="24"/>
          <w:szCs w:val="24"/>
          <w:highlight w:val="none"/>
          <w:lang w:eastAsia="zh-CN"/>
        </w:rPr>
        <w:t>2.2 招标文件的澄清</w:t>
      </w:r>
      <w:bookmarkEnd w:id="99"/>
    </w:p>
    <w:p w14:paraId="68A25E5A">
      <w:pPr>
        <w:kinsoku/>
        <w:spacing w:before="79" w:line="279" w:lineRule="auto"/>
        <w:ind w:left="38" w:right="29"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2.2.1 投标人应仔细阅读和检查招标文件的全部内容。如发现缺页或附件不全，应及时向招标人提出，以便补齐。如有疑问，应按投标人须知前附表规定的时间和形式将提出的问题送达招标人，要求招标人对招标文件予以澄清。</w:t>
      </w:r>
    </w:p>
    <w:p w14:paraId="5F4748F6">
      <w:pPr>
        <w:kinsoku/>
        <w:spacing w:before="112" w:line="279" w:lineRule="auto"/>
        <w:ind w:left="39" w:right="29"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2.2.2 招标文件的澄清以投标人须知前附表规定的形式发给所有购买招标文件的投标人，但不指明澄清问题的来源。澄清发出的时间距本章第4.2.1项规定的投标截止时间不足15日，且澄清内容可能影响投标文件编制的，将相应延长投标截止时间。</w:t>
      </w:r>
    </w:p>
    <w:p w14:paraId="1858E7FA">
      <w:pPr>
        <w:kinsoku/>
        <w:spacing w:before="113" w:line="264" w:lineRule="auto"/>
        <w:ind w:left="40" w:right="34"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2.2.3 投标人在收到澄清后，应按投标人须知前附表规定的时间和形式通知招标人，确认已收到该澄清。</w:t>
      </w:r>
    </w:p>
    <w:p w14:paraId="3F580DBF">
      <w:pPr>
        <w:kinsoku/>
        <w:spacing w:before="115" w:line="263" w:lineRule="auto"/>
        <w:ind w:left="38" w:right="31"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2.2.4 除非招标人认为确有必要答复，否则，招标人有权拒绝回复投标人在本章第2.2.1项规定的时间后提出的任何澄清要求。</w:t>
      </w:r>
      <w:bookmarkStart w:id="100" w:name="bookmark88"/>
      <w:bookmarkEnd w:id="100"/>
      <w:bookmarkStart w:id="101" w:name="bookmark89"/>
      <w:bookmarkEnd w:id="101"/>
    </w:p>
    <w:p w14:paraId="350DFF98">
      <w:pPr>
        <w:kinsoku/>
        <w:spacing w:before="193" w:line="220" w:lineRule="auto"/>
        <w:outlineLvl w:val="2"/>
        <w:rPr>
          <w:rFonts w:ascii="宋体" w:hAnsi="宋体" w:eastAsia="宋体" w:cs="宋体"/>
          <w:b/>
          <w:bCs/>
          <w:color w:val="auto"/>
          <w:sz w:val="24"/>
          <w:szCs w:val="24"/>
          <w:highlight w:val="none"/>
          <w:lang w:eastAsia="zh-CN"/>
        </w:rPr>
      </w:pPr>
      <w:bookmarkStart w:id="102" w:name="_Toc4680"/>
      <w:r>
        <w:rPr>
          <w:rFonts w:hint="eastAsia" w:ascii="宋体" w:hAnsi="宋体" w:eastAsia="宋体" w:cs="宋体"/>
          <w:b/>
          <w:bCs/>
          <w:color w:val="auto"/>
          <w:sz w:val="24"/>
          <w:szCs w:val="24"/>
          <w:highlight w:val="none"/>
          <w:lang w:eastAsia="zh-CN"/>
        </w:rPr>
        <w:t>2.3 招标文件的修改</w:t>
      </w:r>
      <w:bookmarkEnd w:id="102"/>
    </w:p>
    <w:p w14:paraId="3C95B474">
      <w:pPr>
        <w:kinsoku/>
        <w:spacing w:before="78" w:line="279" w:lineRule="auto"/>
        <w:ind w:left="39" w:right="67"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2.3.1 招标人以投标人须知前附表规定的形式修改招标文件，并通知所有已购买招标文件的投标人。修改招标文件的时间距本章第4.2.1项规定的投标截止时间不足15日，且修改内容可能影响投标文件编制的，将相应延长投标截止时间。</w:t>
      </w:r>
    </w:p>
    <w:p w14:paraId="37104471">
      <w:pPr>
        <w:kinsoku/>
        <w:spacing w:before="112" w:line="264" w:lineRule="auto"/>
        <w:ind w:left="39" w:right="71"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2.3.2 投标人收到修改内容后，应按投标人须知前附表规定的时间和形式通知招</w:t>
      </w:r>
      <w:bookmarkStart w:id="103" w:name="bookmark91"/>
      <w:bookmarkEnd w:id="103"/>
      <w:r>
        <w:rPr>
          <w:rFonts w:hint="eastAsia" w:ascii="宋体" w:hAnsi="宋体" w:eastAsia="宋体" w:cs="宋体"/>
          <w:color w:val="auto"/>
          <w:sz w:val="24"/>
          <w:szCs w:val="24"/>
          <w:highlight w:val="none"/>
          <w:lang w:eastAsia="zh-CN"/>
        </w:rPr>
        <w:t>标人，确认已收到该修改。</w:t>
      </w:r>
    </w:p>
    <w:p w14:paraId="32D4E490">
      <w:pPr>
        <w:kinsoku/>
        <w:spacing w:before="193" w:line="220" w:lineRule="auto"/>
        <w:outlineLvl w:val="2"/>
        <w:rPr>
          <w:rFonts w:ascii="宋体" w:hAnsi="宋体" w:eastAsia="宋体" w:cs="宋体"/>
          <w:b/>
          <w:bCs/>
          <w:color w:val="auto"/>
          <w:sz w:val="24"/>
          <w:szCs w:val="24"/>
          <w:highlight w:val="none"/>
          <w:lang w:eastAsia="zh-CN"/>
        </w:rPr>
      </w:pPr>
      <w:bookmarkStart w:id="104" w:name="bookmark90"/>
      <w:bookmarkEnd w:id="104"/>
      <w:bookmarkStart w:id="105" w:name="_Toc28533"/>
      <w:r>
        <w:rPr>
          <w:rFonts w:hint="eastAsia" w:ascii="宋体" w:hAnsi="宋体" w:eastAsia="宋体" w:cs="宋体"/>
          <w:b/>
          <w:bCs/>
          <w:color w:val="auto"/>
          <w:sz w:val="24"/>
          <w:szCs w:val="24"/>
          <w:highlight w:val="none"/>
          <w:lang w:eastAsia="zh-CN"/>
        </w:rPr>
        <w:t>2.4 招标文件的异议</w:t>
      </w:r>
      <w:bookmarkEnd w:id="105"/>
    </w:p>
    <w:p w14:paraId="1B7749F9">
      <w:pPr>
        <w:kinsoku/>
        <w:spacing w:before="78" w:line="300" w:lineRule="auto"/>
        <w:ind w:left="39" w:right="66" w:firstLine="481"/>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投标人或其他利害关系人对招标文件有异议的，应在投标截止时间10日前以书面形式提出。招标人将在收到异议之日起3日内作出答复；作出答复前，将暂停招标投标活动。</w:t>
      </w:r>
    </w:p>
    <w:p w14:paraId="0D4DD86F">
      <w:pPr>
        <w:kinsoku/>
        <w:spacing w:before="308" w:line="219" w:lineRule="auto"/>
        <w:ind w:left="39"/>
        <w:outlineLvl w:val="2"/>
        <w:rPr>
          <w:rFonts w:ascii="宋体" w:hAnsi="宋体" w:eastAsia="宋体" w:cs="宋体"/>
          <w:b/>
          <w:bCs/>
          <w:color w:val="auto"/>
          <w:sz w:val="28"/>
          <w:szCs w:val="28"/>
          <w:highlight w:val="none"/>
          <w:lang w:eastAsia="zh-CN"/>
        </w:rPr>
      </w:pPr>
      <w:bookmarkStart w:id="106" w:name="bookmark92"/>
      <w:bookmarkEnd w:id="106"/>
      <w:bookmarkStart w:id="107" w:name="bookmark93"/>
      <w:bookmarkEnd w:id="107"/>
      <w:bookmarkStart w:id="108" w:name="bookmark95"/>
      <w:bookmarkEnd w:id="108"/>
      <w:bookmarkStart w:id="109" w:name="_Toc10144"/>
      <w:r>
        <w:rPr>
          <w:rFonts w:hint="eastAsia" w:ascii="宋体" w:hAnsi="宋体" w:eastAsia="宋体" w:cs="宋体"/>
          <w:b/>
          <w:bCs/>
          <w:color w:val="auto"/>
          <w:sz w:val="28"/>
          <w:szCs w:val="28"/>
          <w:highlight w:val="none"/>
          <w:lang w:eastAsia="zh-CN"/>
        </w:rPr>
        <w:t>3. 投标文件</w:t>
      </w:r>
      <w:bookmarkEnd w:id="109"/>
    </w:p>
    <w:p w14:paraId="283A7DE5">
      <w:pPr>
        <w:kinsoku/>
        <w:spacing w:before="193" w:line="220" w:lineRule="auto"/>
        <w:outlineLvl w:val="2"/>
        <w:rPr>
          <w:rFonts w:ascii="宋体" w:hAnsi="宋体" w:eastAsia="宋体" w:cs="宋体"/>
          <w:b/>
          <w:bCs/>
          <w:color w:val="auto"/>
          <w:sz w:val="24"/>
          <w:szCs w:val="24"/>
          <w:highlight w:val="none"/>
          <w:lang w:eastAsia="zh-CN"/>
        </w:rPr>
      </w:pPr>
      <w:bookmarkStart w:id="110" w:name="bookmark94"/>
      <w:bookmarkEnd w:id="110"/>
      <w:bookmarkStart w:id="111" w:name="_Toc21179"/>
      <w:r>
        <w:rPr>
          <w:rFonts w:hint="eastAsia" w:ascii="宋体" w:hAnsi="宋体" w:eastAsia="宋体" w:cs="宋体"/>
          <w:b/>
          <w:bCs/>
          <w:color w:val="auto"/>
          <w:sz w:val="24"/>
          <w:szCs w:val="24"/>
          <w:highlight w:val="none"/>
          <w:lang w:eastAsia="zh-CN"/>
        </w:rPr>
        <w:t>3.1 投标文件的组成</w:t>
      </w:r>
      <w:bookmarkEnd w:id="111"/>
    </w:p>
    <w:p w14:paraId="42C82DC0">
      <w:pPr>
        <w:kinsoku/>
        <w:spacing w:before="78" w:line="300" w:lineRule="auto"/>
        <w:ind w:left="39" w:right="66" w:firstLine="481"/>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3.1.1 投标文件应采用双信封形式，包括下列内容：第一个信封（商务及技术文件）：</w:t>
      </w:r>
    </w:p>
    <w:p w14:paraId="35575BBE">
      <w:pPr>
        <w:kinsoku/>
        <w:spacing w:before="116"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（1）投标函；</w:t>
      </w:r>
    </w:p>
    <w:p w14:paraId="74E61D14">
      <w:pPr>
        <w:kinsoku/>
        <w:spacing w:before="111"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（2）授权委托书或法定代表人身份证明；</w:t>
      </w:r>
    </w:p>
    <w:p w14:paraId="70DBAB97">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（3）联合体协议书；</w:t>
      </w:r>
    </w:p>
    <w:p w14:paraId="0764B012">
      <w:pPr>
        <w:kinsoku/>
        <w:spacing w:before="117"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（4）投标保证金；</w:t>
      </w:r>
    </w:p>
    <w:p w14:paraId="31B741B5">
      <w:pPr>
        <w:kinsoku/>
        <w:spacing w:before="112"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（5）拟分包项目情况表；</w:t>
      </w:r>
    </w:p>
    <w:p w14:paraId="29F393B7">
      <w:pPr>
        <w:kinsoku/>
        <w:spacing w:before="116"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（6）资格审查资料；</w:t>
      </w:r>
    </w:p>
    <w:p w14:paraId="1B316B5C">
      <w:pPr>
        <w:kinsoku/>
        <w:spacing w:before="115"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（7）技术建议书；</w:t>
      </w:r>
    </w:p>
    <w:p w14:paraId="2076DD53">
      <w:pPr>
        <w:kinsoku/>
        <w:spacing w:before="115" w:line="263" w:lineRule="auto"/>
        <w:ind w:left="518" w:right="449" w:firstLine="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（8）投标人须知前附表规定的其他资料。</w:t>
      </w:r>
    </w:p>
    <w:p w14:paraId="7D4951C4">
      <w:pPr>
        <w:kinsoku/>
        <w:spacing w:before="115" w:line="263" w:lineRule="auto"/>
        <w:ind w:left="518" w:right="449" w:firstLine="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第二个信封（报价文件）：</w:t>
      </w:r>
    </w:p>
    <w:p w14:paraId="48682B77">
      <w:pPr>
        <w:kinsoku/>
        <w:spacing w:before="118"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（1）投标函；</w:t>
      </w:r>
    </w:p>
    <w:p w14:paraId="61EB751A">
      <w:pPr>
        <w:kinsoku/>
        <w:spacing w:before="111"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（2）勘察设计费用清单。</w:t>
      </w:r>
    </w:p>
    <w:p w14:paraId="3CE21E21">
      <w:pPr>
        <w:kinsoku/>
        <w:spacing w:before="115" w:line="295" w:lineRule="auto"/>
        <w:ind w:left="40" w:right="68"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投标人在评标过程中作出的符合法律法规和招标文件规定的澄清确认，构成投标文件的组成部分。</w:t>
      </w:r>
    </w:p>
    <w:p w14:paraId="4E27D14E">
      <w:pPr>
        <w:kinsoku/>
        <w:spacing w:before="32" w:line="264" w:lineRule="auto"/>
        <w:ind w:left="41"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3.1.2 投标人须知前附表规定不接受联合体投标的，或投标人没有组成联合体的，投标文件不包括本章第3.1.1（3）目所指的联合体协议书。</w:t>
      </w:r>
    </w:p>
    <w:p w14:paraId="2CD35361">
      <w:pPr>
        <w:kinsoku/>
        <w:spacing w:before="116" w:line="219" w:lineRule="auto"/>
        <w:ind w:firstLine="480" w:firstLineChars="20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3.1.3 投标人须知前附表未要求提交投标保证金的，投标文件不包括本章第3.1.1</w:t>
      </w:r>
      <w:bookmarkStart w:id="112" w:name="bookmark97"/>
      <w:bookmarkEnd w:id="112"/>
      <w:r>
        <w:rPr>
          <w:rFonts w:hint="eastAsia" w:ascii="宋体" w:hAnsi="宋体" w:eastAsia="宋体" w:cs="宋体"/>
          <w:color w:val="auto"/>
          <w:sz w:val="24"/>
          <w:szCs w:val="24"/>
          <w:highlight w:val="none"/>
          <w:lang w:eastAsia="zh-CN"/>
        </w:rPr>
        <w:t>（4）目所指的投标保证金。</w:t>
      </w:r>
    </w:p>
    <w:p w14:paraId="68315F9D">
      <w:pPr>
        <w:kinsoku/>
        <w:spacing w:before="193" w:line="220" w:lineRule="auto"/>
        <w:outlineLvl w:val="2"/>
        <w:rPr>
          <w:rFonts w:ascii="宋体" w:hAnsi="宋体" w:eastAsia="宋体" w:cs="宋体"/>
          <w:b/>
          <w:bCs/>
          <w:color w:val="auto"/>
          <w:sz w:val="24"/>
          <w:szCs w:val="24"/>
          <w:highlight w:val="none"/>
          <w:lang w:eastAsia="zh-CN"/>
        </w:rPr>
      </w:pPr>
      <w:bookmarkStart w:id="113" w:name="bookmark96"/>
      <w:bookmarkEnd w:id="113"/>
      <w:bookmarkStart w:id="114" w:name="_Toc20099"/>
      <w:r>
        <w:rPr>
          <w:rFonts w:hint="eastAsia" w:ascii="宋体" w:hAnsi="宋体" w:eastAsia="宋体" w:cs="宋体"/>
          <w:b/>
          <w:bCs/>
          <w:color w:val="auto"/>
          <w:sz w:val="24"/>
          <w:szCs w:val="24"/>
          <w:highlight w:val="none"/>
          <w:lang w:eastAsia="zh-CN"/>
        </w:rPr>
        <w:t>3.2 投标报价</w:t>
      </w:r>
      <w:bookmarkEnd w:id="114"/>
    </w:p>
    <w:p w14:paraId="22036248">
      <w:pPr>
        <w:kinsoku/>
        <w:spacing w:before="78" w:line="278" w:lineRule="auto"/>
        <w:ind w:left="39" w:right="14"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3.2.1 投标报价应包括国家规定的增值税税金，除投标人须知前附表另有规定外，增值税税金按一般计税方法计算。投标人应按第六章“投标文件格式”的要求在投标函中进行报价并填写勘察设计费用清单相应表格。</w:t>
      </w:r>
    </w:p>
    <w:p w14:paraId="0546566C">
      <w:pPr>
        <w:kinsoku/>
        <w:spacing w:before="117" w:line="264" w:lineRule="auto"/>
        <w:ind w:left="39" w:right="101"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3.2.2 投标人应充分了解本项目的总体情况以及影响投标报价的其他要素，按照招标文件规定的勘察设计工作内容和计划工作量，自行测算勘察设计费用。</w:t>
      </w:r>
    </w:p>
    <w:p w14:paraId="7EE458A5">
      <w:pPr>
        <w:kinsoku/>
        <w:spacing w:before="114" w:line="278" w:lineRule="auto"/>
        <w:ind w:left="39"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3.2.3 本项目的报价方式见投标人须知前附表。投标人在投标截止时间前修改投标函中的投标报价总额，应同时修改投标文件“勘察设计费用清单”中的相应报价。此修改须符合本章第4.3款的有关要求。</w:t>
      </w:r>
    </w:p>
    <w:p w14:paraId="36DA9405">
      <w:pPr>
        <w:kinsoku/>
        <w:spacing w:before="115" w:line="263" w:lineRule="auto"/>
        <w:ind w:left="41" w:right="139"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3.2.4 招标人设有最高投标限价的，投标人的投标报价不得超过最高投标限价，最高投标限价在投标人须知前附表中载明。</w:t>
      </w:r>
    </w:p>
    <w:p w14:paraId="325A45C0">
      <w:pPr>
        <w:kinsoku/>
        <w:spacing w:before="117" w:line="218"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3.2.5 投标报价的其他要求见投标人须知前附表。</w:t>
      </w:r>
    </w:p>
    <w:p w14:paraId="300AE036">
      <w:pPr>
        <w:kinsoku/>
        <w:spacing w:before="193" w:line="220" w:lineRule="auto"/>
        <w:outlineLvl w:val="2"/>
        <w:rPr>
          <w:rFonts w:ascii="宋体" w:hAnsi="宋体" w:eastAsia="宋体" w:cs="宋体"/>
          <w:b/>
          <w:bCs/>
          <w:color w:val="auto"/>
          <w:sz w:val="24"/>
          <w:szCs w:val="24"/>
          <w:highlight w:val="none"/>
          <w:lang w:eastAsia="zh-CN"/>
        </w:rPr>
      </w:pPr>
      <w:bookmarkStart w:id="115" w:name="bookmark99"/>
      <w:bookmarkEnd w:id="115"/>
      <w:bookmarkStart w:id="116" w:name="bookmark98"/>
      <w:bookmarkEnd w:id="116"/>
      <w:bookmarkStart w:id="117" w:name="_Toc15379"/>
      <w:r>
        <w:rPr>
          <w:rFonts w:hint="eastAsia" w:ascii="宋体" w:hAnsi="宋体" w:eastAsia="宋体" w:cs="宋体"/>
          <w:b/>
          <w:bCs/>
          <w:color w:val="auto"/>
          <w:sz w:val="24"/>
          <w:szCs w:val="24"/>
          <w:highlight w:val="none"/>
          <w:lang w:eastAsia="zh-CN"/>
        </w:rPr>
        <w:t>3.3 投标有效期</w:t>
      </w:r>
      <w:bookmarkEnd w:id="117"/>
    </w:p>
    <w:p w14:paraId="777843A5">
      <w:pPr>
        <w:kinsoku/>
        <w:spacing w:before="79" w:line="219"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3.3.1 除投标人须知前附表另有规定外，投标有效期为90日。</w:t>
      </w:r>
    </w:p>
    <w:p w14:paraId="00592D88">
      <w:pPr>
        <w:kinsoku/>
        <w:spacing w:before="116" w:line="263" w:lineRule="auto"/>
        <w:ind w:left="46" w:right="83" w:firstLine="47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3.3.2 在投标有效期内，投标人撤销投标文件的，应承担招标文件和法律规定的责任。</w:t>
      </w:r>
    </w:p>
    <w:p w14:paraId="2442C679">
      <w:pPr>
        <w:kinsoku/>
        <w:spacing w:before="117" w:line="290" w:lineRule="auto"/>
        <w:ind w:left="39" w:right="79"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3.3.3 出现特殊情况需要延长投标有效期的，招标人以书面形式通知所有投标人延长投标有效期。投标人应予以书面答复，同意延长的，应相应延长其投标保证金的有效期，但不得要求或被允许修改其投标文件；投标人拒绝延长的，其投标失效，但投标人有权收回其投标保证金及以现金或支票形式递交的投标保证金的银行同期活</w:t>
      </w:r>
      <w:bookmarkStart w:id="118" w:name="bookmark101"/>
      <w:bookmarkEnd w:id="118"/>
      <w:r>
        <w:rPr>
          <w:rFonts w:hint="eastAsia" w:ascii="宋体" w:hAnsi="宋体" w:eastAsia="宋体" w:cs="宋体"/>
          <w:color w:val="auto"/>
          <w:sz w:val="24"/>
          <w:szCs w:val="24"/>
          <w:highlight w:val="none"/>
          <w:lang w:eastAsia="zh-CN"/>
        </w:rPr>
        <w:t>期存款利息。</w:t>
      </w:r>
    </w:p>
    <w:p w14:paraId="6378609F">
      <w:pPr>
        <w:kinsoku/>
        <w:spacing w:before="193" w:line="220" w:lineRule="auto"/>
        <w:outlineLvl w:val="2"/>
        <w:rPr>
          <w:rFonts w:ascii="宋体" w:hAnsi="宋体" w:eastAsia="宋体" w:cs="宋体"/>
          <w:b/>
          <w:bCs/>
          <w:color w:val="auto"/>
          <w:sz w:val="24"/>
          <w:szCs w:val="24"/>
          <w:highlight w:val="none"/>
          <w:lang w:eastAsia="zh-CN"/>
        </w:rPr>
      </w:pPr>
      <w:bookmarkStart w:id="119" w:name="bookmark100"/>
      <w:bookmarkEnd w:id="119"/>
      <w:bookmarkStart w:id="120" w:name="_Toc2076"/>
      <w:r>
        <w:rPr>
          <w:rFonts w:hint="eastAsia" w:ascii="宋体" w:hAnsi="宋体" w:eastAsia="宋体" w:cs="宋体"/>
          <w:b/>
          <w:bCs/>
          <w:color w:val="auto"/>
          <w:sz w:val="24"/>
          <w:szCs w:val="24"/>
          <w:highlight w:val="none"/>
          <w:lang w:eastAsia="zh-CN"/>
        </w:rPr>
        <w:t>3.4 投标保证金</w:t>
      </w:r>
      <w:bookmarkEnd w:id="120"/>
    </w:p>
    <w:p w14:paraId="7CD8C803">
      <w:pPr>
        <w:kinsoku/>
        <w:spacing w:before="79" w:line="302" w:lineRule="auto"/>
        <w:ind w:left="41" w:right="79" w:firstLine="477"/>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3.4.1 投标人在递交投标文件的同时，应按投标人须知前附表规定的金额和第六章“投标文件格式”规定的投标保证金格式递交投标保证金，并作为其投标文件的组成部分。联合体投标的，其投标保证金由牵头人递交，并应符合投标人须知前附表的规定。</w:t>
      </w:r>
    </w:p>
    <w:p w14:paraId="75126713">
      <w:pPr>
        <w:kinsoku/>
        <w:spacing w:before="35" w:line="294" w:lineRule="auto"/>
        <w:ind w:left="38" w:right="79" w:firstLine="48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投标保证金应采用现金、支票、银行保函或招标人在投标人须知前附表规定的其他形式。</w:t>
      </w:r>
    </w:p>
    <w:p w14:paraId="57912345">
      <w:pPr>
        <w:kinsoku/>
        <w:spacing w:before="78" w:line="278" w:lineRule="auto"/>
        <w:ind w:left="40" w:right="28"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（1）若采用现金或支票，投标人应在递交投标文件截止时间之前，将投标保证金由投标人的基本账户转入招标人指定账户，否则视为投标保证金无效。招标人指定的开户银行及账号见投标人须知前附表。</w:t>
      </w:r>
    </w:p>
    <w:p w14:paraId="586FE266">
      <w:pPr>
        <w:kinsoku/>
        <w:spacing w:before="116" w:line="278" w:lineRule="auto"/>
        <w:ind w:left="37" w:right="28" w:firstLine="4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（2）若采用银行保函，则应由符合投标人须知前附表规定级别的银行开具，并采用招标文件提供的格式。银行保函复印件装订在投标文件内，原件应在递交投标文件截止时间之前单独密封递交给招标人。</w:t>
      </w:r>
    </w:p>
    <w:p w14:paraId="7D98D546">
      <w:pPr>
        <w:kinsoku/>
        <w:spacing w:before="115" w:line="300" w:lineRule="auto"/>
        <w:ind w:left="39" w:right="29" w:firstLine="48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无论采取何种形式的投标保证金，投标保证金有效期均应与投标有效期一致。招标人如果按本章第3.3.3项的规定延长了投标有效期，则投标保证金的有效期也相应延长。</w:t>
      </w:r>
    </w:p>
    <w:p w14:paraId="1E1A2E32">
      <w:pPr>
        <w:kinsoku/>
        <w:spacing w:before="31" w:line="263" w:lineRule="auto"/>
        <w:ind w:left="39" w:right="29"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3.4.2 投标人不按本章第3.4.1项要求提交投标保证金的，评标委员会将否决其投标。</w:t>
      </w:r>
    </w:p>
    <w:p w14:paraId="6D5D31E6">
      <w:pPr>
        <w:kinsoku/>
        <w:spacing w:before="116" w:line="285" w:lineRule="auto"/>
        <w:ind w:left="38" w:right="29"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3.4.3 招标人最迟将在中标通知书发出后5日内向中标候选人以外的其他投标人退还投标保证金，与中标人签订合同后5日内向中标人和其他中标候选人退还投标保证金。投标保证金以现金或支票形式递交的，招标人应同时退还投标保证金的银行同期活期存款利息，且退还至投标人的基本账户。</w:t>
      </w:r>
    </w:p>
    <w:p w14:paraId="5046A06A">
      <w:pPr>
        <w:kinsoku/>
        <w:spacing w:before="117" w:line="219"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利息计算原则见投标人须知前附表。</w:t>
      </w:r>
    </w:p>
    <w:p w14:paraId="3A76CFF2">
      <w:pPr>
        <w:kinsoku/>
        <w:spacing w:before="113"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3.4.4 有下列情形之一的，投标保证金将不予退还：</w:t>
      </w:r>
    </w:p>
    <w:p w14:paraId="655D68E9">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（1）投标人在投标有效期内撤销投标文件；</w:t>
      </w:r>
    </w:p>
    <w:p w14:paraId="497A2C04">
      <w:pPr>
        <w:kinsoku/>
        <w:spacing w:before="114" w:line="263" w:lineRule="auto"/>
        <w:ind w:left="61" w:right="43" w:firstLine="46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（2）中标人在收到中标通知书后，无正当理由不与招标人订立合同，在签订合同时向招标人提出附加条件，或不按照招标文件要求提交履约保证金；</w:t>
      </w:r>
    </w:p>
    <w:p w14:paraId="1F81C41F">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（3）发生投标人须知前附表规定的其他可以不予退还投标保证金的情形。</w:t>
      </w:r>
    </w:p>
    <w:p w14:paraId="014E5AED">
      <w:pPr>
        <w:kinsoku/>
        <w:spacing w:before="193" w:line="220" w:lineRule="auto"/>
        <w:outlineLvl w:val="2"/>
        <w:rPr>
          <w:rFonts w:ascii="宋体" w:hAnsi="宋体" w:eastAsia="宋体" w:cs="宋体"/>
          <w:b/>
          <w:bCs/>
          <w:color w:val="auto"/>
          <w:sz w:val="24"/>
          <w:szCs w:val="24"/>
          <w:highlight w:val="none"/>
          <w:lang w:eastAsia="zh-CN"/>
        </w:rPr>
      </w:pPr>
      <w:bookmarkStart w:id="121" w:name="bookmark103"/>
      <w:bookmarkEnd w:id="121"/>
      <w:bookmarkStart w:id="122" w:name="bookmark102"/>
      <w:bookmarkEnd w:id="122"/>
      <w:bookmarkStart w:id="123" w:name="bookmark104"/>
      <w:bookmarkEnd w:id="123"/>
      <w:bookmarkStart w:id="124" w:name="_Toc32642"/>
      <w:r>
        <w:rPr>
          <w:rFonts w:hint="eastAsia" w:ascii="宋体" w:hAnsi="宋体" w:eastAsia="宋体" w:cs="宋体"/>
          <w:b/>
          <w:bCs/>
          <w:color w:val="auto"/>
          <w:sz w:val="24"/>
          <w:szCs w:val="24"/>
          <w:highlight w:val="none"/>
          <w:lang w:eastAsia="zh-CN"/>
        </w:rPr>
        <w:t>3.5 资格审查资料</w:t>
      </w:r>
      <w:bookmarkEnd w:id="124"/>
    </w:p>
    <w:p w14:paraId="441BF1F6">
      <w:pPr>
        <w:kinsoku/>
        <w:spacing w:before="78" w:line="293" w:lineRule="auto"/>
        <w:ind w:left="60" w:right="204" w:firstLine="47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除投标人须知前附表另有规定外，投标人应按下列规定提供资格审查资料，以证明其满足本章第1.4款规定的资质、业绩、信誉等要求。</w:t>
      </w:r>
    </w:p>
    <w:p w14:paraId="5128CE7A">
      <w:pPr>
        <w:kinsoku/>
        <w:spacing w:before="35" w:line="304" w:lineRule="auto"/>
        <w:ind w:left="37"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3.5.1 “投标人基本情况表”应附企业法人营业执照副本和组织机构代码证副本（按照“三证合一”或“五证合一”登记制度进行登记的，可仅提供营业执照副本，下同）、勘察资质证书副本、设计资质证书副本、基本账户开户许可证的复印件，投标人在交通运输部“全国公路建设市场监督管理系统”公路工程设计资质企业名录中的网页截图复印件，以及投标人在国家企业信用信息公示系统中基础信息（体现股东及出资详细信息）的网页截图或由法定的社会验资机构出具的验资报告或注册地工商部门出具的股东出资情况证明复印件。</w:t>
      </w:r>
    </w:p>
    <w:p w14:paraId="112E9BA5">
      <w:pPr>
        <w:kinsoku/>
        <w:spacing w:before="37" w:line="301" w:lineRule="auto"/>
        <w:ind w:left="37" w:right="203"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企业法人营业执照副本和组织机构代码证副本、勘察资质证书副本、设计资质证书副本、基本账户开户许可证的复印件应提供全本（证书封面、封底、空白页除外），应包括投标人名称、投标人其他相关信息、颁发机构名称、投标人信息变更情况等关键页在内，并逐页加盖投标人单位章。</w:t>
      </w:r>
    </w:p>
    <w:p w14:paraId="7F588AD5">
      <w:pPr>
        <w:kinsoku/>
        <w:spacing w:before="34" w:line="299" w:lineRule="auto"/>
        <w:ind w:left="38" w:right="205" w:firstLine="48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3.5.2 “近年完成的类似项目”应是已列入交通运输主管部门“全国公路建设市场监督管理系统”并公开的“初步设计已批复或施工图设计已批复”的主包业绩或分包业绩，具体时间要求见投标人须知前附表。</w:t>
      </w:r>
    </w:p>
    <w:p w14:paraId="7AB95596">
      <w:pPr>
        <w:kinsoku/>
        <w:spacing w:before="34" w:line="304" w:lineRule="auto"/>
        <w:ind w:left="21" w:right="202"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“近年完成的类似项目情况表”应附在交通运输部“</w:t>
      </w:r>
      <w:bookmarkStart w:id="125" w:name="OLE_LINK2"/>
      <w:r>
        <w:rPr>
          <w:rFonts w:hint="eastAsia" w:ascii="宋体" w:hAnsi="宋体" w:eastAsia="宋体" w:cs="宋体"/>
          <w:color w:val="auto"/>
          <w:sz w:val="24"/>
          <w:szCs w:val="24"/>
          <w:highlight w:val="none"/>
          <w:lang w:eastAsia="zh-CN"/>
        </w:rPr>
        <w:t>全国公路建设市场监督管理系统</w:t>
      </w:r>
      <w:bookmarkEnd w:id="125"/>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eastAsia="zh-CN"/>
        </w:rPr>
        <w:t>https://hwdms.mot.gov.cn/BMWebSite/</w:t>
      </w:r>
      <w:r>
        <w:rPr>
          <w:rFonts w:hint="eastAsia" w:ascii="宋体" w:hAnsi="宋体" w:eastAsia="宋体" w:cs="宋体"/>
          <w:color w:val="auto"/>
          <w:sz w:val="24"/>
          <w:szCs w:val="24"/>
          <w:highlight w:val="none"/>
        </w:rPr>
        <w:t>）中查询到的企业“业绩信息”相关项目网页截图复印件，即包括“工程名称”“项目类型”“合同价”“技术等级”“主要设计内容”“人员履约信息”等栏目在内的项目详细信息网页截图复印件。</w:t>
      </w:r>
      <w:r>
        <w:rPr>
          <w:rFonts w:hint="eastAsia" w:ascii="宋体" w:hAnsi="宋体" w:eastAsia="宋体" w:cs="宋体"/>
          <w:color w:val="auto"/>
          <w:sz w:val="24"/>
          <w:szCs w:val="24"/>
          <w:highlight w:val="none"/>
          <w:lang w:eastAsia="zh-CN"/>
        </w:rPr>
        <w:t>在交通运输部“全国公路建设市场监督管理系统”中无法查询，但可在省级交通运输主管部门“全国公路建设市场监督管理系统”中查询的，应附省级交通运输主管部门“全国公路建设市场监督管理系统”中查询到的网页截图复印件并注明查询路径。除网页截图复印件外，投标人无须再提供任何业绩证明材料。</w:t>
      </w:r>
    </w:p>
    <w:p w14:paraId="2C2CDE38">
      <w:pPr>
        <w:kinsoku/>
        <w:spacing w:before="39" w:line="299" w:lineRule="auto"/>
        <w:ind w:left="43" w:right="201" w:firstLine="478"/>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如投标人未提供相关项目网页截图复印件或相关项目网页截图中的信息无法证实投标人满足招标文件规定的资格审查条件（业绩最低要求），则该项目业绩不予认定。</w:t>
      </w:r>
    </w:p>
    <w:p w14:paraId="707B051B">
      <w:pPr>
        <w:kinsoku/>
        <w:spacing w:before="78" w:line="290"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3.5.3 “投标人的信誉情况表”应附投标人在国家企业信用信息公示系统中未被 列入严重违法失信企业名单、在“信用中国”网站中未被列入失信被执行人名单的网页截图复印件，以及由项目所在地或投标人住所地检察机关职务犯罪预防部门出具的近三年内投标人及其法定代表人、拟委任的项目负责人均无行贿犯罪行为的查询记录 证明原件。</w:t>
      </w:r>
    </w:p>
    <w:p w14:paraId="41B975D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3.5.4 “拟委任的项目负责人资历表”应附项目负责人的身份证、职称资格证书和资格审查条件所要求的其他相关证书的复印件，以及投标人所属社保机构出具的拟委任的项目负责人的社保缴费证明或其他能够证明拟委任的项目负责人参加社保的有效证明材料复印件。</w:t>
      </w:r>
    </w:p>
    <w:p w14:paraId="1D8B4B0F">
      <w:pPr>
        <w:kinsoku/>
        <w:spacing w:before="118" w:line="304" w:lineRule="auto"/>
        <w:ind w:left="37" w:right="199" w:firstLine="464"/>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拟委任的项目负责人资历表”还应附交通运输部“全国公路建设市场监督管理系统”中载明的、能够证明项目负责人具有相关业绩的网页截图复印件。在交通运输部“全国公路建设市场监督管理系统”中无法查询，但可在省级交通运输主管部门“全国公路建设市场监督管理系统”中查询的，应附省级交通运输主管部门“全国公路建设市场监督管理系统”中查询到的网页截图复印件并注明查询路径。除网页截图复印件外，投标人无须再提供任何业绩证明材料。如投标人未提供相关业绩网页截图复印件或相关业绩网页截图中的信息无法证实投标人满足招标文件规定的资格审查条件（项目负责人最低要求），则该业绩不予认定。</w:t>
      </w:r>
    </w:p>
    <w:p w14:paraId="17AAD987">
      <w:pPr>
        <w:kinsoku/>
        <w:spacing w:before="118" w:line="304" w:lineRule="auto"/>
        <w:ind w:left="37" w:right="199" w:firstLine="464"/>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3.5.5 “拟委任的分项负责人汇总表”（如有）应填报满足投标人须知前附表附录5规定的各专业分项负责人的相关信息。“拟委任的分项负责人资历表”（如有）中分项负责人应附身份证、职称资格证书和资格审查条件所要求的其他相关证书的复印件，相关业绩证明材料复印件，以及投标人所属社保机构出具的社保缴费证明或其他能够证明其参加社保的有效证明材料复印件。</w:t>
      </w:r>
    </w:p>
    <w:p w14:paraId="0F19BFF2">
      <w:pPr>
        <w:kinsoku/>
        <w:spacing w:before="114" w:line="264" w:lineRule="auto"/>
        <w:ind w:left="43" w:right="204"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3.5.6 投标人须知前附表规定接受联合体投标的，本章第3.5.1项至第3.5.5项规定的表格和资料应包括联合体各方相关情况。</w:t>
      </w:r>
    </w:p>
    <w:p w14:paraId="2DC9449A">
      <w:pPr>
        <w:kinsoku/>
        <w:spacing w:before="116" w:line="263" w:lineRule="auto"/>
        <w:ind w:left="46" w:right="209" w:firstLine="47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3.5.7 除合同条款约定的特殊情形外，投标人在投标文件中填报的项目负责人不允许更换。</w:t>
      </w:r>
    </w:p>
    <w:p w14:paraId="06B98082">
      <w:pPr>
        <w:kinsoku/>
        <w:spacing w:before="115" w:line="264" w:lineRule="auto"/>
        <w:ind w:left="38" w:right="206"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3.5.8 投标人在投标文件中填报的资质、业绩、主要人员资历和目前在岗情况、信用等级等信息，应与其在交通运输主管部门“全国公路建设市场监督管理系统”上填报并发布的相关信息一致。投标人应根据本单位实际情况及时完成相关信息的申报、录入和动态更新，并对相关信息的真实性、完整性和准确性负责。</w:t>
      </w:r>
    </w:p>
    <w:p w14:paraId="0989D3E1">
      <w:pPr>
        <w:kinsoku/>
        <w:spacing w:before="33" w:line="301" w:lineRule="auto"/>
        <w:ind w:left="39" w:right="204"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3.5.9 招标人有权核查投标人在投标文件中提供的资料，若在评标期间发现投标人提供了虚假资料，其投标将被否决；若在签订合同前发现作为中标候选人的投标人提供了虚假资料，招标人有权取消其中标资格；若在合同实施期间发现投标人提供了虚假资料，招标人有权从合同价款或履约保证金中扣除不超过5％签约合同价的金额作为违约金。同时招标人将投标人上述弄虚作假行为上报省级交通运输主管部门，作</w:t>
      </w:r>
      <w:bookmarkStart w:id="126" w:name="bookmark107"/>
      <w:bookmarkEnd w:id="126"/>
      <w:r>
        <w:rPr>
          <w:rFonts w:hint="eastAsia" w:ascii="宋体" w:hAnsi="宋体" w:eastAsia="宋体" w:cs="宋体"/>
          <w:color w:val="auto"/>
          <w:sz w:val="24"/>
          <w:szCs w:val="24"/>
          <w:highlight w:val="none"/>
          <w:lang w:eastAsia="zh-CN"/>
        </w:rPr>
        <w:t>为不良记录纳入全国公路建设市场监督管理系统。</w:t>
      </w:r>
    </w:p>
    <w:p w14:paraId="6C83038D">
      <w:pPr>
        <w:kinsoku/>
        <w:spacing w:before="193" w:line="220" w:lineRule="auto"/>
        <w:outlineLvl w:val="2"/>
        <w:rPr>
          <w:rFonts w:ascii="宋体" w:hAnsi="宋体" w:eastAsia="宋体" w:cs="宋体"/>
          <w:b/>
          <w:bCs/>
          <w:color w:val="auto"/>
          <w:sz w:val="24"/>
          <w:szCs w:val="24"/>
          <w:highlight w:val="none"/>
          <w:lang w:eastAsia="zh-CN"/>
        </w:rPr>
      </w:pPr>
      <w:bookmarkStart w:id="127" w:name="bookmark106"/>
      <w:bookmarkEnd w:id="127"/>
      <w:bookmarkStart w:id="128" w:name="_Toc31167"/>
      <w:r>
        <w:rPr>
          <w:rFonts w:hint="eastAsia" w:ascii="宋体" w:hAnsi="宋体" w:eastAsia="宋体" w:cs="宋体"/>
          <w:b/>
          <w:bCs/>
          <w:color w:val="auto"/>
          <w:sz w:val="24"/>
          <w:szCs w:val="24"/>
          <w:highlight w:val="none"/>
          <w:lang w:eastAsia="zh-CN"/>
        </w:rPr>
        <w:t>3.6 备选投标方案</w:t>
      </w:r>
      <w:bookmarkEnd w:id="128"/>
    </w:p>
    <w:p w14:paraId="29254E2C">
      <w:pPr>
        <w:kinsoku/>
        <w:spacing w:before="78" w:line="263" w:lineRule="auto"/>
        <w:ind w:left="41" w:right="79"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3.6.1 除投标人须知前附表规定允许外，投标人不得递交备选投标方案，否则其投标将被否决。</w:t>
      </w:r>
    </w:p>
    <w:p w14:paraId="53175F65">
      <w:pPr>
        <w:kinsoku/>
        <w:spacing w:before="117" w:line="278" w:lineRule="auto"/>
        <w:ind w:left="39" w:right="78"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3.6.2 允许投标人递交备选投标方案的，只有中标人所递交的备选投标方案方可予以考虑。评标委员会认为中标人的备选投标方案优于其按照招标文件要求编制的投标方案的，招标人可以接受该备选投标方案。</w:t>
      </w:r>
    </w:p>
    <w:p w14:paraId="53778455">
      <w:pPr>
        <w:kinsoku/>
        <w:spacing w:before="113" w:line="264" w:lineRule="auto"/>
        <w:ind w:left="61" w:right="80" w:firstLine="45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3.6.3 投标人提供两个或两个以上投标报价，或在投标文件中提供一个报价，但 同时提供两个或两个以上技术建议书的，视为提供备选方案。</w:t>
      </w:r>
    </w:p>
    <w:p w14:paraId="6AF6F2DF">
      <w:pPr>
        <w:kinsoku/>
        <w:spacing w:before="193" w:line="220" w:lineRule="auto"/>
        <w:outlineLvl w:val="2"/>
        <w:rPr>
          <w:rFonts w:ascii="宋体" w:hAnsi="宋体" w:eastAsia="宋体" w:cs="宋体"/>
          <w:b/>
          <w:bCs/>
          <w:color w:val="auto"/>
          <w:sz w:val="24"/>
          <w:szCs w:val="24"/>
          <w:highlight w:val="none"/>
          <w:lang w:eastAsia="zh-CN"/>
        </w:rPr>
      </w:pPr>
      <w:bookmarkStart w:id="129" w:name="bookmark108"/>
      <w:bookmarkEnd w:id="129"/>
      <w:bookmarkStart w:id="130" w:name="bookmark109"/>
      <w:bookmarkEnd w:id="130"/>
      <w:bookmarkStart w:id="131" w:name="_Toc20712"/>
      <w:r>
        <w:rPr>
          <w:rFonts w:hint="eastAsia" w:ascii="宋体" w:hAnsi="宋体" w:eastAsia="宋体" w:cs="宋体"/>
          <w:b/>
          <w:bCs/>
          <w:color w:val="auto"/>
          <w:sz w:val="24"/>
          <w:szCs w:val="24"/>
          <w:highlight w:val="none"/>
          <w:lang w:eastAsia="zh-CN"/>
        </w:rPr>
        <w:t>3.7 投标文件的编制</w:t>
      </w:r>
      <w:bookmarkEnd w:id="131"/>
    </w:p>
    <w:p w14:paraId="0236EB7A">
      <w:pPr>
        <w:kinsoku/>
        <w:spacing w:before="79" w:line="264" w:lineRule="auto"/>
        <w:ind w:left="39" w:right="131"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3.7.1 投标文件应按第六章“投标文件格式”进行编写，如有必要，可以增加附页，作为投标文件的组成部分。</w:t>
      </w:r>
    </w:p>
    <w:p w14:paraId="4E189EB1">
      <w:pPr>
        <w:kinsoku/>
        <w:spacing w:before="113" w:line="264" w:lineRule="auto"/>
        <w:ind w:left="42" w:right="113"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3.7.2 投标文件应对招标文件有关勘察设计服务期限、投标有效期、质量要求、安全目标、发包人要求、招标范围等实质性内容作出响应。</w:t>
      </w:r>
    </w:p>
    <w:p w14:paraId="56F21407">
      <w:pPr>
        <w:kinsoku/>
        <w:spacing w:before="114" w:line="290" w:lineRule="auto"/>
        <w:ind w:left="37"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3.7.3 投标文件应用不褪色的材料书写或打印。投标文件格式中明确要求投标人法定代表人或其委托代理人签字之处，必须由相关人员亲笔签名，不得使用印章、签名章或其他电子制版签名代替；明确要求投标人加盖单位章之处，必须加盖单位章。其中，投标函及对投标文件的澄清和说明应加盖投标人单位章，或由投标人的法定代表人或其委托代理人签字。</w:t>
      </w:r>
    </w:p>
    <w:p w14:paraId="259F48C0">
      <w:pPr>
        <w:kinsoku/>
        <w:spacing w:before="117" w:line="298" w:lineRule="auto"/>
        <w:ind w:left="38" w:right="77"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如果投标文件由委托代理人签署，则投标人须提交授权委托书，授权委托书应按第六章“投标文件格式”的要求出具，并由法定代表人和委托代理人亲笔签名，不得使用印章、签名章或其他电子制版签名代替。</w:t>
      </w:r>
    </w:p>
    <w:p w14:paraId="60DA76E3">
      <w:pPr>
        <w:kinsoku/>
        <w:spacing w:before="36" w:line="295" w:lineRule="auto"/>
        <w:ind w:left="38" w:right="77"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如果由投标人的法定代表人亲自签署投标文件，则投标人须提交法定代表人身份证明，身份证明应符合第六章“投标文件格式”的要求。</w:t>
      </w:r>
    </w:p>
    <w:p w14:paraId="1AB1C8AF">
      <w:pPr>
        <w:kinsoku/>
        <w:spacing w:before="34" w:line="299" w:lineRule="auto"/>
        <w:ind w:left="40" w:right="78" w:firstLine="50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以联合体形式参与投标的，投标文件由联合体牵头人的法定代表人或其委托代理人按上述规定签署并加盖联合体牵头人单位章。法定代表人授权委托书或法定代表人身份证明须由联合体牵头人按上述规定出具。</w:t>
      </w:r>
    </w:p>
    <w:p w14:paraId="5951BC17">
      <w:pPr>
        <w:kinsoku/>
        <w:spacing w:before="33" w:line="295" w:lineRule="auto"/>
        <w:ind w:left="41" w:right="77"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投标文件应尽量避免涂改、行间插字或删除。如果出现上述情况，改动之处应由投标人的法定代表人或其授权的代理人签字或盖单位章。</w:t>
      </w:r>
    </w:p>
    <w:p w14:paraId="10DF4E4E">
      <w:pPr>
        <w:kinsoku/>
        <w:spacing w:before="36" w:line="289" w:lineRule="auto"/>
        <w:ind w:left="40" w:right="7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3.7.4  投标文件正本一份，副本份数见投标人须知前附表。正本和副本的封面右上角上应清楚地标记“正本”或“副本”字样。投标人应根据投标人须知前附表要求提供电子版文件。当副本和正本不一致或电子版文件和纸质正本文件不一致时，以纸质正本文件为准。</w:t>
      </w:r>
    </w:p>
    <w:p w14:paraId="7D9E0EEB">
      <w:pPr>
        <w:kinsoku/>
        <w:spacing w:before="37" w:line="301" w:lineRule="auto"/>
        <w:ind w:left="39" w:right="99"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3.7.5 投标文件的正本与副本应分别装订成册（A4纸幅，其中技术建议书采用标准图框A3幅面，单独装订成册），编制目录并逐页标注连续页码。投标文件不得采用活页夹装订，否则，招标人对由于投标文件装订松散而造成的丢失或其他后果不承担任何责任。装订的其他要求见投标人须知前附表。</w:t>
      </w:r>
    </w:p>
    <w:p w14:paraId="0177FE42">
      <w:pPr>
        <w:kinsoku/>
        <w:spacing w:before="313" w:line="220" w:lineRule="auto"/>
        <w:ind w:left="32"/>
        <w:outlineLvl w:val="2"/>
        <w:rPr>
          <w:rFonts w:ascii="宋体" w:hAnsi="宋体" w:eastAsia="宋体" w:cs="宋体"/>
          <w:b/>
          <w:bCs/>
          <w:color w:val="auto"/>
          <w:sz w:val="28"/>
          <w:szCs w:val="28"/>
          <w:highlight w:val="none"/>
          <w:lang w:eastAsia="zh-CN"/>
        </w:rPr>
      </w:pPr>
      <w:bookmarkStart w:id="132" w:name="bookmark110"/>
      <w:bookmarkEnd w:id="132"/>
      <w:bookmarkStart w:id="133" w:name="bookmark111"/>
      <w:bookmarkEnd w:id="133"/>
      <w:bookmarkStart w:id="134" w:name="bookmark113"/>
      <w:bookmarkEnd w:id="134"/>
      <w:bookmarkStart w:id="135" w:name="_Toc1085"/>
      <w:r>
        <w:rPr>
          <w:rFonts w:hint="eastAsia" w:ascii="宋体" w:hAnsi="宋体" w:eastAsia="宋体" w:cs="宋体"/>
          <w:b/>
          <w:bCs/>
          <w:color w:val="auto"/>
          <w:sz w:val="28"/>
          <w:szCs w:val="28"/>
          <w:highlight w:val="none"/>
          <w:lang w:eastAsia="zh-CN"/>
        </w:rPr>
        <w:t>4. 投标</w:t>
      </w:r>
      <w:bookmarkEnd w:id="135"/>
    </w:p>
    <w:p w14:paraId="4EDAFA99">
      <w:pPr>
        <w:kinsoku/>
        <w:spacing w:before="193" w:line="220" w:lineRule="auto"/>
        <w:outlineLvl w:val="2"/>
        <w:rPr>
          <w:rFonts w:ascii="宋体" w:hAnsi="宋体" w:eastAsia="宋体" w:cs="宋体"/>
          <w:b/>
          <w:bCs/>
          <w:color w:val="auto"/>
          <w:sz w:val="24"/>
          <w:szCs w:val="24"/>
          <w:highlight w:val="none"/>
          <w:lang w:eastAsia="zh-CN"/>
        </w:rPr>
      </w:pPr>
      <w:bookmarkStart w:id="136" w:name="bookmark112"/>
      <w:bookmarkEnd w:id="136"/>
      <w:bookmarkStart w:id="137" w:name="_Toc24702"/>
      <w:r>
        <w:rPr>
          <w:rFonts w:hint="eastAsia" w:ascii="宋体" w:hAnsi="宋体" w:eastAsia="宋体" w:cs="宋体"/>
          <w:b/>
          <w:bCs/>
          <w:color w:val="auto"/>
          <w:sz w:val="24"/>
          <w:szCs w:val="24"/>
          <w:highlight w:val="none"/>
          <w:lang w:eastAsia="zh-CN"/>
        </w:rPr>
        <w:t>4.1 投标文件的密封和标识</w:t>
      </w:r>
      <w:bookmarkEnd w:id="137"/>
    </w:p>
    <w:p w14:paraId="3DDCE59C">
      <w:pPr>
        <w:kinsoku/>
        <w:spacing w:before="78" w:line="302" w:lineRule="auto"/>
        <w:ind w:left="38"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4.1.1 投标文件应采用双信封形式密封。投标文件第一个信封（商务及技术文件）以及第二个信封（报价文件）应单独密封包装。商务文件、技术文件的正本与副本应统一密封在一个封套中。报价文件的正本与副本以及投标文件电子版文件（如需要）应统一密封在另一个封套中。封套应加贴封条，并在封套的封口处加盖投标人单位章或由投标人的法定代表人或其委托代理人签字。</w:t>
      </w:r>
    </w:p>
    <w:p w14:paraId="71081563">
      <w:pPr>
        <w:kinsoku/>
        <w:spacing w:before="36" w:line="219" w:lineRule="auto"/>
        <w:ind w:left="5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采用银行保函形式提交投标保证金的，银行保函原件应密封在单独的封套中。</w:t>
      </w:r>
    </w:p>
    <w:p w14:paraId="00392A18">
      <w:pPr>
        <w:kinsoku/>
        <w:spacing w:before="115" w:line="263" w:lineRule="auto"/>
        <w:ind w:left="42" w:right="100" w:firstLine="47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4.1.2 投标文件第一个信封（商务及技术文件）、第二个信封（报价文件）以及银行保函封套上应写明的内容见投标人须知前附表。</w:t>
      </w:r>
    </w:p>
    <w:p w14:paraId="7BA8EEE9">
      <w:pPr>
        <w:kinsoku/>
        <w:spacing w:before="116" w:line="219" w:lineRule="auto"/>
        <w:ind w:left="51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4.1.3 未按本章第4.1.1项要求密封的投标文件，招标人将予以拒收。</w:t>
      </w:r>
    </w:p>
    <w:p w14:paraId="60CD406D">
      <w:pPr>
        <w:kinsoku/>
        <w:spacing w:before="193" w:line="220" w:lineRule="auto"/>
        <w:outlineLvl w:val="2"/>
        <w:rPr>
          <w:rFonts w:ascii="宋体" w:hAnsi="宋体" w:eastAsia="宋体" w:cs="宋体"/>
          <w:b/>
          <w:bCs/>
          <w:color w:val="auto"/>
          <w:sz w:val="24"/>
          <w:szCs w:val="24"/>
          <w:highlight w:val="none"/>
          <w:lang w:eastAsia="zh-CN"/>
        </w:rPr>
      </w:pPr>
      <w:bookmarkStart w:id="138" w:name="bookmark114"/>
      <w:bookmarkEnd w:id="138"/>
      <w:bookmarkStart w:id="139" w:name="bookmark115"/>
      <w:bookmarkEnd w:id="139"/>
      <w:bookmarkStart w:id="140" w:name="_Toc18159"/>
      <w:r>
        <w:rPr>
          <w:rFonts w:hint="eastAsia" w:ascii="宋体" w:hAnsi="宋体" w:eastAsia="宋体" w:cs="宋体"/>
          <w:b/>
          <w:bCs/>
          <w:color w:val="auto"/>
          <w:sz w:val="24"/>
          <w:szCs w:val="24"/>
          <w:highlight w:val="none"/>
          <w:lang w:eastAsia="zh-CN"/>
        </w:rPr>
        <w:t>4.2 投标文件的递交</w:t>
      </w:r>
      <w:bookmarkEnd w:id="140"/>
    </w:p>
    <w:p w14:paraId="7DCE1A30">
      <w:pPr>
        <w:kinsoku/>
        <w:spacing w:before="79" w:line="264" w:lineRule="auto"/>
        <w:ind w:left="39" w:right="102"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4.2.1 投标人应在第一章“招标公告”或“投标邀请书”规定的投标截止时间前递交投标文件。</w:t>
      </w:r>
    </w:p>
    <w:p w14:paraId="23F50F0D">
      <w:pPr>
        <w:kinsoku/>
        <w:spacing w:before="79" w:line="264" w:lineRule="auto"/>
        <w:ind w:left="39" w:right="29"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4.2.2 投标人递交投标文件的地点：见第一章“招标公告”或“投标邀请书”。</w:t>
      </w:r>
    </w:p>
    <w:p w14:paraId="1646F6CA">
      <w:pPr>
        <w:kinsoku/>
        <w:spacing w:before="114" w:line="264" w:lineRule="auto"/>
        <w:ind w:left="39" w:right="100"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4.2.3 除投标人须知前附表另有规定外，投标人所递交的投标文件不予退还。投标人少于3个的，投标文件当场退还给投标人。</w:t>
      </w:r>
    </w:p>
    <w:p w14:paraId="3CE57B46">
      <w:pPr>
        <w:kinsoku/>
        <w:spacing w:before="115" w:line="220" w:lineRule="auto"/>
        <w:ind w:left="51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4.2.4 招标人收到投标文件后，向投标人出具签收凭证。</w:t>
      </w:r>
    </w:p>
    <w:p w14:paraId="3E43FFAF">
      <w:pPr>
        <w:kinsoku/>
        <w:spacing w:before="113" w:line="220" w:lineRule="auto"/>
        <w:ind w:left="51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4.2.5 逾期送达的或未送达指定地点的投标文件，招标人将予以拒收。</w:t>
      </w:r>
    </w:p>
    <w:p w14:paraId="467E7FD0">
      <w:pPr>
        <w:kinsoku/>
        <w:spacing w:before="193" w:line="220" w:lineRule="auto"/>
        <w:outlineLvl w:val="2"/>
        <w:rPr>
          <w:rFonts w:ascii="宋体" w:hAnsi="宋体" w:eastAsia="宋体" w:cs="宋体"/>
          <w:b/>
          <w:bCs/>
          <w:color w:val="auto"/>
          <w:sz w:val="24"/>
          <w:szCs w:val="24"/>
          <w:highlight w:val="none"/>
          <w:lang w:eastAsia="zh-CN"/>
        </w:rPr>
      </w:pPr>
      <w:bookmarkStart w:id="141" w:name="bookmark117"/>
      <w:bookmarkEnd w:id="141"/>
      <w:bookmarkStart w:id="142" w:name="bookmark116"/>
      <w:bookmarkEnd w:id="142"/>
      <w:bookmarkStart w:id="143" w:name="_Toc18479"/>
      <w:r>
        <w:rPr>
          <w:rFonts w:hint="eastAsia" w:ascii="宋体" w:hAnsi="宋体" w:eastAsia="宋体" w:cs="宋体"/>
          <w:b/>
          <w:bCs/>
          <w:color w:val="auto"/>
          <w:sz w:val="24"/>
          <w:szCs w:val="24"/>
          <w:highlight w:val="none"/>
          <w:lang w:eastAsia="zh-CN"/>
        </w:rPr>
        <w:t>4.3 投标文件的修改与撤回</w:t>
      </w:r>
      <w:bookmarkEnd w:id="143"/>
    </w:p>
    <w:p w14:paraId="1C412F43">
      <w:pPr>
        <w:kinsoku/>
        <w:spacing w:before="78" w:line="263" w:lineRule="auto"/>
        <w:ind w:left="41" w:right="117" w:firstLine="47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4.3.1 在本章第 4.2.1 项规定的投标截止时间前，投标人可以修改或撤回已递交的投标文件，但应以书面形式通知招标人。</w:t>
      </w:r>
    </w:p>
    <w:p w14:paraId="19140734">
      <w:pPr>
        <w:kinsoku/>
        <w:spacing w:before="115" w:line="264" w:lineRule="auto"/>
        <w:ind w:left="40" w:right="100" w:firstLine="472"/>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4.3.2 投标人修改或撤回已递交投标文件的书面通知应按照本章第3.7.3项的要求签字或盖章。招标人收到书面通知后，向投标人出具签收凭证。</w:t>
      </w:r>
    </w:p>
    <w:p w14:paraId="27187A0C">
      <w:pPr>
        <w:kinsoku/>
        <w:spacing w:before="78" w:line="263" w:lineRule="auto"/>
        <w:ind w:left="39" w:right="222"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4.3.3 投标人撤回投标文件的，招标人自收到投标人书面撤回通知之日起5日内退还已收取的投标保证金。</w:t>
      </w:r>
    </w:p>
    <w:p w14:paraId="1EF44F76">
      <w:pPr>
        <w:kinsoku/>
        <w:spacing w:before="115" w:line="264" w:lineRule="auto"/>
        <w:ind w:left="38" w:right="257" w:firstLine="47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4.3.4 修改的内容为投标文件的组成部分。修改的投标文件应按照本章第3条、第4条的规定进行编制、密封、标记和递交，并标明“修改”字样。</w:t>
      </w:r>
    </w:p>
    <w:p w14:paraId="4EA838AE">
      <w:pPr>
        <w:kinsoku/>
        <w:spacing w:line="297" w:lineRule="auto"/>
        <w:rPr>
          <w:rFonts w:ascii="宋体" w:hAnsi="宋体" w:eastAsia="宋体" w:cs="宋体"/>
          <w:color w:val="auto"/>
          <w:highlight w:val="none"/>
          <w:lang w:eastAsia="zh-CN"/>
        </w:rPr>
      </w:pPr>
    </w:p>
    <w:p w14:paraId="5F1BE7BD">
      <w:pPr>
        <w:kinsoku/>
        <w:spacing w:before="91" w:line="222" w:lineRule="auto"/>
        <w:ind w:left="33"/>
        <w:outlineLvl w:val="2"/>
        <w:rPr>
          <w:rFonts w:ascii="宋体" w:hAnsi="宋体" w:eastAsia="宋体" w:cs="宋体"/>
          <w:b/>
          <w:bCs/>
          <w:color w:val="auto"/>
          <w:sz w:val="28"/>
          <w:szCs w:val="28"/>
          <w:highlight w:val="none"/>
          <w:lang w:eastAsia="zh-CN"/>
        </w:rPr>
      </w:pPr>
      <w:bookmarkStart w:id="144" w:name="bookmark119"/>
      <w:bookmarkEnd w:id="144"/>
      <w:bookmarkStart w:id="145" w:name="bookmark118"/>
      <w:bookmarkEnd w:id="145"/>
      <w:bookmarkStart w:id="146" w:name="bookmark121"/>
      <w:bookmarkEnd w:id="146"/>
      <w:bookmarkStart w:id="147" w:name="_Toc29729"/>
      <w:r>
        <w:rPr>
          <w:rFonts w:hint="eastAsia" w:ascii="宋体" w:hAnsi="宋体" w:eastAsia="宋体" w:cs="宋体"/>
          <w:b/>
          <w:bCs/>
          <w:color w:val="auto"/>
          <w:sz w:val="28"/>
          <w:szCs w:val="28"/>
          <w:highlight w:val="none"/>
          <w:lang w:eastAsia="zh-CN"/>
        </w:rPr>
        <w:t>5. 开标</w:t>
      </w:r>
      <w:bookmarkEnd w:id="147"/>
    </w:p>
    <w:p w14:paraId="7C102275">
      <w:pPr>
        <w:kinsoku/>
        <w:spacing w:before="193" w:line="220" w:lineRule="auto"/>
        <w:outlineLvl w:val="2"/>
        <w:rPr>
          <w:rFonts w:ascii="宋体" w:hAnsi="宋体" w:eastAsia="宋体" w:cs="宋体"/>
          <w:b/>
          <w:bCs/>
          <w:color w:val="auto"/>
          <w:sz w:val="24"/>
          <w:szCs w:val="24"/>
          <w:highlight w:val="none"/>
          <w:lang w:eastAsia="zh-CN"/>
        </w:rPr>
      </w:pPr>
      <w:bookmarkStart w:id="148" w:name="bookmark120"/>
      <w:bookmarkEnd w:id="148"/>
      <w:bookmarkStart w:id="149" w:name="_Toc14565"/>
      <w:r>
        <w:rPr>
          <w:rFonts w:hint="eastAsia" w:ascii="宋体" w:hAnsi="宋体" w:eastAsia="宋体" w:cs="宋体"/>
          <w:b/>
          <w:bCs/>
          <w:color w:val="auto"/>
          <w:sz w:val="24"/>
          <w:szCs w:val="24"/>
          <w:highlight w:val="none"/>
          <w:lang w:eastAsia="zh-CN"/>
        </w:rPr>
        <w:t>5.1 开标时间和地点</w:t>
      </w:r>
      <w:bookmarkEnd w:id="149"/>
    </w:p>
    <w:p w14:paraId="2E37F557">
      <w:pPr>
        <w:kinsoku/>
        <w:spacing w:before="78" w:line="299" w:lineRule="auto"/>
        <w:ind w:left="39" w:right="223"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招标人在本章第4.2.1项规定的投标截止时间（开标时间）和投标人须知前附表规定的地点对收到的投标文件第一个信封（商务及技术文件）公开开标，并邀请所有投标人的法定代表人或其委托代理人准时参加。</w:t>
      </w:r>
    </w:p>
    <w:p w14:paraId="4EC2133B">
      <w:pPr>
        <w:kinsoku/>
        <w:spacing w:before="32" w:line="295" w:lineRule="auto"/>
        <w:ind w:left="45"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招标人在投标人须知前附表规定的时间和地点对投标文件第二个信封（报价文件）公开开标，并邀请所有投标人的法定代表人或其委托代理人准时参加。</w:t>
      </w:r>
    </w:p>
    <w:p w14:paraId="41FDD765">
      <w:pPr>
        <w:kinsoku/>
        <w:spacing w:before="33" w:line="294" w:lineRule="auto"/>
        <w:ind w:left="42" w:right="223"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投标人若未派法定代表人或委托代理人出席开标活动，视为该投标人默认开标结</w:t>
      </w:r>
      <w:bookmarkStart w:id="150" w:name="bookmark123"/>
      <w:bookmarkEnd w:id="150"/>
      <w:r>
        <w:rPr>
          <w:rFonts w:hint="eastAsia" w:ascii="宋体" w:hAnsi="宋体" w:eastAsia="宋体" w:cs="宋体"/>
          <w:color w:val="auto"/>
          <w:sz w:val="24"/>
          <w:szCs w:val="24"/>
          <w:highlight w:val="none"/>
          <w:lang w:eastAsia="zh-CN"/>
        </w:rPr>
        <w:t>果。</w:t>
      </w:r>
    </w:p>
    <w:p w14:paraId="1EEBBB86">
      <w:pPr>
        <w:kinsoku/>
        <w:spacing w:before="193" w:line="220" w:lineRule="auto"/>
        <w:outlineLvl w:val="2"/>
        <w:rPr>
          <w:rFonts w:ascii="宋体" w:hAnsi="宋体" w:eastAsia="宋体" w:cs="宋体"/>
          <w:b/>
          <w:bCs/>
          <w:color w:val="auto"/>
          <w:sz w:val="24"/>
          <w:szCs w:val="24"/>
          <w:highlight w:val="none"/>
          <w:lang w:eastAsia="zh-CN"/>
        </w:rPr>
      </w:pPr>
      <w:bookmarkStart w:id="151" w:name="bookmark122"/>
      <w:bookmarkEnd w:id="151"/>
      <w:bookmarkStart w:id="152" w:name="_Toc18878"/>
      <w:r>
        <w:rPr>
          <w:rFonts w:hint="eastAsia" w:ascii="宋体" w:hAnsi="宋体" w:eastAsia="宋体" w:cs="宋体"/>
          <w:b/>
          <w:bCs/>
          <w:color w:val="auto"/>
          <w:sz w:val="24"/>
          <w:szCs w:val="24"/>
          <w:highlight w:val="none"/>
          <w:lang w:eastAsia="zh-CN"/>
        </w:rPr>
        <w:t>5.2 开标程序</w:t>
      </w:r>
      <w:bookmarkEnd w:id="152"/>
    </w:p>
    <w:p w14:paraId="0D3E1A95">
      <w:pPr>
        <w:kinsoku/>
        <w:spacing w:before="33" w:line="294" w:lineRule="auto"/>
        <w:ind w:left="42" w:right="223"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5.2.1 主持人按下列程序对投标文件第一个信封（商务及技术文件）进行开标：</w:t>
      </w:r>
    </w:p>
    <w:p w14:paraId="14B07787">
      <w:pPr>
        <w:kinsoku/>
        <w:spacing w:before="113"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（1）宣布开标纪律；</w:t>
      </w:r>
    </w:p>
    <w:p w14:paraId="309ACDF8">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（2）公布在投标截止时间前递交投标文件的投标人数量；</w:t>
      </w:r>
    </w:p>
    <w:p w14:paraId="705919D0">
      <w:pPr>
        <w:kinsoku/>
        <w:spacing w:before="116"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（3）宣布开标人、唱标人、记录人等有关人员姓名；</w:t>
      </w:r>
    </w:p>
    <w:p w14:paraId="4AC67582">
      <w:pPr>
        <w:kinsoku/>
        <w:spacing w:before="33" w:line="294" w:lineRule="auto"/>
        <w:ind w:left="42" w:right="223"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（4）按照投标人须知前附表规定由投标人推选的代表检查投标文件的密封情况；</w:t>
      </w:r>
    </w:p>
    <w:p w14:paraId="087CA75E">
      <w:pPr>
        <w:kinsoku/>
        <w:spacing w:before="117" w:line="264" w:lineRule="auto"/>
        <w:ind w:left="41" w:right="222"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（5）按照投标人须知前附表规定的开标顺序当众开标，公布标段名称、投标人名称、投标保证金的递交情况、勘察设计服务期限及其他内容，并记录在案；</w:t>
      </w:r>
    </w:p>
    <w:p w14:paraId="7F1D0BB2">
      <w:pPr>
        <w:kinsoku/>
        <w:spacing w:before="113"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（6）投标人代表、招标人代表、记录人等有关人员在开标记录上签字确认；</w:t>
      </w:r>
    </w:p>
    <w:p w14:paraId="1BA46BD7">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（7）开标结束。</w:t>
      </w:r>
    </w:p>
    <w:p w14:paraId="707E16E5">
      <w:pPr>
        <w:kinsoku/>
        <w:spacing w:before="116" w:line="262" w:lineRule="auto"/>
        <w:ind w:left="37" w:right="226"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5.2.2 在投标文件第一个信封（商务及技术文件）开标现场，投标文件第二个信封（报价文件）不予开封，由招标人密封保存。</w:t>
      </w:r>
    </w:p>
    <w:p w14:paraId="5FD2952D">
      <w:pPr>
        <w:kinsoku/>
        <w:spacing w:before="118" w:line="263" w:lineRule="auto"/>
        <w:ind w:left="39" w:right="223"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5.2.3 招标人将按照本章第5.1款规定的时间和地点对投标文件第二个信封（报价文件）进行开标。主持人按下列程序进行开标：</w:t>
      </w:r>
    </w:p>
    <w:p w14:paraId="39C5A4F2">
      <w:pPr>
        <w:kinsoku/>
        <w:spacing w:before="115"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（1）宣布开标纪律；</w:t>
      </w:r>
    </w:p>
    <w:p w14:paraId="6CF350F1">
      <w:pPr>
        <w:kinsoku/>
        <w:spacing w:before="116" w:line="264" w:lineRule="auto"/>
        <w:ind w:left="38" w:right="227" w:firstLine="4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（2）当众拆开投标文件第一个信封（商务及技术文件）评审结果的密封袋，宣布通过投标文件第一个信封（商务及技术文件）评审的投标人名单；</w:t>
      </w:r>
    </w:p>
    <w:p w14:paraId="0450F949">
      <w:pPr>
        <w:kinsoku/>
        <w:spacing w:before="113"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（3）宣布开标人、唱标人、记录人等有关人员姓名；</w:t>
      </w:r>
    </w:p>
    <w:p w14:paraId="2859F3F9">
      <w:pPr>
        <w:kinsoku/>
        <w:spacing w:before="116" w:line="264" w:lineRule="auto"/>
        <w:ind w:left="38" w:right="227" w:firstLine="4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（4）按照投标人须知前附表规定由投标人推选的代表检查投标文件的密封情况；</w:t>
      </w:r>
    </w:p>
    <w:p w14:paraId="2D300E8A">
      <w:pPr>
        <w:kinsoku/>
        <w:spacing w:before="114" w:line="278" w:lineRule="auto"/>
        <w:ind w:left="39" w:right="65"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按照投标人须知前附表规定的开标顺序当众开标，开标人只拆封通过投标文件第一个信封（商务及技术文件）评审的投标文件第二个信封（报价文件），公布标段名称、投标人名称、投标报价及其他内容，并记录在案；</w:t>
      </w:r>
    </w:p>
    <w:p w14:paraId="222E22AE">
      <w:pPr>
        <w:kinsoku/>
        <w:spacing w:before="114"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（6）计算并宣布评标基准价；</w:t>
      </w:r>
    </w:p>
    <w:p w14:paraId="0686C672">
      <w:pPr>
        <w:kinsoku/>
        <w:spacing w:before="118" w:line="263" w:lineRule="auto"/>
        <w:ind w:left="38" w:right="69" w:firstLine="4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（7）将未通过投标文件第一个信封（商务及技术文件）评审的投标文件第二个信封（报价文件）退还给投标人；</w:t>
      </w:r>
    </w:p>
    <w:p w14:paraId="098484E3">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（8）投标人代表、招标人代表、记录人等有关人员在开标记录上签字确认；</w:t>
      </w:r>
    </w:p>
    <w:p w14:paraId="68F4FF1B">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（9）开标结束。</w:t>
      </w:r>
    </w:p>
    <w:p w14:paraId="05CC6015">
      <w:pPr>
        <w:kinsoku/>
        <w:spacing w:before="114" w:line="278" w:lineRule="auto"/>
        <w:ind w:left="39"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5.2.4 在投标文件第二个信封（报价文件）开标现场，招标人将按第三章“评标办法规定的原则计算并宣布评标基准价。若招标人发现投标文件出现以下任一情况，其投标报价将不再参加评标基准价的计算：</w:t>
      </w:r>
    </w:p>
    <w:p w14:paraId="6E34E286">
      <w:pPr>
        <w:kinsoku/>
        <w:spacing w:before="118"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（1）未在投标函上填写投标总价；</w:t>
      </w:r>
    </w:p>
    <w:p w14:paraId="3A024C4E">
      <w:pPr>
        <w:kinsoku/>
        <w:spacing w:before="115"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（2）投标报价超出招标人公布的最高投标限价（如有）；</w:t>
      </w:r>
    </w:p>
    <w:p w14:paraId="2E7A2FC6">
      <w:pPr>
        <w:kinsoku/>
        <w:spacing w:before="117" w:line="218"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（3）投标报价的大写金额无法确定具体数值；</w:t>
      </w:r>
    </w:p>
    <w:p w14:paraId="444A40F0">
      <w:pPr>
        <w:kinsoku/>
        <w:spacing w:before="117"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（4）投标函上填写的标段号与投标文件封套上标记的标段号不一致。</w:t>
      </w:r>
    </w:p>
    <w:p w14:paraId="13AA4F3C">
      <w:pPr>
        <w:kinsoku/>
        <w:spacing w:before="114" w:line="299" w:lineRule="auto"/>
        <w:ind w:left="40" w:right="65" w:firstLine="481"/>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果投标人认为某一标段的评标基准价计算有误，有权在开标现场提出，经招标人当场核实确认之后，可重新宣布评标基准价。开标现场宣布的评标基准价除计算有误经评标委员会修正外，在整个评标期间保持不变，不随任何因素发生变化。</w:t>
      </w:r>
    </w:p>
    <w:p w14:paraId="5B1C4511">
      <w:pPr>
        <w:kinsoku/>
        <w:spacing w:before="33" w:line="301" w:lineRule="auto"/>
        <w:ind w:left="38" w:right="7" w:firstLine="482"/>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5.2.5 在投标文件第一个信封（商务及技术文件）或第二个信封（报价文件）开标过程中，若招标人宣读的内容与投标文件不符，投标人有权在开标现场提出疑问，经招标人当场核查确认之后，可重新宣读其投标文件。若投标人现场未提出疑问，则</w:t>
      </w:r>
      <w:bookmarkStart w:id="153" w:name="bookmark125"/>
      <w:bookmarkEnd w:id="153"/>
      <w:r>
        <w:rPr>
          <w:rFonts w:hint="eastAsia" w:ascii="宋体" w:hAnsi="宋体" w:eastAsia="宋体" w:cs="宋体"/>
          <w:color w:val="auto"/>
          <w:sz w:val="24"/>
          <w:szCs w:val="24"/>
          <w:highlight w:val="none"/>
          <w:lang w:eastAsia="zh-CN"/>
        </w:rPr>
        <w:t>认为投标人已确认招标人宣读的内容。</w:t>
      </w:r>
    </w:p>
    <w:p w14:paraId="1C6D4BAC">
      <w:pPr>
        <w:kinsoku/>
        <w:spacing w:before="193" w:line="220" w:lineRule="auto"/>
        <w:outlineLvl w:val="2"/>
        <w:rPr>
          <w:rFonts w:ascii="宋体" w:hAnsi="宋体" w:eastAsia="宋体" w:cs="宋体"/>
          <w:b/>
          <w:bCs/>
          <w:color w:val="auto"/>
          <w:sz w:val="24"/>
          <w:szCs w:val="24"/>
          <w:highlight w:val="none"/>
          <w:lang w:eastAsia="zh-CN"/>
        </w:rPr>
      </w:pPr>
      <w:bookmarkStart w:id="154" w:name="bookmark124"/>
      <w:bookmarkEnd w:id="154"/>
      <w:bookmarkStart w:id="155" w:name="_Toc3832"/>
      <w:r>
        <w:rPr>
          <w:rFonts w:hint="eastAsia" w:ascii="宋体" w:hAnsi="宋体" w:eastAsia="宋体" w:cs="宋体"/>
          <w:b/>
          <w:bCs/>
          <w:color w:val="auto"/>
          <w:sz w:val="24"/>
          <w:szCs w:val="24"/>
          <w:highlight w:val="none"/>
          <w:lang w:eastAsia="zh-CN"/>
        </w:rPr>
        <w:t>5.3 开标异议</w:t>
      </w:r>
      <w:bookmarkEnd w:id="155"/>
    </w:p>
    <w:p w14:paraId="1492F676">
      <w:pPr>
        <w:kinsoku/>
        <w:spacing w:before="78" w:line="293" w:lineRule="auto"/>
        <w:ind w:left="39" w:right="119"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投标人对开标有异议的，应在开标现场提出，招标人当场作出答复，并制作记录，有异议的投标人代表、招标人代表、记录人等有关人员在记录上签字确认。</w:t>
      </w:r>
    </w:p>
    <w:p w14:paraId="076C9AA3">
      <w:pPr>
        <w:kinsoku/>
        <w:spacing w:before="315" w:line="219" w:lineRule="auto"/>
        <w:ind w:left="38"/>
        <w:outlineLvl w:val="2"/>
        <w:rPr>
          <w:rFonts w:ascii="宋体" w:hAnsi="宋体" w:eastAsia="宋体" w:cs="宋体"/>
          <w:b/>
          <w:bCs/>
          <w:color w:val="auto"/>
          <w:sz w:val="28"/>
          <w:szCs w:val="28"/>
          <w:highlight w:val="none"/>
          <w:lang w:eastAsia="zh-CN"/>
        </w:rPr>
      </w:pPr>
      <w:bookmarkStart w:id="156" w:name="bookmark126"/>
      <w:bookmarkEnd w:id="156"/>
      <w:bookmarkStart w:id="157" w:name="bookmark127"/>
      <w:bookmarkEnd w:id="157"/>
      <w:bookmarkStart w:id="158" w:name="bookmark129"/>
      <w:bookmarkEnd w:id="158"/>
      <w:bookmarkStart w:id="159" w:name="_Toc22634"/>
      <w:r>
        <w:rPr>
          <w:rFonts w:hint="eastAsia" w:ascii="宋体" w:hAnsi="宋体" w:eastAsia="宋体" w:cs="宋体"/>
          <w:b/>
          <w:bCs/>
          <w:color w:val="auto"/>
          <w:sz w:val="28"/>
          <w:szCs w:val="28"/>
          <w:highlight w:val="none"/>
          <w:lang w:eastAsia="zh-CN"/>
        </w:rPr>
        <w:t>6. 评标</w:t>
      </w:r>
      <w:bookmarkEnd w:id="159"/>
    </w:p>
    <w:p w14:paraId="3CDC479C">
      <w:pPr>
        <w:kinsoku/>
        <w:spacing w:before="193" w:line="220" w:lineRule="auto"/>
        <w:outlineLvl w:val="2"/>
        <w:rPr>
          <w:rFonts w:ascii="宋体" w:hAnsi="宋体" w:eastAsia="宋体" w:cs="宋体"/>
          <w:b/>
          <w:bCs/>
          <w:color w:val="auto"/>
          <w:sz w:val="24"/>
          <w:szCs w:val="24"/>
          <w:highlight w:val="none"/>
          <w:lang w:eastAsia="zh-CN"/>
        </w:rPr>
      </w:pPr>
      <w:bookmarkStart w:id="160" w:name="bookmark128"/>
      <w:bookmarkEnd w:id="160"/>
      <w:bookmarkStart w:id="161" w:name="_Toc28517"/>
      <w:r>
        <w:rPr>
          <w:rFonts w:hint="eastAsia" w:ascii="宋体" w:hAnsi="宋体" w:eastAsia="宋体" w:cs="宋体"/>
          <w:b/>
          <w:bCs/>
          <w:color w:val="auto"/>
          <w:sz w:val="24"/>
          <w:szCs w:val="24"/>
          <w:highlight w:val="none"/>
          <w:lang w:eastAsia="zh-CN"/>
        </w:rPr>
        <w:t>6.1 评标委员会</w:t>
      </w:r>
      <w:bookmarkEnd w:id="161"/>
    </w:p>
    <w:p w14:paraId="02092264">
      <w:pPr>
        <w:kinsoku/>
        <w:spacing w:before="33" w:line="301" w:lineRule="auto"/>
        <w:ind w:left="38" w:right="7" w:firstLine="482"/>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6.1.1 评标由招标人依法组建的评标委员会负责。评标委员会由招标人或其委托的招标代理机构熟悉相关业务的代表，以及有关技术、经济等方面的专家组成。评标委员会成员人数以及技术、经济等方面专家的确定方式见投标人须知前附表。</w:t>
      </w:r>
    </w:p>
    <w:p w14:paraId="21682524">
      <w:pPr>
        <w:kinsoku/>
        <w:spacing w:before="33" w:line="301" w:lineRule="auto"/>
        <w:ind w:left="38" w:right="7" w:firstLine="482"/>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6.1.2 评标委员会成员有下列情形之一的，应主动提出回避：</w:t>
      </w:r>
    </w:p>
    <w:p w14:paraId="40A9F6EF">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（1）为负责招标项目监督管理的交通运输主管部门的工作人员；</w:t>
      </w:r>
    </w:p>
    <w:p w14:paraId="04C28AB5">
      <w:pPr>
        <w:kinsoku/>
        <w:spacing w:before="112"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（2）与投标人法定代表人或其委托代理人有近亲属关系；</w:t>
      </w:r>
    </w:p>
    <w:p w14:paraId="1B3AEA48">
      <w:pPr>
        <w:kinsoku/>
        <w:spacing w:before="114"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（3）为投标人的工作人员或退休人员；</w:t>
      </w:r>
    </w:p>
    <w:p w14:paraId="27092A97">
      <w:pPr>
        <w:kinsoku/>
        <w:spacing w:before="116"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（4）与投标人有其他利害关系，可能影响评标活动公正性；</w:t>
      </w:r>
    </w:p>
    <w:p w14:paraId="665D827B">
      <w:pPr>
        <w:kinsoku/>
        <w:spacing w:before="113" w:line="266" w:lineRule="auto"/>
        <w:ind w:left="48" w:right="88" w:firstLine="47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（5）在与招标投标有关的活动中有过违法违规行为、曾受过行政处罚或刑事处罚。</w:t>
      </w:r>
    </w:p>
    <w:p w14:paraId="57664795">
      <w:pPr>
        <w:kinsoku/>
        <w:spacing w:before="109" w:line="278" w:lineRule="auto"/>
        <w:ind w:left="40" w:right="87"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6.1.3 评标过程中，评标委员会成员有回避事由、擅离职守或因健康等原因不能继续评标的，招标人有权更换。被更换的评标委员会成员作出的评审结论无效，由更</w:t>
      </w:r>
      <w:bookmarkStart w:id="162" w:name="bookmark131"/>
      <w:bookmarkEnd w:id="162"/>
      <w:r>
        <w:rPr>
          <w:rFonts w:hint="eastAsia" w:ascii="宋体" w:hAnsi="宋体" w:eastAsia="宋体" w:cs="宋体"/>
          <w:color w:val="auto"/>
          <w:sz w:val="24"/>
          <w:szCs w:val="24"/>
          <w:highlight w:val="none"/>
          <w:lang w:eastAsia="zh-CN"/>
        </w:rPr>
        <w:t>换后的评标委员会成员重新进行评审。</w:t>
      </w:r>
    </w:p>
    <w:p w14:paraId="47E58762">
      <w:pPr>
        <w:kinsoku/>
        <w:spacing w:before="193" w:line="220" w:lineRule="auto"/>
        <w:outlineLvl w:val="2"/>
        <w:rPr>
          <w:rFonts w:ascii="宋体" w:hAnsi="宋体" w:eastAsia="宋体" w:cs="宋体"/>
          <w:b/>
          <w:bCs/>
          <w:color w:val="auto"/>
          <w:sz w:val="24"/>
          <w:szCs w:val="24"/>
          <w:highlight w:val="none"/>
          <w:lang w:eastAsia="zh-CN"/>
        </w:rPr>
      </w:pPr>
      <w:bookmarkStart w:id="163" w:name="bookmark130"/>
      <w:bookmarkEnd w:id="163"/>
      <w:bookmarkStart w:id="164" w:name="_Toc21619"/>
      <w:r>
        <w:rPr>
          <w:rFonts w:hint="eastAsia" w:ascii="宋体" w:hAnsi="宋体" w:eastAsia="宋体" w:cs="宋体"/>
          <w:b/>
          <w:bCs/>
          <w:color w:val="auto"/>
          <w:sz w:val="24"/>
          <w:szCs w:val="24"/>
          <w:highlight w:val="none"/>
          <w:lang w:eastAsia="zh-CN"/>
        </w:rPr>
        <w:t>6.2 评标原则</w:t>
      </w:r>
      <w:bookmarkEnd w:id="164"/>
    </w:p>
    <w:p w14:paraId="481E86F1">
      <w:pPr>
        <w:kinsoku/>
        <w:spacing w:before="78" w:line="219" w:lineRule="auto"/>
        <w:ind w:left="5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评标活动遵循公平、公正、科学和择优的原则。</w:t>
      </w:r>
    </w:p>
    <w:p w14:paraId="66496A70">
      <w:pPr>
        <w:kinsoku/>
        <w:spacing w:before="193" w:line="220" w:lineRule="auto"/>
        <w:outlineLvl w:val="2"/>
        <w:rPr>
          <w:rFonts w:ascii="宋体" w:hAnsi="宋体" w:eastAsia="宋体" w:cs="宋体"/>
          <w:b/>
          <w:bCs/>
          <w:color w:val="auto"/>
          <w:sz w:val="24"/>
          <w:szCs w:val="24"/>
          <w:highlight w:val="none"/>
          <w:lang w:eastAsia="zh-CN"/>
        </w:rPr>
      </w:pPr>
      <w:bookmarkStart w:id="165" w:name="bookmark132"/>
      <w:bookmarkEnd w:id="165"/>
      <w:bookmarkStart w:id="166" w:name="bookmark133"/>
      <w:bookmarkEnd w:id="166"/>
      <w:bookmarkStart w:id="167" w:name="_Toc23418"/>
      <w:r>
        <w:rPr>
          <w:rFonts w:hint="eastAsia" w:ascii="宋体" w:hAnsi="宋体" w:eastAsia="宋体" w:cs="宋体"/>
          <w:b/>
          <w:bCs/>
          <w:color w:val="auto"/>
          <w:sz w:val="24"/>
          <w:szCs w:val="24"/>
          <w:highlight w:val="none"/>
          <w:lang w:eastAsia="zh-CN"/>
        </w:rPr>
        <w:t>6.3 评标</w:t>
      </w:r>
      <w:bookmarkEnd w:id="167"/>
    </w:p>
    <w:p w14:paraId="130A1C49">
      <w:pPr>
        <w:kinsoku/>
        <w:spacing w:before="78" w:line="278" w:lineRule="auto"/>
        <w:ind w:left="39" w:right="85"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6.3.1 评标委员会按照第三章“评标办法”规定的方法、评审因素、标准和程序对投标文件进行评审。第三章“评标办法”没有规定的方法、评审因素和标准，不作为评标依据。</w:t>
      </w:r>
    </w:p>
    <w:p w14:paraId="1AFCB87D">
      <w:pPr>
        <w:kinsoku/>
        <w:spacing w:before="116" w:line="263" w:lineRule="auto"/>
        <w:ind w:left="37"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6.3.2 评标完成后，评标委员会应向招标人提交书面评标报告和中标候选人名单。评标委员会推荐中标候选人的人数见投标人须知前附表。</w:t>
      </w:r>
    </w:p>
    <w:p w14:paraId="7E4A1DAC">
      <w:pPr>
        <w:kinsoku/>
        <w:spacing w:line="301" w:lineRule="auto"/>
        <w:rPr>
          <w:rFonts w:ascii="宋体" w:hAnsi="宋体" w:eastAsia="宋体" w:cs="宋体"/>
          <w:color w:val="auto"/>
          <w:highlight w:val="none"/>
          <w:lang w:eastAsia="zh-CN"/>
        </w:rPr>
      </w:pPr>
    </w:p>
    <w:p w14:paraId="5740CF0F">
      <w:pPr>
        <w:kinsoku/>
        <w:spacing w:before="91" w:line="220" w:lineRule="auto"/>
        <w:ind w:left="40"/>
        <w:outlineLvl w:val="1"/>
        <w:rPr>
          <w:rFonts w:ascii="宋体" w:hAnsi="宋体" w:eastAsia="宋体" w:cs="宋体"/>
          <w:b/>
          <w:bCs/>
          <w:color w:val="auto"/>
          <w:sz w:val="28"/>
          <w:szCs w:val="28"/>
          <w:highlight w:val="none"/>
          <w:lang w:eastAsia="zh-CN"/>
        </w:rPr>
      </w:pPr>
      <w:bookmarkStart w:id="168" w:name="bookmark137"/>
      <w:bookmarkEnd w:id="168"/>
      <w:bookmarkStart w:id="169" w:name="bookmark135"/>
      <w:bookmarkEnd w:id="169"/>
      <w:bookmarkStart w:id="170" w:name="bookmark134"/>
      <w:bookmarkEnd w:id="170"/>
      <w:bookmarkStart w:id="171" w:name="_Toc18238"/>
      <w:r>
        <w:rPr>
          <w:rFonts w:hint="eastAsia" w:ascii="宋体" w:hAnsi="宋体" w:eastAsia="宋体" w:cs="宋体"/>
          <w:b/>
          <w:bCs/>
          <w:color w:val="auto"/>
          <w:sz w:val="28"/>
          <w:szCs w:val="28"/>
          <w:highlight w:val="none"/>
          <w:lang w:eastAsia="zh-CN"/>
        </w:rPr>
        <w:t>7. 合同授予</w:t>
      </w:r>
      <w:bookmarkEnd w:id="171"/>
    </w:p>
    <w:p w14:paraId="0914606F">
      <w:pPr>
        <w:kinsoku/>
        <w:spacing w:before="193" w:line="220" w:lineRule="auto"/>
        <w:outlineLvl w:val="2"/>
        <w:rPr>
          <w:rFonts w:ascii="宋体" w:hAnsi="宋体" w:eastAsia="宋体" w:cs="宋体"/>
          <w:b/>
          <w:bCs/>
          <w:color w:val="auto"/>
          <w:sz w:val="24"/>
          <w:szCs w:val="24"/>
          <w:highlight w:val="none"/>
          <w:lang w:eastAsia="zh-CN"/>
        </w:rPr>
      </w:pPr>
      <w:bookmarkStart w:id="172" w:name="bookmark136"/>
      <w:bookmarkEnd w:id="172"/>
      <w:bookmarkStart w:id="173" w:name="_Toc22293"/>
      <w:r>
        <w:rPr>
          <w:rFonts w:hint="eastAsia" w:ascii="宋体" w:hAnsi="宋体" w:eastAsia="宋体" w:cs="宋体"/>
          <w:b/>
          <w:bCs/>
          <w:color w:val="auto"/>
          <w:sz w:val="24"/>
          <w:szCs w:val="24"/>
          <w:highlight w:val="none"/>
          <w:lang w:eastAsia="zh-CN"/>
        </w:rPr>
        <w:t>7.1 中标候选人公示</w:t>
      </w:r>
      <w:bookmarkEnd w:id="173"/>
    </w:p>
    <w:p w14:paraId="3C99B5AD">
      <w:pPr>
        <w:kinsoku/>
        <w:spacing w:before="79" w:line="295" w:lineRule="auto"/>
        <w:ind w:left="41" w:right="85"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招标人在收到评标报告之日起3日内，按照投标人须知前附表规定的公示媒介和期限公示中标候选人，公示期不得少于3日，公示内容包括：</w:t>
      </w:r>
    </w:p>
    <w:p w14:paraId="392D4D48">
      <w:pPr>
        <w:kinsoku/>
        <w:spacing w:before="32" w:line="264" w:lineRule="auto"/>
        <w:ind w:left="41" w:right="84"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（1）中标候选人排序、名称、投标报价，对勘察设计质量要求、安全目标和勘察设计服务期限的响应情况；</w:t>
      </w:r>
    </w:p>
    <w:p w14:paraId="19FDA399">
      <w:pPr>
        <w:kinsoku/>
        <w:spacing w:before="116" w:line="263" w:lineRule="auto"/>
        <w:ind w:left="37" w:right="84" w:firstLine="4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（2）中标候选人在投标文件中承诺的项目负责人姓名、个人业绩、相关证书名称和编号；</w:t>
      </w:r>
    </w:p>
    <w:p w14:paraId="0260D780">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（3）中标候选人在投标文件中填报的项目业绩；</w:t>
      </w:r>
    </w:p>
    <w:p w14:paraId="2EF53765">
      <w:pPr>
        <w:kinsoku/>
        <w:spacing w:before="115" w:line="219" w:lineRule="auto"/>
        <w:ind w:left="524"/>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（4）被否决投标的投标人名称、否决依据和原因；</w:t>
      </w:r>
    </w:p>
    <w:p w14:paraId="486A0668">
      <w:pPr>
        <w:kinsoku/>
        <w:spacing w:before="78"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（5）提出异议的渠道和方式；</w:t>
      </w:r>
    </w:p>
    <w:p w14:paraId="77AE21EA">
      <w:pPr>
        <w:kinsoku/>
        <w:spacing w:before="112"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（6）投标人须知前附表规定公示的其他内容。</w:t>
      </w:r>
    </w:p>
    <w:p w14:paraId="2E9888FC">
      <w:pPr>
        <w:kinsoku/>
        <w:spacing w:before="193" w:line="220" w:lineRule="auto"/>
        <w:outlineLvl w:val="2"/>
        <w:rPr>
          <w:rFonts w:ascii="宋体" w:hAnsi="宋体" w:eastAsia="宋体" w:cs="宋体"/>
          <w:b/>
          <w:bCs/>
          <w:color w:val="auto"/>
          <w:sz w:val="24"/>
          <w:szCs w:val="24"/>
          <w:highlight w:val="none"/>
          <w:lang w:eastAsia="zh-CN"/>
        </w:rPr>
      </w:pPr>
      <w:bookmarkStart w:id="174" w:name="bookmark139"/>
      <w:bookmarkEnd w:id="174"/>
      <w:bookmarkStart w:id="175" w:name="bookmark138"/>
      <w:bookmarkEnd w:id="175"/>
      <w:bookmarkStart w:id="176" w:name="_Toc27928"/>
      <w:r>
        <w:rPr>
          <w:rFonts w:hint="eastAsia" w:ascii="宋体" w:hAnsi="宋体" w:eastAsia="宋体" w:cs="宋体"/>
          <w:b/>
          <w:bCs/>
          <w:color w:val="auto"/>
          <w:sz w:val="24"/>
          <w:szCs w:val="24"/>
          <w:highlight w:val="none"/>
          <w:lang w:eastAsia="zh-CN"/>
        </w:rPr>
        <w:t>7.2 评标结果异议</w:t>
      </w:r>
      <w:bookmarkEnd w:id="176"/>
    </w:p>
    <w:p w14:paraId="55FCCDD2">
      <w:pPr>
        <w:kinsoku/>
        <w:spacing w:before="78" w:line="299" w:lineRule="auto"/>
        <w:ind w:left="36" w:firstLine="484"/>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投标人或其他利害关系人对依法必须进行招标的项目的评标结果有异议的，应在中标候选人公示期间提出。招标人将在收到异议之日起3日内作出答复；作出答复前，</w:t>
      </w:r>
      <w:bookmarkStart w:id="177" w:name="bookmark141"/>
      <w:bookmarkEnd w:id="177"/>
      <w:r>
        <w:rPr>
          <w:rFonts w:hint="eastAsia" w:ascii="宋体" w:hAnsi="宋体" w:eastAsia="宋体" w:cs="宋体"/>
          <w:color w:val="auto"/>
          <w:sz w:val="24"/>
          <w:szCs w:val="24"/>
          <w:highlight w:val="none"/>
          <w:lang w:eastAsia="zh-CN"/>
        </w:rPr>
        <w:t>将暂停招标投标活动。</w:t>
      </w:r>
    </w:p>
    <w:p w14:paraId="7283A186">
      <w:pPr>
        <w:kinsoku/>
        <w:spacing w:before="193" w:line="220" w:lineRule="auto"/>
        <w:outlineLvl w:val="2"/>
        <w:rPr>
          <w:rFonts w:ascii="宋体" w:hAnsi="宋体" w:eastAsia="宋体" w:cs="宋体"/>
          <w:b/>
          <w:bCs/>
          <w:color w:val="auto"/>
          <w:sz w:val="24"/>
          <w:szCs w:val="24"/>
          <w:highlight w:val="none"/>
          <w:lang w:eastAsia="zh-CN"/>
        </w:rPr>
      </w:pPr>
      <w:bookmarkStart w:id="178" w:name="bookmark140"/>
      <w:bookmarkEnd w:id="178"/>
      <w:bookmarkStart w:id="179" w:name="_Toc23978"/>
      <w:r>
        <w:rPr>
          <w:rFonts w:hint="eastAsia" w:ascii="宋体" w:hAnsi="宋体" w:eastAsia="宋体" w:cs="宋体"/>
          <w:b/>
          <w:bCs/>
          <w:color w:val="auto"/>
          <w:sz w:val="24"/>
          <w:szCs w:val="24"/>
          <w:highlight w:val="none"/>
          <w:lang w:eastAsia="zh-CN"/>
        </w:rPr>
        <w:t>7.3 中标候选人履约能力审查</w:t>
      </w:r>
      <w:bookmarkEnd w:id="179"/>
    </w:p>
    <w:p w14:paraId="137FBD05">
      <w:pPr>
        <w:kinsoku/>
        <w:spacing w:before="79" w:line="300" w:lineRule="auto"/>
        <w:ind w:left="39" w:right="66" w:firstLine="501"/>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中标候选人的经营、财务状况发生较大变化或存在违法行为，招标人认为可能影响其履约能力的，将在发出中标通知书前提请原评标委员会按照招标文件规定的标准</w:t>
      </w:r>
      <w:bookmarkStart w:id="180" w:name="bookmark143"/>
      <w:bookmarkEnd w:id="180"/>
      <w:r>
        <w:rPr>
          <w:rFonts w:hint="eastAsia" w:ascii="宋体" w:hAnsi="宋体" w:eastAsia="宋体" w:cs="宋体"/>
          <w:color w:val="auto"/>
          <w:sz w:val="24"/>
          <w:szCs w:val="24"/>
          <w:highlight w:val="none"/>
          <w:lang w:eastAsia="zh-CN"/>
        </w:rPr>
        <w:t>和方法进行审查确认。</w:t>
      </w:r>
    </w:p>
    <w:p w14:paraId="69B691CC">
      <w:pPr>
        <w:kinsoku/>
        <w:spacing w:before="193" w:line="220" w:lineRule="auto"/>
        <w:outlineLvl w:val="2"/>
        <w:rPr>
          <w:rFonts w:ascii="宋体" w:hAnsi="宋体" w:eastAsia="宋体" w:cs="宋体"/>
          <w:b/>
          <w:bCs/>
          <w:color w:val="auto"/>
          <w:sz w:val="24"/>
          <w:szCs w:val="24"/>
          <w:highlight w:val="none"/>
          <w:lang w:eastAsia="zh-CN"/>
        </w:rPr>
      </w:pPr>
      <w:bookmarkStart w:id="181" w:name="bookmark142"/>
      <w:bookmarkEnd w:id="181"/>
      <w:bookmarkStart w:id="182" w:name="_Toc10898"/>
      <w:r>
        <w:rPr>
          <w:rFonts w:hint="eastAsia" w:ascii="宋体" w:hAnsi="宋体" w:eastAsia="宋体" w:cs="宋体"/>
          <w:b/>
          <w:bCs/>
          <w:color w:val="auto"/>
          <w:sz w:val="24"/>
          <w:szCs w:val="24"/>
          <w:highlight w:val="none"/>
          <w:lang w:eastAsia="zh-CN"/>
        </w:rPr>
        <w:t>7.4 定标</w:t>
      </w:r>
      <w:bookmarkEnd w:id="182"/>
    </w:p>
    <w:p w14:paraId="5A387273">
      <w:pPr>
        <w:kinsoku/>
        <w:spacing w:before="78" w:line="297" w:lineRule="auto"/>
        <w:ind w:left="40" w:right="67"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按照投标人须知前附表的规定，招标人或招标人授权的评标委员会依法确定中标</w:t>
      </w:r>
      <w:bookmarkStart w:id="183" w:name="bookmark145"/>
      <w:bookmarkEnd w:id="183"/>
      <w:r>
        <w:rPr>
          <w:rFonts w:hint="eastAsia" w:ascii="宋体" w:hAnsi="宋体" w:eastAsia="宋体" w:cs="宋体"/>
          <w:color w:val="auto"/>
          <w:sz w:val="24"/>
          <w:szCs w:val="24"/>
          <w:highlight w:val="none"/>
          <w:lang w:eastAsia="zh-CN"/>
        </w:rPr>
        <w:t>人。</w:t>
      </w:r>
    </w:p>
    <w:p w14:paraId="2EDEA10E">
      <w:pPr>
        <w:kinsoku/>
        <w:spacing w:before="193" w:line="220" w:lineRule="auto"/>
        <w:outlineLvl w:val="2"/>
        <w:rPr>
          <w:rFonts w:ascii="宋体" w:hAnsi="宋体" w:eastAsia="宋体" w:cs="宋体"/>
          <w:b/>
          <w:bCs/>
          <w:color w:val="auto"/>
          <w:sz w:val="24"/>
          <w:szCs w:val="24"/>
          <w:highlight w:val="none"/>
          <w:lang w:eastAsia="zh-CN"/>
        </w:rPr>
      </w:pPr>
      <w:bookmarkStart w:id="184" w:name="bookmark144"/>
      <w:bookmarkEnd w:id="184"/>
      <w:bookmarkStart w:id="185" w:name="_Toc1196"/>
      <w:r>
        <w:rPr>
          <w:rFonts w:hint="eastAsia" w:ascii="宋体" w:hAnsi="宋体" w:eastAsia="宋体" w:cs="宋体"/>
          <w:b/>
          <w:bCs/>
          <w:color w:val="auto"/>
          <w:sz w:val="24"/>
          <w:szCs w:val="24"/>
          <w:highlight w:val="none"/>
          <w:lang w:eastAsia="zh-CN"/>
        </w:rPr>
        <w:t>7.5 中标通知</w:t>
      </w:r>
      <w:bookmarkEnd w:id="185"/>
    </w:p>
    <w:p w14:paraId="3987AE3D">
      <w:pPr>
        <w:kinsoku/>
        <w:spacing w:before="78" w:line="295" w:lineRule="auto"/>
        <w:ind w:left="60" w:right="65" w:firstLine="45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在本章第 3.3 款规定的投标有效期内，招标人以投标人须知前附表规定的形式向中标人发出中标通知书，同时将中标结果通知未中标的投标人。</w:t>
      </w:r>
    </w:p>
    <w:p w14:paraId="00E0E48B">
      <w:pPr>
        <w:kinsoku/>
        <w:spacing w:before="193" w:line="220" w:lineRule="auto"/>
        <w:outlineLvl w:val="2"/>
        <w:rPr>
          <w:rFonts w:ascii="宋体" w:hAnsi="宋体" w:eastAsia="宋体" w:cs="宋体"/>
          <w:b/>
          <w:bCs/>
          <w:color w:val="auto"/>
          <w:sz w:val="24"/>
          <w:szCs w:val="24"/>
          <w:highlight w:val="none"/>
          <w:lang w:eastAsia="zh-CN"/>
        </w:rPr>
      </w:pPr>
      <w:bookmarkStart w:id="186" w:name="bookmark147"/>
      <w:bookmarkEnd w:id="186"/>
      <w:bookmarkStart w:id="187" w:name="bookmark146"/>
      <w:bookmarkEnd w:id="187"/>
      <w:bookmarkStart w:id="188" w:name="_Toc7643"/>
      <w:r>
        <w:rPr>
          <w:rFonts w:hint="eastAsia" w:ascii="宋体" w:hAnsi="宋体" w:eastAsia="宋体" w:cs="宋体"/>
          <w:b/>
          <w:bCs/>
          <w:color w:val="auto"/>
          <w:sz w:val="24"/>
          <w:szCs w:val="24"/>
          <w:highlight w:val="none"/>
          <w:lang w:eastAsia="zh-CN"/>
        </w:rPr>
        <w:t>7.6 中标结果公告</w:t>
      </w:r>
      <w:bookmarkEnd w:id="188"/>
    </w:p>
    <w:p w14:paraId="15C3B2EE">
      <w:pPr>
        <w:kinsoku/>
        <w:spacing w:before="78" w:line="295" w:lineRule="auto"/>
        <w:ind w:left="54" w:right="65" w:firstLine="46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招标人在确定中标人之日起3日内，按照投标人须知前附表规定的公告媒介和期限公告中标结果，公告期不得少于3日。公告内容包括中标人名称、中标价。</w:t>
      </w:r>
    </w:p>
    <w:p w14:paraId="069EE809">
      <w:pPr>
        <w:kinsoku/>
        <w:spacing w:before="193" w:line="220" w:lineRule="auto"/>
        <w:outlineLvl w:val="2"/>
        <w:rPr>
          <w:rFonts w:ascii="宋体" w:hAnsi="宋体" w:eastAsia="宋体" w:cs="宋体"/>
          <w:b/>
          <w:bCs/>
          <w:color w:val="auto"/>
          <w:sz w:val="24"/>
          <w:szCs w:val="24"/>
          <w:highlight w:val="none"/>
          <w:lang w:eastAsia="zh-CN"/>
        </w:rPr>
      </w:pPr>
      <w:bookmarkStart w:id="189" w:name="bookmark149"/>
      <w:bookmarkEnd w:id="189"/>
      <w:bookmarkStart w:id="190" w:name="bookmark148"/>
      <w:bookmarkEnd w:id="190"/>
      <w:bookmarkStart w:id="191" w:name="_Toc24077"/>
      <w:r>
        <w:rPr>
          <w:rFonts w:hint="eastAsia" w:ascii="宋体" w:hAnsi="宋体" w:eastAsia="宋体" w:cs="宋体"/>
          <w:b/>
          <w:bCs/>
          <w:color w:val="auto"/>
          <w:sz w:val="24"/>
          <w:szCs w:val="24"/>
          <w:highlight w:val="none"/>
          <w:lang w:eastAsia="zh-CN"/>
        </w:rPr>
        <w:t>7.7 技术成果经济补偿</w:t>
      </w:r>
      <w:bookmarkEnd w:id="191"/>
    </w:p>
    <w:p w14:paraId="59F0C7AC">
      <w:pPr>
        <w:kinsoku/>
        <w:spacing w:before="79" w:line="301" w:lineRule="auto"/>
        <w:ind w:left="39" w:right="65"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对符合招标文件规定的未中标人的技术成果进行补偿的，招标人将按投标人须知前附表规定的标准给予经济补偿，未中标人在投标文件中声明放弃技术成果经济补偿费的除外。招标人将于中标通知书发出后30日内向未中标人支付技术成果经</w:t>
      </w:r>
      <w:bookmarkStart w:id="192" w:name="bookmark151"/>
      <w:bookmarkEnd w:id="192"/>
      <w:r>
        <w:rPr>
          <w:rFonts w:hint="eastAsia" w:ascii="宋体" w:hAnsi="宋体" w:eastAsia="宋体" w:cs="宋体"/>
          <w:color w:val="auto"/>
          <w:sz w:val="24"/>
          <w:szCs w:val="24"/>
          <w:highlight w:val="none"/>
          <w:lang w:eastAsia="zh-CN"/>
        </w:rPr>
        <w:t>济补偿费。</w:t>
      </w:r>
    </w:p>
    <w:p w14:paraId="60EB426F">
      <w:pPr>
        <w:kinsoku/>
        <w:spacing w:before="193" w:line="220" w:lineRule="auto"/>
        <w:outlineLvl w:val="2"/>
        <w:rPr>
          <w:rFonts w:ascii="宋体" w:hAnsi="宋体" w:eastAsia="宋体" w:cs="宋体"/>
          <w:b/>
          <w:bCs/>
          <w:color w:val="auto"/>
          <w:sz w:val="24"/>
          <w:szCs w:val="24"/>
          <w:highlight w:val="none"/>
          <w:lang w:eastAsia="zh-CN"/>
        </w:rPr>
      </w:pPr>
      <w:bookmarkStart w:id="193" w:name="bookmark150"/>
      <w:bookmarkEnd w:id="193"/>
      <w:bookmarkStart w:id="194" w:name="_Toc13225"/>
      <w:r>
        <w:rPr>
          <w:rFonts w:hint="eastAsia" w:ascii="宋体" w:hAnsi="宋体" w:eastAsia="宋体" w:cs="宋体"/>
          <w:b/>
          <w:bCs/>
          <w:color w:val="auto"/>
          <w:sz w:val="24"/>
          <w:szCs w:val="24"/>
          <w:highlight w:val="none"/>
          <w:lang w:eastAsia="zh-CN"/>
        </w:rPr>
        <w:t>7.8 履约保证金</w:t>
      </w:r>
      <w:bookmarkEnd w:id="194"/>
    </w:p>
    <w:p w14:paraId="784754CC">
      <w:pPr>
        <w:kinsoku/>
        <w:spacing w:before="78" w:line="295" w:lineRule="auto"/>
        <w:ind w:left="37" w:right="71"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7.8.1 在签订合同前，中标人应按投标人须知前附表规定的形式、金额和招标文件第四章“合同条款及格式”规定的或事先经过招标人书面认可的履约保证金格式向招标人提交履约保证金。除投标人须知前附表另有规定外，履约保证金为签约合同价的10%。联合体中标的，其履约保证金以联合体各方或联合体中牵头人的名义提交。</w:t>
      </w:r>
    </w:p>
    <w:p w14:paraId="67EF5046">
      <w:pPr>
        <w:kinsoku/>
        <w:spacing w:before="37" w:line="295" w:lineRule="auto"/>
        <w:ind w:left="67" w:right="203" w:firstLine="44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采用银行保函时，应由符合投标人须知前附表规定级别的银行开具，所需的费用由中标人承担，中标人应保证银行保函有效。</w:t>
      </w:r>
    </w:p>
    <w:p w14:paraId="055418DA">
      <w:pPr>
        <w:kinsoku/>
        <w:spacing w:before="33" w:line="299" w:lineRule="auto"/>
        <w:ind w:left="39" w:right="203"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7.8.2 中标人不能按本章第7.8.1项要求提交履约保证金的，视为放弃中标，其投标保证金不予退还，给招标人造成的损失超过投标保证金数额的，中标人还应对超过</w:t>
      </w:r>
      <w:bookmarkStart w:id="195" w:name="bookmark153"/>
      <w:bookmarkEnd w:id="195"/>
      <w:r>
        <w:rPr>
          <w:rFonts w:hint="eastAsia" w:ascii="宋体" w:hAnsi="宋体" w:eastAsia="宋体" w:cs="宋体"/>
          <w:color w:val="auto"/>
          <w:sz w:val="24"/>
          <w:szCs w:val="24"/>
          <w:highlight w:val="none"/>
          <w:lang w:eastAsia="zh-CN"/>
        </w:rPr>
        <w:t>部分予以赔偿。</w:t>
      </w:r>
    </w:p>
    <w:p w14:paraId="2CE1EFD8">
      <w:pPr>
        <w:kinsoku/>
        <w:spacing w:before="193" w:line="220" w:lineRule="auto"/>
        <w:outlineLvl w:val="2"/>
        <w:rPr>
          <w:rFonts w:ascii="宋体" w:hAnsi="宋体" w:eastAsia="宋体" w:cs="宋体"/>
          <w:b/>
          <w:bCs/>
          <w:color w:val="auto"/>
          <w:sz w:val="24"/>
          <w:szCs w:val="24"/>
          <w:highlight w:val="none"/>
          <w:lang w:eastAsia="zh-CN"/>
        </w:rPr>
      </w:pPr>
      <w:bookmarkStart w:id="196" w:name="bookmark152"/>
      <w:bookmarkEnd w:id="196"/>
      <w:bookmarkStart w:id="197" w:name="_Toc1009"/>
      <w:r>
        <w:rPr>
          <w:rFonts w:hint="eastAsia" w:ascii="宋体" w:hAnsi="宋体" w:eastAsia="宋体" w:cs="宋体"/>
          <w:b/>
          <w:bCs/>
          <w:color w:val="auto"/>
          <w:sz w:val="24"/>
          <w:szCs w:val="24"/>
          <w:highlight w:val="none"/>
          <w:lang w:eastAsia="zh-CN"/>
        </w:rPr>
        <w:t>7.9 签订合同</w:t>
      </w:r>
      <w:bookmarkEnd w:id="197"/>
    </w:p>
    <w:p w14:paraId="39AB4F3B">
      <w:pPr>
        <w:kinsoku/>
        <w:spacing w:before="79" w:line="290" w:lineRule="auto"/>
        <w:ind w:left="39" w:right="203"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7.9.1 招标人和中标人应在中标通知书发出之日起30日内，根据招标文件和中标人的投标文件订立书面合同。中标人无正当理由拒签合同，在签订合同时向招标人提出附加条件，或不按照招标文件要求提交履约保证金的，招标人取消其中标资格，其投标保证金不予退还；给招标人造成的损失超过投标保证金数额的，中标人还应对超过部分予以赔偿。</w:t>
      </w:r>
    </w:p>
    <w:p w14:paraId="6F9FF952">
      <w:pPr>
        <w:kinsoku/>
        <w:spacing w:before="113" w:line="279" w:lineRule="auto"/>
        <w:ind w:left="37" w:right="206"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7.9.2 发出中标通知书后，招标人无正当理由拒签合同，或在签订合同时向中标人提出附加条件的，招标人向中标人退还投标保证金；给中标人造成损失的，还应赔偿损失。</w:t>
      </w:r>
    </w:p>
    <w:p w14:paraId="1C3E0955">
      <w:pPr>
        <w:kinsoku/>
        <w:spacing w:before="112" w:line="295" w:lineRule="auto"/>
        <w:ind w:left="57" w:right="203" w:firstLine="4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招标人不得以压低勘察设计费、增加工作量、缩短勘察设计服务期限等作为中标的条件，不得与中标人再行订立背离合同实质性内容的其他协议。</w:t>
      </w:r>
    </w:p>
    <w:p w14:paraId="75A19BAE">
      <w:pPr>
        <w:kinsoku/>
        <w:spacing w:before="35" w:line="218" w:lineRule="auto"/>
        <w:ind w:left="5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7.9.3 签约合同价的确定原则如下：</w:t>
      </w:r>
    </w:p>
    <w:p w14:paraId="72E4D48B">
      <w:pPr>
        <w:kinsoku/>
        <w:spacing w:before="115" w:line="263" w:lineRule="auto"/>
        <w:ind w:left="39" w:right="22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（1）按照评标办法规定对投标报价进行修正后，若修正后的最终投标报价小于开标时的投标函大写金额报价，则签订合同时以修正后的最终投标报价为准；</w:t>
      </w:r>
    </w:p>
    <w:p w14:paraId="09ECC9C3">
      <w:pPr>
        <w:kinsoku/>
        <w:spacing w:before="117" w:line="278" w:lineRule="auto"/>
        <w:ind w:left="39" w:right="145"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（2）按照评标办法规定对投标报价进行修正后，若修正后的最终投标报价大于开标时的投标函大写金额报价，则签订合同时以开标时的投标函大写金额报价为准，同时按比例修正相应子目的单价或合价。</w:t>
      </w:r>
    </w:p>
    <w:p w14:paraId="08259DC5">
      <w:pPr>
        <w:kinsoku/>
        <w:spacing w:before="117" w:line="263" w:lineRule="auto"/>
        <w:ind w:left="40" w:right="208"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7.9.4 联合体中标的，联合体各方应共同与招标人签订合同，就中标项目向招标人承担连带责任。</w:t>
      </w:r>
    </w:p>
    <w:p w14:paraId="373ED61F">
      <w:pPr>
        <w:kinsoku/>
        <w:spacing w:before="115" w:line="264" w:lineRule="auto"/>
        <w:ind w:left="3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7.9.5 招标人和中标人在签订合同协议书的同时，须按照本招标文件规定的格式和要求签订廉政合同，明确双方在廉政建设方面的权利和义务以及应承担的违约责任。</w:t>
      </w:r>
    </w:p>
    <w:p w14:paraId="4E1D6F5F">
      <w:pPr>
        <w:kinsoku/>
        <w:spacing w:line="296" w:lineRule="auto"/>
        <w:rPr>
          <w:rFonts w:ascii="宋体" w:hAnsi="宋体" w:eastAsia="宋体" w:cs="宋体"/>
          <w:color w:val="auto"/>
          <w:highlight w:val="none"/>
          <w:lang w:eastAsia="zh-CN"/>
        </w:rPr>
      </w:pPr>
    </w:p>
    <w:p w14:paraId="34936034">
      <w:pPr>
        <w:kinsoku/>
        <w:spacing w:before="92" w:line="219" w:lineRule="auto"/>
        <w:ind w:left="36"/>
        <w:outlineLvl w:val="1"/>
        <w:rPr>
          <w:rFonts w:ascii="宋体" w:hAnsi="宋体" w:eastAsia="宋体" w:cs="宋体"/>
          <w:b/>
          <w:bCs/>
          <w:color w:val="auto"/>
          <w:sz w:val="28"/>
          <w:szCs w:val="28"/>
          <w:highlight w:val="none"/>
          <w:lang w:eastAsia="zh-CN"/>
        </w:rPr>
      </w:pPr>
      <w:bookmarkStart w:id="198" w:name="bookmark155"/>
      <w:bookmarkEnd w:id="198"/>
      <w:bookmarkStart w:id="199" w:name="bookmark154"/>
      <w:bookmarkEnd w:id="199"/>
      <w:bookmarkStart w:id="200" w:name="bookmark157"/>
      <w:bookmarkEnd w:id="200"/>
      <w:bookmarkStart w:id="201" w:name="_Toc9396"/>
      <w:r>
        <w:rPr>
          <w:rFonts w:hint="eastAsia" w:ascii="宋体" w:hAnsi="宋体" w:eastAsia="宋体" w:cs="宋体"/>
          <w:b/>
          <w:bCs/>
          <w:color w:val="auto"/>
          <w:sz w:val="28"/>
          <w:szCs w:val="28"/>
          <w:highlight w:val="none"/>
          <w:lang w:eastAsia="zh-CN"/>
        </w:rPr>
        <w:t>8. 纪律和监督</w:t>
      </w:r>
      <w:bookmarkEnd w:id="201"/>
    </w:p>
    <w:p w14:paraId="05720C5F">
      <w:pPr>
        <w:kinsoku/>
        <w:spacing w:before="193" w:line="220" w:lineRule="auto"/>
        <w:outlineLvl w:val="2"/>
        <w:rPr>
          <w:rFonts w:ascii="宋体" w:hAnsi="宋体" w:eastAsia="宋体" w:cs="宋体"/>
          <w:b/>
          <w:bCs/>
          <w:color w:val="auto"/>
          <w:sz w:val="24"/>
          <w:szCs w:val="24"/>
          <w:highlight w:val="none"/>
          <w:lang w:eastAsia="zh-CN"/>
        </w:rPr>
      </w:pPr>
      <w:bookmarkStart w:id="202" w:name="bookmark156"/>
      <w:bookmarkEnd w:id="202"/>
      <w:bookmarkStart w:id="203" w:name="_Toc16074"/>
      <w:r>
        <w:rPr>
          <w:rFonts w:hint="eastAsia" w:ascii="宋体" w:hAnsi="宋体" w:eastAsia="宋体" w:cs="宋体"/>
          <w:b/>
          <w:bCs/>
          <w:color w:val="auto"/>
          <w:sz w:val="24"/>
          <w:szCs w:val="24"/>
          <w:highlight w:val="none"/>
          <w:lang w:eastAsia="zh-CN"/>
        </w:rPr>
        <w:t>8.1 对招标人的纪律要求</w:t>
      </w:r>
      <w:bookmarkEnd w:id="203"/>
    </w:p>
    <w:p w14:paraId="514CBFC9">
      <w:pPr>
        <w:kinsoku/>
        <w:spacing w:before="115" w:line="264" w:lineRule="auto"/>
        <w:ind w:left="3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招标人不得泄露招标投标活动中应保密的情况和资料，不得与投标人串通损害国</w:t>
      </w:r>
      <w:bookmarkStart w:id="204" w:name="bookmark159"/>
      <w:bookmarkEnd w:id="204"/>
      <w:r>
        <w:rPr>
          <w:rFonts w:hint="eastAsia" w:ascii="宋体" w:hAnsi="宋体" w:eastAsia="宋体" w:cs="宋体"/>
          <w:color w:val="auto"/>
          <w:sz w:val="24"/>
          <w:szCs w:val="24"/>
          <w:highlight w:val="none"/>
          <w:lang w:eastAsia="zh-CN"/>
        </w:rPr>
        <w:t>家利益、社会公共利益或他人合法权益。</w:t>
      </w:r>
    </w:p>
    <w:p w14:paraId="4526968B">
      <w:pPr>
        <w:kinsoku/>
        <w:spacing w:before="193" w:line="220" w:lineRule="auto"/>
        <w:outlineLvl w:val="2"/>
        <w:rPr>
          <w:rFonts w:ascii="宋体" w:hAnsi="宋体" w:eastAsia="宋体" w:cs="宋体"/>
          <w:b/>
          <w:bCs/>
          <w:color w:val="auto"/>
          <w:sz w:val="24"/>
          <w:szCs w:val="24"/>
          <w:highlight w:val="none"/>
          <w:lang w:eastAsia="zh-CN"/>
        </w:rPr>
      </w:pPr>
      <w:bookmarkStart w:id="205" w:name="bookmark158"/>
      <w:bookmarkEnd w:id="205"/>
      <w:bookmarkStart w:id="206" w:name="_Toc10199"/>
      <w:r>
        <w:rPr>
          <w:rFonts w:hint="eastAsia" w:ascii="宋体" w:hAnsi="宋体" w:eastAsia="宋体" w:cs="宋体"/>
          <w:b/>
          <w:bCs/>
          <w:color w:val="auto"/>
          <w:sz w:val="24"/>
          <w:szCs w:val="24"/>
          <w:highlight w:val="none"/>
          <w:lang w:eastAsia="zh-CN"/>
        </w:rPr>
        <w:t>8.2 对投标人的纪律要求</w:t>
      </w:r>
      <w:bookmarkEnd w:id="206"/>
    </w:p>
    <w:p w14:paraId="534BAA79">
      <w:pPr>
        <w:kinsoku/>
        <w:spacing w:before="78" w:line="298" w:lineRule="auto"/>
        <w:ind w:left="37" w:right="65" w:firstLine="483"/>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投标人不得相互串通投标或与招标人串通投标，不得向招标人或评标委员会成员行贿谋取中标，不得以他人名义投标或以其他方式弄虚作假骗取中标；投标人不得以</w:t>
      </w:r>
      <w:bookmarkStart w:id="207" w:name="bookmark161"/>
      <w:bookmarkEnd w:id="207"/>
      <w:r>
        <w:rPr>
          <w:rFonts w:hint="eastAsia" w:ascii="宋体" w:hAnsi="宋体" w:eastAsia="宋体" w:cs="宋体"/>
          <w:color w:val="auto"/>
          <w:sz w:val="24"/>
          <w:szCs w:val="24"/>
          <w:highlight w:val="none"/>
          <w:lang w:eastAsia="zh-CN"/>
        </w:rPr>
        <w:t>任何方式干扰、影响评标工作。</w:t>
      </w:r>
    </w:p>
    <w:p w14:paraId="57C4CB02">
      <w:pPr>
        <w:kinsoku/>
        <w:spacing w:before="193" w:line="220" w:lineRule="auto"/>
        <w:outlineLvl w:val="2"/>
        <w:rPr>
          <w:rFonts w:ascii="宋体" w:hAnsi="宋体" w:eastAsia="宋体" w:cs="宋体"/>
          <w:b/>
          <w:bCs/>
          <w:color w:val="auto"/>
          <w:sz w:val="24"/>
          <w:szCs w:val="24"/>
          <w:highlight w:val="none"/>
          <w:lang w:eastAsia="zh-CN"/>
        </w:rPr>
      </w:pPr>
      <w:bookmarkStart w:id="208" w:name="bookmark160"/>
      <w:bookmarkEnd w:id="208"/>
      <w:bookmarkStart w:id="209" w:name="_Toc370"/>
      <w:r>
        <w:rPr>
          <w:rFonts w:hint="eastAsia" w:ascii="宋体" w:hAnsi="宋体" w:eastAsia="宋体" w:cs="宋体"/>
          <w:b/>
          <w:bCs/>
          <w:color w:val="auto"/>
          <w:sz w:val="24"/>
          <w:szCs w:val="24"/>
          <w:highlight w:val="none"/>
          <w:lang w:eastAsia="zh-CN"/>
        </w:rPr>
        <w:t>8.3 对评标委员会成员的纪律要求</w:t>
      </w:r>
      <w:bookmarkEnd w:id="209"/>
    </w:p>
    <w:p w14:paraId="06BCBB39">
      <w:pPr>
        <w:kinsoku/>
        <w:spacing w:before="78" w:line="301" w:lineRule="auto"/>
        <w:ind w:left="37" w:right="64"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标委员会成员不得收受他人的财物或其他好处，不得向他人透露对投标文件的评审和比较、中标候选人的推荐情况以及评标有关的其他情况。在评标活动中，评标委员会成员应客观、公正地履行职责，遵守职业道德，不得擅离职守，影响评标程序</w:t>
      </w:r>
      <w:bookmarkStart w:id="210" w:name="bookmark163"/>
      <w:bookmarkEnd w:id="210"/>
      <w:r>
        <w:rPr>
          <w:rFonts w:hint="eastAsia" w:ascii="宋体" w:hAnsi="宋体" w:eastAsia="宋体" w:cs="宋体"/>
          <w:color w:val="auto"/>
          <w:sz w:val="24"/>
          <w:szCs w:val="24"/>
          <w:highlight w:val="none"/>
          <w:lang w:eastAsia="zh-CN"/>
        </w:rPr>
        <w:t>正常进行，不得使用第三章“评标办法”没有规定的评审因素和标准进行评标。</w:t>
      </w:r>
    </w:p>
    <w:p w14:paraId="2C79FBF3">
      <w:pPr>
        <w:kinsoku/>
        <w:spacing w:before="193" w:line="220" w:lineRule="auto"/>
        <w:outlineLvl w:val="2"/>
        <w:rPr>
          <w:rFonts w:ascii="宋体" w:hAnsi="宋体" w:eastAsia="宋体" w:cs="宋体"/>
          <w:b/>
          <w:bCs/>
          <w:color w:val="auto"/>
          <w:sz w:val="24"/>
          <w:szCs w:val="24"/>
          <w:highlight w:val="none"/>
          <w:lang w:eastAsia="zh-CN"/>
        </w:rPr>
      </w:pPr>
      <w:bookmarkStart w:id="211" w:name="bookmark162"/>
      <w:bookmarkEnd w:id="211"/>
      <w:bookmarkStart w:id="212" w:name="_Toc17992"/>
      <w:r>
        <w:rPr>
          <w:rFonts w:hint="eastAsia" w:ascii="宋体" w:hAnsi="宋体" w:eastAsia="宋体" w:cs="宋体"/>
          <w:b/>
          <w:bCs/>
          <w:color w:val="auto"/>
          <w:sz w:val="24"/>
          <w:szCs w:val="24"/>
          <w:highlight w:val="none"/>
          <w:lang w:eastAsia="zh-CN"/>
        </w:rPr>
        <w:t>8.4 对与评标活动有关的工作人员的纪律要求</w:t>
      </w:r>
      <w:bookmarkEnd w:id="212"/>
    </w:p>
    <w:p w14:paraId="07C20D41">
      <w:pPr>
        <w:kinsoku/>
        <w:spacing w:before="78" w:line="299" w:lineRule="auto"/>
        <w:ind w:left="39" w:right="64" w:firstLine="483"/>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与评标活动有关的工作人员不得收受他人的财物或其他好处，不得向他人透露对投标文件的评审和比较、中标候选人的推荐情况以及评标有关的其他情况。在评标活动中，与评标活动有关的工作人员不得擅离职守，影响评标程序正常进行。</w:t>
      </w:r>
    </w:p>
    <w:p w14:paraId="117124BB">
      <w:pPr>
        <w:kinsoku/>
        <w:spacing w:before="193" w:line="220" w:lineRule="auto"/>
        <w:outlineLvl w:val="2"/>
        <w:rPr>
          <w:rFonts w:ascii="宋体" w:hAnsi="宋体" w:eastAsia="宋体" w:cs="宋体"/>
          <w:b/>
          <w:bCs/>
          <w:color w:val="auto"/>
          <w:sz w:val="24"/>
          <w:szCs w:val="24"/>
          <w:highlight w:val="none"/>
          <w:lang w:eastAsia="zh-CN"/>
        </w:rPr>
      </w:pPr>
      <w:bookmarkStart w:id="213" w:name="bookmark165"/>
      <w:bookmarkEnd w:id="213"/>
      <w:bookmarkStart w:id="214" w:name="bookmark164"/>
      <w:bookmarkEnd w:id="214"/>
      <w:bookmarkStart w:id="215" w:name="_Toc4867"/>
      <w:r>
        <w:rPr>
          <w:rFonts w:hint="eastAsia" w:ascii="宋体" w:hAnsi="宋体" w:eastAsia="宋体" w:cs="宋体"/>
          <w:b/>
          <w:bCs/>
          <w:color w:val="auto"/>
          <w:sz w:val="24"/>
          <w:szCs w:val="24"/>
          <w:highlight w:val="none"/>
          <w:lang w:eastAsia="zh-CN"/>
        </w:rPr>
        <w:t>8.5 投诉</w:t>
      </w:r>
      <w:bookmarkEnd w:id="215"/>
    </w:p>
    <w:p w14:paraId="61A97399">
      <w:pPr>
        <w:kinsoku/>
        <w:spacing w:before="79" w:line="298" w:lineRule="auto"/>
        <w:ind w:left="40"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8.5.1 投标人或其他利害关系人认为招标投标活动不符合法律、行政法规规定的，可以自知道或应当知道之日起10日内向有关行政监督部门投诉。投诉应有明确的请求和必要的证明材料。</w:t>
      </w:r>
    </w:p>
    <w:p w14:paraId="0D642467">
      <w:pPr>
        <w:kinsoku/>
        <w:spacing w:before="37" w:line="219"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监督部门的联系方式见投标人须知前附表。</w:t>
      </w:r>
    </w:p>
    <w:p w14:paraId="78A35726">
      <w:pPr>
        <w:kinsoku/>
        <w:spacing w:before="116" w:line="299" w:lineRule="auto"/>
        <w:ind w:left="38" w:right="67"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8.5.2 投标人或其他利害关系人对招标文件、开标和评标结果提出投诉的，应按照本章第2.4款、第5.3款和第7.2款的规定先向招标人提出异议。异议答复期间不计算在第8.5.1项规定的期限内。</w:t>
      </w:r>
    </w:p>
    <w:p w14:paraId="62EDC93E">
      <w:pPr>
        <w:kinsoku/>
        <w:spacing w:before="309" w:line="220" w:lineRule="auto"/>
        <w:ind w:left="32"/>
        <w:outlineLvl w:val="1"/>
        <w:rPr>
          <w:rFonts w:ascii="宋体" w:hAnsi="宋体" w:eastAsia="宋体" w:cs="宋体"/>
          <w:b/>
          <w:bCs/>
          <w:color w:val="auto"/>
          <w:sz w:val="28"/>
          <w:szCs w:val="28"/>
          <w:highlight w:val="none"/>
          <w:lang w:eastAsia="zh-CN"/>
        </w:rPr>
      </w:pPr>
      <w:bookmarkStart w:id="216" w:name="bookmark166"/>
      <w:bookmarkEnd w:id="216"/>
      <w:bookmarkStart w:id="217" w:name="bookmark167"/>
      <w:bookmarkEnd w:id="217"/>
      <w:bookmarkStart w:id="218" w:name="_Toc27275"/>
      <w:r>
        <w:rPr>
          <w:rFonts w:hint="eastAsia" w:ascii="宋体" w:hAnsi="宋体" w:eastAsia="宋体" w:cs="宋体"/>
          <w:b/>
          <w:bCs/>
          <w:color w:val="auto"/>
          <w:sz w:val="28"/>
          <w:szCs w:val="28"/>
          <w:highlight w:val="none"/>
          <w:lang w:eastAsia="zh-CN"/>
        </w:rPr>
        <w:t>9. 是否采用电子招标投标</w:t>
      </w:r>
      <w:bookmarkEnd w:id="218"/>
    </w:p>
    <w:p w14:paraId="712DCB26">
      <w:pPr>
        <w:kinsoku/>
        <w:spacing w:before="78" w:line="219"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本招标项目是否采用电子招标投标方式，见投标人须知前附表。</w:t>
      </w:r>
    </w:p>
    <w:p w14:paraId="39C82EEE">
      <w:pPr>
        <w:kinsoku/>
        <w:spacing w:before="92" w:line="220" w:lineRule="auto"/>
        <w:outlineLvl w:val="1"/>
        <w:rPr>
          <w:rFonts w:ascii="宋体" w:hAnsi="宋体" w:eastAsia="宋体" w:cs="宋体"/>
          <w:b/>
          <w:bCs/>
          <w:color w:val="auto"/>
          <w:sz w:val="28"/>
          <w:szCs w:val="28"/>
          <w:highlight w:val="none"/>
          <w:lang w:eastAsia="zh-CN"/>
        </w:rPr>
      </w:pPr>
      <w:bookmarkStart w:id="219" w:name="bookmark169"/>
      <w:bookmarkEnd w:id="219"/>
      <w:bookmarkStart w:id="220" w:name="bookmark168"/>
      <w:bookmarkEnd w:id="220"/>
      <w:bookmarkStart w:id="221" w:name="_Toc15481"/>
      <w:r>
        <w:rPr>
          <w:rFonts w:hint="eastAsia" w:ascii="宋体" w:hAnsi="宋体" w:eastAsia="宋体" w:cs="宋体"/>
          <w:b/>
          <w:bCs/>
          <w:color w:val="auto"/>
          <w:sz w:val="28"/>
          <w:szCs w:val="28"/>
          <w:highlight w:val="none"/>
          <w:lang w:eastAsia="zh-CN"/>
        </w:rPr>
        <w:t>10. 需要补充的其他内容</w:t>
      </w:r>
      <w:bookmarkEnd w:id="221"/>
    </w:p>
    <w:p w14:paraId="1870046D">
      <w:pPr>
        <w:kinsoku/>
        <w:spacing w:before="78" w:line="291" w:lineRule="auto"/>
        <w:ind w:left="66" w:firstLine="47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10.1自购买招标文件之日起，投标人应保证其提供的联系方式（电话、传真、电子邮件）一直有效，以便及时收到招标人发出的函件(招标文件的澄清、修改等)，并应及时向招标人反馈信息，否则招标人不承担由此引起的一切后果。</w:t>
      </w:r>
    </w:p>
    <w:p w14:paraId="23D77430">
      <w:pPr>
        <w:kinsoku/>
        <w:spacing w:before="78" w:line="219" w:lineRule="auto"/>
        <w:ind w:left="531"/>
        <w:rPr>
          <w:rFonts w:ascii="宋体" w:hAnsi="宋体" w:eastAsia="宋体" w:cs="宋体"/>
          <w:color w:val="auto"/>
          <w:sz w:val="24"/>
          <w:szCs w:val="24"/>
          <w:highlight w:val="none"/>
          <w:lang w:eastAsia="zh-CN"/>
        </w:rPr>
        <w:sectPr>
          <w:headerReference r:id="rId12" w:type="default"/>
          <w:footerReference r:id="rId13" w:type="default"/>
          <w:pgSz w:w="11907" w:h="16841"/>
          <w:pgMar w:top="1173" w:right="1498" w:bottom="1254" w:left="1560" w:header="862" w:footer="1093" w:gutter="0"/>
          <w:cols w:space="720" w:num="1"/>
        </w:sectPr>
      </w:pPr>
      <w:r>
        <w:rPr>
          <w:rFonts w:hint="eastAsia" w:ascii="宋体" w:hAnsi="宋体" w:eastAsia="宋体" w:cs="宋体"/>
          <w:color w:val="auto"/>
          <w:sz w:val="24"/>
          <w:szCs w:val="24"/>
          <w:highlight w:val="none"/>
          <w:lang w:eastAsia="zh-CN"/>
        </w:rPr>
        <w:t>需要补充的其他内容：见投标人须知前附表。</w:t>
      </w:r>
    </w:p>
    <w:p w14:paraId="16010BEC">
      <w:pPr>
        <w:kinsoku/>
        <w:spacing w:before="78" w:line="224" w:lineRule="auto"/>
        <w:ind w:left="135"/>
        <w:outlineLvl w:val="1"/>
        <w:rPr>
          <w:rFonts w:ascii="宋体" w:hAnsi="宋体" w:eastAsia="宋体" w:cs="宋体"/>
          <w:color w:val="auto"/>
          <w:sz w:val="12"/>
          <w:szCs w:val="12"/>
          <w:highlight w:val="none"/>
          <w:lang w:eastAsia="zh-CN"/>
        </w:rPr>
      </w:pPr>
      <w:bookmarkStart w:id="222" w:name="bookmark170"/>
      <w:bookmarkEnd w:id="222"/>
      <w:bookmarkStart w:id="223" w:name="_Toc18446"/>
      <w:r>
        <w:rPr>
          <w:rFonts w:hint="eastAsia" w:ascii="宋体" w:hAnsi="宋体" w:eastAsia="宋体" w:cs="宋体"/>
          <w:color w:val="auto"/>
          <w:sz w:val="24"/>
          <w:szCs w:val="24"/>
          <w:highlight w:val="none"/>
          <w:lang w:eastAsia="zh-CN"/>
        </w:rPr>
        <w:t>附件一 开标记录表</w:t>
      </w:r>
      <w:bookmarkEnd w:id="223"/>
    </w:p>
    <w:p w14:paraId="1F497516">
      <w:pPr>
        <w:tabs>
          <w:tab w:val="left" w:pos="1105"/>
        </w:tabs>
        <w:kinsoku/>
        <w:spacing w:before="224" w:line="277" w:lineRule="auto"/>
        <w:ind w:left="3821" w:right="181" w:hanging="3709"/>
        <w:rPr>
          <w:rFonts w:ascii="宋体" w:hAnsi="宋体" w:eastAsia="宋体" w:cs="宋体"/>
          <w:color w:val="auto"/>
          <w:sz w:val="28"/>
          <w:szCs w:val="28"/>
          <w:highlight w:val="none"/>
          <w:lang w:eastAsia="zh-CN"/>
        </w:rPr>
      </w:pPr>
      <w:bookmarkStart w:id="224" w:name="bookmark171"/>
      <w:bookmarkEnd w:id="224"/>
      <w:r>
        <w:rPr>
          <w:rFonts w:hint="eastAsia" w:ascii="宋体" w:hAnsi="宋体" w:eastAsia="宋体" w:cs="宋体"/>
          <w:color w:val="auto"/>
          <w:sz w:val="28"/>
          <w:szCs w:val="28"/>
          <w:highlight w:val="none"/>
          <w:u w:val="single"/>
          <w:lang w:eastAsia="zh-CN"/>
        </w:rPr>
        <w:tab/>
      </w:r>
      <w:r>
        <w:rPr>
          <w:rFonts w:hint="eastAsia" w:ascii="宋体" w:hAnsi="宋体" w:eastAsia="宋体" w:cs="宋体"/>
          <w:color w:val="auto"/>
          <w:sz w:val="28"/>
          <w:szCs w:val="28"/>
          <w:highlight w:val="none"/>
          <w:lang w:eastAsia="zh-CN"/>
        </w:rPr>
        <w:t>（项目名称）</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标段施工图设计第一个信封（商务及技术文件）开标记录表</w:t>
      </w:r>
    </w:p>
    <w:p w14:paraId="718DDC1A">
      <w:pPr>
        <w:kinsoku/>
        <w:spacing w:before="73" w:line="220" w:lineRule="auto"/>
        <w:jc w:val="righ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分</w:t>
      </w:r>
    </w:p>
    <w:p w14:paraId="63167178">
      <w:pPr>
        <w:kinsoku/>
        <w:spacing w:line="74" w:lineRule="auto"/>
        <w:rPr>
          <w:rFonts w:ascii="宋体" w:hAnsi="宋体" w:eastAsia="宋体" w:cs="宋体"/>
          <w:color w:val="auto"/>
          <w:sz w:val="2"/>
          <w:highlight w:val="none"/>
        </w:rPr>
      </w:pPr>
    </w:p>
    <w:tbl>
      <w:tblPr>
        <w:tblStyle w:val="21"/>
        <w:tblW w:w="91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0"/>
        <w:gridCol w:w="1413"/>
        <w:gridCol w:w="1071"/>
        <w:gridCol w:w="1355"/>
        <w:gridCol w:w="1809"/>
        <w:gridCol w:w="1274"/>
        <w:gridCol w:w="1564"/>
      </w:tblGrid>
      <w:tr w14:paraId="2EA32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700" w:type="dxa"/>
            <w:vAlign w:val="center"/>
          </w:tcPr>
          <w:p w14:paraId="5475B475">
            <w:pPr>
              <w:kinsoku/>
              <w:spacing w:before="68" w:line="222"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序号</w:t>
            </w:r>
          </w:p>
        </w:tc>
        <w:tc>
          <w:tcPr>
            <w:tcW w:w="1413" w:type="dxa"/>
            <w:vAlign w:val="center"/>
          </w:tcPr>
          <w:p w14:paraId="7DCA9ABC">
            <w:pPr>
              <w:kinsoku/>
              <w:spacing w:before="68" w:line="221"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投标人</w:t>
            </w:r>
          </w:p>
        </w:tc>
        <w:tc>
          <w:tcPr>
            <w:tcW w:w="1071" w:type="dxa"/>
            <w:vAlign w:val="center"/>
          </w:tcPr>
          <w:p w14:paraId="58B9FD80">
            <w:pPr>
              <w:kinsoku/>
              <w:spacing w:before="68" w:line="221"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密封情况</w:t>
            </w:r>
          </w:p>
        </w:tc>
        <w:tc>
          <w:tcPr>
            <w:tcW w:w="1355" w:type="dxa"/>
            <w:vAlign w:val="center"/>
          </w:tcPr>
          <w:p w14:paraId="0EF2C534">
            <w:pPr>
              <w:kinsoku/>
              <w:spacing w:before="226" w:line="340" w:lineRule="auto"/>
              <w:ind w:left="-40" w:leftChars="-19" w:right="7"/>
              <w:jc w:val="center"/>
              <w:rPr>
                <w:rFonts w:ascii="宋体" w:hAnsi="宋体" w:eastAsia="宋体" w:cs="宋体"/>
                <w:color w:val="auto"/>
                <w:highlight w:val="none"/>
              </w:rPr>
            </w:pPr>
            <w:r>
              <w:rPr>
                <w:rFonts w:hint="eastAsia" w:ascii="宋体" w:hAnsi="宋体" w:eastAsia="宋体" w:cs="宋体"/>
                <w:color w:val="auto"/>
                <w:highlight w:val="none"/>
              </w:rPr>
              <w:t>投标保证金递交情况</w:t>
            </w:r>
          </w:p>
        </w:tc>
        <w:tc>
          <w:tcPr>
            <w:tcW w:w="1809" w:type="dxa"/>
            <w:vAlign w:val="center"/>
          </w:tcPr>
          <w:p w14:paraId="0DD74F2A">
            <w:pPr>
              <w:kinsoku/>
              <w:spacing w:before="69" w:line="221"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勘察设计服务期限</w:t>
            </w:r>
          </w:p>
        </w:tc>
        <w:tc>
          <w:tcPr>
            <w:tcW w:w="1274" w:type="dxa"/>
            <w:vAlign w:val="center"/>
          </w:tcPr>
          <w:p w14:paraId="4271E623">
            <w:pPr>
              <w:kinsoku/>
              <w:spacing w:before="68" w:line="222"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备注</w:t>
            </w:r>
          </w:p>
        </w:tc>
        <w:tc>
          <w:tcPr>
            <w:tcW w:w="1564" w:type="dxa"/>
            <w:vAlign w:val="center"/>
          </w:tcPr>
          <w:p w14:paraId="5F45EF1B">
            <w:pPr>
              <w:kinsoku/>
              <w:spacing w:before="69" w:line="221" w:lineRule="auto"/>
              <w:ind w:left="-40" w:leftChars="-19"/>
              <w:jc w:val="center"/>
              <w:rPr>
                <w:rFonts w:ascii="宋体" w:hAnsi="宋体" w:eastAsia="宋体" w:cs="宋体"/>
                <w:color w:val="auto"/>
                <w:highlight w:val="none"/>
              </w:rPr>
            </w:pPr>
            <w:r>
              <w:rPr>
                <w:rFonts w:hint="eastAsia" w:ascii="宋体" w:hAnsi="宋体" w:eastAsia="宋体" w:cs="宋体"/>
                <w:color w:val="auto"/>
                <w:highlight w:val="none"/>
              </w:rPr>
              <w:t>投标人代表签名</w:t>
            </w:r>
          </w:p>
        </w:tc>
      </w:tr>
      <w:tr w14:paraId="1A62DC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657B7FAF">
            <w:pPr>
              <w:kinsoku/>
              <w:rPr>
                <w:rFonts w:ascii="宋体" w:hAnsi="宋体" w:eastAsia="宋体" w:cs="宋体"/>
                <w:color w:val="auto"/>
                <w:highlight w:val="none"/>
              </w:rPr>
            </w:pPr>
          </w:p>
        </w:tc>
        <w:tc>
          <w:tcPr>
            <w:tcW w:w="1413" w:type="dxa"/>
          </w:tcPr>
          <w:p w14:paraId="3A662D41">
            <w:pPr>
              <w:kinsoku/>
              <w:rPr>
                <w:rFonts w:ascii="宋体" w:hAnsi="宋体" w:eastAsia="宋体" w:cs="宋体"/>
                <w:color w:val="auto"/>
                <w:highlight w:val="none"/>
              </w:rPr>
            </w:pPr>
          </w:p>
        </w:tc>
        <w:tc>
          <w:tcPr>
            <w:tcW w:w="1071" w:type="dxa"/>
          </w:tcPr>
          <w:p w14:paraId="73B28658">
            <w:pPr>
              <w:kinsoku/>
              <w:rPr>
                <w:rFonts w:ascii="宋体" w:hAnsi="宋体" w:eastAsia="宋体" w:cs="宋体"/>
                <w:color w:val="auto"/>
                <w:highlight w:val="none"/>
              </w:rPr>
            </w:pPr>
          </w:p>
        </w:tc>
        <w:tc>
          <w:tcPr>
            <w:tcW w:w="1355" w:type="dxa"/>
          </w:tcPr>
          <w:p w14:paraId="6D638533">
            <w:pPr>
              <w:kinsoku/>
              <w:rPr>
                <w:rFonts w:ascii="宋体" w:hAnsi="宋体" w:eastAsia="宋体" w:cs="宋体"/>
                <w:color w:val="auto"/>
                <w:highlight w:val="none"/>
              </w:rPr>
            </w:pPr>
          </w:p>
        </w:tc>
        <w:tc>
          <w:tcPr>
            <w:tcW w:w="1809" w:type="dxa"/>
          </w:tcPr>
          <w:p w14:paraId="3E3E0D85">
            <w:pPr>
              <w:kinsoku/>
              <w:rPr>
                <w:rFonts w:ascii="宋体" w:hAnsi="宋体" w:eastAsia="宋体" w:cs="宋体"/>
                <w:color w:val="auto"/>
                <w:highlight w:val="none"/>
              </w:rPr>
            </w:pPr>
          </w:p>
        </w:tc>
        <w:tc>
          <w:tcPr>
            <w:tcW w:w="1274" w:type="dxa"/>
          </w:tcPr>
          <w:p w14:paraId="01D48726">
            <w:pPr>
              <w:kinsoku/>
              <w:rPr>
                <w:rFonts w:ascii="宋体" w:hAnsi="宋体" w:eastAsia="宋体" w:cs="宋体"/>
                <w:color w:val="auto"/>
                <w:highlight w:val="none"/>
              </w:rPr>
            </w:pPr>
          </w:p>
        </w:tc>
        <w:tc>
          <w:tcPr>
            <w:tcW w:w="1564" w:type="dxa"/>
          </w:tcPr>
          <w:p w14:paraId="2E1DA6D9">
            <w:pPr>
              <w:kinsoku/>
              <w:rPr>
                <w:rFonts w:ascii="宋体" w:hAnsi="宋体" w:eastAsia="宋体" w:cs="宋体"/>
                <w:color w:val="auto"/>
                <w:highlight w:val="none"/>
              </w:rPr>
            </w:pPr>
          </w:p>
        </w:tc>
      </w:tr>
      <w:tr w14:paraId="742CA5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700" w:type="dxa"/>
          </w:tcPr>
          <w:p w14:paraId="53F99DDD">
            <w:pPr>
              <w:kinsoku/>
              <w:rPr>
                <w:rFonts w:ascii="宋体" w:hAnsi="宋体" w:eastAsia="宋体" w:cs="宋体"/>
                <w:color w:val="auto"/>
                <w:highlight w:val="none"/>
              </w:rPr>
            </w:pPr>
          </w:p>
        </w:tc>
        <w:tc>
          <w:tcPr>
            <w:tcW w:w="1413" w:type="dxa"/>
          </w:tcPr>
          <w:p w14:paraId="11D564A4">
            <w:pPr>
              <w:kinsoku/>
              <w:rPr>
                <w:rFonts w:ascii="宋体" w:hAnsi="宋体" w:eastAsia="宋体" w:cs="宋体"/>
                <w:color w:val="auto"/>
                <w:highlight w:val="none"/>
              </w:rPr>
            </w:pPr>
          </w:p>
        </w:tc>
        <w:tc>
          <w:tcPr>
            <w:tcW w:w="1071" w:type="dxa"/>
          </w:tcPr>
          <w:p w14:paraId="58D056BF">
            <w:pPr>
              <w:kinsoku/>
              <w:rPr>
                <w:rFonts w:ascii="宋体" w:hAnsi="宋体" w:eastAsia="宋体" w:cs="宋体"/>
                <w:color w:val="auto"/>
                <w:highlight w:val="none"/>
              </w:rPr>
            </w:pPr>
          </w:p>
        </w:tc>
        <w:tc>
          <w:tcPr>
            <w:tcW w:w="1355" w:type="dxa"/>
          </w:tcPr>
          <w:p w14:paraId="4F4F857A">
            <w:pPr>
              <w:kinsoku/>
              <w:rPr>
                <w:rFonts w:ascii="宋体" w:hAnsi="宋体" w:eastAsia="宋体" w:cs="宋体"/>
                <w:color w:val="auto"/>
                <w:highlight w:val="none"/>
              </w:rPr>
            </w:pPr>
          </w:p>
        </w:tc>
        <w:tc>
          <w:tcPr>
            <w:tcW w:w="1809" w:type="dxa"/>
          </w:tcPr>
          <w:p w14:paraId="2EC7D7AE">
            <w:pPr>
              <w:kinsoku/>
              <w:rPr>
                <w:rFonts w:ascii="宋体" w:hAnsi="宋体" w:eastAsia="宋体" w:cs="宋体"/>
                <w:color w:val="auto"/>
                <w:highlight w:val="none"/>
              </w:rPr>
            </w:pPr>
          </w:p>
        </w:tc>
        <w:tc>
          <w:tcPr>
            <w:tcW w:w="1274" w:type="dxa"/>
          </w:tcPr>
          <w:p w14:paraId="292834B2">
            <w:pPr>
              <w:kinsoku/>
              <w:rPr>
                <w:rFonts w:ascii="宋体" w:hAnsi="宋体" w:eastAsia="宋体" w:cs="宋体"/>
                <w:color w:val="auto"/>
                <w:highlight w:val="none"/>
              </w:rPr>
            </w:pPr>
          </w:p>
        </w:tc>
        <w:tc>
          <w:tcPr>
            <w:tcW w:w="1564" w:type="dxa"/>
          </w:tcPr>
          <w:p w14:paraId="2D1E417B">
            <w:pPr>
              <w:kinsoku/>
              <w:rPr>
                <w:rFonts w:ascii="宋体" w:hAnsi="宋体" w:eastAsia="宋体" w:cs="宋体"/>
                <w:color w:val="auto"/>
                <w:highlight w:val="none"/>
              </w:rPr>
            </w:pPr>
          </w:p>
        </w:tc>
      </w:tr>
      <w:tr w14:paraId="035AD0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329A240C">
            <w:pPr>
              <w:kinsoku/>
              <w:rPr>
                <w:rFonts w:ascii="宋体" w:hAnsi="宋体" w:eastAsia="宋体" w:cs="宋体"/>
                <w:color w:val="auto"/>
                <w:highlight w:val="none"/>
              </w:rPr>
            </w:pPr>
          </w:p>
        </w:tc>
        <w:tc>
          <w:tcPr>
            <w:tcW w:w="1413" w:type="dxa"/>
          </w:tcPr>
          <w:p w14:paraId="13832597">
            <w:pPr>
              <w:kinsoku/>
              <w:rPr>
                <w:rFonts w:ascii="宋体" w:hAnsi="宋体" w:eastAsia="宋体" w:cs="宋体"/>
                <w:color w:val="auto"/>
                <w:highlight w:val="none"/>
              </w:rPr>
            </w:pPr>
          </w:p>
        </w:tc>
        <w:tc>
          <w:tcPr>
            <w:tcW w:w="1071" w:type="dxa"/>
          </w:tcPr>
          <w:p w14:paraId="2AD6BFDB">
            <w:pPr>
              <w:kinsoku/>
              <w:rPr>
                <w:rFonts w:ascii="宋体" w:hAnsi="宋体" w:eastAsia="宋体" w:cs="宋体"/>
                <w:color w:val="auto"/>
                <w:highlight w:val="none"/>
              </w:rPr>
            </w:pPr>
          </w:p>
        </w:tc>
        <w:tc>
          <w:tcPr>
            <w:tcW w:w="1355" w:type="dxa"/>
          </w:tcPr>
          <w:p w14:paraId="5301BB46">
            <w:pPr>
              <w:kinsoku/>
              <w:rPr>
                <w:rFonts w:ascii="宋体" w:hAnsi="宋体" w:eastAsia="宋体" w:cs="宋体"/>
                <w:color w:val="auto"/>
                <w:highlight w:val="none"/>
              </w:rPr>
            </w:pPr>
          </w:p>
        </w:tc>
        <w:tc>
          <w:tcPr>
            <w:tcW w:w="1809" w:type="dxa"/>
          </w:tcPr>
          <w:p w14:paraId="3E77CA54">
            <w:pPr>
              <w:kinsoku/>
              <w:rPr>
                <w:rFonts w:ascii="宋体" w:hAnsi="宋体" w:eastAsia="宋体" w:cs="宋体"/>
                <w:color w:val="auto"/>
                <w:highlight w:val="none"/>
              </w:rPr>
            </w:pPr>
          </w:p>
        </w:tc>
        <w:tc>
          <w:tcPr>
            <w:tcW w:w="1274" w:type="dxa"/>
          </w:tcPr>
          <w:p w14:paraId="7B9A1AD6">
            <w:pPr>
              <w:kinsoku/>
              <w:rPr>
                <w:rFonts w:ascii="宋体" w:hAnsi="宋体" w:eastAsia="宋体" w:cs="宋体"/>
                <w:color w:val="auto"/>
                <w:highlight w:val="none"/>
              </w:rPr>
            </w:pPr>
          </w:p>
        </w:tc>
        <w:tc>
          <w:tcPr>
            <w:tcW w:w="1564" w:type="dxa"/>
          </w:tcPr>
          <w:p w14:paraId="19A718F1">
            <w:pPr>
              <w:kinsoku/>
              <w:rPr>
                <w:rFonts w:ascii="宋体" w:hAnsi="宋体" w:eastAsia="宋体" w:cs="宋体"/>
                <w:color w:val="auto"/>
                <w:highlight w:val="none"/>
              </w:rPr>
            </w:pPr>
          </w:p>
        </w:tc>
      </w:tr>
      <w:tr w14:paraId="6CFC18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700" w:type="dxa"/>
          </w:tcPr>
          <w:p w14:paraId="1CC6E18D">
            <w:pPr>
              <w:kinsoku/>
              <w:rPr>
                <w:rFonts w:ascii="宋体" w:hAnsi="宋体" w:eastAsia="宋体" w:cs="宋体"/>
                <w:color w:val="auto"/>
                <w:highlight w:val="none"/>
              </w:rPr>
            </w:pPr>
          </w:p>
        </w:tc>
        <w:tc>
          <w:tcPr>
            <w:tcW w:w="1413" w:type="dxa"/>
          </w:tcPr>
          <w:p w14:paraId="1284CE2C">
            <w:pPr>
              <w:kinsoku/>
              <w:rPr>
                <w:rFonts w:ascii="宋体" w:hAnsi="宋体" w:eastAsia="宋体" w:cs="宋体"/>
                <w:color w:val="auto"/>
                <w:highlight w:val="none"/>
              </w:rPr>
            </w:pPr>
          </w:p>
        </w:tc>
        <w:tc>
          <w:tcPr>
            <w:tcW w:w="1071" w:type="dxa"/>
          </w:tcPr>
          <w:p w14:paraId="35C065D0">
            <w:pPr>
              <w:kinsoku/>
              <w:rPr>
                <w:rFonts w:ascii="宋体" w:hAnsi="宋体" w:eastAsia="宋体" w:cs="宋体"/>
                <w:color w:val="auto"/>
                <w:highlight w:val="none"/>
              </w:rPr>
            </w:pPr>
          </w:p>
        </w:tc>
        <w:tc>
          <w:tcPr>
            <w:tcW w:w="1355" w:type="dxa"/>
          </w:tcPr>
          <w:p w14:paraId="5D8B2643">
            <w:pPr>
              <w:kinsoku/>
              <w:rPr>
                <w:rFonts w:ascii="宋体" w:hAnsi="宋体" w:eastAsia="宋体" w:cs="宋体"/>
                <w:color w:val="auto"/>
                <w:highlight w:val="none"/>
              </w:rPr>
            </w:pPr>
          </w:p>
        </w:tc>
        <w:tc>
          <w:tcPr>
            <w:tcW w:w="1809" w:type="dxa"/>
          </w:tcPr>
          <w:p w14:paraId="2497B840">
            <w:pPr>
              <w:kinsoku/>
              <w:rPr>
                <w:rFonts w:ascii="宋体" w:hAnsi="宋体" w:eastAsia="宋体" w:cs="宋体"/>
                <w:color w:val="auto"/>
                <w:highlight w:val="none"/>
              </w:rPr>
            </w:pPr>
          </w:p>
        </w:tc>
        <w:tc>
          <w:tcPr>
            <w:tcW w:w="1274" w:type="dxa"/>
          </w:tcPr>
          <w:p w14:paraId="13AE5BB8">
            <w:pPr>
              <w:kinsoku/>
              <w:rPr>
                <w:rFonts w:ascii="宋体" w:hAnsi="宋体" w:eastAsia="宋体" w:cs="宋体"/>
                <w:color w:val="auto"/>
                <w:highlight w:val="none"/>
              </w:rPr>
            </w:pPr>
          </w:p>
        </w:tc>
        <w:tc>
          <w:tcPr>
            <w:tcW w:w="1564" w:type="dxa"/>
          </w:tcPr>
          <w:p w14:paraId="7F369CE0">
            <w:pPr>
              <w:kinsoku/>
              <w:rPr>
                <w:rFonts w:ascii="宋体" w:hAnsi="宋体" w:eastAsia="宋体" w:cs="宋体"/>
                <w:color w:val="auto"/>
                <w:highlight w:val="none"/>
              </w:rPr>
            </w:pPr>
          </w:p>
        </w:tc>
      </w:tr>
      <w:tr w14:paraId="19C4C0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2B020068">
            <w:pPr>
              <w:kinsoku/>
              <w:rPr>
                <w:rFonts w:ascii="宋体" w:hAnsi="宋体" w:eastAsia="宋体" w:cs="宋体"/>
                <w:color w:val="auto"/>
                <w:highlight w:val="none"/>
              </w:rPr>
            </w:pPr>
          </w:p>
        </w:tc>
        <w:tc>
          <w:tcPr>
            <w:tcW w:w="1413" w:type="dxa"/>
          </w:tcPr>
          <w:p w14:paraId="272F4205">
            <w:pPr>
              <w:kinsoku/>
              <w:rPr>
                <w:rFonts w:ascii="宋体" w:hAnsi="宋体" w:eastAsia="宋体" w:cs="宋体"/>
                <w:color w:val="auto"/>
                <w:highlight w:val="none"/>
              </w:rPr>
            </w:pPr>
          </w:p>
        </w:tc>
        <w:tc>
          <w:tcPr>
            <w:tcW w:w="1071" w:type="dxa"/>
          </w:tcPr>
          <w:p w14:paraId="2BC0A639">
            <w:pPr>
              <w:kinsoku/>
              <w:rPr>
                <w:rFonts w:ascii="宋体" w:hAnsi="宋体" w:eastAsia="宋体" w:cs="宋体"/>
                <w:color w:val="auto"/>
                <w:highlight w:val="none"/>
              </w:rPr>
            </w:pPr>
          </w:p>
        </w:tc>
        <w:tc>
          <w:tcPr>
            <w:tcW w:w="1355" w:type="dxa"/>
          </w:tcPr>
          <w:p w14:paraId="53D47633">
            <w:pPr>
              <w:kinsoku/>
              <w:rPr>
                <w:rFonts w:ascii="宋体" w:hAnsi="宋体" w:eastAsia="宋体" w:cs="宋体"/>
                <w:color w:val="auto"/>
                <w:highlight w:val="none"/>
              </w:rPr>
            </w:pPr>
          </w:p>
        </w:tc>
        <w:tc>
          <w:tcPr>
            <w:tcW w:w="1809" w:type="dxa"/>
          </w:tcPr>
          <w:p w14:paraId="65A72AE6">
            <w:pPr>
              <w:kinsoku/>
              <w:rPr>
                <w:rFonts w:ascii="宋体" w:hAnsi="宋体" w:eastAsia="宋体" w:cs="宋体"/>
                <w:color w:val="auto"/>
                <w:highlight w:val="none"/>
              </w:rPr>
            </w:pPr>
          </w:p>
        </w:tc>
        <w:tc>
          <w:tcPr>
            <w:tcW w:w="1274" w:type="dxa"/>
          </w:tcPr>
          <w:p w14:paraId="0EAF9EF9">
            <w:pPr>
              <w:kinsoku/>
              <w:rPr>
                <w:rFonts w:ascii="宋体" w:hAnsi="宋体" w:eastAsia="宋体" w:cs="宋体"/>
                <w:color w:val="auto"/>
                <w:highlight w:val="none"/>
              </w:rPr>
            </w:pPr>
          </w:p>
        </w:tc>
        <w:tc>
          <w:tcPr>
            <w:tcW w:w="1564" w:type="dxa"/>
          </w:tcPr>
          <w:p w14:paraId="192535EE">
            <w:pPr>
              <w:kinsoku/>
              <w:rPr>
                <w:rFonts w:ascii="宋体" w:hAnsi="宋体" w:eastAsia="宋体" w:cs="宋体"/>
                <w:color w:val="auto"/>
                <w:highlight w:val="none"/>
              </w:rPr>
            </w:pPr>
          </w:p>
        </w:tc>
      </w:tr>
      <w:tr w14:paraId="2A7AA7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00" w:type="dxa"/>
          </w:tcPr>
          <w:p w14:paraId="6D1BFD6E">
            <w:pPr>
              <w:kinsoku/>
              <w:rPr>
                <w:rFonts w:ascii="宋体" w:hAnsi="宋体" w:eastAsia="宋体" w:cs="宋体"/>
                <w:color w:val="auto"/>
                <w:highlight w:val="none"/>
              </w:rPr>
            </w:pPr>
          </w:p>
        </w:tc>
        <w:tc>
          <w:tcPr>
            <w:tcW w:w="1413" w:type="dxa"/>
          </w:tcPr>
          <w:p w14:paraId="1DAAEE19">
            <w:pPr>
              <w:kinsoku/>
              <w:rPr>
                <w:rFonts w:ascii="宋体" w:hAnsi="宋体" w:eastAsia="宋体" w:cs="宋体"/>
                <w:color w:val="auto"/>
                <w:highlight w:val="none"/>
              </w:rPr>
            </w:pPr>
          </w:p>
        </w:tc>
        <w:tc>
          <w:tcPr>
            <w:tcW w:w="1071" w:type="dxa"/>
          </w:tcPr>
          <w:p w14:paraId="5F34B47C">
            <w:pPr>
              <w:kinsoku/>
              <w:rPr>
                <w:rFonts w:ascii="宋体" w:hAnsi="宋体" w:eastAsia="宋体" w:cs="宋体"/>
                <w:color w:val="auto"/>
                <w:highlight w:val="none"/>
              </w:rPr>
            </w:pPr>
          </w:p>
        </w:tc>
        <w:tc>
          <w:tcPr>
            <w:tcW w:w="1355" w:type="dxa"/>
          </w:tcPr>
          <w:p w14:paraId="3495891E">
            <w:pPr>
              <w:kinsoku/>
              <w:rPr>
                <w:rFonts w:ascii="宋体" w:hAnsi="宋体" w:eastAsia="宋体" w:cs="宋体"/>
                <w:color w:val="auto"/>
                <w:highlight w:val="none"/>
              </w:rPr>
            </w:pPr>
          </w:p>
        </w:tc>
        <w:tc>
          <w:tcPr>
            <w:tcW w:w="1809" w:type="dxa"/>
          </w:tcPr>
          <w:p w14:paraId="267157DC">
            <w:pPr>
              <w:kinsoku/>
              <w:rPr>
                <w:rFonts w:ascii="宋体" w:hAnsi="宋体" w:eastAsia="宋体" w:cs="宋体"/>
                <w:color w:val="auto"/>
                <w:highlight w:val="none"/>
              </w:rPr>
            </w:pPr>
          </w:p>
        </w:tc>
        <w:tc>
          <w:tcPr>
            <w:tcW w:w="1274" w:type="dxa"/>
          </w:tcPr>
          <w:p w14:paraId="40ABF812">
            <w:pPr>
              <w:kinsoku/>
              <w:rPr>
                <w:rFonts w:ascii="宋体" w:hAnsi="宋体" w:eastAsia="宋体" w:cs="宋体"/>
                <w:color w:val="auto"/>
                <w:highlight w:val="none"/>
              </w:rPr>
            </w:pPr>
          </w:p>
        </w:tc>
        <w:tc>
          <w:tcPr>
            <w:tcW w:w="1564" w:type="dxa"/>
          </w:tcPr>
          <w:p w14:paraId="3AA71B60">
            <w:pPr>
              <w:kinsoku/>
              <w:rPr>
                <w:rFonts w:ascii="宋体" w:hAnsi="宋体" w:eastAsia="宋体" w:cs="宋体"/>
                <w:color w:val="auto"/>
                <w:highlight w:val="none"/>
              </w:rPr>
            </w:pPr>
          </w:p>
        </w:tc>
      </w:tr>
      <w:tr w14:paraId="089B1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62520BB0">
            <w:pPr>
              <w:kinsoku/>
              <w:rPr>
                <w:rFonts w:ascii="宋体" w:hAnsi="宋体" w:eastAsia="宋体" w:cs="宋体"/>
                <w:color w:val="auto"/>
                <w:highlight w:val="none"/>
              </w:rPr>
            </w:pPr>
          </w:p>
        </w:tc>
        <w:tc>
          <w:tcPr>
            <w:tcW w:w="1413" w:type="dxa"/>
          </w:tcPr>
          <w:p w14:paraId="27157240">
            <w:pPr>
              <w:kinsoku/>
              <w:rPr>
                <w:rFonts w:ascii="宋体" w:hAnsi="宋体" w:eastAsia="宋体" w:cs="宋体"/>
                <w:color w:val="auto"/>
                <w:highlight w:val="none"/>
              </w:rPr>
            </w:pPr>
          </w:p>
        </w:tc>
        <w:tc>
          <w:tcPr>
            <w:tcW w:w="1071" w:type="dxa"/>
          </w:tcPr>
          <w:p w14:paraId="2AF3626C">
            <w:pPr>
              <w:kinsoku/>
              <w:rPr>
                <w:rFonts w:ascii="宋体" w:hAnsi="宋体" w:eastAsia="宋体" w:cs="宋体"/>
                <w:color w:val="auto"/>
                <w:highlight w:val="none"/>
              </w:rPr>
            </w:pPr>
          </w:p>
        </w:tc>
        <w:tc>
          <w:tcPr>
            <w:tcW w:w="1355" w:type="dxa"/>
          </w:tcPr>
          <w:p w14:paraId="384BD5E5">
            <w:pPr>
              <w:kinsoku/>
              <w:rPr>
                <w:rFonts w:ascii="宋体" w:hAnsi="宋体" w:eastAsia="宋体" w:cs="宋体"/>
                <w:color w:val="auto"/>
                <w:highlight w:val="none"/>
              </w:rPr>
            </w:pPr>
          </w:p>
        </w:tc>
        <w:tc>
          <w:tcPr>
            <w:tcW w:w="1809" w:type="dxa"/>
          </w:tcPr>
          <w:p w14:paraId="1B88E94A">
            <w:pPr>
              <w:kinsoku/>
              <w:rPr>
                <w:rFonts w:ascii="宋体" w:hAnsi="宋体" w:eastAsia="宋体" w:cs="宋体"/>
                <w:color w:val="auto"/>
                <w:highlight w:val="none"/>
              </w:rPr>
            </w:pPr>
          </w:p>
        </w:tc>
        <w:tc>
          <w:tcPr>
            <w:tcW w:w="1274" w:type="dxa"/>
          </w:tcPr>
          <w:p w14:paraId="43B8DEEF">
            <w:pPr>
              <w:kinsoku/>
              <w:rPr>
                <w:rFonts w:ascii="宋体" w:hAnsi="宋体" w:eastAsia="宋体" w:cs="宋体"/>
                <w:color w:val="auto"/>
                <w:highlight w:val="none"/>
              </w:rPr>
            </w:pPr>
          </w:p>
        </w:tc>
        <w:tc>
          <w:tcPr>
            <w:tcW w:w="1564" w:type="dxa"/>
          </w:tcPr>
          <w:p w14:paraId="2ABFD13E">
            <w:pPr>
              <w:kinsoku/>
              <w:rPr>
                <w:rFonts w:ascii="宋体" w:hAnsi="宋体" w:eastAsia="宋体" w:cs="宋体"/>
                <w:color w:val="auto"/>
                <w:highlight w:val="none"/>
              </w:rPr>
            </w:pPr>
          </w:p>
        </w:tc>
      </w:tr>
      <w:tr w14:paraId="3474BB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3" w:hRule="atLeast"/>
        </w:trPr>
        <w:tc>
          <w:tcPr>
            <w:tcW w:w="700" w:type="dxa"/>
          </w:tcPr>
          <w:p w14:paraId="6649A95E">
            <w:pPr>
              <w:kinsoku/>
              <w:rPr>
                <w:rFonts w:ascii="宋体" w:hAnsi="宋体" w:eastAsia="宋体" w:cs="宋体"/>
                <w:color w:val="auto"/>
                <w:highlight w:val="none"/>
              </w:rPr>
            </w:pPr>
          </w:p>
        </w:tc>
        <w:tc>
          <w:tcPr>
            <w:tcW w:w="1413" w:type="dxa"/>
          </w:tcPr>
          <w:p w14:paraId="7791147F">
            <w:pPr>
              <w:kinsoku/>
              <w:rPr>
                <w:rFonts w:ascii="宋体" w:hAnsi="宋体" w:eastAsia="宋体" w:cs="宋体"/>
                <w:color w:val="auto"/>
                <w:highlight w:val="none"/>
              </w:rPr>
            </w:pPr>
          </w:p>
        </w:tc>
        <w:tc>
          <w:tcPr>
            <w:tcW w:w="1071" w:type="dxa"/>
          </w:tcPr>
          <w:p w14:paraId="1D0D8639">
            <w:pPr>
              <w:kinsoku/>
              <w:rPr>
                <w:rFonts w:ascii="宋体" w:hAnsi="宋体" w:eastAsia="宋体" w:cs="宋体"/>
                <w:color w:val="auto"/>
                <w:highlight w:val="none"/>
              </w:rPr>
            </w:pPr>
          </w:p>
        </w:tc>
        <w:tc>
          <w:tcPr>
            <w:tcW w:w="1355" w:type="dxa"/>
          </w:tcPr>
          <w:p w14:paraId="1DD05BEA">
            <w:pPr>
              <w:kinsoku/>
              <w:rPr>
                <w:rFonts w:ascii="宋体" w:hAnsi="宋体" w:eastAsia="宋体" w:cs="宋体"/>
                <w:color w:val="auto"/>
                <w:highlight w:val="none"/>
              </w:rPr>
            </w:pPr>
          </w:p>
        </w:tc>
        <w:tc>
          <w:tcPr>
            <w:tcW w:w="1809" w:type="dxa"/>
          </w:tcPr>
          <w:p w14:paraId="2DA968F0">
            <w:pPr>
              <w:kinsoku/>
              <w:rPr>
                <w:rFonts w:ascii="宋体" w:hAnsi="宋体" w:eastAsia="宋体" w:cs="宋体"/>
                <w:color w:val="auto"/>
                <w:highlight w:val="none"/>
              </w:rPr>
            </w:pPr>
          </w:p>
        </w:tc>
        <w:tc>
          <w:tcPr>
            <w:tcW w:w="1274" w:type="dxa"/>
          </w:tcPr>
          <w:p w14:paraId="213070B9">
            <w:pPr>
              <w:kinsoku/>
              <w:rPr>
                <w:rFonts w:ascii="宋体" w:hAnsi="宋体" w:eastAsia="宋体" w:cs="宋体"/>
                <w:color w:val="auto"/>
                <w:highlight w:val="none"/>
              </w:rPr>
            </w:pPr>
          </w:p>
        </w:tc>
        <w:tc>
          <w:tcPr>
            <w:tcW w:w="1564" w:type="dxa"/>
          </w:tcPr>
          <w:p w14:paraId="1F0918F8">
            <w:pPr>
              <w:kinsoku/>
              <w:rPr>
                <w:rFonts w:ascii="宋体" w:hAnsi="宋体" w:eastAsia="宋体" w:cs="宋体"/>
                <w:color w:val="auto"/>
                <w:highlight w:val="none"/>
              </w:rPr>
            </w:pPr>
          </w:p>
        </w:tc>
      </w:tr>
      <w:tr w14:paraId="44C031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1C622C01">
            <w:pPr>
              <w:kinsoku/>
              <w:rPr>
                <w:rFonts w:ascii="宋体" w:hAnsi="宋体" w:eastAsia="宋体" w:cs="宋体"/>
                <w:color w:val="auto"/>
                <w:highlight w:val="none"/>
              </w:rPr>
            </w:pPr>
          </w:p>
        </w:tc>
        <w:tc>
          <w:tcPr>
            <w:tcW w:w="1413" w:type="dxa"/>
          </w:tcPr>
          <w:p w14:paraId="7EA8FC87">
            <w:pPr>
              <w:kinsoku/>
              <w:rPr>
                <w:rFonts w:ascii="宋体" w:hAnsi="宋体" w:eastAsia="宋体" w:cs="宋体"/>
                <w:color w:val="auto"/>
                <w:highlight w:val="none"/>
              </w:rPr>
            </w:pPr>
          </w:p>
        </w:tc>
        <w:tc>
          <w:tcPr>
            <w:tcW w:w="1071" w:type="dxa"/>
          </w:tcPr>
          <w:p w14:paraId="343C8100">
            <w:pPr>
              <w:kinsoku/>
              <w:rPr>
                <w:rFonts w:ascii="宋体" w:hAnsi="宋体" w:eastAsia="宋体" w:cs="宋体"/>
                <w:color w:val="auto"/>
                <w:highlight w:val="none"/>
              </w:rPr>
            </w:pPr>
          </w:p>
        </w:tc>
        <w:tc>
          <w:tcPr>
            <w:tcW w:w="1355" w:type="dxa"/>
          </w:tcPr>
          <w:p w14:paraId="526F4391">
            <w:pPr>
              <w:kinsoku/>
              <w:rPr>
                <w:rFonts w:ascii="宋体" w:hAnsi="宋体" w:eastAsia="宋体" w:cs="宋体"/>
                <w:color w:val="auto"/>
                <w:highlight w:val="none"/>
              </w:rPr>
            </w:pPr>
          </w:p>
        </w:tc>
        <w:tc>
          <w:tcPr>
            <w:tcW w:w="1809" w:type="dxa"/>
          </w:tcPr>
          <w:p w14:paraId="45B9F7A3">
            <w:pPr>
              <w:kinsoku/>
              <w:rPr>
                <w:rFonts w:ascii="宋体" w:hAnsi="宋体" w:eastAsia="宋体" w:cs="宋体"/>
                <w:color w:val="auto"/>
                <w:highlight w:val="none"/>
              </w:rPr>
            </w:pPr>
          </w:p>
        </w:tc>
        <w:tc>
          <w:tcPr>
            <w:tcW w:w="1274" w:type="dxa"/>
          </w:tcPr>
          <w:p w14:paraId="5242E465">
            <w:pPr>
              <w:kinsoku/>
              <w:rPr>
                <w:rFonts w:ascii="宋体" w:hAnsi="宋体" w:eastAsia="宋体" w:cs="宋体"/>
                <w:color w:val="auto"/>
                <w:highlight w:val="none"/>
              </w:rPr>
            </w:pPr>
          </w:p>
        </w:tc>
        <w:tc>
          <w:tcPr>
            <w:tcW w:w="1564" w:type="dxa"/>
          </w:tcPr>
          <w:p w14:paraId="7D083B1C">
            <w:pPr>
              <w:kinsoku/>
              <w:rPr>
                <w:rFonts w:ascii="宋体" w:hAnsi="宋体" w:eastAsia="宋体" w:cs="宋体"/>
                <w:color w:val="auto"/>
                <w:highlight w:val="none"/>
              </w:rPr>
            </w:pPr>
          </w:p>
        </w:tc>
      </w:tr>
      <w:tr w14:paraId="7CA562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00" w:type="dxa"/>
          </w:tcPr>
          <w:p w14:paraId="52D252C7">
            <w:pPr>
              <w:kinsoku/>
              <w:rPr>
                <w:rFonts w:ascii="宋体" w:hAnsi="宋体" w:eastAsia="宋体" w:cs="宋体"/>
                <w:color w:val="auto"/>
                <w:highlight w:val="none"/>
              </w:rPr>
            </w:pPr>
          </w:p>
        </w:tc>
        <w:tc>
          <w:tcPr>
            <w:tcW w:w="1413" w:type="dxa"/>
          </w:tcPr>
          <w:p w14:paraId="288F4127">
            <w:pPr>
              <w:kinsoku/>
              <w:rPr>
                <w:rFonts w:ascii="宋体" w:hAnsi="宋体" w:eastAsia="宋体" w:cs="宋体"/>
                <w:color w:val="auto"/>
                <w:highlight w:val="none"/>
              </w:rPr>
            </w:pPr>
          </w:p>
        </w:tc>
        <w:tc>
          <w:tcPr>
            <w:tcW w:w="1071" w:type="dxa"/>
          </w:tcPr>
          <w:p w14:paraId="34EF2712">
            <w:pPr>
              <w:kinsoku/>
              <w:rPr>
                <w:rFonts w:ascii="宋体" w:hAnsi="宋体" w:eastAsia="宋体" w:cs="宋体"/>
                <w:color w:val="auto"/>
                <w:highlight w:val="none"/>
              </w:rPr>
            </w:pPr>
          </w:p>
        </w:tc>
        <w:tc>
          <w:tcPr>
            <w:tcW w:w="1355" w:type="dxa"/>
          </w:tcPr>
          <w:p w14:paraId="192F6D51">
            <w:pPr>
              <w:kinsoku/>
              <w:rPr>
                <w:rFonts w:ascii="宋体" w:hAnsi="宋体" w:eastAsia="宋体" w:cs="宋体"/>
                <w:color w:val="auto"/>
                <w:highlight w:val="none"/>
              </w:rPr>
            </w:pPr>
          </w:p>
        </w:tc>
        <w:tc>
          <w:tcPr>
            <w:tcW w:w="1809" w:type="dxa"/>
          </w:tcPr>
          <w:p w14:paraId="0A7E5C3C">
            <w:pPr>
              <w:kinsoku/>
              <w:rPr>
                <w:rFonts w:ascii="宋体" w:hAnsi="宋体" w:eastAsia="宋体" w:cs="宋体"/>
                <w:color w:val="auto"/>
                <w:highlight w:val="none"/>
              </w:rPr>
            </w:pPr>
          </w:p>
        </w:tc>
        <w:tc>
          <w:tcPr>
            <w:tcW w:w="1274" w:type="dxa"/>
          </w:tcPr>
          <w:p w14:paraId="0B832F90">
            <w:pPr>
              <w:kinsoku/>
              <w:rPr>
                <w:rFonts w:ascii="宋体" w:hAnsi="宋体" w:eastAsia="宋体" w:cs="宋体"/>
                <w:color w:val="auto"/>
                <w:highlight w:val="none"/>
              </w:rPr>
            </w:pPr>
          </w:p>
        </w:tc>
        <w:tc>
          <w:tcPr>
            <w:tcW w:w="1564" w:type="dxa"/>
          </w:tcPr>
          <w:p w14:paraId="2CEA1DBF">
            <w:pPr>
              <w:kinsoku/>
              <w:rPr>
                <w:rFonts w:ascii="宋体" w:hAnsi="宋体" w:eastAsia="宋体" w:cs="宋体"/>
                <w:color w:val="auto"/>
                <w:highlight w:val="none"/>
              </w:rPr>
            </w:pPr>
          </w:p>
        </w:tc>
      </w:tr>
      <w:tr w14:paraId="208EC4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2CAF7C34">
            <w:pPr>
              <w:kinsoku/>
              <w:rPr>
                <w:rFonts w:ascii="宋体" w:hAnsi="宋体" w:eastAsia="宋体" w:cs="宋体"/>
                <w:color w:val="auto"/>
                <w:highlight w:val="none"/>
              </w:rPr>
            </w:pPr>
          </w:p>
        </w:tc>
        <w:tc>
          <w:tcPr>
            <w:tcW w:w="1413" w:type="dxa"/>
          </w:tcPr>
          <w:p w14:paraId="7C8E5F2C">
            <w:pPr>
              <w:kinsoku/>
              <w:rPr>
                <w:rFonts w:ascii="宋体" w:hAnsi="宋体" w:eastAsia="宋体" w:cs="宋体"/>
                <w:color w:val="auto"/>
                <w:highlight w:val="none"/>
              </w:rPr>
            </w:pPr>
          </w:p>
        </w:tc>
        <w:tc>
          <w:tcPr>
            <w:tcW w:w="1071" w:type="dxa"/>
          </w:tcPr>
          <w:p w14:paraId="5C4C78E4">
            <w:pPr>
              <w:kinsoku/>
              <w:rPr>
                <w:rFonts w:ascii="宋体" w:hAnsi="宋体" w:eastAsia="宋体" w:cs="宋体"/>
                <w:color w:val="auto"/>
                <w:highlight w:val="none"/>
              </w:rPr>
            </w:pPr>
          </w:p>
        </w:tc>
        <w:tc>
          <w:tcPr>
            <w:tcW w:w="1355" w:type="dxa"/>
          </w:tcPr>
          <w:p w14:paraId="3354BC11">
            <w:pPr>
              <w:kinsoku/>
              <w:rPr>
                <w:rFonts w:ascii="宋体" w:hAnsi="宋体" w:eastAsia="宋体" w:cs="宋体"/>
                <w:color w:val="auto"/>
                <w:highlight w:val="none"/>
              </w:rPr>
            </w:pPr>
          </w:p>
        </w:tc>
        <w:tc>
          <w:tcPr>
            <w:tcW w:w="1809" w:type="dxa"/>
          </w:tcPr>
          <w:p w14:paraId="616D0481">
            <w:pPr>
              <w:kinsoku/>
              <w:rPr>
                <w:rFonts w:ascii="宋体" w:hAnsi="宋体" w:eastAsia="宋体" w:cs="宋体"/>
                <w:color w:val="auto"/>
                <w:highlight w:val="none"/>
              </w:rPr>
            </w:pPr>
          </w:p>
        </w:tc>
        <w:tc>
          <w:tcPr>
            <w:tcW w:w="1274" w:type="dxa"/>
          </w:tcPr>
          <w:p w14:paraId="76BE05D2">
            <w:pPr>
              <w:kinsoku/>
              <w:rPr>
                <w:rFonts w:ascii="宋体" w:hAnsi="宋体" w:eastAsia="宋体" w:cs="宋体"/>
                <w:color w:val="auto"/>
                <w:highlight w:val="none"/>
              </w:rPr>
            </w:pPr>
          </w:p>
        </w:tc>
        <w:tc>
          <w:tcPr>
            <w:tcW w:w="1564" w:type="dxa"/>
          </w:tcPr>
          <w:p w14:paraId="6CEE35AF">
            <w:pPr>
              <w:kinsoku/>
              <w:rPr>
                <w:rFonts w:ascii="宋体" w:hAnsi="宋体" w:eastAsia="宋体" w:cs="宋体"/>
                <w:color w:val="auto"/>
                <w:highlight w:val="none"/>
              </w:rPr>
            </w:pPr>
          </w:p>
        </w:tc>
      </w:tr>
      <w:tr w14:paraId="353FFB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00" w:type="dxa"/>
          </w:tcPr>
          <w:p w14:paraId="5ECED966">
            <w:pPr>
              <w:kinsoku/>
              <w:rPr>
                <w:rFonts w:ascii="宋体" w:hAnsi="宋体" w:eastAsia="宋体" w:cs="宋体"/>
                <w:color w:val="auto"/>
                <w:highlight w:val="none"/>
              </w:rPr>
            </w:pPr>
          </w:p>
        </w:tc>
        <w:tc>
          <w:tcPr>
            <w:tcW w:w="1413" w:type="dxa"/>
          </w:tcPr>
          <w:p w14:paraId="0480A394">
            <w:pPr>
              <w:kinsoku/>
              <w:rPr>
                <w:rFonts w:ascii="宋体" w:hAnsi="宋体" w:eastAsia="宋体" w:cs="宋体"/>
                <w:color w:val="auto"/>
                <w:highlight w:val="none"/>
              </w:rPr>
            </w:pPr>
          </w:p>
        </w:tc>
        <w:tc>
          <w:tcPr>
            <w:tcW w:w="1071" w:type="dxa"/>
          </w:tcPr>
          <w:p w14:paraId="47BADA2A">
            <w:pPr>
              <w:kinsoku/>
              <w:rPr>
                <w:rFonts w:ascii="宋体" w:hAnsi="宋体" w:eastAsia="宋体" w:cs="宋体"/>
                <w:color w:val="auto"/>
                <w:highlight w:val="none"/>
              </w:rPr>
            </w:pPr>
          </w:p>
        </w:tc>
        <w:tc>
          <w:tcPr>
            <w:tcW w:w="1355" w:type="dxa"/>
          </w:tcPr>
          <w:p w14:paraId="6B67898F">
            <w:pPr>
              <w:kinsoku/>
              <w:rPr>
                <w:rFonts w:ascii="宋体" w:hAnsi="宋体" w:eastAsia="宋体" w:cs="宋体"/>
                <w:color w:val="auto"/>
                <w:highlight w:val="none"/>
              </w:rPr>
            </w:pPr>
          </w:p>
        </w:tc>
        <w:tc>
          <w:tcPr>
            <w:tcW w:w="1809" w:type="dxa"/>
          </w:tcPr>
          <w:p w14:paraId="57C49890">
            <w:pPr>
              <w:kinsoku/>
              <w:rPr>
                <w:rFonts w:ascii="宋体" w:hAnsi="宋体" w:eastAsia="宋体" w:cs="宋体"/>
                <w:color w:val="auto"/>
                <w:highlight w:val="none"/>
              </w:rPr>
            </w:pPr>
          </w:p>
        </w:tc>
        <w:tc>
          <w:tcPr>
            <w:tcW w:w="1274" w:type="dxa"/>
          </w:tcPr>
          <w:p w14:paraId="6454D4FA">
            <w:pPr>
              <w:kinsoku/>
              <w:rPr>
                <w:rFonts w:ascii="宋体" w:hAnsi="宋体" w:eastAsia="宋体" w:cs="宋体"/>
                <w:color w:val="auto"/>
                <w:highlight w:val="none"/>
              </w:rPr>
            </w:pPr>
          </w:p>
        </w:tc>
        <w:tc>
          <w:tcPr>
            <w:tcW w:w="1564" w:type="dxa"/>
          </w:tcPr>
          <w:p w14:paraId="2873D218">
            <w:pPr>
              <w:kinsoku/>
              <w:rPr>
                <w:rFonts w:ascii="宋体" w:hAnsi="宋体" w:eastAsia="宋体" w:cs="宋体"/>
                <w:color w:val="auto"/>
                <w:highlight w:val="none"/>
              </w:rPr>
            </w:pPr>
          </w:p>
        </w:tc>
      </w:tr>
      <w:tr w14:paraId="29BAC1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0" w:type="dxa"/>
          </w:tcPr>
          <w:p w14:paraId="54DC7694">
            <w:pPr>
              <w:kinsoku/>
              <w:rPr>
                <w:rFonts w:ascii="宋体" w:hAnsi="宋体" w:eastAsia="宋体" w:cs="宋体"/>
                <w:color w:val="auto"/>
                <w:highlight w:val="none"/>
              </w:rPr>
            </w:pPr>
          </w:p>
        </w:tc>
        <w:tc>
          <w:tcPr>
            <w:tcW w:w="1413" w:type="dxa"/>
          </w:tcPr>
          <w:p w14:paraId="01718609">
            <w:pPr>
              <w:kinsoku/>
              <w:rPr>
                <w:rFonts w:ascii="宋体" w:hAnsi="宋体" w:eastAsia="宋体" w:cs="宋体"/>
                <w:color w:val="auto"/>
                <w:highlight w:val="none"/>
              </w:rPr>
            </w:pPr>
          </w:p>
        </w:tc>
        <w:tc>
          <w:tcPr>
            <w:tcW w:w="1071" w:type="dxa"/>
          </w:tcPr>
          <w:p w14:paraId="502A952F">
            <w:pPr>
              <w:kinsoku/>
              <w:rPr>
                <w:rFonts w:ascii="宋体" w:hAnsi="宋体" w:eastAsia="宋体" w:cs="宋体"/>
                <w:color w:val="auto"/>
                <w:highlight w:val="none"/>
              </w:rPr>
            </w:pPr>
          </w:p>
        </w:tc>
        <w:tc>
          <w:tcPr>
            <w:tcW w:w="1355" w:type="dxa"/>
          </w:tcPr>
          <w:p w14:paraId="431D1F47">
            <w:pPr>
              <w:kinsoku/>
              <w:rPr>
                <w:rFonts w:ascii="宋体" w:hAnsi="宋体" w:eastAsia="宋体" w:cs="宋体"/>
                <w:color w:val="auto"/>
                <w:highlight w:val="none"/>
              </w:rPr>
            </w:pPr>
          </w:p>
        </w:tc>
        <w:tc>
          <w:tcPr>
            <w:tcW w:w="1809" w:type="dxa"/>
          </w:tcPr>
          <w:p w14:paraId="028640CD">
            <w:pPr>
              <w:kinsoku/>
              <w:rPr>
                <w:rFonts w:ascii="宋体" w:hAnsi="宋体" w:eastAsia="宋体" w:cs="宋体"/>
                <w:color w:val="auto"/>
                <w:highlight w:val="none"/>
              </w:rPr>
            </w:pPr>
          </w:p>
        </w:tc>
        <w:tc>
          <w:tcPr>
            <w:tcW w:w="1274" w:type="dxa"/>
          </w:tcPr>
          <w:p w14:paraId="213E40E1">
            <w:pPr>
              <w:kinsoku/>
              <w:rPr>
                <w:rFonts w:ascii="宋体" w:hAnsi="宋体" w:eastAsia="宋体" w:cs="宋体"/>
                <w:color w:val="auto"/>
                <w:highlight w:val="none"/>
              </w:rPr>
            </w:pPr>
          </w:p>
        </w:tc>
        <w:tc>
          <w:tcPr>
            <w:tcW w:w="1564" w:type="dxa"/>
          </w:tcPr>
          <w:p w14:paraId="5DA041B9">
            <w:pPr>
              <w:kinsoku/>
              <w:rPr>
                <w:rFonts w:ascii="宋体" w:hAnsi="宋体" w:eastAsia="宋体" w:cs="宋体"/>
                <w:color w:val="auto"/>
                <w:highlight w:val="none"/>
              </w:rPr>
            </w:pPr>
          </w:p>
        </w:tc>
      </w:tr>
      <w:tr w14:paraId="52A686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00" w:type="dxa"/>
          </w:tcPr>
          <w:p w14:paraId="2686347F">
            <w:pPr>
              <w:kinsoku/>
              <w:rPr>
                <w:rFonts w:ascii="宋体" w:hAnsi="宋体" w:eastAsia="宋体" w:cs="宋体"/>
                <w:color w:val="auto"/>
                <w:highlight w:val="none"/>
              </w:rPr>
            </w:pPr>
          </w:p>
        </w:tc>
        <w:tc>
          <w:tcPr>
            <w:tcW w:w="1413" w:type="dxa"/>
          </w:tcPr>
          <w:p w14:paraId="2E3B3ACF">
            <w:pPr>
              <w:kinsoku/>
              <w:rPr>
                <w:rFonts w:ascii="宋体" w:hAnsi="宋体" w:eastAsia="宋体" w:cs="宋体"/>
                <w:color w:val="auto"/>
                <w:highlight w:val="none"/>
              </w:rPr>
            </w:pPr>
          </w:p>
        </w:tc>
        <w:tc>
          <w:tcPr>
            <w:tcW w:w="1071" w:type="dxa"/>
          </w:tcPr>
          <w:p w14:paraId="399D1EF1">
            <w:pPr>
              <w:kinsoku/>
              <w:rPr>
                <w:rFonts w:ascii="宋体" w:hAnsi="宋体" w:eastAsia="宋体" w:cs="宋体"/>
                <w:color w:val="auto"/>
                <w:highlight w:val="none"/>
              </w:rPr>
            </w:pPr>
          </w:p>
        </w:tc>
        <w:tc>
          <w:tcPr>
            <w:tcW w:w="1355" w:type="dxa"/>
          </w:tcPr>
          <w:p w14:paraId="10E7E0BF">
            <w:pPr>
              <w:kinsoku/>
              <w:rPr>
                <w:rFonts w:ascii="宋体" w:hAnsi="宋体" w:eastAsia="宋体" w:cs="宋体"/>
                <w:color w:val="auto"/>
                <w:highlight w:val="none"/>
              </w:rPr>
            </w:pPr>
          </w:p>
        </w:tc>
        <w:tc>
          <w:tcPr>
            <w:tcW w:w="1809" w:type="dxa"/>
          </w:tcPr>
          <w:p w14:paraId="0708E8C1">
            <w:pPr>
              <w:kinsoku/>
              <w:rPr>
                <w:rFonts w:ascii="宋体" w:hAnsi="宋体" w:eastAsia="宋体" w:cs="宋体"/>
                <w:color w:val="auto"/>
                <w:highlight w:val="none"/>
              </w:rPr>
            </w:pPr>
          </w:p>
        </w:tc>
        <w:tc>
          <w:tcPr>
            <w:tcW w:w="1274" w:type="dxa"/>
          </w:tcPr>
          <w:p w14:paraId="7EB7AB5E">
            <w:pPr>
              <w:kinsoku/>
              <w:rPr>
                <w:rFonts w:ascii="宋体" w:hAnsi="宋体" w:eastAsia="宋体" w:cs="宋体"/>
                <w:color w:val="auto"/>
                <w:highlight w:val="none"/>
              </w:rPr>
            </w:pPr>
          </w:p>
        </w:tc>
        <w:tc>
          <w:tcPr>
            <w:tcW w:w="1564" w:type="dxa"/>
          </w:tcPr>
          <w:p w14:paraId="54050DDA">
            <w:pPr>
              <w:kinsoku/>
              <w:rPr>
                <w:rFonts w:ascii="宋体" w:hAnsi="宋体" w:eastAsia="宋体" w:cs="宋体"/>
                <w:color w:val="auto"/>
                <w:highlight w:val="none"/>
              </w:rPr>
            </w:pPr>
          </w:p>
        </w:tc>
      </w:tr>
    </w:tbl>
    <w:p w14:paraId="3DF587BD">
      <w:pPr>
        <w:kinsoku/>
        <w:spacing w:line="342" w:lineRule="auto"/>
        <w:rPr>
          <w:rFonts w:ascii="宋体" w:hAnsi="宋体" w:eastAsia="宋体" w:cs="宋体"/>
          <w:color w:val="auto"/>
          <w:highlight w:val="none"/>
        </w:rPr>
      </w:pPr>
    </w:p>
    <w:p w14:paraId="65A76D0A">
      <w:pPr>
        <w:kinsoku/>
        <w:spacing w:line="342" w:lineRule="auto"/>
        <w:rPr>
          <w:rFonts w:ascii="宋体" w:hAnsi="宋体" w:eastAsia="宋体" w:cs="宋体"/>
          <w:color w:val="auto"/>
          <w:highlight w:val="none"/>
        </w:rPr>
      </w:pPr>
    </w:p>
    <w:p w14:paraId="5402F27F">
      <w:pPr>
        <w:kinsoku/>
        <w:spacing w:before="68" w:line="221" w:lineRule="auto"/>
        <w:ind w:left="121"/>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招标人代表：</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记录人：</w:t>
      </w:r>
      <w:r>
        <w:rPr>
          <w:rFonts w:hint="eastAsia" w:ascii="宋体" w:hAnsi="宋体" w:eastAsia="宋体" w:cs="宋体"/>
          <w:color w:val="auto"/>
          <w:highlight w:val="none"/>
          <w:u w:val="single"/>
          <w:lang w:eastAsia="zh-CN"/>
        </w:rPr>
        <w:t xml:space="preserve">             </w:t>
      </w:r>
    </w:p>
    <w:p w14:paraId="623DABA9">
      <w:pPr>
        <w:kinsoku/>
        <w:spacing w:line="297" w:lineRule="auto"/>
        <w:rPr>
          <w:rFonts w:ascii="宋体" w:hAnsi="宋体" w:eastAsia="宋体" w:cs="宋体"/>
          <w:color w:val="auto"/>
          <w:highlight w:val="none"/>
          <w:lang w:eastAsia="zh-CN"/>
        </w:rPr>
      </w:pPr>
    </w:p>
    <w:p w14:paraId="4758363A">
      <w:pPr>
        <w:tabs>
          <w:tab w:val="left" w:pos="6487"/>
        </w:tabs>
        <w:kinsoku/>
        <w:spacing w:before="68" w:line="221" w:lineRule="auto"/>
        <w:ind w:left="5436"/>
        <w:rPr>
          <w:rFonts w:ascii="宋体" w:hAnsi="宋体" w:eastAsia="宋体" w:cs="宋体"/>
          <w:color w:val="auto"/>
          <w:highlight w:val="none"/>
          <w:lang w:eastAsia="zh-CN"/>
        </w:rPr>
      </w:pP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 xml:space="preserve"> 年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日</w:t>
      </w:r>
    </w:p>
    <w:p w14:paraId="791B8FD8">
      <w:pPr>
        <w:kinsoku/>
        <w:spacing w:line="318" w:lineRule="auto"/>
        <w:rPr>
          <w:rFonts w:ascii="宋体" w:hAnsi="宋体" w:eastAsia="宋体" w:cs="宋体"/>
          <w:color w:val="auto"/>
          <w:highlight w:val="none"/>
          <w:lang w:eastAsia="zh-CN"/>
        </w:rPr>
      </w:pPr>
    </w:p>
    <w:p w14:paraId="65E4C800">
      <w:pPr>
        <w:kinsoku/>
        <w:spacing w:line="318" w:lineRule="auto"/>
        <w:rPr>
          <w:rFonts w:ascii="宋体" w:hAnsi="宋体" w:eastAsia="宋体" w:cs="宋体"/>
          <w:color w:val="auto"/>
          <w:highlight w:val="none"/>
          <w:lang w:eastAsia="zh-CN"/>
        </w:rPr>
      </w:pPr>
    </w:p>
    <w:p w14:paraId="4A86F059">
      <w:pPr>
        <w:kinsoku/>
        <w:spacing w:line="186" w:lineRule="auto"/>
        <w:rPr>
          <w:rFonts w:ascii="宋体" w:hAnsi="宋体" w:eastAsia="宋体" w:cs="宋体"/>
          <w:color w:val="auto"/>
          <w:sz w:val="18"/>
          <w:szCs w:val="18"/>
          <w:highlight w:val="none"/>
          <w:lang w:eastAsia="zh-CN"/>
        </w:rPr>
        <w:sectPr>
          <w:headerReference r:id="rId14" w:type="default"/>
          <w:pgSz w:w="11907" w:h="16841"/>
          <w:pgMar w:top="1173" w:right="1238" w:bottom="1188" w:left="1476" w:header="862" w:footer="0" w:gutter="0"/>
          <w:cols w:space="720" w:num="1"/>
        </w:sectPr>
      </w:pPr>
    </w:p>
    <w:p w14:paraId="64143FE7">
      <w:pPr>
        <w:tabs>
          <w:tab w:val="left" w:pos="1436"/>
        </w:tabs>
        <w:kinsoku/>
        <w:spacing w:before="91" w:line="276" w:lineRule="auto"/>
        <w:ind w:left="3766" w:right="593" w:hanging="3306"/>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u w:val="single"/>
          <w:lang w:eastAsia="zh-CN"/>
        </w:rPr>
        <w:tab/>
      </w:r>
      <w:r>
        <w:rPr>
          <w:rFonts w:hint="eastAsia" w:ascii="宋体" w:hAnsi="宋体" w:eastAsia="宋体" w:cs="宋体"/>
          <w:color w:val="auto"/>
          <w:sz w:val="28"/>
          <w:szCs w:val="28"/>
          <w:highlight w:val="none"/>
          <w:lang w:eastAsia="zh-CN"/>
        </w:rPr>
        <w:t>（项目名称）</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标段施工图设计第二个信封（报价文件）开标记录表</w:t>
      </w:r>
    </w:p>
    <w:p w14:paraId="0293281A">
      <w:pPr>
        <w:kinsoku/>
        <w:spacing w:before="76" w:line="220" w:lineRule="auto"/>
        <w:jc w:val="righ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时</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分</w:t>
      </w:r>
    </w:p>
    <w:p w14:paraId="4C517EE8">
      <w:pPr>
        <w:kinsoku/>
        <w:spacing w:line="100" w:lineRule="auto"/>
        <w:rPr>
          <w:rFonts w:ascii="宋体" w:hAnsi="宋体" w:eastAsia="宋体" w:cs="宋体"/>
          <w:color w:val="auto"/>
          <w:sz w:val="2"/>
          <w:highlight w:val="none"/>
        </w:rPr>
      </w:pPr>
    </w:p>
    <w:tbl>
      <w:tblPr>
        <w:tblStyle w:val="21"/>
        <w:tblW w:w="900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2"/>
        <w:gridCol w:w="1439"/>
        <w:gridCol w:w="1363"/>
        <w:gridCol w:w="1560"/>
        <w:gridCol w:w="1180"/>
        <w:gridCol w:w="1007"/>
        <w:gridCol w:w="1742"/>
      </w:tblGrid>
      <w:tr w14:paraId="74E95D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7" w:hRule="atLeast"/>
        </w:trPr>
        <w:tc>
          <w:tcPr>
            <w:tcW w:w="712" w:type="dxa"/>
            <w:vAlign w:val="center"/>
          </w:tcPr>
          <w:p w14:paraId="04EE1086">
            <w:pPr>
              <w:kinsoku/>
              <w:spacing w:before="69" w:line="222"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序号</w:t>
            </w:r>
          </w:p>
        </w:tc>
        <w:tc>
          <w:tcPr>
            <w:tcW w:w="1439" w:type="dxa"/>
            <w:vAlign w:val="center"/>
          </w:tcPr>
          <w:p w14:paraId="6A5A852E">
            <w:pPr>
              <w:kinsoku/>
              <w:spacing w:before="68" w:line="221"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投标人</w:t>
            </w:r>
          </w:p>
        </w:tc>
        <w:tc>
          <w:tcPr>
            <w:tcW w:w="1363" w:type="dxa"/>
            <w:vAlign w:val="center"/>
          </w:tcPr>
          <w:p w14:paraId="384AD93D">
            <w:pPr>
              <w:kinsoku/>
              <w:spacing w:before="68" w:line="221"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密封情况</w:t>
            </w:r>
          </w:p>
        </w:tc>
        <w:tc>
          <w:tcPr>
            <w:tcW w:w="1560" w:type="dxa"/>
            <w:vAlign w:val="center"/>
          </w:tcPr>
          <w:p w14:paraId="2D0E5E04">
            <w:pPr>
              <w:kinsoku/>
              <w:spacing w:before="69" w:line="219"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投标报价（元）</w:t>
            </w:r>
          </w:p>
        </w:tc>
        <w:tc>
          <w:tcPr>
            <w:tcW w:w="1180" w:type="dxa"/>
            <w:vAlign w:val="center"/>
          </w:tcPr>
          <w:p w14:paraId="3CB692DB">
            <w:pPr>
              <w:kinsoku/>
              <w:spacing w:before="223" w:line="340" w:lineRule="auto"/>
              <w:ind w:left="-19" w:leftChars="-9" w:right="61"/>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是否超过最高投标限价</w:t>
            </w:r>
          </w:p>
        </w:tc>
        <w:tc>
          <w:tcPr>
            <w:tcW w:w="1007" w:type="dxa"/>
            <w:vAlign w:val="center"/>
          </w:tcPr>
          <w:p w14:paraId="392091DC">
            <w:pPr>
              <w:kinsoku/>
              <w:spacing w:before="69" w:line="222"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备注</w:t>
            </w:r>
          </w:p>
        </w:tc>
        <w:tc>
          <w:tcPr>
            <w:tcW w:w="1742" w:type="dxa"/>
            <w:vAlign w:val="center"/>
          </w:tcPr>
          <w:p w14:paraId="10F7B8B5">
            <w:pPr>
              <w:kinsoku/>
              <w:spacing w:before="68" w:line="221" w:lineRule="auto"/>
              <w:ind w:left="-19" w:leftChars="-9"/>
              <w:jc w:val="center"/>
              <w:rPr>
                <w:rFonts w:ascii="宋体" w:hAnsi="宋体" w:eastAsia="宋体" w:cs="宋体"/>
                <w:color w:val="auto"/>
                <w:highlight w:val="none"/>
              </w:rPr>
            </w:pPr>
            <w:r>
              <w:rPr>
                <w:rFonts w:hint="eastAsia" w:ascii="宋体" w:hAnsi="宋体" w:eastAsia="宋体" w:cs="宋体"/>
                <w:color w:val="auto"/>
                <w:highlight w:val="none"/>
              </w:rPr>
              <w:t>投标人代表签名</w:t>
            </w:r>
          </w:p>
        </w:tc>
      </w:tr>
      <w:tr w14:paraId="71AD9C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76D72FED">
            <w:pPr>
              <w:kinsoku/>
              <w:rPr>
                <w:rFonts w:ascii="宋体" w:hAnsi="宋体" w:eastAsia="宋体" w:cs="宋体"/>
                <w:color w:val="auto"/>
                <w:highlight w:val="none"/>
              </w:rPr>
            </w:pPr>
          </w:p>
        </w:tc>
        <w:tc>
          <w:tcPr>
            <w:tcW w:w="1439" w:type="dxa"/>
          </w:tcPr>
          <w:p w14:paraId="4E320CDE">
            <w:pPr>
              <w:kinsoku/>
              <w:rPr>
                <w:rFonts w:ascii="宋体" w:hAnsi="宋体" w:eastAsia="宋体" w:cs="宋体"/>
                <w:color w:val="auto"/>
                <w:highlight w:val="none"/>
              </w:rPr>
            </w:pPr>
          </w:p>
        </w:tc>
        <w:tc>
          <w:tcPr>
            <w:tcW w:w="1363" w:type="dxa"/>
          </w:tcPr>
          <w:p w14:paraId="5802CD90">
            <w:pPr>
              <w:kinsoku/>
              <w:rPr>
                <w:rFonts w:ascii="宋体" w:hAnsi="宋体" w:eastAsia="宋体" w:cs="宋体"/>
                <w:color w:val="auto"/>
                <w:highlight w:val="none"/>
              </w:rPr>
            </w:pPr>
          </w:p>
        </w:tc>
        <w:tc>
          <w:tcPr>
            <w:tcW w:w="1560" w:type="dxa"/>
          </w:tcPr>
          <w:p w14:paraId="67CEF1B9">
            <w:pPr>
              <w:kinsoku/>
              <w:rPr>
                <w:rFonts w:ascii="宋体" w:hAnsi="宋体" w:eastAsia="宋体" w:cs="宋体"/>
                <w:color w:val="auto"/>
                <w:highlight w:val="none"/>
              </w:rPr>
            </w:pPr>
          </w:p>
        </w:tc>
        <w:tc>
          <w:tcPr>
            <w:tcW w:w="1180" w:type="dxa"/>
          </w:tcPr>
          <w:p w14:paraId="6725ECB3">
            <w:pPr>
              <w:kinsoku/>
              <w:rPr>
                <w:rFonts w:ascii="宋体" w:hAnsi="宋体" w:eastAsia="宋体" w:cs="宋体"/>
                <w:color w:val="auto"/>
                <w:highlight w:val="none"/>
              </w:rPr>
            </w:pPr>
          </w:p>
        </w:tc>
        <w:tc>
          <w:tcPr>
            <w:tcW w:w="1007" w:type="dxa"/>
          </w:tcPr>
          <w:p w14:paraId="281B6EFB">
            <w:pPr>
              <w:kinsoku/>
              <w:rPr>
                <w:rFonts w:ascii="宋体" w:hAnsi="宋体" w:eastAsia="宋体" w:cs="宋体"/>
                <w:color w:val="auto"/>
                <w:highlight w:val="none"/>
              </w:rPr>
            </w:pPr>
          </w:p>
        </w:tc>
        <w:tc>
          <w:tcPr>
            <w:tcW w:w="1742" w:type="dxa"/>
          </w:tcPr>
          <w:p w14:paraId="01A407DD">
            <w:pPr>
              <w:kinsoku/>
              <w:rPr>
                <w:rFonts w:ascii="宋体" w:hAnsi="宋体" w:eastAsia="宋体" w:cs="宋体"/>
                <w:color w:val="auto"/>
                <w:highlight w:val="none"/>
              </w:rPr>
            </w:pPr>
          </w:p>
        </w:tc>
      </w:tr>
      <w:tr w14:paraId="45F3C1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2" w:type="dxa"/>
          </w:tcPr>
          <w:p w14:paraId="2357DBF5">
            <w:pPr>
              <w:kinsoku/>
              <w:rPr>
                <w:rFonts w:ascii="宋体" w:hAnsi="宋体" w:eastAsia="宋体" w:cs="宋体"/>
                <w:color w:val="auto"/>
                <w:highlight w:val="none"/>
              </w:rPr>
            </w:pPr>
          </w:p>
        </w:tc>
        <w:tc>
          <w:tcPr>
            <w:tcW w:w="1439" w:type="dxa"/>
          </w:tcPr>
          <w:p w14:paraId="6F43FAB1">
            <w:pPr>
              <w:kinsoku/>
              <w:rPr>
                <w:rFonts w:ascii="宋体" w:hAnsi="宋体" w:eastAsia="宋体" w:cs="宋体"/>
                <w:color w:val="auto"/>
                <w:highlight w:val="none"/>
              </w:rPr>
            </w:pPr>
          </w:p>
        </w:tc>
        <w:tc>
          <w:tcPr>
            <w:tcW w:w="1363" w:type="dxa"/>
          </w:tcPr>
          <w:p w14:paraId="482B8591">
            <w:pPr>
              <w:kinsoku/>
              <w:rPr>
                <w:rFonts w:ascii="宋体" w:hAnsi="宋体" w:eastAsia="宋体" w:cs="宋体"/>
                <w:color w:val="auto"/>
                <w:highlight w:val="none"/>
              </w:rPr>
            </w:pPr>
          </w:p>
        </w:tc>
        <w:tc>
          <w:tcPr>
            <w:tcW w:w="1560" w:type="dxa"/>
          </w:tcPr>
          <w:p w14:paraId="07FAB59C">
            <w:pPr>
              <w:kinsoku/>
              <w:rPr>
                <w:rFonts w:ascii="宋体" w:hAnsi="宋体" w:eastAsia="宋体" w:cs="宋体"/>
                <w:color w:val="auto"/>
                <w:highlight w:val="none"/>
              </w:rPr>
            </w:pPr>
          </w:p>
        </w:tc>
        <w:tc>
          <w:tcPr>
            <w:tcW w:w="1180" w:type="dxa"/>
          </w:tcPr>
          <w:p w14:paraId="41B12A59">
            <w:pPr>
              <w:kinsoku/>
              <w:rPr>
                <w:rFonts w:ascii="宋体" w:hAnsi="宋体" w:eastAsia="宋体" w:cs="宋体"/>
                <w:color w:val="auto"/>
                <w:highlight w:val="none"/>
              </w:rPr>
            </w:pPr>
          </w:p>
        </w:tc>
        <w:tc>
          <w:tcPr>
            <w:tcW w:w="1007" w:type="dxa"/>
          </w:tcPr>
          <w:p w14:paraId="110C2202">
            <w:pPr>
              <w:kinsoku/>
              <w:rPr>
                <w:rFonts w:ascii="宋体" w:hAnsi="宋体" w:eastAsia="宋体" w:cs="宋体"/>
                <w:color w:val="auto"/>
                <w:highlight w:val="none"/>
              </w:rPr>
            </w:pPr>
          </w:p>
        </w:tc>
        <w:tc>
          <w:tcPr>
            <w:tcW w:w="1742" w:type="dxa"/>
          </w:tcPr>
          <w:p w14:paraId="3F560CA7">
            <w:pPr>
              <w:kinsoku/>
              <w:rPr>
                <w:rFonts w:ascii="宋体" w:hAnsi="宋体" w:eastAsia="宋体" w:cs="宋体"/>
                <w:color w:val="auto"/>
                <w:highlight w:val="none"/>
              </w:rPr>
            </w:pPr>
          </w:p>
        </w:tc>
      </w:tr>
      <w:tr w14:paraId="5E4A51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1BEA143A">
            <w:pPr>
              <w:kinsoku/>
              <w:rPr>
                <w:rFonts w:ascii="宋体" w:hAnsi="宋体" w:eastAsia="宋体" w:cs="宋体"/>
                <w:color w:val="auto"/>
                <w:highlight w:val="none"/>
              </w:rPr>
            </w:pPr>
          </w:p>
        </w:tc>
        <w:tc>
          <w:tcPr>
            <w:tcW w:w="1439" w:type="dxa"/>
          </w:tcPr>
          <w:p w14:paraId="510D9B35">
            <w:pPr>
              <w:kinsoku/>
              <w:rPr>
                <w:rFonts w:ascii="宋体" w:hAnsi="宋体" w:eastAsia="宋体" w:cs="宋体"/>
                <w:color w:val="auto"/>
                <w:highlight w:val="none"/>
              </w:rPr>
            </w:pPr>
          </w:p>
        </w:tc>
        <w:tc>
          <w:tcPr>
            <w:tcW w:w="1363" w:type="dxa"/>
          </w:tcPr>
          <w:p w14:paraId="5A152B8C">
            <w:pPr>
              <w:kinsoku/>
              <w:rPr>
                <w:rFonts w:ascii="宋体" w:hAnsi="宋体" w:eastAsia="宋体" w:cs="宋体"/>
                <w:color w:val="auto"/>
                <w:highlight w:val="none"/>
              </w:rPr>
            </w:pPr>
          </w:p>
        </w:tc>
        <w:tc>
          <w:tcPr>
            <w:tcW w:w="1560" w:type="dxa"/>
          </w:tcPr>
          <w:p w14:paraId="3F801767">
            <w:pPr>
              <w:kinsoku/>
              <w:rPr>
                <w:rFonts w:ascii="宋体" w:hAnsi="宋体" w:eastAsia="宋体" w:cs="宋体"/>
                <w:color w:val="auto"/>
                <w:highlight w:val="none"/>
              </w:rPr>
            </w:pPr>
          </w:p>
        </w:tc>
        <w:tc>
          <w:tcPr>
            <w:tcW w:w="1180" w:type="dxa"/>
          </w:tcPr>
          <w:p w14:paraId="6125E942">
            <w:pPr>
              <w:kinsoku/>
              <w:rPr>
                <w:rFonts w:ascii="宋体" w:hAnsi="宋体" w:eastAsia="宋体" w:cs="宋体"/>
                <w:color w:val="auto"/>
                <w:highlight w:val="none"/>
              </w:rPr>
            </w:pPr>
          </w:p>
        </w:tc>
        <w:tc>
          <w:tcPr>
            <w:tcW w:w="1007" w:type="dxa"/>
          </w:tcPr>
          <w:p w14:paraId="51DECBE4">
            <w:pPr>
              <w:kinsoku/>
              <w:rPr>
                <w:rFonts w:ascii="宋体" w:hAnsi="宋体" w:eastAsia="宋体" w:cs="宋体"/>
                <w:color w:val="auto"/>
                <w:highlight w:val="none"/>
              </w:rPr>
            </w:pPr>
          </w:p>
        </w:tc>
        <w:tc>
          <w:tcPr>
            <w:tcW w:w="1742" w:type="dxa"/>
          </w:tcPr>
          <w:p w14:paraId="2406ACAD">
            <w:pPr>
              <w:kinsoku/>
              <w:rPr>
                <w:rFonts w:ascii="宋体" w:hAnsi="宋体" w:eastAsia="宋体" w:cs="宋体"/>
                <w:color w:val="auto"/>
                <w:highlight w:val="none"/>
              </w:rPr>
            </w:pPr>
          </w:p>
        </w:tc>
      </w:tr>
      <w:tr w14:paraId="1038C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712" w:type="dxa"/>
          </w:tcPr>
          <w:p w14:paraId="15CD0DEB">
            <w:pPr>
              <w:kinsoku/>
              <w:rPr>
                <w:rFonts w:ascii="宋体" w:hAnsi="宋体" w:eastAsia="宋体" w:cs="宋体"/>
                <w:color w:val="auto"/>
                <w:highlight w:val="none"/>
              </w:rPr>
            </w:pPr>
          </w:p>
        </w:tc>
        <w:tc>
          <w:tcPr>
            <w:tcW w:w="1439" w:type="dxa"/>
          </w:tcPr>
          <w:p w14:paraId="34C6A2F6">
            <w:pPr>
              <w:kinsoku/>
              <w:rPr>
                <w:rFonts w:ascii="宋体" w:hAnsi="宋体" w:eastAsia="宋体" w:cs="宋体"/>
                <w:color w:val="auto"/>
                <w:highlight w:val="none"/>
              </w:rPr>
            </w:pPr>
          </w:p>
        </w:tc>
        <w:tc>
          <w:tcPr>
            <w:tcW w:w="1363" w:type="dxa"/>
          </w:tcPr>
          <w:p w14:paraId="5ED3D16C">
            <w:pPr>
              <w:kinsoku/>
              <w:rPr>
                <w:rFonts w:ascii="宋体" w:hAnsi="宋体" w:eastAsia="宋体" w:cs="宋体"/>
                <w:color w:val="auto"/>
                <w:highlight w:val="none"/>
              </w:rPr>
            </w:pPr>
          </w:p>
        </w:tc>
        <w:tc>
          <w:tcPr>
            <w:tcW w:w="1560" w:type="dxa"/>
          </w:tcPr>
          <w:p w14:paraId="16EA110E">
            <w:pPr>
              <w:kinsoku/>
              <w:rPr>
                <w:rFonts w:ascii="宋体" w:hAnsi="宋体" w:eastAsia="宋体" w:cs="宋体"/>
                <w:color w:val="auto"/>
                <w:highlight w:val="none"/>
              </w:rPr>
            </w:pPr>
          </w:p>
        </w:tc>
        <w:tc>
          <w:tcPr>
            <w:tcW w:w="1180" w:type="dxa"/>
          </w:tcPr>
          <w:p w14:paraId="0FCEDD63">
            <w:pPr>
              <w:kinsoku/>
              <w:rPr>
                <w:rFonts w:ascii="宋体" w:hAnsi="宋体" w:eastAsia="宋体" w:cs="宋体"/>
                <w:color w:val="auto"/>
                <w:highlight w:val="none"/>
              </w:rPr>
            </w:pPr>
          </w:p>
        </w:tc>
        <w:tc>
          <w:tcPr>
            <w:tcW w:w="1007" w:type="dxa"/>
          </w:tcPr>
          <w:p w14:paraId="375CCC81">
            <w:pPr>
              <w:kinsoku/>
              <w:rPr>
                <w:rFonts w:ascii="宋体" w:hAnsi="宋体" w:eastAsia="宋体" w:cs="宋体"/>
                <w:color w:val="auto"/>
                <w:highlight w:val="none"/>
              </w:rPr>
            </w:pPr>
          </w:p>
        </w:tc>
        <w:tc>
          <w:tcPr>
            <w:tcW w:w="1742" w:type="dxa"/>
          </w:tcPr>
          <w:p w14:paraId="18814C93">
            <w:pPr>
              <w:kinsoku/>
              <w:rPr>
                <w:rFonts w:ascii="宋体" w:hAnsi="宋体" w:eastAsia="宋体" w:cs="宋体"/>
                <w:color w:val="auto"/>
                <w:highlight w:val="none"/>
              </w:rPr>
            </w:pPr>
          </w:p>
        </w:tc>
      </w:tr>
      <w:tr w14:paraId="26483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728705D5">
            <w:pPr>
              <w:kinsoku/>
              <w:rPr>
                <w:rFonts w:ascii="宋体" w:hAnsi="宋体" w:eastAsia="宋体" w:cs="宋体"/>
                <w:color w:val="auto"/>
                <w:highlight w:val="none"/>
              </w:rPr>
            </w:pPr>
          </w:p>
        </w:tc>
        <w:tc>
          <w:tcPr>
            <w:tcW w:w="1439" w:type="dxa"/>
          </w:tcPr>
          <w:p w14:paraId="5F180614">
            <w:pPr>
              <w:kinsoku/>
              <w:rPr>
                <w:rFonts w:ascii="宋体" w:hAnsi="宋体" w:eastAsia="宋体" w:cs="宋体"/>
                <w:color w:val="auto"/>
                <w:highlight w:val="none"/>
              </w:rPr>
            </w:pPr>
          </w:p>
        </w:tc>
        <w:tc>
          <w:tcPr>
            <w:tcW w:w="1363" w:type="dxa"/>
          </w:tcPr>
          <w:p w14:paraId="024104F3">
            <w:pPr>
              <w:kinsoku/>
              <w:rPr>
                <w:rFonts w:ascii="宋体" w:hAnsi="宋体" w:eastAsia="宋体" w:cs="宋体"/>
                <w:color w:val="auto"/>
                <w:highlight w:val="none"/>
              </w:rPr>
            </w:pPr>
          </w:p>
        </w:tc>
        <w:tc>
          <w:tcPr>
            <w:tcW w:w="1560" w:type="dxa"/>
          </w:tcPr>
          <w:p w14:paraId="69F540B7">
            <w:pPr>
              <w:kinsoku/>
              <w:rPr>
                <w:rFonts w:ascii="宋体" w:hAnsi="宋体" w:eastAsia="宋体" w:cs="宋体"/>
                <w:color w:val="auto"/>
                <w:highlight w:val="none"/>
              </w:rPr>
            </w:pPr>
          </w:p>
        </w:tc>
        <w:tc>
          <w:tcPr>
            <w:tcW w:w="1180" w:type="dxa"/>
          </w:tcPr>
          <w:p w14:paraId="0FE342D8">
            <w:pPr>
              <w:kinsoku/>
              <w:rPr>
                <w:rFonts w:ascii="宋体" w:hAnsi="宋体" w:eastAsia="宋体" w:cs="宋体"/>
                <w:color w:val="auto"/>
                <w:highlight w:val="none"/>
              </w:rPr>
            </w:pPr>
          </w:p>
        </w:tc>
        <w:tc>
          <w:tcPr>
            <w:tcW w:w="1007" w:type="dxa"/>
          </w:tcPr>
          <w:p w14:paraId="05659A94">
            <w:pPr>
              <w:kinsoku/>
              <w:rPr>
                <w:rFonts w:ascii="宋体" w:hAnsi="宋体" w:eastAsia="宋体" w:cs="宋体"/>
                <w:color w:val="auto"/>
                <w:highlight w:val="none"/>
              </w:rPr>
            </w:pPr>
          </w:p>
        </w:tc>
        <w:tc>
          <w:tcPr>
            <w:tcW w:w="1742" w:type="dxa"/>
          </w:tcPr>
          <w:p w14:paraId="47D528C7">
            <w:pPr>
              <w:kinsoku/>
              <w:rPr>
                <w:rFonts w:ascii="宋体" w:hAnsi="宋体" w:eastAsia="宋体" w:cs="宋体"/>
                <w:color w:val="auto"/>
                <w:highlight w:val="none"/>
              </w:rPr>
            </w:pPr>
          </w:p>
        </w:tc>
      </w:tr>
      <w:tr w14:paraId="248638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712" w:type="dxa"/>
          </w:tcPr>
          <w:p w14:paraId="3FA142EC">
            <w:pPr>
              <w:kinsoku/>
              <w:rPr>
                <w:rFonts w:ascii="宋体" w:hAnsi="宋体" w:eastAsia="宋体" w:cs="宋体"/>
                <w:color w:val="auto"/>
                <w:highlight w:val="none"/>
              </w:rPr>
            </w:pPr>
          </w:p>
        </w:tc>
        <w:tc>
          <w:tcPr>
            <w:tcW w:w="1439" w:type="dxa"/>
          </w:tcPr>
          <w:p w14:paraId="2FC9E9D9">
            <w:pPr>
              <w:kinsoku/>
              <w:rPr>
                <w:rFonts w:ascii="宋体" w:hAnsi="宋体" w:eastAsia="宋体" w:cs="宋体"/>
                <w:color w:val="auto"/>
                <w:highlight w:val="none"/>
              </w:rPr>
            </w:pPr>
          </w:p>
        </w:tc>
        <w:tc>
          <w:tcPr>
            <w:tcW w:w="1363" w:type="dxa"/>
          </w:tcPr>
          <w:p w14:paraId="02BBEFB0">
            <w:pPr>
              <w:kinsoku/>
              <w:rPr>
                <w:rFonts w:ascii="宋体" w:hAnsi="宋体" w:eastAsia="宋体" w:cs="宋体"/>
                <w:color w:val="auto"/>
                <w:highlight w:val="none"/>
              </w:rPr>
            </w:pPr>
          </w:p>
        </w:tc>
        <w:tc>
          <w:tcPr>
            <w:tcW w:w="1560" w:type="dxa"/>
          </w:tcPr>
          <w:p w14:paraId="09BA3A61">
            <w:pPr>
              <w:kinsoku/>
              <w:rPr>
                <w:rFonts w:ascii="宋体" w:hAnsi="宋体" w:eastAsia="宋体" w:cs="宋体"/>
                <w:color w:val="auto"/>
                <w:highlight w:val="none"/>
              </w:rPr>
            </w:pPr>
          </w:p>
        </w:tc>
        <w:tc>
          <w:tcPr>
            <w:tcW w:w="1180" w:type="dxa"/>
          </w:tcPr>
          <w:p w14:paraId="2318A0A1">
            <w:pPr>
              <w:kinsoku/>
              <w:rPr>
                <w:rFonts w:ascii="宋体" w:hAnsi="宋体" w:eastAsia="宋体" w:cs="宋体"/>
                <w:color w:val="auto"/>
                <w:highlight w:val="none"/>
              </w:rPr>
            </w:pPr>
          </w:p>
        </w:tc>
        <w:tc>
          <w:tcPr>
            <w:tcW w:w="1007" w:type="dxa"/>
          </w:tcPr>
          <w:p w14:paraId="10B21E10">
            <w:pPr>
              <w:kinsoku/>
              <w:rPr>
                <w:rFonts w:ascii="宋体" w:hAnsi="宋体" w:eastAsia="宋体" w:cs="宋体"/>
                <w:color w:val="auto"/>
                <w:highlight w:val="none"/>
              </w:rPr>
            </w:pPr>
          </w:p>
        </w:tc>
        <w:tc>
          <w:tcPr>
            <w:tcW w:w="1742" w:type="dxa"/>
          </w:tcPr>
          <w:p w14:paraId="75AF174C">
            <w:pPr>
              <w:kinsoku/>
              <w:rPr>
                <w:rFonts w:ascii="宋体" w:hAnsi="宋体" w:eastAsia="宋体" w:cs="宋体"/>
                <w:color w:val="auto"/>
                <w:highlight w:val="none"/>
              </w:rPr>
            </w:pPr>
          </w:p>
        </w:tc>
      </w:tr>
      <w:tr w14:paraId="3555A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460332BE">
            <w:pPr>
              <w:kinsoku/>
              <w:rPr>
                <w:rFonts w:ascii="宋体" w:hAnsi="宋体" w:eastAsia="宋体" w:cs="宋体"/>
                <w:color w:val="auto"/>
                <w:highlight w:val="none"/>
              </w:rPr>
            </w:pPr>
          </w:p>
        </w:tc>
        <w:tc>
          <w:tcPr>
            <w:tcW w:w="1439" w:type="dxa"/>
          </w:tcPr>
          <w:p w14:paraId="5C760FA4">
            <w:pPr>
              <w:kinsoku/>
              <w:rPr>
                <w:rFonts w:ascii="宋体" w:hAnsi="宋体" w:eastAsia="宋体" w:cs="宋体"/>
                <w:color w:val="auto"/>
                <w:highlight w:val="none"/>
              </w:rPr>
            </w:pPr>
          </w:p>
        </w:tc>
        <w:tc>
          <w:tcPr>
            <w:tcW w:w="1363" w:type="dxa"/>
          </w:tcPr>
          <w:p w14:paraId="61D0DEC9">
            <w:pPr>
              <w:kinsoku/>
              <w:rPr>
                <w:rFonts w:ascii="宋体" w:hAnsi="宋体" w:eastAsia="宋体" w:cs="宋体"/>
                <w:color w:val="auto"/>
                <w:highlight w:val="none"/>
              </w:rPr>
            </w:pPr>
          </w:p>
        </w:tc>
        <w:tc>
          <w:tcPr>
            <w:tcW w:w="1560" w:type="dxa"/>
          </w:tcPr>
          <w:p w14:paraId="73189BCB">
            <w:pPr>
              <w:kinsoku/>
              <w:rPr>
                <w:rFonts w:ascii="宋体" w:hAnsi="宋体" w:eastAsia="宋体" w:cs="宋体"/>
                <w:color w:val="auto"/>
                <w:highlight w:val="none"/>
              </w:rPr>
            </w:pPr>
          </w:p>
        </w:tc>
        <w:tc>
          <w:tcPr>
            <w:tcW w:w="1180" w:type="dxa"/>
          </w:tcPr>
          <w:p w14:paraId="3A0DAAB5">
            <w:pPr>
              <w:kinsoku/>
              <w:rPr>
                <w:rFonts w:ascii="宋体" w:hAnsi="宋体" w:eastAsia="宋体" w:cs="宋体"/>
                <w:color w:val="auto"/>
                <w:highlight w:val="none"/>
              </w:rPr>
            </w:pPr>
          </w:p>
        </w:tc>
        <w:tc>
          <w:tcPr>
            <w:tcW w:w="1007" w:type="dxa"/>
          </w:tcPr>
          <w:p w14:paraId="30BE492C">
            <w:pPr>
              <w:kinsoku/>
              <w:rPr>
                <w:rFonts w:ascii="宋体" w:hAnsi="宋体" w:eastAsia="宋体" w:cs="宋体"/>
                <w:color w:val="auto"/>
                <w:highlight w:val="none"/>
              </w:rPr>
            </w:pPr>
          </w:p>
        </w:tc>
        <w:tc>
          <w:tcPr>
            <w:tcW w:w="1742" w:type="dxa"/>
          </w:tcPr>
          <w:p w14:paraId="53A12DD6">
            <w:pPr>
              <w:kinsoku/>
              <w:rPr>
                <w:rFonts w:ascii="宋体" w:hAnsi="宋体" w:eastAsia="宋体" w:cs="宋体"/>
                <w:color w:val="auto"/>
                <w:highlight w:val="none"/>
              </w:rPr>
            </w:pPr>
          </w:p>
        </w:tc>
      </w:tr>
      <w:tr w14:paraId="3755BC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2" w:type="dxa"/>
          </w:tcPr>
          <w:p w14:paraId="669DA9BE">
            <w:pPr>
              <w:kinsoku/>
              <w:rPr>
                <w:rFonts w:ascii="宋体" w:hAnsi="宋体" w:eastAsia="宋体" w:cs="宋体"/>
                <w:color w:val="auto"/>
                <w:highlight w:val="none"/>
              </w:rPr>
            </w:pPr>
          </w:p>
        </w:tc>
        <w:tc>
          <w:tcPr>
            <w:tcW w:w="1439" w:type="dxa"/>
          </w:tcPr>
          <w:p w14:paraId="7EC5A1C0">
            <w:pPr>
              <w:kinsoku/>
              <w:rPr>
                <w:rFonts w:ascii="宋体" w:hAnsi="宋体" w:eastAsia="宋体" w:cs="宋体"/>
                <w:color w:val="auto"/>
                <w:highlight w:val="none"/>
              </w:rPr>
            </w:pPr>
          </w:p>
        </w:tc>
        <w:tc>
          <w:tcPr>
            <w:tcW w:w="1363" w:type="dxa"/>
          </w:tcPr>
          <w:p w14:paraId="7A41F6D7">
            <w:pPr>
              <w:kinsoku/>
              <w:rPr>
                <w:rFonts w:ascii="宋体" w:hAnsi="宋体" w:eastAsia="宋体" w:cs="宋体"/>
                <w:color w:val="auto"/>
                <w:highlight w:val="none"/>
              </w:rPr>
            </w:pPr>
          </w:p>
        </w:tc>
        <w:tc>
          <w:tcPr>
            <w:tcW w:w="1560" w:type="dxa"/>
          </w:tcPr>
          <w:p w14:paraId="31BDA4C5">
            <w:pPr>
              <w:kinsoku/>
              <w:rPr>
                <w:rFonts w:ascii="宋体" w:hAnsi="宋体" w:eastAsia="宋体" w:cs="宋体"/>
                <w:color w:val="auto"/>
                <w:highlight w:val="none"/>
              </w:rPr>
            </w:pPr>
          </w:p>
        </w:tc>
        <w:tc>
          <w:tcPr>
            <w:tcW w:w="1180" w:type="dxa"/>
          </w:tcPr>
          <w:p w14:paraId="3A48BFC3">
            <w:pPr>
              <w:kinsoku/>
              <w:rPr>
                <w:rFonts w:ascii="宋体" w:hAnsi="宋体" w:eastAsia="宋体" w:cs="宋体"/>
                <w:color w:val="auto"/>
                <w:highlight w:val="none"/>
              </w:rPr>
            </w:pPr>
          </w:p>
        </w:tc>
        <w:tc>
          <w:tcPr>
            <w:tcW w:w="1007" w:type="dxa"/>
          </w:tcPr>
          <w:p w14:paraId="7C50A28B">
            <w:pPr>
              <w:kinsoku/>
              <w:rPr>
                <w:rFonts w:ascii="宋体" w:hAnsi="宋体" w:eastAsia="宋体" w:cs="宋体"/>
                <w:color w:val="auto"/>
                <w:highlight w:val="none"/>
              </w:rPr>
            </w:pPr>
          </w:p>
        </w:tc>
        <w:tc>
          <w:tcPr>
            <w:tcW w:w="1742" w:type="dxa"/>
          </w:tcPr>
          <w:p w14:paraId="410211DD">
            <w:pPr>
              <w:kinsoku/>
              <w:rPr>
                <w:rFonts w:ascii="宋体" w:hAnsi="宋体" w:eastAsia="宋体" w:cs="宋体"/>
                <w:color w:val="auto"/>
                <w:highlight w:val="none"/>
              </w:rPr>
            </w:pPr>
          </w:p>
        </w:tc>
      </w:tr>
      <w:tr w14:paraId="1D9D56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6A9939F8">
            <w:pPr>
              <w:kinsoku/>
              <w:rPr>
                <w:rFonts w:ascii="宋体" w:hAnsi="宋体" w:eastAsia="宋体" w:cs="宋体"/>
                <w:color w:val="auto"/>
                <w:highlight w:val="none"/>
              </w:rPr>
            </w:pPr>
          </w:p>
        </w:tc>
        <w:tc>
          <w:tcPr>
            <w:tcW w:w="1439" w:type="dxa"/>
          </w:tcPr>
          <w:p w14:paraId="3383810C">
            <w:pPr>
              <w:kinsoku/>
              <w:rPr>
                <w:rFonts w:ascii="宋体" w:hAnsi="宋体" w:eastAsia="宋体" w:cs="宋体"/>
                <w:color w:val="auto"/>
                <w:highlight w:val="none"/>
              </w:rPr>
            </w:pPr>
          </w:p>
        </w:tc>
        <w:tc>
          <w:tcPr>
            <w:tcW w:w="1363" w:type="dxa"/>
          </w:tcPr>
          <w:p w14:paraId="4FCA56DE">
            <w:pPr>
              <w:kinsoku/>
              <w:rPr>
                <w:rFonts w:ascii="宋体" w:hAnsi="宋体" w:eastAsia="宋体" w:cs="宋体"/>
                <w:color w:val="auto"/>
                <w:highlight w:val="none"/>
              </w:rPr>
            </w:pPr>
          </w:p>
        </w:tc>
        <w:tc>
          <w:tcPr>
            <w:tcW w:w="1560" w:type="dxa"/>
          </w:tcPr>
          <w:p w14:paraId="22608BB8">
            <w:pPr>
              <w:kinsoku/>
              <w:rPr>
                <w:rFonts w:ascii="宋体" w:hAnsi="宋体" w:eastAsia="宋体" w:cs="宋体"/>
                <w:color w:val="auto"/>
                <w:highlight w:val="none"/>
              </w:rPr>
            </w:pPr>
          </w:p>
        </w:tc>
        <w:tc>
          <w:tcPr>
            <w:tcW w:w="1180" w:type="dxa"/>
          </w:tcPr>
          <w:p w14:paraId="43A736C0">
            <w:pPr>
              <w:kinsoku/>
              <w:rPr>
                <w:rFonts w:ascii="宋体" w:hAnsi="宋体" w:eastAsia="宋体" w:cs="宋体"/>
                <w:color w:val="auto"/>
                <w:highlight w:val="none"/>
              </w:rPr>
            </w:pPr>
          </w:p>
        </w:tc>
        <w:tc>
          <w:tcPr>
            <w:tcW w:w="1007" w:type="dxa"/>
          </w:tcPr>
          <w:p w14:paraId="27CCE1A4">
            <w:pPr>
              <w:kinsoku/>
              <w:rPr>
                <w:rFonts w:ascii="宋体" w:hAnsi="宋体" w:eastAsia="宋体" w:cs="宋体"/>
                <w:color w:val="auto"/>
                <w:highlight w:val="none"/>
              </w:rPr>
            </w:pPr>
          </w:p>
        </w:tc>
        <w:tc>
          <w:tcPr>
            <w:tcW w:w="1742" w:type="dxa"/>
          </w:tcPr>
          <w:p w14:paraId="220991AD">
            <w:pPr>
              <w:kinsoku/>
              <w:rPr>
                <w:rFonts w:ascii="宋体" w:hAnsi="宋体" w:eastAsia="宋体" w:cs="宋体"/>
                <w:color w:val="auto"/>
                <w:highlight w:val="none"/>
              </w:rPr>
            </w:pPr>
          </w:p>
        </w:tc>
      </w:tr>
      <w:tr w14:paraId="703F2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712" w:type="dxa"/>
          </w:tcPr>
          <w:p w14:paraId="4FCF4CA3">
            <w:pPr>
              <w:kinsoku/>
              <w:rPr>
                <w:rFonts w:ascii="宋体" w:hAnsi="宋体" w:eastAsia="宋体" w:cs="宋体"/>
                <w:color w:val="auto"/>
                <w:highlight w:val="none"/>
              </w:rPr>
            </w:pPr>
          </w:p>
        </w:tc>
        <w:tc>
          <w:tcPr>
            <w:tcW w:w="1439" w:type="dxa"/>
          </w:tcPr>
          <w:p w14:paraId="5667F079">
            <w:pPr>
              <w:kinsoku/>
              <w:rPr>
                <w:rFonts w:ascii="宋体" w:hAnsi="宋体" w:eastAsia="宋体" w:cs="宋体"/>
                <w:color w:val="auto"/>
                <w:highlight w:val="none"/>
              </w:rPr>
            </w:pPr>
          </w:p>
        </w:tc>
        <w:tc>
          <w:tcPr>
            <w:tcW w:w="1363" w:type="dxa"/>
          </w:tcPr>
          <w:p w14:paraId="2EBEDF07">
            <w:pPr>
              <w:kinsoku/>
              <w:rPr>
                <w:rFonts w:ascii="宋体" w:hAnsi="宋体" w:eastAsia="宋体" w:cs="宋体"/>
                <w:color w:val="auto"/>
                <w:highlight w:val="none"/>
              </w:rPr>
            </w:pPr>
          </w:p>
        </w:tc>
        <w:tc>
          <w:tcPr>
            <w:tcW w:w="1560" w:type="dxa"/>
          </w:tcPr>
          <w:p w14:paraId="67566460">
            <w:pPr>
              <w:kinsoku/>
              <w:rPr>
                <w:rFonts w:ascii="宋体" w:hAnsi="宋体" w:eastAsia="宋体" w:cs="宋体"/>
                <w:color w:val="auto"/>
                <w:highlight w:val="none"/>
              </w:rPr>
            </w:pPr>
          </w:p>
        </w:tc>
        <w:tc>
          <w:tcPr>
            <w:tcW w:w="1180" w:type="dxa"/>
          </w:tcPr>
          <w:p w14:paraId="20B61DD0">
            <w:pPr>
              <w:kinsoku/>
              <w:rPr>
                <w:rFonts w:ascii="宋体" w:hAnsi="宋体" w:eastAsia="宋体" w:cs="宋体"/>
                <w:color w:val="auto"/>
                <w:highlight w:val="none"/>
              </w:rPr>
            </w:pPr>
          </w:p>
        </w:tc>
        <w:tc>
          <w:tcPr>
            <w:tcW w:w="1007" w:type="dxa"/>
          </w:tcPr>
          <w:p w14:paraId="50445F68">
            <w:pPr>
              <w:kinsoku/>
              <w:rPr>
                <w:rFonts w:ascii="宋体" w:hAnsi="宋体" w:eastAsia="宋体" w:cs="宋体"/>
                <w:color w:val="auto"/>
                <w:highlight w:val="none"/>
              </w:rPr>
            </w:pPr>
          </w:p>
        </w:tc>
        <w:tc>
          <w:tcPr>
            <w:tcW w:w="1742" w:type="dxa"/>
          </w:tcPr>
          <w:p w14:paraId="429ADA4E">
            <w:pPr>
              <w:kinsoku/>
              <w:rPr>
                <w:rFonts w:ascii="宋体" w:hAnsi="宋体" w:eastAsia="宋体" w:cs="宋体"/>
                <w:color w:val="auto"/>
                <w:highlight w:val="none"/>
              </w:rPr>
            </w:pPr>
          </w:p>
        </w:tc>
      </w:tr>
      <w:tr w14:paraId="10CD1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12" w:type="dxa"/>
          </w:tcPr>
          <w:p w14:paraId="38E99870">
            <w:pPr>
              <w:kinsoku/>
              <w:rPr>
                <w:rFonts w:ascii="宋体" w:hAnsi="宋体" w:eastAsia="宋体" w:cs="宋体"/>
                <w:color w:val="auto"/>
                <w:highlight w:val="none"/>
              </w:rPr>
            </w:pPr>
          </w:p>
        </w:tc>
        <w:tc>
          <w:tcPr>
            <w:tcW w:w="1439" w:type="dxa"/>
          </w:tcPr>
          <w:p w14:paraId="1E5998BC">
            <w:pPr>
              <w:kinsoku/>
              <w:rPr>
                <w:rFonts w:ascii="宋体" w:hAnsi="宋体" w:eastAsia="宋体" w:cs="宋体"/>
                <w:color w:val="auto"/>
                <w:highlight w:val="none"/>
              </w:rPr>
            </w:pPr>
          </w:p>
        </w:tc>
        <w:tc>
          <w:tcPr>
            <w:tcW w:w="1363" w:type="dxa"/>
          </w:tcPr>
          <w:p w14:paraId="74613307">
            <w:pPr>
              <w:kinsoku/>
              <w:rPr>
                <w:rFonts w:ascii="宋体" w:hAnsi="宋体" w:eastAsia="宋体" w:cs="宋体"/>
                <w:color w:val="auto"/>
                <w:highlight w:val="none"/>
              </w:rPr>
            </w:pPr>
          </w:p>
        </w:tc>
        <w:tc>
          <w:tcPr>
            <w:tcW w:w="1560" w:type="dxa"/>
          </w:tcPr>
          <w:p w14:paraId="100E9B05">
            <w:pPr>
              <w:kinsoku/>
              <w:rPr>
                <w:rFonts w:ascii="宋体" w:hAnsi="宋体" w:eastAsia="宋体" w:cs="宋体"/>
                <w:color w:val="auto"/>
                <w:highlight w:val="none"/>
              </w:rPr>
            </w:pPr>
          </w:p>
        </w:tc>
        <w:tc>
          <w:tcPr>
            <w:tcW w:w="1180" w:type="dxa"/>
          </w:tcPr>
          <w:p w14:paraId="2E4CB414">
            <w:pPr>
              <w:kinsoku/>
              <w:rPr>
                <w:rFonts w:ascii="宋体" w:hAnsi="宋体" w:eastAsia="宋体" w:cs="宋体"/>
                <w:color w:val="auto"/>
                <w:highlight w:val="none"/>
              </w:rPr>
            </w:pPr>
          </w:p>
        </w:tc>
        <w:tc>
          <w:tcPr>
            <w:tcW w:w="1007" w:type="dxa"/>
          </w:tcPr>
          <w:p w14:paraId="429408E8">
            <w:pPr>
              <w:kinsoku/>
              <w:rPr>
                <w:rFonts w:ascii="宋体" w:hAnsi="宋体" w:eastAsia="宋体" w:cs="宋体"/>
                <w:color w:val="auto"/>
                <w:highlight w:val="none"/>
              </w:rPr>
            </w:pPr>
          </w:p>
        </w:tc>
        <w:tc>
          <w:tcPr>
            <w:tcW w:w="1742" w:type="dxa"/>
          </w:tcPr>
          <w:p w14:paraId="48663FDE">
            <w:pPr>
              <w:kinsoku/>
              <w:rPr>
                <w:rFonts w:ascii="宋体" w:hAnsi="宋体" w:eastAsia="宋体" w:cs="宋体"/>
                <w:color w:val="auto"/>
                <w:highlight w:val="none"/>
              </w:rPr>
            </w:pPr>
          </w:p>
        </w:tc>
      </w:tr>
      <w:tr w14:paraId="1A773F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712" w:type="dxa"/>
          </w:tcPr>
          <w:p w14:paraId="130B22EC">
            <w:pPr>
              <w:kinsoku/>
              <w:rPr>
                <w:rFonts w:ascii="宋体" w:hAnsi="宋体" w:eastAsia="宋体" w:cs="宋体"/>
                <w:color w:val="auto"/>
                <w:highlight w:val="none"/>
              </w:rPr>
            </w:pPr>
          </w:p>
        </w:tc>
        <w:tc>
          <w:tcPr>
            <w:tcW w:w="1439" w:type="dxa"/>
          </w:tcPr>
          <w:p w14:paraId="4D844514">
            <w:pPr>
              <w:kinsoku/>
              <w:rPr>
                <w:rFonts w:ascii="宋体" w:hAnsi="宋体" w:eastAsia="宋体" w:cs="宋体"/>
                <w:color w:val="auto"/>
                <w:highlight w:val="none"/>
              </w:rPr>
            </w:pPr>
          </w:p>
        </w:tc>
        <w:tc>
          <w:tcPr>
            <w:tcW w:w="1363" w:type="dxa"/>
          </w:tcPr>
          <w:p w14:paraId="5C45E673">
            <w:pPr>
              <w:kinsoku/>
              <w:rPr>
                <w:rFonts w:ascii="宋体" w:hAnsi="宋体" w:eastAsia="宋体" w:cs="宋体"/>
                <w:color w:val="auto"/>
                <w:highlight w:val="none"/>
              </w:rPr>
            </w:pPr>
          </w:p>
        </w:tc>
        <w:tc>
          <w:tcPr>
            <w:tcW w:w="1560" w:type="dxa"/>
          </w:tcPr>
          <w:p w14:paraId="09A14DDF">
            <w:pPr>
              <w:kinsoku/>
              <w:rPr>
                <w:rFonts w:ascii="宋体" w:hAnsi="宋体" w:eastAsia="宋体" w:cs="宋体"/>
                <w:color w:val="auto"/>
                <w:highlight w:val="none"/>
              </w:rPr>
            </w:pPr>
          </w:p>
        </w:tc>
        <w:tc>
          <w:tcPr>
            <w:tcW w:w="1180" w:type="dxa"/>
          </w:tcPr>
          <w:p w14:paraId="1CFA10CA">
            <w:pPr>
              <w:kinsoku/>
              <w:rPr>
                <w:rFonts w:ascii="宋体" w:hAnsi="宋体" w:eastAsia="宋体" w:cs="宋体"/>
                <w:color w:val="auto"/>
                <w:highlight w:val="none"/>
              </w:rPr>
            </w:pPr>
          </w:p>
        </w:tc>
        <w:tc>
          <w:tcPr>
            <w:tcW w:w="1007" w:type="dxa"/>
          </w:tcPr>
          <w:p w14:paraId="4CE233C5">
            <w:pPr>
              <w:kinsoku/>
              <w:rPr>
                <w:rFonts w:ascii="宋体" w:hAnsi="宋体" w:eastAsia="宋体" w:cs="宋体"/>
                <w:color w:val="auto"/>
                <w:highlight w:val="none"/>
              </w:rPr>
            </w:pPr>
          </w:p>
        </w:tc>
        <w:tc>
          <w:tcPr>
            <w:tcW w:w="1742" w:type="dxa"/>
          </w:tcPr>
          <w:p w14:paraId="2174ADAD">
            <w:pPr>
              <w:kinsoku/>
              <w:rPr>
                <w:rFonts w:ascii="宋体" w:hAnsi="宋体" w:eastAsia="宋体" w:cs="宋体"/>
                <w:color w:val="auto"/>
                <w:highlight w:val="none"/>
              </w:rPr>
            </w:pPr>
          </w:p>
        </w:tc>
      </w:tr>
      <w:tr w14:paraId="40691F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3514" w:type="dxa"/>
            <w:gridSpan w:val="3"/>
          </w:tcPr>
          <w:p w14:paraId="6DCF1EBF">
            <w:pPr>
              <w:kinsoku/>
              <w:spacing w:before="299" w:line="219" w:lineRule="auto"/>
              <w:ind w:left="116"/>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招标人编制的最高投标限价（如有）</w:t>
            </w:r>
          </w:p>
        </w:tc>
        <w:tc>
          <w:tcPr>
            <w:tcW w:w="5489" w:type="dxa"/>
            <w:gridSpan w:val="4"/>
          </w:tcPr>
          <w:p w14:paraId="3C11560D">
            <w:pPr>
              <w:kinsoku/>
              <w:rPr>
                <w:rFonts w:ascii="宋体" w:hAnsi="宋体" w:eastAsia="宋体" w:cs="宋体"/>
                <w:color w:val="auto"/>
                <w:highlight w:val="none"/>
                <w:lang w:eastAsia="zh-CN"/>
              </w:rPr>
            </w:pPr>
          </w:p>
        </w:tc>
      </w:tr>
    </w:tbl>
    <w:p w14:paraId="6B8C496B">
      <w:pPr>
        <w:kinsoku/>
        <w:spacing w:line="340" w:lineRule="auto"/>
        <w:rPr>
          <w:rFonts w:ascii="宋体" w:hAnsi="宋体" w:eastAsia="宋体" w:cs="宋体"/>
          <w:color w:val="auto"/>
          <w:highlight w:val="none"/>
          <w:lang w:eastAsia="zh-CN"/>
        </w:rPr>
      </w:pPr>
    </w:p>
    <w:p w14:paraId="660ED1F5">
      <w:pPr>
        <w:kinsoku/>
        <w:spacing w:line="341" w:lineRule="auto"/>
        <w:rPr>
          <w:rFonts w:ascii="宋体" w:hAnsi="宋体" w:eastAsia="宋体" w:cs="宋体"/>
          <w:color w:val="auto"/>
          <w:highlight w:val="none"/>
          <w:lang w:eastAsia="zh-CN"/>
        </w:rPr>
      </w:pPr>
    </w:p>
    <w:p w14:paraId="5A7B8683">
      <w:pPr>
        <w:kinsoku/>
        <w:spacing w:before="68" w:line="221" w:lineRule="auto"/>
        <w:ind w:left="121"/>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招标人代表：</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记录人：</w:t>
      </w:r>
      <w:r>
        <w:rPr>
          <w:rFonts w:hint="eastAsia" w:ascii="宋体" w:hAnsi="宋体" w:eastAsia="宋体" w:cs="宋体"/>
          <w:color w:val="auto"/>
          <w:highlight w:val="none"/>
          <w:u w:val="single"/>
          <w:lang w:eastAsia="zh-CN"/>
        </w:rPr>
        <w:t xml:space="preserve">            </w:t>
      </w:r>
    </w:p>
    <w:p w14:paraId="23474DCE">
      <w:pPr>
        <w:kinsoku/>
        <w:spacing w:line="265" w:lineRule="auto"/>
        <w:rPr>
          <w:rFonts w:ascii="宋体" w:hAnsi="宋体" w:eastAsia="宋体" w:cs="宋体"/>
          <w:color w:val="auto"/>
          <w:highlight w:val="none"/>
          <w:lang w:eastAsia="zh-CN"/>
        </w:rPr>
      </w:pPr>
    </w:p>
    <w:p w14:paraId="65B3B581">
      <w:pPr>
        <w:tabs>
          <w:tab w:val="left" w:pos="6750"/>
        </w:tabs>
        <w:kinsoku/>
        <w:spacing w:before="78" w:line="220" w:lineRule="auto"/>
        <w:ind w:left="614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756FB295">
      <w:pPr>
        <w:kinsoku/>
        <w:spacing w:line="220" w:lineRule="auto"/>
        <w:rPr>
          <w:rFonts w:ascii="宋体" w:hAnsi="宋体" w:eastAsia="宋体" w:cs="宋体"/>
          <w:color w:val="auto"/>
          <w:sz w:val="24"/>
          <w:szCs w:val="24"/>
          <w:highlight w:val="none"/>
          <w:lang w:eastAsia="zh-CN"/>
        </w:rPr>
        <w:sectPr>
          <w:headerReference r:id="rId15" w:type="default"/>
          <w:footerReference r:id="rId16" w:type="default"/>
          <w:pgSz w:w="11907" w:h="16841"/>
          <w:pgMar w:top="1173" w:right="1366" w:bottom="1254" w:left="1531" w:header="862" w:footer="1093" w:gutter="0"/>
          <w:cols w:space="720" w:num="1"/>
        </w:sectPr>
      </w:pPr>
    </w:p>
    <w:p w14:paraId="0D5DA572">
      <w:pPr>
        <w:kinsoku/>
        <w:spacing w:before="78" w:line="224" w:lineRule="auto"/>
        <w:ind w:left="135"/>
        <w:outlineLvl w:val="1"/>
        <w:rPr>
          <w:rFonts w:ascii="宋体" w:hAnsi="宋体" w:eastAsia="宋体" w:cs="宋体"/>
          <w:color w:val="auto"/>
          <w:sz w:val="24"/>
          <w:szCs w:val="24"/>
          <w:highlight w:val="none"/>
          <w:lang w:eastAsia="zh-CN"/>
        </w:rPr>
      </w:pPr>
      <w:bookmarkStart w:id="225" w:name="bookmark172"/>
      <w:bookmarkEnd w:id="225"/>
      <w:bookmarkStart w:id="226" w:name="_Toc16485"/>
      <w:r>
        <w:rPr>
          <w:rFonts w:hint="eastAsia" w:ascii="宋体" w:hAnsi="宋体" w:eastAsia="宋体" w:cs="宋体"/>
          <w:color w:val="auto"/>
          <w:sz w:val="24"/>
          <w:szCs w:val="24"/>
          <w:highlight w:val="none"/>
          <w:lang w:eastAsia="zh-CN"/>
        </w:rPr>
        <w:t>附件二 问题澄清通知</w:t>
      </w:r>
      <w:bookmarkEnd w:id="226"/>
    </w:p>
    <w:p w14:paraId="237337E4">
      <w:pPr>
        <w:kinsoku/>
        <w:spacing w:line="449" w:lineRule="auto"/>
        <w:rPr>
          <w:rFonts w:ascii="宋体" w:hAnsi="宋体" w:eastAsia="宋体" w:cs="宋体"/>
          <w:color w:val="auto"/>
          <w:highlight w:val="none"/>
          <w:lang w:eastAsia="zh-CN"/>
        </w:rPr>
      </w:pPr>
    </w:p>
    <w:p w14:paraId="0B343199">
      <w:pPr>
        <w:kinsoku/>
        <w:spacing w:before="91" w:line="220" w:lineRule="auto"/>
        <w:ind w:left="3552"/>
        <w:rPr>
          <w:rFonts w:ascii="宋体" w:hAnsi="宋体" w:eastAsia="宋体" w:cs="宋体"/>
          <w:color w:val="auto"/>
          <w:sz w:val="28"/>
          <w:szCs w:val="28"/>
          <w:highlight w:val="none"/>
          <w:lang w:eastAsia="zh-CN"/>
        </w:rPr>
      </w:pPr>
      <w:bookmarkStart w:id="227" w:name="bookmark173"/>
      <w:bookmarkEnd w:id="227"/>
      <w:r>
        <w:rPr>
          <w:rFonts w:hint="eastAsia" w:ascii="宋体" w:hAnsi="宋体" w:eastAsia="宋体" w:cs="宋体"/>
          <w:color w:val="auto"/>
          <w:sz w:val="28"/>
          <w:szCs w:val="28"/>
          <w:highlight w:val="none"/>
          <w:lang w:eastAsia="zh-CN"/>
        </w:rPr>
        <w:t>问题澄清通知</w:t>
      </w:r>
    </w:p>
    <w:p w14:paraId="2C2BE852">
      <w:pPr>
        <w:kinsoku/>
        <w:spacing w:before="164" w:line="221" w:lineRule="auto"/>
        <w:ind w:left="2806"/>
        <w:rPr>
          <w:rFonts w:ascii="宋体" w:hAnsi="宋体" w:eastAsia="宋体" w:cs="宋体"/>
          <w:color w:val="auto"/>
          <w:highlight w:val="none"/>
          <w:lang w:eastAsia="zh-CN"/>
        </w:rPr>
      </w:pPr>
      <w:r>
        <w:rPr>
          <w:rFonts w:hint="eastAsia" w:ascii="宋体" w:hAnsi="宋体" w:eastAsia="宋体" w:cs="宋体"/>
          <w:color w:val="auto"/>
          <w:highlight w:val="none"/>
          <w:lang w:eastAsia="zh-CN"/>
        </w:rPr>
        <w:t>（编号：</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p>
    <w:p w14:paraId="2463627D">
      <w:pPr>
        <w:kinsoku/>
        <w:spacing w:line="262" w:lineRule="auto"/>
        <w:rPr>
          <w:rFonts w:ascii="宋体" w:hAnsi="宋体" w:eastAsia="宋体" w:cs="宋体"/>
          <w:color w:val="auto"/>
          <w:highlight w:val="none"/>
          <w:lang w:eastAsia="zh-CN"/>
        </w:rPr>
      </w:pPr>
    </w:p>
    <w:p w14:paraId="1A9FEEF8">
      <w:pPr>
        <w:kinsoku/>
        <w:spacing w:line="262" w:lineRule="auto"/>
        <w:rPr>
          <w:rFonts w:ascii="宋体" w:hAnsi="宋体" w:eastAsia="宋体" w:cs="宋体"/>
          <w:color w:val="auto"/>
          <w:highlight w:val="none"/>
          <w:lang w:eastAsia="zh-CN"/>
        </w:rPr>
      </w:pPr>
    </w:p>
    <w:p w14:paraId="4A8CD195">
      <w:pPr>
        <w:tabs>
          <w:tab w:val="left" w:pos="1828"/>
        </w:tabs>
        <w:kinsoku/>
        <w:spacing w:before="78" w:line="220" w:lineRule="auto"/>
        <w:ind w:left="2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（投标人名称）：</w:t>
      </w:r>
    </w:p>
    <w:p w14:paraId="53756D5D">
      <w:pPr>
        <w:kinsoku/>
        <w:spacing w:line="255" w:lineRule="auto"/>
        <w:rPr>
          <w:rFonts w:ascii="宋体" w:hAnsi="宋体" w:eastAsia="宋体" w:cs="宋体"/>
          <w:color w:val="auto"/>
          <w:highlight w:val="none"/>
          <w:lang w:eastAsia="zh-CN"/>
        </w:rPr>
      </w:pPr>
    </w:p>
    <w:p w14:paraId="57A47CF5">
      <w:pPr>
        <w:kinsoku/>
        <w:spacing w:line="256" w:lineRule="auto"/>
        <w:rPr>
          <w:rFonts w:ascii="宋体" w:hAnsi="宋体" w:eastAsia="宋体" w:cs="宋体"/>
          <w:color w:val="auto"/>
          <w:highlight w:val="none"/>
          <w:lang w:eastAsia="zh-CN"/>
        </w:rPr>
      </w:pPr>
    </w:p>
    <w:p w14:paraId="2FF284FB">
      <w:pPr>
        <w:tabs>
          <w:tab w:val="left" w:pos="2548"/>
        </w:tabs>
        <w:kinsoku/>
        <w:spacing w:before="78" w:line="330" w:lineRule="auto"/>
        <w:ind w:left="39" w:right="31" w:firstLine="70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标段勘察设计招标的评标委员会，对你方的投标文件进行了仔细的审查，现需你方对下列问题以书面形式予以澄清或说明：</w:t>
      </w:r>
    </w:p>
    <w:p w14:paraId="4EC8EAA1">
      <w:pPr>
        <w:kinsoku/>
        <w:spacing w:line="447" w:lineRule="auto"/>
        <w:rPr>
          <w:rFonts w:ascii="宋体" w:hAnsi="宋体" w:eastAsia="宋体" w:cs="宋体"/>
          <w:color w:val="auto"/>
          <w:highlight w:val="none"/>
          <w:lang w:eastAsia="zh-CN"/>
        </w:rPr>
      </w:pPr>
    </w:p>
    <w:p w14:paraId="2651FF54">
      <w:pPr>
        <w:kinsoku/>
        <w:spacing w:before="70" w:line="379" w:lineRule="auto"/>
        <w:ind w:left="513" w:right="8046" w:firstLine="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p>
    <w:p w14:paraId="7C0E0099">
      <w:pPr>
        <w:kinsoku/>
        <w:spacing w:before="70" w:line="379" w:lineRule="auto"/>
        <w:ind w:left="513" w:right="8046" w:firstLine="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p>
    <w:p w14:paraId="5B350810">
      <w:pPr>
        <w:kinsoku/>
        <w:spacing w:before="146" w:line="74" w:lineRule="exact"/>
        <w:ind w:left="64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p>
    <w:p w14:paraId="1A3ACA84">
      <w:pPr>
        <w:kinsoku/>
        <w:spacing w:line="269" w:lineRule="auto"/>
        <w:rPr>
          <w:rFonts w:ascii="宋体" w:hAnsi="宋体" w:eastAsia="宋体" w:cs="宋体"/>
          <w:color w:val="auto"/>
          <w:highlight w:val="none"/>
          <w:lang w:eastAsia="zh-CN"/>
        </w:rPr>
      </w:pPr>
    </w:p>
    <w:p w14:paraId="31E7F044">
      <w:pPr>
        <w:kinsoku/>
        <w:spacing w:line="270" w:lineRule="auto"/>
        <w:rPr>
          <w:rFonts w:ascii="宋体" w:hAnsi="宋体" w:eastAsia="宋体" w:cs="宋体"/>
          <w:color w:val="auto"/>
          <w:highlight w:val="none"/>
          <w:lang w:eastAsia="zh-CN"/>
        </w:rPr>
      </w:pPr>
    </w:p>
    <w:p w14:paraId="48E4FFDD">
      <w:pPr>
        <w:kinsoku/>
        <w:spacing w:before="79" w:line="333" w:lineRule="auto"/>
        <w:ind w:left="36" w:right="28" w:firstLine="47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请将上述问题的澄清或说明于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时</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分前递交至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（详细地址）或传真至</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（传真号码）或通过下载招标文件的电子招标交易平台上传。采用传真方式的，应在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时</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分前将原件递交至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（详细地址）。</w:t>
      </w:r>
    </w:p>
    <w:p w14:paraId="3A540EB4">
      <w:pPr>
        <w:kinsoku/>
        <w:spacing w:line="276" w:lineRule="auto"/>
        <w:rPr>
          <w:rFonts w:ascii="宋体" w:hAnsi="宋体" w:eastAsia="宋体" w:cs="宋体"/>
          <w:color w:val="auto"/>
          <w:highlight w:val="none"/>
          <w:lang w:eastAsia="zh-CN"/>
        </w:rPr>
      </w:pPr>
    </w:p>
    <w:p w14:paraId="7F486ADD">
      <w:pPr>
        <w:kinsoku/>
        <w:spacing w:line="276" w:lineRule="auto"/>
        <w:rPr>
          <w:rFonts w:ascii="宋体" w:hAnsi="宋体" w:eastAsia="宋体" w:cs="宋体"/>
          <w:color w:val="auto"/>
          <w:highlight w:val="none"/>
          <w:lang w:eastAsia="zh-CN"/>
        </w:rPr>
      </w:pPr>
    </w:p>
    <w:p w14:paraId="4F2734B3">
      <w:pPr>
        <w:kinsoku/>
        <w:spacing w:line="276" w:lineRule="auto"/>
        <w:rPr>
          <w:rFonts w:ascii="宋体" w:hAnsi="宋体" w:eastAsia="宋体" w:cs="宋体"/>
          <w:color w:val="auto"/>
          <w:highlight w:val="none"/>
          <w:lang w:eastAsia="zh-CN"/>
        </w:rPr>
      </w:pPr>
    </w:p>
    <w:p w14:paraId="2C32B2D0">
      <w:pPr>
        <w:kinsoku/>
        <w:spacing w:before="78" w:line="219" w:lineRule="auto"/>
        <w:ind w:right="36"/>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评标委员会授权的招标人或招标代理机构：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（签字或盖单位章）</w:t>
      </w:r>
    </w:p>
    <w:p w14:paraId="5F15EA0A">
      <w:pPr>
        <w:kinsoku/>
        <w:spacing w:line="257" w:lineRule="auto"/>
        <w:rPr>
          <w:rFonts w:ascii="宋体" w:hAnsi="宋体" w:eastAsia="宋体" w:cs="宋体"/>
          <w:color w:val="auto"/>
          <w:highlight w:val="none"/>
          <w:lang w:eastAsia="zh-CN"/>
        </w:rPr>
      </w:pPr>
    </w:p>
    <w:p w14:paraId="1B920DE4">
      <w:pPr>
        <w:kinsoku/>
        <w:spacing w:line="257" w:lineRule="auto"/>
        <w:rPr>
          <w:rFonts w:ascii="宋体" w:hAnsi="宋体" w:eastAsia="宋体" w:cs="宋体"/>
          <w:color w:val="auto"/>
          <w:highlight w:val="none"/>
          <w:lang w:eastAsia="zh-CN"/>
        </w:rPr>
      </w:pPr>
    </w:p>
    <w:p w14:paraId="57AAA547">
      <w:pPr>
        <w:tabs>
          <w:tab w:val="left" w:pos="5985"/>
        </w:tabs>
        <w:kinsoku/>
        <w:spacing w:before="78" w:line="220" w:lineRule="auto"/>
        <w:ind w:left="502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660DC928">
      <w:pPr>
        <w:kinsoku/>
        <w:spacing w:line="220" w:lineRule="auto"/>
        <w:rPr>
          <w:rFonts w:ascii="宋体" w:hAnsi="宋体" w:eastAsia="宋体" w:cs="宋体"/>
          <w:color w:val="auto"/>
          <w:sz w:val="24"/>
          <w:szCs w:val="24"/>
          <w:highlight w:val="none"/>
          <w:lang w:eastAsia="zh-CN"/>
        </w:rPr>
        <w:sectPr>
          <w:headerReference r:id="rId17" w:type="default"/>
          <w:footerReference r:id="rId18" w:type="default"/>
          <w:pgSz w:w="11907" w:h="16841"/>
          <w:pgMar w:top="1173" w:right="1555" w:bottom="1254" w:left="1615" w:header="862" w:footer="1093" w:gutter="0"/>
          <w:cols w:space="720" w:num="1"/>
        </w:sectPr>
      </w:pPr>
    </w:p>
    <w:p w14:paraId="08E9D553">
      <w:pPr>
        <w:kinsoku/>
        <w:spacing w:before="78" w:line="220" w:lineRule="auto"/>
        <w:ind w:left="51"/>
        <w:outlineLvl w:val="1"/>
        <w:rPr>
          <w:rFonts w:ascii="宋体" w:hAnsi="宋体" w:eastAsia="宋体" w:cs="宋体"/>
          <w:color w:val="auto"/>
          <w:sz w:val="24"/>
          <w:szCs w:val="24"/>
          <w:highlight w:val="none"/>
          <w:lang w:eastAsia="zh-CN"/>
        </w:rPr>
      </w:pPr>
      <w:bookmarkStart w:id="228" w:name="bookmark174"/>
      <w:bookmarkEnd w:id="228"/>
      <w:bookmarkStart w:id="229" w:name="_Toc26765"/>
      <w:r>
        <w:rPr>
          <w:rFonts w:hint="eastAsia" w:ascii="宋体" w:hAnsi="宋体" w:eastAsia="宋体" w:cs="宋体"/>
          <w:color w:val="auto"/>
          <w:sz w:val="24"/>
          <w:szCs w:val="24"/>
          <w:highlight w:val="none"/>
          <w:lang w:eastAsia="zh-CN"/>
        </w:rPr>
        <w:t>附件三 问题的澄清</w:t>
      </w:r>
      <w:bookmarkEnd w:id="229"/>
    </w:p>
    <w:p w14:paraId="2BC3F8DC">
      <w:pPr>
        <w:kinsoku/>
        <w:spacing w:before="102" w:line="220" w:lineRule="auto"/>
        <w:ind w:left="3694"/>
        <w:rPr>
          <w:rFonts w:ascii="宋体" w:hAnsi="宋体" w:eastAsia="宋体" w:cs="宋体"/>
          <w:color w:val="auto"/>
          <w:sz w:val="28"/>
          <w:szCs w:val="28"/>
          <w:highlight w:val="none"/>
          <w:lang w:eastAsia="zh-CN"/>
        </w:rPr>
      </w:pPr>
      <w:bookmarkStart w:id="230" w:name="bookmark175"/>
      <w:bookmarkEnd w:id="230"/>
      <w:r>
        <w:rPr>
          <w:rFonts w:hint="eastAsia" w:ascii="宋体" w:hAnsi="宋体" w:eastAsia="宋体" w:cs="宋体"/>
          <w:color w:val="auto"/>
          <w:sz w:val="28"/>
          <w:szCs w:val="28"/>
          <w:highlight w:val="none"/>
          <w:lang w:eastAsia="zh-CN"/>
        </w:rPr>
        <w:t>问题的澄清</w:t>
      </w:r>
    </w:p>
    <w:p w14:paraId="07BB59FA">
      <w:pPr>
        <w:kinsoku/>
        <w:spacing w:before="167" w:line="221" w:lineRule="auto"/>
        <w:ind w:left="3084"/>
        <w:rPr>
          <w:rFonts w:ascii="宋体" w:hAnsi="宋体" w:eastAsia="宋体" w:cs="宋体"/>
          <w:color w:val="auto"/>
          <w:highlight w:val="none"/>
          <w:lang w:eastAsia="zh-CN"/>
        </w:rPr>
      </w:pPr>
      <w:r>
        <w:rPr>
          <w:rFonts w:hint="eastAsia" w:ascii="宋体" w:hAnsi="宋体" w:eastAsia="宋体" w:cs="宋体"/>
          <w:color w:val="auto"/>
          <w:highlight w:val="none"/>
          <w:lang w:eastAsia="zh-CN"/>
        </w:rPr>
        <w:t>（编号：</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p>
    <w:p w14:paraId="4C3BB33C">
      <w:pPr>
        <w:kinsoku/>
        <w:spacing w:line="260" w:lineRule="auto"/>
        <w:rPr>
          <w:rFonts w:ascii="宋体" w:hAnsi="宋体" w:eastAsia="宋体" w:cs="宋体"/>
          <w:color w:val="auto"/>
          <w:highlight w:val="none"/>
          <w:lang w:eastAsia="zh-CN"/>
        </w:rPr>
      </w:pPr>
    </w:p>
    <w:p w14:paraId="52733B5F">
      <w:pPr>
        <w:kinsoku/>
        <w:spacing w:line="261" w:lineRule="auto"/>
        <w:rPr>
          <w:rFonts w:ascii="宋体" w:hAnsi="宋体" w:eastAsia="宋体" w:cs="宋体"/>
          <w:color w:val="auto"/>
          <w:highlight w:val="none"/>
          <w:lang w:eastAsia="zh-CN"/>
        </w:rPr>
      </w:pPr>
    </w:p>
    <w:p w14:paraId="230DA570">
      <w:pPr>
        <w:tabs>
          <w:tab w:val="left" w:pos="2325"/>
        </w:tabs>
        <w:kinsoku/>
        <w:spacing w:before="78" w:line="219" w:lineRule="auto"/>
        <w:ind w:left="2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标段施工图设计招标评标委员会：</w:t>
      </w:r>
    </w:p>
    <w:p w14:paraId="673B5600">
      <w:pPr>
        <w:kinsoku/>
        <w:spacing w:line="317" w:lineRule="auto"/>
        <w:rPr>
          <w:rFonts w:ascii="宋体" w:hAnsi="宋体" w:eastAsia="宋体" w:cs="宋体"/>
          <w:color w:val="auto"/>
          <w:highlight w:val="none"/>
          <w:lang w:eastAsia="zh-CN"/>
        </w:rPr>
      </w:pPr>
    </w:p>
    <w:p w14:paraId="57370268">
      <w:pPr>
        <w:kinsoku/>
        <w:spacing w:line="317" w:lineRule="auto"/>
        <w:rPr>
          <w:rFonts w:ascii="宋体" w:hAnsi="宋体" w:eastAsia="宋体" w:cs="宋体"/>
          <w:color w:val="auto"/>
          <w:highlight w:val="none"/>
          <w:lang w:eastAsia="zh-CN"/>
        </w:rPr>
      </w:pPr>
    </w:p>
    <w:p w14:paraId="02C7C06F">
      <w:pPr>
        <w:kinsoku/>
        <w:spacing w:line="317" w:lineRule="auto"/>
        <w:rPr>
          <w:rFonts w:ascii="宋体" w:hAnsi="宋体" w:eastAsia="宋体" w:cs="宋体"/>
          <w:color w:val="auto"/>
          <w:highlight w:val="none"/>
          <w:lang w:eastAsia="zh-CN"/>
        </w:rPr>
      </w:pPr>
    </w:p>
    <w:p w14:paraId="4DC6B04B">
      <w:pPr>
        <w:kinsoku/>
        <w:spacing w:before="78" w:line="220" w:lineRule="auto"/>
        <w:ind w:left="54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问题澄清通知（编号：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）已收悉，现澄清、说明如下：</w:t>
      </w:r>
    </w:p>
    <w:p w14:paraId="3C414C46">
      <w:pPr>
        <w:kinsoku/>
        <w:spacing w:before="200" w:line="379" w:lineRule="auto"/>
        <w:ind w:left="873" w:right="7686" w:firstLine="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p>
    <w:p w14:paraId="5667A642">
      <w:pPr>
        <w:kinsoku/>
        <w:spacing w:before="200" w:line="379" w:lineRule="auto"/>
        <w:ind w:left="873" w:right="7686" w:firstLine="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w:t>
      </w:r>
    </w:p>
    <w:p w14:paraId="45117B80">
      <w:pPr>
        <w:kinsoku/>
        <w:spacing w:line="257" w:lineRule="auto"/>
        <w:rPr>
          <w:rFonts w:ascii="宋体" w:hAnsi="宋体" w:eastAsia="宋体" w:cs="宋体"/>
          <w:color w:val="auto"/>
          <w:highlight w:val="none"/>
          <w:lang w:eastAsia="zh-CN"/>
        </w:rPr>
      </w:pPr>
    </w:p>
    <w:p w14:paraId="08ADBFDD">
      <w:pPr>
        <w:kinsoku/>
        <w:spacing w:line="258" w:lineRule="auto"/>
        <w:rPr>
          <w:rFonts w:ascii="宋体" w:hAnsi="宋体" w:eastAsia="宋体" w:cs="宋体"/>
          <w:color w:val="auto"/>
          <w:highlight w:val="none"/>
          <w:lang w:eastAsia="zh-CN"/>
        </w:rPr>
      </w:pPr>
    </w:p>
    <w:p w14:paraId="5D5749AA">
      <w:pPr>
        <w:kinsoku/>
        <w:spacing w:before="69" w:line="75" w:lineRule="exact"/>
        <w:ind w:left="76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p>
    <w:p w14:paraId="00B93A2A">
      <w:pPr>
        <w:kinsoku/>
        <w:spacing w:line="282" w:lineRule="auto"/>
        <w:rPr>
          <w:rFonts w:ascii="宋体" w:hAnsi="宋体" w:eastAsia="宋体" w:cs="宋体"/>
          <w:color w:val="auto"/>
          <w:highlight w:val="none"/>
          <w:lang w:eastAsia="zh-CN"/>
        </w:rPr>
      </w:pPr>
    </w:p>
    <w:p w14:paraId="4A658C56">
      <w:pPr>
        <w:kinsoku/>
        <w:spacing w:line="282" w:lineRule="auto"/>
        <w:rPr>
          <w:rFonts w:ascii="宋体" w:hAnsi="宋体" w:eastAsia="宋体" w:cs="宋体"/>
          <w:color w:val="auto"/>
          <w:highlight w:val="none"/>
          <w:lang w:eastAsia="zh-CN"/>
        </w:rPr>
      </w:pPr>
    </w:p>
    <w:p w14:paraId="6E9F7FAC">
      <w:pPr>
        <w:kinsoku/>
        <w:spacing w:line="283" w:lineRule="auto"/>
        <w:rPr>
          <w:rFonts w:ascii="宋体" w:hAnsi="宋体" w:eastAsia="宋体" w:cs="宋体"/>
          <w:color w:val="auto"/>
          <w:highlight w:val="none"/>
          <w:lang w:eastAsia="zh-CN"/>
        </w:rPr>
      </w:pPr>
    </w:p>
    <w:p w14:paraId="589F1086">
      <w:pPr>
        <w:kinsoku/>
        <w:spacing w:line="283" w:lineRule="auto"/>
        <w:rPr>
          <w:rFonts w:ascii="宋体" w:hAnsi="宋体" w:eastAsia="宋体" w:cs="宋体"/>
          <w:color w:val="auto"/>
          <w:highlight w:val="none"/>
          <w:lang w:eastAsia="zh-CN"/>
        </w:rPr>
      </w:pPr>
    </w:p>
    <w:p w14:paraId="3A790819">
      <w:pPr>
        <w:kinsoku/>
        <w:spacing w:line="283" w:lineRule="auto"/>
        <w:rPr>
          <w:rFonts w:ascii="宋体" w:hAnsi="宋体" w:eastAsia="宋体" w:cs="宋体"/>
          <w:color w:val="auto"/>
          <w:highlight w:val="none"/>
          <w:lang w:eastAsia="zh-CN"/>
        </w:rPr>
      </w:pPr>
    </w:p>
    <w:p w14:paraId="71881D2F">
      <w:pPr>
        <w:kinsoku/>
        <w:spacing w:before="78" w:line="325" w:lineRule="auto"/>
        <w:ind w:left="57" w:right="36" w:firstLine="46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上述问题澄清或说明，不改变我方投标文件的实质性内容，构成我方投标文件的组成部分。</w:t>
      </w:r>
    </w:p>
    <w:p w14:paraId="4E9B8903">
      <w:pPr>
        <w:kinsoku/>
        <w:spacing w:line="275" w:lineRule="auto"/>
        <w:rPr>
          <w:rFonts w:ascii="宋体" w:hAnsi="宋体" w:eastAsia="宋体" w:cs="宋体"/>
          <w:color w:val="auto"/>
          <w:highlight w:val="none"/>
          <w:lang w:eastAsia="zh-CN"/>
        </w:rPr>
      </w:pPr>
    </w:p>
    <w:p w14:paraId="512A8060">
      <w:pPr>
        <w:kinsoku/>
        <w:spacing w:line="275" w:lineRule="auto"/>
        <w:rPr>
          <w:rFonts w:ascii="宋体" w:hAnsi="宋体" w:eastAsia="宋体" w:cs="宋体"/>
          <w:color w:val="auto"/>
          <w:highlight w:val="none"/>
          <w:lang w:eastAsia="zh-CN"/>
        </w:rPr>
      </w:pPr>
    </w:p>
    <w:p w14:paraId="18D337CB">
      <w:pPr>
        <w:kinsoku/>
        <w:spacing w:line="275" w:lineRule="auto"/>
        <w:rPr>
          <w:rFonts w:ascii="宋体" w:hAnsi="宋体" w:eastAsia="宋体" w:cs="宋体"/>
          <w:color w:val="auto"/>
          <w:highlight w:val="none"/>
          <w:lang w:eastAsia="zh-CN"/>
        </w:rPr>
      </w:pPr>
    </w:p>
    <w:p w14:paraId="4C70EABB">
      <w:pPr>
        <w:kinsoku/>
        <w:spacing w:before="79" w:line="327" w:lineRule="auto"/>
        <w:ind w:left="3639" w:right="28" w:firstLine="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09CB142">
      <w:pPr>
        <w:kinsoku/>
        <w:spacing w:before="79" w:line="327" w:lineRule="auto"/>
        <w:ind w:left="3639" w:right="28" w:firstLine="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1E32A237">
      <w:pPr>
        <w:kinsoku/>
        <w:spacing w:line="395" w:lineRule="auto"/>
        <w:rPr>
          <w:rFonts w:ascii="宋体" w:hAnsi="宋体" w:eastAsia="宋体" w:cs="宋体"/>
          <w:color w:val="auto"/>
          <w:highlight w:val="none"/>
          <w:lang w:eastAsia="zh-CN"/>
        </w:rPr>
      </w:pPr>
    </w:p>
    <w:p w14:paraId="23D95437">
      <w:pPr>
        <w:tabs>
          <w:tab w:val="left" w:pos="5909"/>
        </w:tabs>
        <w:kinsoku/>
        <w:spacing w:before="79" w:line="220" w:lineRule="auto"/>
        <w:ind w:left="494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30FA11D1">
      <w:pPr>
        <w:kinsoku/>
        <w:spacing w:line="249" w:lineRule="auto"/>
        <w:rPr>
          <w:rFonts w:ascii="宋体" w:hAnsi="宋体" w:eastAsia="宋体" w:cs="宋体"/>
          <w:color w:val="auto"/>
          <w:highlight w:val="none"/>
          <w:lang w:eastAsia="zh-CN"/>
        </w:rPr>
      </w:pPr>
    </w:p>
    <w:p w14:paraId="73989764">
      <w:pPr>
        <w:kinsoku/>
        <w:spacing w:line="249" w:lineRule="auto"/>
        <w:rPr>
          <w:rFonts w:ascii="宋体" w:hAnsi="宋体" w:eastAsia="宋体" w:cs="宋体"/>
          <w:color w:val="auto"/>
          <w:highlight w:val="none"/>
          <w:lang w:eastAsia="zh-CN"/>
        </w:rPr>
      </w:pPr>
    </w:p>
    <w:p w14:paraId="585FD8AA">
      <w:pPr>
        <w:kinsoku/>
        <w:spacing w:line="249" w:lineRule="auto"/>
        <w:rPr>
          <w:rFonts w:ascii="宋体" w:hAnsi="宋体" w:eastAsia="宋体" w:cs="宋体"/>
          <w:color w:val="auto"/>
          <w:highlight w:val="none"/>
          <w:lang w:eastAsia="zh-CN"/>
        </w:rPr>
      </w:pPr>
    </w:p>
    <w:p w14:paraId="4AF0AAAC">
      <w:pPr>
        <w:kinsoku/>
        <w:spacing w:line="249" w:lineRule="auto"/>
        <w:rPr>
          <w:rFonts w:ascii="宋体" w:hAnsi="宋体" w:eastAsia="宋体" w:cs="宋体"/>
          <w:color w:val="auto"/>
          <w:highlight w:val="none"/>
          <w:lang w:eastAsia="zh-CN"/>
        </w:rPr>
      </w:pPr>
    </w:p>
    <w:p w14:paraId="1B1637F4">
      <w:pPr>
        <w:kinsoku/>
        <w:spacing w:line="249" w:lineRule="auto"/>
        <w:rPr>
          <w:rFonts w:ascii="宋体" w:hAnsi="宋体" w:eastAsia="宋体" w:cs="宋体"/>
          <w:color w:val="auto"/>
          <w:highlight w:val="none"/>
          <w:lang w:eastAsia="zh-CN"/>
        </w:rPr>
      </w:pPr>
    </w:p>
    <w:p w14:paraId="604CAED7">
      <w:pPr>
        <w:kinsoku/>
        <w:spacing w:line="249" w:lineRule="auto"/>
        <w:rPr>
          <w:rFonts w:ascii="宋体" w:hAnsi="宋体" w:eastAsia="宋体" w:cs="宋体"/>
          <w:color w:val="auto"/>
          <w:highlight w:val="none"/>
          <w:lang w:eastAsia="zh-CN"/>
        </w:rPr>
      </w:pPr>
    </w:p>
    <w:p w14:paraId="161D0044">
      <w:pPr>
        <w:kinsoku/>
        <w:spacing w:line="250" w:lineRule="auto"/>
        <w:rPr>
          <w:rFonts w:ascii="宋体" w:hAnsi="宋体" w:eastAsia="宋体" w:cs="宋体"/>
          <w:color w:val="auto"/>
          <w:highlight w:val="none"/>
          <w:lang w:eastAsia="zh-CN"/>
        </w:rPr>
      </w:pPr>
    </w:p>
    <w:p w14:paraId="163D23B1">
      <w:pPr>
        <w:kinsoku/>
        <w:spacing w:line="250" w:lineRule="auto"/>
        <w:rPr>
          <w:rFonts w:ascii="宋体" w:hAnsi="宋体" w:eastAsia="宋体" w:cs="宋体"/>
          <w:color w:val="auto"/>
          <w:highlight w:val="none"/>
          <w:lang w:eastAsia="zh-CN"/>
        </w:rPr>
      </w:pPr>
    </w:p>
    <w:p w14:paraId="0E405300">
      <w:pPr>
        <w:kinsoku/>
        <w:spacing w:line="368" w:lineRule="auto"/>
        <w:rPr>
          <w:rFonts w:ascii="宋体" w:hAnsi="宋体" w:eastAsia="宋体" w:cs="宋体"/>
          <w:color w:val="auto"/>
          <w:highlight w:val="none"/>
          <w:lang w:eastAsia="zh-CN"/>
        </w:rPr>
      </w:pPr>
    </w:p>
    <w:p w14:paraId="07C18D8F">
      <w:pPr>
        <w:kinsoku/>
        <w:rPr>
          <w:rFonts w:ascii="宋体" w:hAnsi="宋体" w:eastAsia="宋体" w:cs="宋体"/>
          <w:color w:val="auto"/>
          <w:sz w:val="24"/>
          <w:szCs w:val="24"/>
          <w:highlight w:val="none"/>
          <w:lang w:eastAsia="zh-CN"/>
        </w:rPr>
      </w:pPr>
      <w:bookmarkStart w:id="231" w:name="bookmark176"/>
      <w:bookmarkEnd w:id="231"/>
      <w:r>
        <w:rPr>
          <w:rFonts w:hint="eastAsia" w:ascii="宋体" w:hAnsi="宋体" w:eastAsia="宋体" w:cs="宋体"/>
          <w:color w:val="auto"/>
          <w:sz w:val="24"/>
          <w:szCs w:val="24"/>
          <w:highlight w:val="none"/>
          <w:lang w:eastAsia="zh-CN"/>
        </w:rPr>
        <w:br w:type="page"/>
      </w:r>
    </w:p>
    <w:p w14:paraId="0AE178F1">
      <w:pPr>
        <w:kinsoku/>
        <w:spacing w:before="78" w:line="220" w:lineRule="auto"/>
        <w:ind w:left="51"/>
        <w:outlineLvl w:val="1"/>
        <w:rPr>
          <w:rFonts w:ascii="宋体" w:hAnsi="宋体" w:eastAsia="宋体" w:cs="宋体"/>
          <w:color w:val="auto"/>
          <w:sz w:val="24"/>
          <w:szCs w:val="24"/>
          <w:highlight w:val="none"/>
          <w:lang w:eastAsia="zh-CN"/>
        </w:rPr>
      </w:pPr>
      <w:bookmarkStart w:id="232" w:name="_Toc21820"/>
      <w:r>
        <w:rPr>
          <w:rFonts w:hint="eastAsia" w:ascii="宋体" w:hAnsi="宋体" w:eastAsia="宋体" w:cs="宋体"/>
          <w:color w:val="auto"/>
          <w:sz w:val="24"/>
          <w:szCs w:val="24"/>
          <w:highlight w:val="none"/>
          <w:lang w:eastAsia="zh-CN"/>
        </w:rPr>
        <w:t>附件四 中标通知书</w:t>
      </w:r>
      <w:bookmarkEnd w:id="232"/>
    </w:p>
    <w:p w14:paraId="5DE89A1D">
      <w:pPr>
        <w:kinsoku/>
        <w:spacing w:line="449" w:lineRule="auto"/>
        <w:rPr>
          <w:rFonts w:ascii="宋体" w:hAnsi="宋体" w:eastAsia="宋体" w:cs="宋体"/>
          <w:color w:val="auto"/>
          <w:highlight w:val="none"/>
          <w:lang w:eastAsia="zh-CN"/>
        </w:rPr>
      </w:pPr>
    </w:p>
    <w:p w14:paraId="0980D21F">
      <w:pPr>
        <w:kinsoku/>
        <w:spacing w:before="91" w:line="220" w:lineRule="auto"/>
        <w:ind w:left="3702"/>
        <w:rPr>
          <w:rFonts w:ascii="宋体" w:hAnsi="宋体" w:eastAsia="宋体" w:cs="宋体"/>
          <w:color w:val="auto"/>
          <w:sz w:val="28"/>
          <w:szCs w:val="28"/>
          <w:highlight w:val="none"/>
          <w:lang w:eastAsia="zh-CN"/>
        </w:rPr>
      </w:pPr>
      <w:bookmarkStart w:id="233" w:name="bookmark177"/>
      <w:bookmarkEnd w:id="233"/>
      <w:r>
        <w:rPr>
          <w:rFonts w:hint="eastAsia" w:ascii="宋体" w:hAnsi="宋体" w:eastAsia="宋体" w:cs="宋体"/>
          <w:color w:val="auto"/>
          <w:sz w:val="28"/>
          <w:szCs w:val="28"/>
          <w:highlight w:val="none"/>
          <w:lang w:eastAsia="zh-CN"/>
        </w:rPr>
        <w:t>中标通知书</w:t>
      </w:r>
    </w:p>
    <w:p w14:paraId="1B7ED75F">
      <w:pPr>
        <w:kinsoku/>
        <w:spacing w:line="249" w:lineRule="auto"/>
        <w:rPr>
          <w:rFonts w:ascii="宋体" w:hAnsi="宋体" w:eastAsia="宋体" w:cs="宋体"/>
          <w:color w:val="auto"/>
          <w:highlight w:val="none"/>
          <w:lang w:eastAsia="zh-CN"/>
        </w:rPr>
      </w:pPr>
    </w:p>
    <w:p w14:paraId="23B14603">
      <w:pPr>
        <w:kinsoku/>
        <w:spacing w:line="249" w:lineRule="auto"/>
        <w:rPr>
          <w:rFonts w:ascii="宋体" w:hAnsi="宋体" w:eastAsia="宋体" w:cs="宋体"/>
          <w:color w:val="auto"/>
          <w:highlight w:val="none"/>
          <w:lang w:eastAsia="zh-CN"/>
        </w:rPr>
      </w:pPr>
    </w:p>
    <w:p w14:paraId="49F14AAD">
      <w:pPr>
        <w:tabs>
          <w:tab w:val="left" w:pos="5765"/>
        </w:tabs>
        <w:kinsoku/>
        <w:spacing w:before="34" w:line="220" w:lineRule="auto"/>
        <w:jc w:val="center"/>
        <w:rPr>
          <w:rFonts w:ascii="宋体" w:hAnsi="宋体" w:cs="宋体"/>
          <w:color w:val="auto"/>
          <w:sz w:val="24"/>
          <w:highlight w:val="none"/>
          <w:lang w:eastAsia="zh-CN"/>
        </w:rPr>
      </w:pPr>
      <w:r>
        <w:rPr>
          <w:rFonts w:hint="eastAsia" w:ascii="宋体" w:hAnsi="宋体" w:cs="宋体"/>
          <w:color w:val="auto"/>
          <w:sz w:val="24"/>
          <w:highlight w:val="none"/>
          <w:lang w:eastAsia="zh-CN"/>
        </w:rPr>
        <w:t>采用韶关市公共资源交易中心发出的格式</w:t>
      </w:r>
    </w:p>
    <w:p w14:paraId="1CDFB25D">
      <w:pPr>
        <w:pStyle w:val="2"/>
        <w:rPr>
          <w:color w:val="auto"/>
          <w:highlight w:val="none"/>
          <w:lang w:eastAsia="zh-CN"/>
        </w:rPr>
      </w:pPr>
    </w:p>
    <w:p w14:paraId="62A2CA03">
      <w:pPr>
        <w:kinsoku/>
        <w:spacing w:line="220" w:lineRule="auto"/>
        <w:rPr>
          <w:rFonts w:ascii="宋体" w:hAnsi="宋体" w:eastAsia="宋体" w:cs="宋体"/>
          <w:color w:val="auto"/>
          <w:sz w:val="24"/>
          <w:szCs w:val="24"/>
          <w:highlight w:val="none"/>
          <w:lang w:eastAsia="zh-CN"/>
        </w:rPr>
        <w:sectPr>
          <w:footerReference r:id="rId19" w:type="default"/>
          <w:pgSz w:w="11907" w:h="16841"/>
          <w:pgMar w:top="1173" w:right="1482" w:bottom="1254" w:left="1615" w:header="862" w:footer="1093" w:gutter="0"/>
          <w:cols w:space="720" w:num="1"/>
        </w:sectPr>
      </w:pPr>
    </w:p>
    <w:p w14:paraId="77DC478D">
      <w:pPr>
        <w:kinsoku/>
        <w:spacing w:before="78" w:line="220" w:lineRule="auto"/>
        <w:ind w:left="51"/>
        <w:outlineLvl w:val="1"/>
        <w:rPr>
          <w:rFonts w:ascii="宋体" w:hAnsi="宋体" w:eastAsia="宋体" w:cs="宋体"/>
          <w:color w:val="auto"/>
          <w:sz w:val="24"/>
          <w:szCs w:val="24"/>
          <w:highlight w:val="none"/>
          <w:lang w:eastAsia="zh-CN"/>
        </w:rPr>
      </w:pPr>
      <w:bookmarkStart w:id="234" w:name="bookmark178"/>
      <w:bookmarkEnd w:id="234"/>
      <w:bookmarkStart w:id="235" w:name="_Toc21936"/>
      <w:r>
        <w:rPr>
          <w:rFonts w:hint="eastAsia" w:ascii="宋体" w:hAnsi="宋体" w:eastAsia="宋体" w:cs="宋体"/>
          <w:color w:val="auto"/>
          <w:sz w:val="24"/>
          <w:szCs w:val="24"/>
          <w:highlight w:val="none"/>
          <w:lang w:eastAsia="zh-CN"/>
        </w:rPr>
        <w:t>附件五 中标结果通知书</w:t>
      </w:r>
      <w:bookmarkEnd w:id="235"/>
    </w:p>
    <w:p w14:paraId="2D190157">
      <w:pPr>
        <w:kinsoku/>
        <w:spacing w:before="102" w:line="220" w:lineRule="auto"/>
        <w:ind w:left="3419"/>
        <w:rPr>
          <w:rFonts w:ascii="宋体" w:hAnsi="宋体" w:eastAsia="宋体" w:cs="宋体"/>
          <w:color w:val="auto"/>
          <w:sz w:val="28"/>
          <w:szCs w:val="28"/>
          <w:highlight w:val="none"/>
          <w:lang w:eastAsia="zh-CN"/>
        </w:rPr>
      </w:pPr>
      <w:bookmarkStart w:id="236" w:name="bookmark179"/>
      <w:bookmarkEnd w:id="236"/>
      <w:r>
        <w:rPr>
          <w:rFonts w:hint="eastAsia" w:ascii="宋体" w:hAnsi="宋体" w:eastAsia="宋体" w:cs="宋体"/>
          <w:color w:val="auto"/>
          <w:sz w:val="28"/>
          <w:szCs w:val="28"/>
          <w:highlight w:val="none"/>
          <w:lang w:eastAsia="zh-CN"/>
        </w:rPr>
        <w:t>中标结果通知书</w:t>
      </w:r>
    </w:p>
    <w:p w14:paraId="64881E0E">
      <w:pPr>
        <w:kinsoku/>
        <w:spacing w:line="250" w:lineRule="auto"/>
        <w:rPr>
          <w:rFonts w:ascii="宋体" w:hAnsi="宋体" w:eastAsia="宋体" w:cs="宋体"/>
          <w:color w:val="auto"/>
          <w:highlight w:val="none"/>
          <w:lang w:eastAsia="zh-CN"/>
        </w:rPr>
      </w:pPr>
    </w:p>
    <w:p w14:paraId="453E51B0">
      <w:pPr>
        <w:kinsoku/>
        <w:spacing w:line="251" w:lineRule="auto"/>
        <w:rPr>
          <w:rFonts w:ascii="宋体" w:hAnsi="宋体" w:eastAsia="宋体" w:cs="宋体"/>
          <w:color w:val="auto"/>
          <w:highlight w:val="none"/>
          <w:lang w:eastAsia="zh-CN"/>
        </w:rPr>
      </w:pPr>
    </w:p>
    <w:p w14:paraId="2200A07B">
      <w:pPr>
        <w:tabs>
          <w:tab w:val="left" w:pos="2308"/>
        </w:tabs>
        <w:kinsoku/>
        <w:spacing w:before="78" w:line="220" w:lineRule="auto"/>
        <w:ind w:left="14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（未中标人名称）：</w:t>
      </w:r>
    </w:p>
    <w:p w14:paraId="64887875">
      <w:pPr>
        <w:kinsoku/>
        <w:spacing w:line="257" w:lineRule="auto"/>
        <w:rPr>
          <w:rFonts w:ascii="宋体" w:hAnsi="宋体" w:eastAsia="宋体" w:cs="宋体"/>
          <w:color w:val="auto"/>
          <w:highlight w:val="none"/>
          <w:lang w:eastAsia="zh-CN"/>
        </w:rPr>
      </w:pPr>
    </w:p>
    <w:p w14:paraId="59756ADA">
      <w:pPr>
        <w:kinsoku/>
        <w:spacing w:line="258" w:lineRule="auto"/>
        <w:rPr>
          <w:rFonts w:ascii="宋体" w:hAnsi="宋体" w:eastAsia="宋体" w:cs="宋体"/>
          <w:color w:val="auto"/>
          <w:highlight w:val="none"/>
          <w:lang w:eastAsia="zh-CN"/>
        </w:rPr>
      </w:pPr>
    </w:p>
    <w:p w14:paraId="57E63F63">
      <w:pPr>
        <w:kinsoku/>
        <w:spacing w:before="78" w:line="329" w:lineRule="auto"/>
        <w:ind w:left="39" w:right="99" w:firstLine="48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我方已接受</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（中标人名称）于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（投标日期）所递交的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标段施工图设计投标文件，确定</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（中标人名称）为中标人。</w:t>
      </w:r>
    </w:p>
    <w:p w14:paraId="62FA1E10">
      <w:pPr>
        <w:kinsoku/>
        <w:spacing w:line="394" w:lineRule="auto"/>
        <w:rPr>
          <w:rFonts w:ascii="宋体" w:hAnsi="宋体" w:eastAsia="宋体" w:cs="宋体"/>
          <w:color w:val="auto"/>
          <w:highlight w:val="none"/>
          <w:lang w:eastAsia="zh-CN"/>
        </w:rPr>
      </w:pPr>
    </w:p>
    <w:p w14:paraId="1DA6EC33">
      <w:pPr>
        <w:kinsoku/>
        <w:spacing w:before="78" w:line="220"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感谢你单位对招标项目的参与！</w:t>
      </w:r>
    </w:p>
    <w:p w14:paraId="75A9A997">
      <w:pPr>
        <w:kinsoku/>
        <w:spacing w:line="260" w:lineRule="auto"/>
        <w:rPr>
          <w:rFonts w:ascii="宋体" w:hAnsi="宋体" w:eastAsia="宋体" w:cs="宋体"/>
          <w:color w:val="auto"/>
          <w:highlight w:val="none"/>
          <w:lang w:eastAsia="zh-CN"/>
        </w:rPr>
      </w:pPr>
    </w:p>
    <w:p w14:paraId="43393D5B">
      <w:pPr>
        <w:kinsoku/>
        <w:spacing w:line="260" w:lineRule="auto"/>
        <w:rPr>
          <w:rFonts w:ascii="宋体" w:hAnsi="宋体" w:eastAsia="宋体" w:cs="宋体"/>
          <w:color w:val="auto"/>
          <w:highlight w:val="none"/>
          <w:lang w:eastAsia="zh-CN"/>
        </w:rPr>
      </w:pPr>
    </w:p>
    <w:p w14:paraId="4B9CC7F8">
      <w:pPr>
        <w:kinsoku/>
        <w:spacing w:line="260" w:lineRule="auto"/>
        <w:rPr>
          <w:rFonts w:ascii="宋体" w:hAnsi="宋体" w:eastAsia="宋体" w:cs="宋体"/>
          <w:color w:val="auto"/>
          <w:highlight w:val="none"/>
          <w:lang w:eastAsia="zh-CN"/>
        </w:rPr>
      </w:pPr>
    </w:p>
    <w:p w14:paraId="5AA5A438">
      <w:pPr>
        <w:kinsoku/>
        <w:spacing w:line="261" w:lineRule="auto"/>
        <w:rPr>
          <w:rFonts w:ascii="宋体" w:hAnsi="宋体" w:eastAsia="宋体" w:cs="宋体"/>
          <w:color w:val="auto"/>
          <w:highlight w:val="none"/>
          <w:lang w:eastAsia="zh-CN"/>
        </w:rPr>
      </w:pPr>
    </w:p>
    <w:p w14:paraId="02A96181">
      <w:pPr>
        <w:kinsoku/>
        <w:spacing w:line="261" w:lineRule="auto"/>
        <w:rPr>
          <w:rFonts w:ascii="宋体" w:hAnsi="宋体" w:eastAsia="宋体" w:cs="宋体"/>
          <w:color w:val="auto"/>
          <w:highlight w:val="none"/>
          <w:lang w:eastAsia="zh-CN"/>
        </w:rPr>
      </w:pPr>
    </w:p>
    <w:p w14:paraId="35CC07D9">
      <w:pPr>
        <w:kinsoku/>
        <w:spacing w:line="261" w:lineRule="auto"/>
        <w:rPr>
          <w:rFonts w:ascii="宋体" w:hAnsi="宋体" w:eastAsia="宋体" w:cs="宋体"/>
          <w:color w:val="auto"/>
          <w:highlight w:val="none"/>
          <w:lang w:eastAsia="zh-CN"/>
        </w:rPr>
      </w:pPr>
    </w:p>
    <w:p w14:paraId="230A9C53">
      <w:pPr>
        <w:kinsoku/>
        <w:spacing w:before="78" w:line="448" w:lineRule="auto"/>
        <w:ind w:left="374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F5389B2">
      <w:pPr>
        <w:kinsoku/>
        <w:spacing w:before="78" w:line="448" w:lineRule="auto"/>
        <w:ind w:left="374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招标代理机构：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FCD58BC">
      <w:pPr>
        <w:tabs>
          <w:tab w:val="left" w:pos="6029"/>
        </w:tabs>
        <w:kinsoku/>
        <w:spacing w:before="34" w:line="220" w:lineRule="auto"/>
        <w:ind w:left="506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0B93549A">
      <w:pPr>
        <w:kinsoku/>
        <w:spacing w:line="220" w:lineRule="auto"/>
        <w:rPr>
          <w:rFonts w:ascii="宋体" w:hAnsi="宋体" w:eastAsia="宋体" w:cs="宋体"/>
          <w:color w:val="auto"/>
          <w:sz w:val="24"/>
          <w:szCs w:val="24"/>
          <w:highlight w:val="none"/>
          <w:lang w:eastAsia="zh-CN"/>
        </w:rPr>
        <w:sectPr>
          <w:footerReference r:id="rId20" w:type="default"/>
          <w:pgSz w:w="11907" w:h="16841"/>
          <w:pgMar w:top="1173" w:right="1482" w:bottom="1254" w:left="1615" w:header="862" w:footer="1093" w:gutter="0"/>
          <w:cols w:space="720" w:num="1"/>
        </w:sectPr>
      </w:pPr>
    </w:p>
    <w:p w14:paraId="29CFB3E1">
      <w:pPr>
        <w:kinsoku/>
        <w:spacing w:before="78" w:line="219" w:lineRule="auto"/>
        <w:ind w:left="51"/>
        <w:outlineLvl w:val="1"/>
        <w:rPr>
          <w:rFonts w:ascii="宋体" w:hAnsi="宋体" w:eastAsia="宋体" w:cs="宋体"/>
          <w:color w:val="auto"/>
          <w:sz w:val="24"/>
          <w:szCs w:val="24"/>
          <w:highlight w:val="none"/>
          <w:lang w:eastAsia="zh-CN"/>
        </w:rPr>
      </w:pPr>
      <w:bookmarkStart w:id="237" w:name="bookmark180"/>
      <w:bookmarkEnd w:id="237"/>
      <w:bookmarkStart w:id="238" w:name="_Toc24318"/>
      <w:r>
        <w:rPr>
          <w:rFonts w:hint="eastAsia" w:ascii="宋体" w:hAnsi="宋体" w:eastAsia="宋体" w:cs="宋体"/>
          <w:color w:val="auto"/>
          <w:sz w:val="24"/>
          <w:szCs w:val="24"/>
          <w:highlight w:val="none"/>
          <w:lang w:eastAsia="zh-CN"/>
        </w:rPr>
        <w:t>附件六 确认通知</w:t>
      </w:r>
      <w:bookmarkEnd w:id="238"/>
    </w:p>
    <w:p w14:paraId="390FD9A7">
      <w:pPr>
        <w:kinsoku/>
        <w:spacing w:before="103" w:line="219" w:lineRule="auto"/>
        <w:ind w:left="3604"/>
        <w:rPr>
          <w:rFonts w:ascii="宋体" w:hAnsi="宋体" w:eastAsia="宋体" w:cs="宋体"/>
          <w:color w:val="auto"/>
          <w:sz w:val="28"/>
          <w:szCs w:val="28"/>
          <w:highlight w:val="none"/>
          <w:lang w:eastAsia="zh-CN"/>
        </w:rPr>
      </w:pPr>
      <w:bookmarkStart w:id="239" w:name="bookmark181"/>
      <w:bookmarkEnd w:id="239"/>
      <w:r>
        <w:rPr>
          <w:rFonts w:hint="eastAsia" w:ascii="宋体" w:hAnsi="宋体" w:eastAsia="宋体" w:cs="宋体"/>
          <w:color w:val="auto"/>
          <w:sz w:val="28"/>
          <w:szCs w:val="28"/>
          <w:highlight w:val="none"/>
          <w:lang w:eastAsia="zh-CN"/>
        </w:rPr>
        <w:t>确 认 通 知</w:t>
      </w:r>
    </w:p>
    <w:p w14:paraId="7D7E75C2">
      <w:pPr>
        <w:kinsoku/>
        <w:spacing w:line="251" w:lineRule="auto"/>
        <w:rPr>
          <w:rFonts w:ascii="宋体" w:hAnsi="宋体" w:eastAsia="宋体" w:cs="宋体"/>
          <w:color w:val="auto"/>
          <w:highlight w:val="none"/>
          <w:lang w:eastAsia="zh-CN"/>
        </w:rPr>
      </w:pPr>
    </w:p>
    <w:p w14:paraId="4B41C967">
      <w:pPr>
        <w:kinsoku/>
        <w:spacing w:line="251" w:lineRule="auto"/>
        <w:rPr>
          <w:rFonts w:ascii="宋体" w:hAnsi="宋体" w:eastAsia="宋体" w:cs="宋体"/>
          <w:color w:val="auto"/>
          <w:highlight w:val="none"/>
          <w:lang w:eastAsia="zh-CN"/>
        </w:rPr>
      </w:pPr>
    </w:p>
    <w:p w14:paraId="492CDA25">
      <w:pPr>
        <w:tabs>
          <w:tab w:val="left" w:pos="1468"/>
        </w:tabs>
        <w:kinsoku/>
        <w:spacing w:before="78" w:line="220" w:lineRule="auto"/>
        <w:ind w:left="2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（招标人名称）：</w:t>
      </w:r>
    </w:p>
    <w:p w14:paraId="0B9845B0">
      <w:pPr>
        <w:kinsoku/>
        <w:spacing w:line="344" w:lineRule="auto"/>
        <w:rPr>
          <w:rFonts w:ascii="宋体" w:hAnsi="宋体" w:eastAsia="宋体" w:cs="宋体"/>
          <w:color w:val="auto"/>
          <w:highlight w:val="none"/>
          <w:lang w:eastAsia="zh-CN"/>
        </w:rPr>
      </w:pPr>
    </w:p>
    <w:p w14:paraId="55AA0CD5">
      <w:pPr>
        <w:kinsoku/>
        <w:spacing w:line="345" w:lineRule="auto"/>
        <w:rPr>
          <w:rFonts w:ascii="宋体" w:hAnsi="宋体" w:eastAsia="宋体" w:cs="宋体"/>
          <w:color w:val="auto"/>
          <w:highlight w:val="none"/>
          <w:lang w:eastAsia="zh-CN"/>
        </w:rPr>
      </w:pPr>
    </w:p>
    <w:p w14:paraId="01102C01">
      <w:pPr>
        <w:kinsoku/>
        <w:spacing w:before="78" w:line="402" w:lineRule="auto"/>
        <w:ind w:left="39" w:right="33"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你方于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日发出的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标段施工图设计招标关于招标文件澄清/修改的通知（第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号补遗书，正文共</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页），我方已于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日收到。</w:t>
      </w:r>
    </w:p>
    <w:p w14:paraId="4A95A4D4">
      <w:pPr>
        <w:kinsoku/>
        <w:spacing w:before="52"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特此确认。</w:t>
      </w:r>
    </w:p>
    <w:p w14:paraId="6EFA3B88">
      <w:pPr>
        <w:kinsoku/>
        <w:spacing w:line="281" w:lineRule="auto"/>
        <w:rPr>
          <w:rFonts w:ascii="宋体" w:hAnsi="宋体" w:eastAsia="宋体" w:cs="宋体"/>
          <w:color w:val="auto"/>
          <w:highlight w:val="none"/>
          <w:lang w:eastAsia="zh-CN"/>
        </w:rPr>
      </w:pPr>
    </w:p>
    <w:p w14:paraId="6664154E">
      <w:pPr>
        <w:kinsoku/>
        <w:spacing w:line="281" w:lineRule="auto"/>
        <w:rPr>
          <w:rFonts w:ascii="宋体" w:hAnsi="宋体" w:eastAsia="宋体" w:cs="宋体"/>
          <w:color w:val="auto"/>
          <w:highlight w:val="none"/>
          <w:lang w:eastAsia="zh-CN"/>
        </w:rPr>
      </w:pPr>
    </w:p>
    <w:p w14:paraId="6E13AA73">
      <w:pPr>
        <w:kinsoku/>
        <w:spacing w:line="282" w:lineRule="auto"/>
        <w:rPr>
          <w:rFonts w:ascii="宋体" w:hAnsi="宋体" w:eastAsia="宋体" w:cs="宋体"/>
          <w:color w:val="auto"/>
          <w:highlight w:val="none"/>
          <w:lang w:eastAsia="zh-CN"/>
        </w:rPr>
      </w:pPr>
    </w:p>
    <w:p w14:paraId="3D172B44">
      <w:pPr>
        <w:kinsoku/>
        <w:spacing w:line="282" w:lineRule="auto"/>
        <w:rPr>
          <w:rFonts w:ascii="宋体" w:hAnsi="宋体" w:eastAsia="宋体" w:cs="宋体"/>
          <w:color w:val="auto"/>
          <w:highlight w:val="none"/>
          <w:lang w:eastAsia="zh-CN"/>
        </w:rPr>
      </w:pPr>
    </w:p>
    <w:p w14:paraId="4FAFA0DC">
      <w:pPr>
        <w:kinsoku/>
        <w:spacing w:line="282" w:lineRule="auto"/>
        <w:rPr>
          <w:rFonts w:ascii="宋体" w:hAnsi="宋体" w:eastAsia="宋体" w:cs="宋体"/>
          <w:color w:val="auto"/>
          <w:highlight w:val="none"/>
          <w:lang w:eastAsia="zh-CN"/>
        </w:rPr>
      </w:pPr>
    </w:p>
    <w:p w14:paraId="54408976">
      <w:pPr>
        <w:kinsoku/>
        <w:spacing w:before="78" w:line="219" w:lineRule="auto"/>
        <w:ind w:left="36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47BE7421">
      <w:pPr>
        <w:kinsoku/>
        <w:spacing w:line="257" w:lineRule="auto"/>
        <w:rPr>
          <w:rFonts w:ascii="宋体" w:hAnsi="宋体" w:eastAsia="宋体" w:cs="宋体"/>
          <w:color w:val="auto"/>
          <w:highlight w:val="none"/>
          <w:lang w:eastAsia="zh-CN"/>
        </w:rPr>
      </w:pPr>
    </w:p>
    <w:p w14:paraId="5CDEE88A">
      <w:pPr>
        <w:kinsoku/>
        <w:spacing w:line="257" w:lineRule="auto"/>
        <w:rPr>
          <w:rFonts w:ascii="宋体" w:hAnsi="宋体" w:eastAsia="宋体" w:cs="宋体"/>
          <w:color w:val="auto"/>
          <w:highlight w:val="none"/>
          <w:lang w:eastAsia="zh-CN"/>
        </w:rPr>
      </w:pPr>
    </w:p>
    <w:p w14:paraId="3E7DFB47">
      <w:pPr>
        <w:tabs>
          <w:tab w:val="left" w:pos="5549"/>
        </w:tabs>
        <w:kinsoku/>
        <w:spacing w:before="79" w:line="220" w:lineRule="auto"/>
        <w:ind w:left="458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546659E1">
      <w:pPr>
        <w:kinsoku/>
        <w:spacing w:line="220" w:lineRule="auto"/>
        <w:rPr>
          <w:rFonts w:ascii="宋体" w:hAnsi="宋体" w:eastAsia="宋体" w:cs="宋体"/>
          <w:color w:val="auto"/>
          <w:sz w:val="24"/>
          <w:szCs w:val="24"/>
          <w:highlight w:val="none"/>
          <w:lang w:eastAsia="zh-CN"/>
        </w:rPr>
        <w:sectPr>
          <w:headerReference r:id="rId21" w:type="default"/>
          <w:footerReference r:id="rId22" w:type="default"/>
          <w:pgSz w:w="11907" w:h="16841"/>
          <w:pgMar w:top="1173" w:right="1555" w:bottom="1254" w:left="1615" w:header="862" w:footer="1093" w:gutter="0"/>
          <w:cols w:space="720" w:num="1"/>
        </w:sectPr>
      </w:pPr>
    </w:p>
    <w:p w14:paraId="22C7B959">
      <w:pPr>
        <w:kinsoku/>
        <w:spacing w:line="244" w:lineRule="auto"/>
        <w:rPr>
          <w:rFonts w:ascii="宋体" w:hAnsi="宋体" w:eastAsia="宋体" w:cs="宋体"/>
          <w:color w:val="auto"/>
          <w:highlight w:val="none"/>
          <w:lang w:eastAsia="zh-CN"/>
        </w:rPr>
      </w:pPr>
    </w:p>
    <w:p w14:paraId="672D011D">
      <w:pPr>
        <w:kinsoku/>
        <w:spacing w:line="244" w:lineRule="auto"/>
        <w:rPr>
          <w:rFonts w:ascii="宋体" w:hAnsi="宋体" w:eastAsia="宋体" w:cs="宋体"/>
          <w:color w:val="auto"/>
          <w:highlight w:val="none"/>
          <w:lang w:eastAsia="zh-CN"/>
        </w:rPr>
      </w:pPr>
    </w:p>
    <w:p w14:paraId="4DBB1E0B">
      <w:pPr>
        <w:kinsoku/>
        <w:spacing w:line="244" w:lineRule="auto"/>
        <w:rPr>
          <w:rFonts w:ascii="宋体" w:hAnsi="宋体" w:eastAsia="宋体" w:cs="宋体"/>
          <w:color w:val="auto"/>
          <w:highlight w:val="none"/>
          <w:lang w:eastAsia="zh-CN"/>
        </w:rPr>
      </w:pPr>
    </w:p>
    <w:p w14:paraId="2A5CF328">
      <w:pPr>
        <w:kinsoku/>
        <w:spacing w:line="244" w:lineRule="auto"/>
        <w:rPr>
          <w:rFonts w:ascii="宋体" w:hAnsi="宋体" w:eastAsia="宋体" w:cs="宋体"/>
          <w:color w:val="auto"/>
          <w:highlight w:val="none"/>
          <w:lang w:eastAsia="zh-CN"/>
        </w:rPr>
      </w:pPr>
    </w:p>
    <w:p w14:paraId="10136A95">
      <w:pPr>
        <w:kinsoku/>
        <w:spacing w:line="244" w:lineRule="auto"/>
        <w:rPr>
          <w:rFonts w:ascii="宋体" w:hAnsi="宋体" w:eastAsia="宋体" w:cs="宋体"/>
          <w:color w:val="auto"/>
          <w:highlight w:val="none"/>
          <w:lang w:eastAsia="zh-CN"/>
        </w:rPr>
      </w:pPr>
    </w:p>
    <w:p w14:paraId="392989C4">
      <w:pPr>
        <w:kinsoku/>
        <w:spacing w:line="244" w:lineRule="auto"/>
        <w:rPr>
          <w:rFonts w:ascii="宋体" w:hAnsi="宋体" w:eastAsia="宋体" w:cs="宋体"/>
          <w:color w:val="auto"/>
          <w:highlight w:val="none"/>
          <w:lang w:eastAsia="zh-CN"/>
        </w:rPr>
      </w:pPr>
    </w:p>
    <w:p w14:paraId="039AF9D7">
      <w:pPr>
        <w:kinsoku/>
        <w:spacing w:line="244" w:lineRule="auto"/>
        <w:rPr>
          <w:rFonts w:ascii="宋体" w:hAnsi="宋体" w:eastAsia="宋体" w:cs="宋体"/>
          <w:color w:val="auto"/>
          <w:highlight w:val="none"/>
          <w:lang w:eastAsia="zh-CN"/>
        </w:rPr>
      </w:pPr>
    </w:p>
    <w:p w14:paraId="498D4440">
      <w:pPr>
        <w:kinsoku/>
        <w:spacing w:line="244" w:lineRule="auto"/>
        <w:rPr>
          <w:rFonts w:ascii="宋体" w:hAnsi="宋体" w:eastAsia="宋体" w:cs="宋体"/>
          <w:color w:val="auto"/>
          <w:highlight w:val="none"/>
          <w:lang w:eastAsia="zh-CN"/>
        </w:rPr>
      </w:pPr>
    </w:p>
    <w:p w14:paraId="260CAB2F">
      <w:pPr>
        <w:kinsoku/>
        <w:spacing w:line="244" w:lineRule="auto"/>
        <w:rPr>
          <w:rFonts w:ascii="宋体" w:hAnsi="宋体" w:eastAsia="宋体" w:cs="宋体"/>
          <w:color w:val="auto"/>
          <w:highlight w:val="none"/>
          <w:lang w:eastAsia="zh-CN"/>
        </w:rPr>
      </w:pPr>
    </w:p>
    <w:p w14:paraId="11C2C9D4">
      <w:pPr>
        <w:kinsoku/>
        <w:spacing w:line="244" w:lineRule="auto"/>
        <w:rPr>
          <w:rFonts w:ascii="宋体" w:hAnsi="宋体" w:eastAsia="宋体" w:cs="宋体"/>
          <w:color w:val="auto"/>
          <w:highlight w:val="none"/>
          <w:lang w:eastAsia="zh-CN"/>
        </w:rPr>
      </w:pPr>
    </w:p>
    <w:p w14:paraId="06A2A34C">
      <w:pPr>
        <w:kinsoku/>
        <w:spacing w:line="244" w:lineRule="auto"/>
        <w:rPr>
          <w:rFonts w:ascii="宋体" w:hAnsi="宋体" w:eastAsia="宋体" w:cs="宋体"/>
          <w:color w:val="auto"/>
          <w:highlight w:val="none"/>
          <w:lang w:eastAsia="zh-CN"/>
        </w:rPr>
      </w:pPr>
    </w:p>
    <w:p w14:paraId="085EFCF1">
      <w:pPr>
        <w:kinsoku/>
        <w:spacing w:line="244" w:lineRule="auto"/>
        <w:rPr>
          <w:rFonts w:ascii="宋体" w:hAnsi="宋体" w:eastAsia="宋体" w:cs="宋体"/>
          <w:color w:val="auto"/>
          <w:highlight w:val="none"/>
          <w:lang w:eastAsia="zh-CN"/>
        </w:rPr>
      </w:pPr>
    </w:p>
    <w:p w14:paraId="0E6431AB">
      <w:pPr>
        <w:kinsoku/>
        <w:spacing w:line="244" w:lineRule="auto"/>
        <w:rPr>
          <w:rFonts w:ascii="宋体" w:hAnsi="宋体" w:eastAsia="宋体" w:cs="宋体"/>
          <w:color w:val="auto"/>
          <w:highlight w:val="none"/>
          <w:lang w:eastAsia="zh-CN"/>
        </w:rPr>
      </w:pPr>
    </w:p>
    <w:p w14:paraId="3A04CED9">
      <w:pPr>
        <w:kinsoku/>
        <w:spacing w:line="244" w:lineRule="auto"/>
        <w:rPr>
          <w:rFonts w:ascii="宋体" w:hAnsi="宋体" w:eastAsia="宋体" w:cs="宋体"/>
          <w:color w:val="auto"/>
          <w:highlight w:val="none"/>
          <w:lang w:eastAsia="zh-CN"/>
        </w:rPr>
      </w:pPr>
    </w:p>
    <w:p w14:paraId="146E339A">
      <w:pPr>
        <w:kinsoku/>
        <w:spacing w:line="244" w:lineRule="auto"/>
        <w:rPr>
          <w:rFonts w:ascii="宋体" w:hAnsi="宋体" w:eastAsia="宋体" w:cs="宋体"/>
          <w:color w:val="auto"/>
          <w:highlight w:val="none"/>
          <w:lang w:eastAsia="zh-CN"/>
        </w:rPr>
      </w:pPr>
    </w:p>
    <w:p w14:paraId="4B46848C">
      <w:pPr>
        <w:kinsoku/>
        <w:spacing w:line="244" w:lineRule="auto"/>
        <w:rPr>
          <w:rFonts w:ascii="宋体" w:hAnsi="宋体" w:eastAsia="宋体" w:cs="宋体"/>
          <w:color w:val="auto"/>
          <w:highlight w:val="none"/>
          <w:lang w:eastAsia="zh-CN"/>
        </w:rPr>
      </w:pPr>
    </w:p>
    <w:p w14:paraId="076424F0">
      <w:pPr>
        <w:kinsoku/>
        <w:spacing w:line="244" w:lineRule="auto"/>
        <w:rPr>
          <w:rFonts w:ascii="宋体" w:hAnsi="宋体" w:eastAsia="宋体" w:cs="宋体"/>
          <w:color w:val="auto"/>
          <w:highlight w:val="none"/>
          <w:lang w:eastAsia="zh-CN"/>
        </w:rPr>
      </w:pPr>
    </w:p>
    <w:p w14:paraId="6A39274D">
      <w:pPr>
        <w:kinsoku/>
        <w:spacing w:line="244" w:lineRule="auto"/>
        <w:rPr>
          <w:rFonts w:ascii="宋体" w:hAnsi="宋体" w:eastAsia="宋体" w:cs="宋体"/>
          <w:color w:val="auto"/>
          <w:highlight w:val="none"/>
          <w:lang w:eastAsia="zh-CN"/>
        </w:rPr>
      </w:pPr>
    </w:p>
    <w:p w14:paraId="02CECF4F">
      <w:pPr>
        <w:kinsoku/>
        <w:spacing w:line="244" w:lineRule="auto"/>
        <w:rPr>
          <w:rFonts w:ascii="宋体" w:hAnsi="宋体" w:eastAsia="宋体" w:cs="宋体"/>
          <w:color w:val="auto"/>
          <w:highlight w:val="none"/>
          <w:lang w:eastAsia="zh-CN"/>
        </w:rPr>
      </w:pPr>
    </w:p>
    <w:p w14:paraId="2BCAFFDE">
      <w:pPr>
        <w:kinsoku/>
        <w:spacing w:line="245" w:lineRule="auto"/>
        <w:rPr>
          <w:rFonts w:ascii="宋体" w:hAnsi="宋体" w:eastAsia="宋体" w:cs="宋体"/>
          <w:color w:val="auto"/>
          <w:highlight w:val="none"/>
          <w:lang w:eastAsia="zh-CN"/>
        </w:rPr>
      </w:pPr>
    </w:p>
    <w:p w14:paraId="69BFB66B">
      <w:pPr>
        <w:kinsoku/>
        <w:spacing w:line="245" w:lineRule="auto"/>
        <w:rPr>
          <w:rFonts w:ascii="宋体" w:hAnsi="宋体" w:eastAsia="宋体" w:cs="宋体"/>
          <w:color w:val="auto"/>
          <w:highlight w:val="none"/>
          <w:lang w:eastAsia="zh-CN"/>
        </w:rPr>
      </w:pPr>
    </w:p>
    <w:p w14:paraId="69B4C915">
      <w:pPr>
        <w:kinsoku/>
        <w:spacing w:before="178" w:line="221" w:lineRule="auto"/>
        <w:ind w:left="2133"/>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第三章  评标办法</w:t>
      </w:r>
    </w:p>
    <w:p w14:paraId="6A7E16D4">
      <w:pPr>
        <w:kinsoku/>
        <w:spacing w:line="221" w:lineRule="auto"/>
        <w:rPr>
          <w:rFonts w:ascii="宋体" w:hAnsi="宋体" w:eastAsia="宋体" w:cs="宋体"/>
          <w:color w:val="auto"/>
          <w:sz w:val="55"/>
          <w:szCs w:val="55"/>
          <w:highlight w:val="none"/>
          <w:lang w:eastAsia="zh-CN"/>
        </w:rPr>
        <w:sectPr>
          <w:footerReference r:id="rId23" w:type="default"/>
          <w:pgSz w:w="11907" w:h="16841"/>
          <w:pgMar w:top="1173" w:right="1555" w:bottom="1254" w:left="1615" w:header="862" w:footer="1093" w:gutter="0"/>
          <w:cols w:space="720" w:num="1"/>
        </w:sectPr>
      </w:pPr>
    </w:p>
    <w:p w14:paraId="1B4E6952">
      <w:pPr>
        <w:kinsoku/>
        <w:spacing w:before="139" w:line="222" w:lineRule="auto"/>
        <w:ind w:left="1166"/>
        <w:outlineLvl w:val="0"/>
        <w:rPr>
          <w:rFonts w:ascii="宋体" w:hAnsi="宋体" w:eastAsia="宋体" w:cs="宋体"/>
          <w:color w:val="auto"/>
          <w:sz w:val="43"/>
          <w:szCs w:val="43"/>
          <w:highlight w:val="none"/>
          <w:lang w:eastAsia="zh-CN"/>
        </w:rPr>
      </w:pPr>
      <w:bookmarkStart w:id="240" w:name="bookmark182"/>
      <w:bookmarkEnd w:id="240"/>
      <w:bookmarkStart w:id="241" w:name="bookmark185"/>
      <w:bookmarkEnd w:id="241"/>
      <w:bookmarkStart w:id="242" w:name="bookmark183"/>
      <w:bookmarkEnd w:id="242"/>
      <w:bookmarkStart w:id="243" w:name="_Toc18563"/>
      <w:r>
        <w:rPr>
          <w:rFonts w:hint="eastAsia" w:ascii="宋体" w:hAnsi="宋体" w:eastAsia="宋体" w:cs="宋体"/>
          <w:color w:val="auto"/>
          <w:sz w:val="43"/>
          <w:szCs w:val="43"/>
          <w:highlight w:val="none"/>
          <w:lang w:eastAsia="zh-CN"/>
        </w:rPr>
        <w:t>第三章  评标办法（综合评估法）</w:t>
      </w:r>
      <w:bookmarkEnd w:id="243"/>
    </w:p>
    <w:p w14:paraId="5F2FF3E1">
      <w:pPr>
        <w:kinsoku/>
        <w:spacing w:before="78" w:line="326" w:lineRule="exact"/>
        <w:ind w:left="121"/>
        <w:outlineLvl w:val="1"/>
        <w:rPr>
          <w:rFonts w:ascii="宋体" w:hAnsi="宋体" w:eastAsia="宋体" w:cs="宋体"/>
          <w:color w:val="auto"/>
          <w:sz w:val="13"/>
          <w:szCs w:val="13"/>
          <w:highlight w:val="none"/>
        </w:rPr>
      </w:pPr>
      <w:bookmarkStart w:id="244" w:name="bookmark184"/>
      <w:bookmarkEnd w:id="244"/>
      <w:bookmarkStart w:id="245" w:name="_Toc19284"/>
      <w:r>
        <w:rPr>
          <w:rFonts w:hint="eastAsia" w:ascii="宋体" w:hAnsi="宋体" w:eastAsia="宋体" w:cs="宋体"/>
          <w:color w:val="auto"/>
          <w:sz w:val="24"/>
          <w:szCs w:val="24"/>
          <w:highlight w:val="none"/>
        </w:rPr>
        <w:t>评标办法前附表</w:t>
      </w:r>
      <w:bookmarkEnd w:id="245"/>
    </w:p>
    <w:tbl>
      <w:tblPr>
        <w:tblStyle w:val="21"/>
        <w:tblW w:w="89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95"/>
        <w:gridCol w:w="398"/>
        <w:gridCol w:w="43"/>
        <w:gridCol w:w="46"/>
        <w:gridCol w:w="488"/>
        <w:gridCol w:w="702"/>
        <w:gridCol w:w="254"/>
        <w:gridCol w:w="1287"/>
        <w:gridCol w:w="200"/>
        <w:gridCol w:w="575"/>
        <w:gridCol w:w="4376"/>
      </w:tblGrid>
      <w:tr w14:paraId="5ACF65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2272" w:type="dxa"/>
            <w:gridSpan w:val="6"/>
            <w:tcBorders>
              <w:right w:val="single" w:color="000000" w:sz="4" w:space="0"/>
            </w:tcBorders>
          </w:tcPr>
          <w:p w14:paraId="2BBC7225">
            <w:pPr>
              <w:kinsoku/>
              <w:spacing w:before="142" w:line="207" w:lineRule="auto"/>
              <w:ind w:left="825"/>
              <w:rPr>
                <w:rFonts w:ascii="宋体" w:hAnsi="宋体" w:eastAsia="宋体" w:cs="宋体"/>
                <w:color w:val="auto"/>
                <w:highlight w:val="none"/>
              </w:rPr>
            </w:pPr>
            <w:r>
              <w:rPr>
                <w:rFonts w:hint="eastAsia" w:ascii="宋体" w:hAnsi="宋体" w:eastAsia="宋体" w:cs="宋体"/>
                <w:b/>
                <w:bCs/>
                <w:color w:val="auto"/>
                <w:highlight w:val="none"/>
              </w:rPr>
              <w:t>条款号</w:t>
            </w:r>
          </w:p>
        </w:tc>
        <w:tc>
          <w:tcPr>
            <w:tcW w:w="6692" w:type="dxa"/>
            <w:gridSpan w:val="5"/>
            <w:tcBorders>
              <w:left w:val="single" w:color="000000" w:sz="4" w:space="0"/>
            </w:tcBorders>
          </w:tcPr>
          <w:p w14:paraId="73641F0C">
            <w:pPr>
              <w:kinsoku/>
              <w:spacing w:before="142" w:line="207" w:lineRule="auto"/>
              <w:ind w:left="2326"/>
              <w:rPr>
                <w:rFonts w:ascii="宋体" w:hAnsi="宋体" w:eastAsia="宋体" w:cs="宋体"/>
                <w:color w:val="auto"/>
                <w:highlight w:val="none"/>
              </w:rPr>
            </w:pPr>
            <w:r>
              <w:rPr>
                <w:rFonts w:hint="eastAsia" w:ascii="宋体" w:hAnsi="宋体" w:eastAsia="宋体" w:cs="宋体"/>
                <w:b/>
                <w:bCs/>
                <w:color w:val="auto"/>
                <w:highlight w:val="none"/>
              </w:rPr>
              <w:t>评审因素与评审标准</w:t>
            </w:r>
          </w:p>
        </w:tc>
      </w:tr>
      <w:tr w14:paraId="7EC42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vAlign w:val="center"/>
          </w:tcPr>
          <w:p w14:paraId="7A75A46C">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1</w:t>
            </w:r>
          </w:p>
        </w:tc>
        <w:tc>
          <w:tcPr>
            <w:tcW w:w="1279" w:type="dxa"/>
            <w:gridSpan w:val="4"/>
            <w:tcBorders>
              <w:right w:val="single" w:color="000000" w:sz="4" w:space="0"/>
            </w:tcBorders>
            <w:vAlign w:val="center"/>
          </w:tcPr>
          <w:p w14:paraId="355484E5">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评标方法</w:t>
            </w:r>
          </w:p>
        </w:tc>
        <w:tc>
          <w:tcPr>
            <w:tcW w:w="6692" w:type="dxa"/>
            <w:gridSpan w:val="5"/>
            <w:tcBorders>
              <w:left w:val="single" w:color="000000" w:sz="4" w:space="0"/>
            </w:tcBorders>
          </w:tcPr>
          <w:p w14:paraId="09E72681">
            <w:pPr>
              <w:kinsoku/>
              <w:spacing w:before="118" w:line="304" w:lineRule="auto"/>
              <w:ind w:left="111" w:right="105" w:firstLine="420"/>
              <w:rPr>
                <w:rFonts w:ascii="宋体" w:hAnsi="宋体" w:eastAsia="宋体" w:cs="宋体"/>
                <w:color w:val="auto"/>
                <w:highlight w:val="none"/>
                <w:lang w:eastAsia="zh-CN"/>
              </w:rPr>
            </w:pPr>
            <w:r>
              <w:rPr>
                <w:rFonts w:hint="eastAsia" w:ascii="宋体" w:hAnsi="宋体" w:eastAsia="宋体" w:cs="宋体"/>
                <w:color w:val="auto"/>
                <w:highlight w:val="none"/>
                <w:lang w:eastAsia="zh-CN"/>
              </w:rPr>
              <w:t>综合评分相等时，评标委员会依次按照以下优先顺序推荐中标候选人或确定中标人：</w:t>
            </w:r>
          </w:p>
          <w:p w14:paraId="6137BDF8">
            <w:pPr>
              <w:kinsoku/>
              <w:spacing w:before="29" w:line="219"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（1）评标价低的投标人优先；</w:t>
            </w:r>
          </w:p>
          <w:p w14:paraId="30748431">
            <w:pPr>
              <w:kinsoku/>
              <w:spacing w:before="118" w:line="304" w:lineRule="auto"/>
              <w:ind w:left="111" w:right="105" w:firstLine="420"/>
              <w:rPr>
                <w:rFonts w:ascii="宋体" w:hAnsi="宋体" w:eastAsia="宋体" w:cs="宋体"/>
                <w:color w:val="auto"/>
                <w:highlight w:val="none"/>
                <w:lang w:eastAsia="zh-CN"/>
              </w:rPr>
            </w:pPr>
            <w:r>
              <w:rPr>
                <w:rFonts w:hint="eastAsia" w:ascii="宋体" w:hAnsi="宋体" w:eastAsia="宋体" w:cs="宋体"/>
                <w:color w:val="auto"/>
                <w:highlight w:val="none"/>
                <w:lang w:eastAsia="zh-CN"/>
              </w:rPr>
              <w:t>（2）按招标文件规定被认定为最新年度广东省公路工程从业单位（设计单位）信用评价等级较高的投标人优先；【采用如下的优先顺序：承诺使用AA级投标人、不承诺使用的AA级投标人、承诺使用A级投标人、不承诺使用的A级投标人、B级投标人、未参评且被确定为B级投标人】；</w:t>
            </w:r>
          </w:p>
          <w:p w14:paraId="0A0C0EA4">
            <w:pPr>
              <w:kinsoku/>
              <w:spacing w:before="108"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（3）商务和技术得分较高的投标人优先；</w:t>
            </w:r>
          </w:p>
          <w:p w14:paraId="57C913D8">
            <w:pPr>
              <w:kinsoku/>
              <w:spacing w:before="109" w:line="206"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（4）评标委员会视投标人情况综合比较，投票确定其名次。</w:t>
            </w:r>
          </w:p>
        </w:tc>
      </w:tr>
      <w:tr w14:paraId="61C4C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vAlign w:val="center"/>
          </w:tcPr>
          <w:p w14:paraId="0B2A2D5B">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2.1.1</w:t>
            </w:r>
          </w:p>
          <w:p w14:paraId="552600FE">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2.1.3</w:t>
            </w:r>
          </w:p>
        </w:tc>
        <w:tc>
          <w:tcPr>
            <w:tcW w:w="1279" w:type="dxa"/>
            <w:gridSpan w:val="4"/>
            <w:tcBorders>
              <w:right w:val="single" w:color="000000" w:sz="4" w:space="0"/>
            </w:tcBorders>
            <w:vAlign w:val="center"/>
          </w:tcPr>
          <w:p w14:paraId="3F858A3F">
            <w:pPr>
              <w:kinsoku/>
              <w:spacing w:before="61"/>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形式评审与响应性评审标准</w:t>
            </w:r>
          </w:p>
        </w:tc>
        <w:tc>
          <w:tcPr>
            <w:tcW w:w="6692" w:type="dxa"/>
            <w:gridSpan w:val="5"/>
            <w:tcBorders>
              <w:left w:val="single" w:color="000000" w:sz="4" w:space="0"/>
            </w:tcBorders>
          </w:tcPr>
          <w:p w14:paraId="7C8EA853">
            <w:pPr>
              <w:kinsoku/>
              <w:spacing w:before="122" w:line="221" w:lineRule="auto"/>
              <w:ind w:left="532"/>
              <w:rPr>
                <w:rFonts w:ascii="宋体" w:hAnsi="宋体" w:eastAsia="宋体" w:cs="宋体"/>
                <w:color w:val="auto"/>
                <w:highlight w:val="none"/>
                <w:lang w:eastAsia="zh-CN"/>
              </w:rPr>
            </w:pPr>
            <w:r>
              <w:rPr>
                <w:rFonts w:hint="eastAsia" w:ascii="宋体" w:hAnsi="宋体" w:eastAsia="宋体" w:cs="宋体"/>
                <w:b/>
                <w:bCs/>
                <w:color w:val="auto"/>
                <w:highlight w:val="none"/>
                <w:lang w:eastAsia="zh-CN"/>
              </w:rPr>
              <w:t>第一个信封（商务及技术文件）评审标准：</w:t>
            </w:r>
          </w:p>
          <w:p w14:paraId="44280AFA">
            <w:pPr>
              <w:kinsoku/>
              <w:spacing w:before="109" w:line="303" w:lineRule="auto"/>
              <w:ind w:left="110" w:right="105" w:firstLine="425"/>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（1）投标文件按照招标文件规定的格式、内容填写，字迹清晰可辨：</w:t>
            </w:r>
          </w:p>
          <w:p w14:paraId="2C167EAE">
            <w:pPr>
              <w:kinsoku/>
              <w:spacing w:before="31" w:line="293" w:lineRule="auto"/>
              <w:ind w:left="110" w:right="107" w:firstLine="418"/>
              <w:rPr>
                <w:rFonts w:ascii="宋体" w:hAnsi="宋体" w:eastAsia="宋体" w:cs="宋体"/>
                <w:color w:val="auto"/>
                <w:highlight w:val="none"/>
                <w:lang w:eastAsia="zh-CN"/>
              </w:rPr>
            </w:pPr>
            <w:r>
              <w:rPr>
                <w:rFonts w:hint="eastAsia" w:ascii="宋体" w:hAnsi="宋体" w:eastAsia="宋体" w:cs="宋体"/>
                <w:color w:val="auto"/>
                <w:highlight w:val="none"/>
                <w:lang w:eastAsia="zh-CN"/>
              </w:rPr>
              <w:t>a.投标函按招标文件规定填报了项目名称、标段号、补遗书编号（如有）、勘察设计服务期限、工程质量要求及安全目标；</w:t>
            </w:r>
          </w:p>
          <w:p w14:paraId="58FE0C5E">
            <w:pPr>
              <w:kinsoku/>
              <w:spacing w:before="53" w:line="234" w:lineRule="auto"/>
              <w:ind w:left="521"/>
              <w:rPr>
                <w:rFonts w:ascii="宋体" w:hAnsi="宋体" w:eastAsia="宋体" w:cs="宋体"/>
                <w:color w:val="auto"/>
                <w:highlight w:val="none"/>
                <w:lang w:eastAsia="zh-CN"/>
              </w:rPr>
            </w:pPr>
            <w:r>
              <w:rPr>
                <w:rFonts w:hint="eastAsia" w:ascii="宋体" w:hAnsi="宋体" w:eastAsia="宋体" w:cs="宋体"/>
                <w:color w:val="auto"/>
                <w:highlight w:val="none"/>
                <w:lang w:eastAsia="zh-CN"/>
              </w:rPr>
              <w:t>b.投标文件组成齐全完整，内容均按规定填写。</w:t>
            </w:r>
          </w:p>
          <w:p w14:paraId="3368F66A">
            <w:pPr>
              <w:kinsoku/>
              <w:spacing w:before="93" w:line="268" w:lineRule="auto"/>
              <w:ind w:left="110" w:right="105" w:firstLine="426"/>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（2）投标文件上法定代表人或其委托代理人的签字、投标人的单位章盖章齐全，符合招标文件规定。</w:t>
            </w:r>
          </w:p>
          <w:p w14:paraId="6122CB4E">
            <w:pPr>
              <w:kinsoku/>
              <w:spacing w:before="53" w:line="220"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（3）投标人按照招标文件的规定提供了投标保证金：</w:t>
            </w:r>
          </w:p>
          <w:p w14:paraId="362AB471">
            <w:pPr>
              <w:kinsoku/>
              <w:spacing w:before="110" w:line="262" w:lineRule="auto"/>
              <w:ind w:left="113" w:right="107" w:firstLine="415"/>
              <w:rPr>
                <w:rFonts w:ascii="宋体" w:hAnsi="宋体" w:eastAsia="宋体" w:cs="宋体"/>
                <w:color w:val="auto"/>
                <w:highlight w:val="none"/>
                <w:lang w:eastAsia="zh-CN"/>
              </w:rPr>
            </w:pPr>
            <w:r>
              <w:rPr>
                <w:rFonts w:hint="eastAsia" w:ascii="宋体" w:hAnsi="宋体" w:eastAsia="宋体" w:cs="宋体"/>
                <w:color w:val="auto"/>
                <w:highlight w:val="none"/>
                <w:lang w:eastAsia="zh-CN"/>
              </w:rPr>
              <w:t>a.投标保证金金额符合招标文件规定的金额，且投标保证金有效期不少于投标有效期；</w:t>
            </w:r>
          </w:p>
          <w:p w14:paraId="465D920C">
            <w:pPr>
              <w:kinsoku/>
              <w:spacing w:before="98" w:line="287" w:lineRule="auto"/>
              <w:ind w:left="109" w:right="105" w:firstLine="412"/>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b.</w:t>
            </w:r>
            <w:r>
              <w:rPr>
                <w:rFonts w:hint="eastAsia" w:ascii="宋体" w:hAnsi="宋体"/>
                <w:color w:val="auto"/>
                <w:highlight w:val="none"/>
                <w:lang w:eastAsia="zh-CN"/>
              </w:rPr>
              <w:t>若投标保证金采用现金或支票形式提交，投标人应在投标人须知前附表3.4.1款规定的时间，将投标保证金由投标人的基本账户转入招标人指定账户；</w:t>
            </w:r>
          </w:p>
          <w:p w14:paraId="6CFCD623">
            <w:pPr>
              <w:kinsoku/>
              <w:spacing w:before="43" w:line="286" w:lineRule="auto"/>
              <w:ind w:left="111" w:right="105" w:firstLine="417"/>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c.若投标保证金采用银行保函形式提交，银行保函的格式、开具保函的银行均满足招标文件要求，且在递交投标文件截止时间之前向招标人提交了银行保函原件。</w:t>
            </w:r>
          </w:p>
          <w:p w14:paraId="3941382A">
            <w:pPr>
              <w:kinsoku/>
              <w:spacing w:before="44" w:line="272" w:lineRule="auto"/>
              <w:ind w:left="109" w:right="31" w:firstLine="427"/>
              <w:rPr>
                <w:rFonts w:ascii="宋体" w:hAnsi="宋体" w:eastAsia="宋体" w:cs="宋体"/>
                <w:color w:val="auto"/>
                <w:highlight w:val="none"/>
                <w:lang w:eastAsia="zh-CN"/>
              </w:rPr>
            </w:pPr>
            <w:r>
              <w:rPr>
                <w:rFonts w:hint="eastAsia" w:ascii="宋体" w:hAnsi="宋体" w:eastAsia="宋体" w:cs="宋体"/>
                <w:color w:val="auto"/>
                <w:highlight w:val="none"/>
                <w:lang w:eastAsia="zh-CN"/>
              </w:rPr>
              <w:t>（4）投标人法定代表人授权委托代理人签署投标文件的，须提交授权委托书，且授权人和被授权人均在授权委托书上签名，未使用印章、签名章或其他电子制版签名代替。</w:t>
            </w:r>
          </w:p>
          <w:p w14:paraId="3910A992">
            <w:pPr>
              <w:kinsoku/>
              <w:spacing w:before="91" w:line="272" w:lineRule="auto"/>
              <w:ind w:left="110" w:right="33" w:firstLine="426"/>
              <w:rPr>
                <w:rFonts w:ascii="宋体" w:hAnsi="宋体" w:eastAsia="宋体" w:cs="宋体"/>
                <w:color w:val="auto"/>
                <w:highlight w:val="none"/>
                <w:lang w:eastAsia="zh-CN"/>
              </w:rPr>
            </w:pPr>
            <w:r>
              <w:rPr>
                <w:rFonts w:hint="eastAsia" w:ascii="宋体" w:hAnsi="宋体" w:eastAsia="宋体" w:cs="宋体"/>
                <w:color w:val="auto"/>
                <w:highlight w:val="none"/>
                <w:lang w:eastAsia="zh-CN"/>
              </w:rPr>
              <w:t>（5）投标人法定代表人亲自签署投标文件的，提供了法定代表人身份证明，且法定代表人在法定代表人身份证明上签名，未使用印章、签名章或其他电子制版签名代替。</w:t>
            </w:r>
          </w:p>
          <w:p w14:paraId="07279CF7">
            <w:pPr>
              <w:kinsoku/>
              <w:spacing w:before="33" w:line="259" w:lineRule="auto"/>
              <w:ind w:left="111" w:right="105" w:firstLine="424"/>
              <w:rPr>
                <w:rFonts w:ascii="宋体" w:hAnsi="宋体" w:eastAsia="宋体" w:cs="宋体"/>
                <w:color w:val="auto"/>
                <w:highlight w:val="none"/>
                <w:lang w:eastAsia="zh-CN"/>
              </w:rPr>
            </w:pPr>
            <w:r>
              <w:rPr>
                <w:rFonts w:hint="eastAsia" w:ascii="宋体" w:hAnsi="宋体" w:eastAsia="宋体" w:cs="宋体"/>
                <w:color w:val="auto"/>
                <w:highlight w:val="none"/>
                <w:lang w:eastAsia="zh-CN"/>
              </w:rPr>
              <w:t>（6）同一投标人未提交两个以上不同的投标文件，但招标文件要求提交备选投标的除外。</w:t>
            </w:r>
          </w:p>
          <w:p w14:paraId="099D1CF8">
            <w:pPr>
              <w:kinsoku/>
              <w:spacing w:before="90" w:line="219"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（7）投标文件中未出现有关投标报价的内容。</w:t>
            </w:r>
          </w:p>
          <w:p w14:paraId="3FBDED4F">
            <w:pPr>
              <w:kinsoku/>
              <w:spacing w:before="90" w:line="260" w:lineRule="auto"/>
              <w:ind w:left="124" w:right="105" w:firstLine="411"/>
              <w:rPr>
                <w:rFonts w:ascii="宋体" w:hAnsi="宋体" w:eastAsia="宋体" w:cs="宋体"/>
                <w:color w:val="auto"/>
                <w:highlight w:val="none"/>
                <w:lang w:eastAsia="zh-CN"/>
              </w:rPr>
            </w:pPr>
            <w:r>
              <w:rPr>
                <w:rFonts w:hint="eastAsia" w:ascii="宋体" w:hAnsi="宋体" w:eastAsia="宋体" w:cs="宋体"/>
                <w:color w:val="auto"/>
                <w:highlight w:val="none"/>
                <w:lang w:eastAsia="zh-CN"/>
              </w:rPr>
              <w:t>（8）投标文件载明的招标项目完成期限未超过招标文件规定的时限。</w:t>
            </w:r>
          </w:p>
          <w:p w14:paraId="20250529">
            <w:pPr>
              <w:kinsoku/>
              <w:spacing w:before="89"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（9）投标文件对招标文件的实质性要求和条件作出响应。</w:t>
            </w:r>
          </w:p>
          <w:p w14:paraId="53BDEE5C">
            <w:pPr>
              <w:kinsoku/>
              <w:spacing w:before="89"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（10）权利义务符合招标文件规定：</w:t>
            </w:r>
          </w:p>
          <w:p w14:paraId="1142A344">
            <w:pPr>
              <w:kinsoku/>
              <w:spacing w:before="87" w:line="277" w:lineRule="auto"/>
              <w:ind w:left="112" w:right="107" w:firstLine="416"/>
              <w:rPr>
                <w:rFonts w:ascii="宋体" w:hAnsi="宋体" w:eastAsia="宋体" w:cs="宋体"/>
                <w:color w:val="auto"/>
                <w:highlight w:val="none"/>
                <w:lang w:eastAsia="zh-CN"/>
              </w:rPr>
            </w:pPr>
            <w:r>
              <w:rPr>
                <w:rFonts w:hint="eastAsia" w:ascii="宋体" w:hAnsi="宋体" w:eastAsia="宋体" w:cs="宋体"/>
                <w:color w:val="auto"/>
                <w:highlight w:val="none"/>
                <w:lang w:eastAsia="zh-CN"/>
              </w:rPr>
              <w:t>a.投标人应接受招标文件规定的风险划分原则，未提出新的风险划分办法；</w:t>
            </w:r>
          </w:p>
          <w:p w14:paraId="1A88A5C0">
            <w:pPr>
              <w:kinsoku/>
              <w:spacing w:before="53" w:line="234" w:lineRule="auto"/>
              <w:ind w:left="521"/>
              <w:rPr>
                <w:rFonts w:ascii="宋体" w:hAnsi="宋体" w:eastAsia="宋体" w:cs="宋体"/>
                <w:color w:val="auto"/>
                <w:highlight w:val="none"/>
                <w:lang w:eastAsia="zh-CN"/>
              </w:rPr>
            </w:pPr>
            <w:r>
              <w:rPr>
                <w:rFonts w:hint="eastAsia" w:ascii="宋体" w:hAnsi="宋体" w:eastAsia="宋体" w:cs="宋体"/>
                <w:color w:val="auto"/>
                <w:highlight w:val="none"/>
                <w:lang w:eastAsia="zh-CN"/>
              </w:rPr>
              <w:t>b.投标人未增加发包人的责任范围，或减少投标人义务；</w:t>
            </w:r>
          </w:p>
          <w:p w14:paraId="0AA52707">
            <w:pPr>
              <w:kinsoku/>
              <w:spacing w:before="72" w:line="234" w:lineRule="auto"/>
              <w:ind w:left="529"/>
              <w:rPr>
                <w:rFonts w:ascii="宋体" w:hAnsi="宋体" w:eastAsia="宋体" w:cs="宋体"/>
                <w:color w:val="auto"/>
                <w:highlight w:val="none"/>
                <w:lang w:eastAsia="zh-CN"/>
              </w:rPr>
            </w:pPr>
            <w:r>
              <w:rPr>
                <w:rFonts w:hint="eastAsia" w:ascii="宋体" w:hAnsi="宋体" w:eastAsia="宋体" w:cs="宋体"/>
                <w:color w:val="auto"/>
                <w:highlight w:val="none"/>
                <w:lang w:eastAsia="zh-CN"/>
              </w:rPr>
              <w:t>c.投标人未提出不同的支付办法；</w:t>
            </w:r>
          </w:p>
          <w:p w14:paraId="0A3ABAC1">
            <w:pPr>
              <w:kinsoku/>
              <w:spacing w:before="72" w:line="234" w:lineRule="auto"/>
              <w:ind w:left="529"/>
              <w:rPr>
                <w:rFonts w:ascii="宋体" w:hAnsi="宋体" w:eastAsia="宋体" w:cs="宋体"/>
                <w:color w:val="auto"/>
                <w:highlight w:val="none"/>
                <w:lang w:eastAsia="zh-CN"/>
              </w:rPr>
            </w:pPr>
            <w:r>
              <w:rPr>
                <w:rFonts w:hint="eastAsia" w:ascii="宋体" w:hAnsi="宋体" w:eastAsia="宋体" w:cs="宋体"/>
                <w:color w:val="auto"/>
                <w:highlight w:val="none"/>
                <w:lang w:eastAsia="zh-CN"/>
              </w:rPr>
              <w:t>d.投标人对合同纠纷、事故处理办法未提出异议；</w:t>
            </w:r>
          </w:p>
          <w:p w14:paraId="0C5DDC00">
            <w:pPr>
              <w:kinsoku/>
              <w:spacing w:before="72" w:line="234" w:lineRule="auto"/>
              <w:ind w:left="529"/>
              <w:rPr>
                <w:rFonts w:ascii="宋体" w:hAnsi="宋体" w:eastAsia="宋体" w:cs="宋体"/>
                <w:color w:val="auto"/>
                <w:highlight w:val="none"/>
                <w:lang w:eastAsia="zh-CN"/>
              </w:rPr>
            </w:pPr>
            <w:r>
              <w:rPr>
                <w:rFonts w:hint="eastAsia" w:ascii="宋体" w:hAnsi="宋体" w:eastAsia="宋体" w:cs="宋体"/>
                <w:color w:val="auto"/>
                <w:highlight w:val="none"/>
                <w:lang w:eastAsia="zh-CN"/>
              </w:rPr>
              <w:t>e.投标人在投标活动中无欺诈行为；</w:t>
            </w:r>
          </w:p>
          <w:p w14:paraId="7F19A62F">
            <w:pPr>
              <w:kinsoku/>
              <w:spacing w:before="87" w:line="277" w:lineRule="auto"/>
              <w:ind w:left="112" w:right="107" w:firstLine="416"/>
              <w:rPr>
                <w:rFonts w:ascii="宋体" w:hAnsi="宋体" w:eastAsia="宋体" w:cs="宋体"/>
                <w:color w:val="auto"/>
                <w:highlight w:val="none"/>
                <w:lang w:eastAsia="zh-CN"/>
              </w:rPr>
            </w:pPr>
            <w:r>
              <w:rPr>
                <w:rFonts w:hint="eastAsia" w:ascii="宋体" w:hAnsi="宋体" w:eastAsia="宋体" w:cs="宋体"/>
                <w:color w:val="auto"/>
                <w:highlight w:val="none"/>
                <w:lang w:eastAsia="zh-CN"/>
              </w:rPr>
              <w:t>f.投标人未对合同条款有重要保留。</w:t>
            </w:r>
          </w:p>
          <w:p w14:paraId="41CC5607">
            <w:pPr>
              <w:kinsoku/>
              <w:spacing w:before="87" w:line="277" w:lineRule="auto"/>
              <w:ind w:left="112" w:right="107" w:firstLine="416"/>
              <w:rPr>
                <w:rFonts w:ascii="宋体" w:hAnsi="宋体" w:eastAsia="宋体" w:cs="宋体"/>
                <w:color w:val="auto"/>
                <w:highlight w:val="none"/>
                <w:lang w:eastAsia="zh-CN"/>
              </w:rPr>
            </w:pPr>
            <w:r>
              <w:rPr>
                <w:rFonts w:hint="eastAsia" w:ascii="宋体" w:hAnsi="宋体" w:eastAsia="宋体" w:cs="宋体"/>
                <w:color w:val="auto"/>
                <w:highlight w:val="none"/>
                <w:lang w:eastAsia="zh-CN"/>
              </w:rPr>
              <w:t>（11）投标文件正、副本份数符合招标文件第二章“投标人须知”第3.7.4项规定。</w:t>
            </w:r>
          </w:p>
          <w:p w14:paraId="37CB9B02">
            <w:pPr>
              <w:kinsoku/>
              <w:spacing w:before="69" w:line="219" w:lineRule="auto"/>
              <w:ind w:left="532"/>
              <w:rPr>
                <w:rFonts w:ascii="宋体" w:hAnsi="宋体" w:eastAsia="宋体" w:cs="宋体"/>
                <w:color w:val="auto"/>
                <w:highlight w:val="none"/>
                <w:lang w:eastAsia="zh-CN"/>
              </w:rPr>
            </w:pPr>
            <w:r>
              <w:rPr>
                <w:rFonts w:hint="eastAsia" w:ascii="宋体" w:hAnsi="宋体" w:eastAsia="宋体" w:cs="宋体"/>
                <w:b/>
                <w:bCs/>
                <w:color w:val="auto"/>
                <w:highlight w:val="none"/>
                <w:lang w:eastAsia="zh-CN"/>
              </w:rPr>
              <w:t>第二个信封（报价文件）评审标准：</w:t>
            </w:r>
          </w:p>
          <w:p w14:paraId="5DBCC9AB">
            <w:pPr>
              <w:kinsoku/>
              <w:spacing w:before="91" w:line="286" w:lineRule="auto"/>
              <w:ind w:left="110" w:right="105" w:firstLine="425"/>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（1）投标文件按照招标文件规定的格式、内容填写，字迹清晰可辨，内容齐全完整：</w:t>
            </w:r>
          </w:p>
          <w:p w14:paraId="5F836085">
            <w:pPr>
              <w:kinsoku/>
              <w:spacing w:before="28" w:line="276" w:lineRule="auto"/>
              <w:ind w:left="110" w:right="107" w:firstLine="418"/>
              <w:rPr>
                <w:rFonts w:ascii="宋体" w:hAnsi="宋体" w:eastAsia="宋体" w:cs="宋体"/>
                <w:color w:val="auto"/>
                <w:highlight w:val="none"/>
                <w:lang w:eastAsia="zh-CN"/>
              </w:rPr>
            </w:pPr>
            <w:r>
              <w:rPr>
                <w:rFonts w:hint="eastAsia" w:ascii="宋体" w:hAnsi="宋体" w:eastAsia="宋体" w:cs="宋体"/>
                <w:color w:val="auto"/>
                <w:highlight w:val="none"/>
                <w:lang w:eastAsia="zh-CN"/>
              </w:rPr>
              <w:t>a.投标函按招标文件规定填报了项目名称、标段号、补遗书编号（如有）、投标价（包括大写金额和小写金额）；</w:t>
            </w:r>
          </w:p>
          <w:p w14:paraId="3993F2D2">
            <w:pPr>
              <w:kinsoku/>
              <w:spacing w:before="53" w:line="275" w:lineRule="auto"/>
              <w:ind w:left="117" w:right="105" w:firstLine="404"/>
              <w:rPr>
                <w:rFonts w:ascii="宋体" w:hAnsi="宋体" w:eastAsia="宋体" w:cs="宋体"/>
                <w:color w:val="auto"/>
                <w:highlight w:val="none"/>
                <w:lang w:eastAsia="zh-CN"/>
              </w:rPr>
            </w:pPr>
            <w:r>
              <w:rPr>
                <w:rFonts w:hint="eastAsia" w:ascii="宋体" w:hAnsi="宋体" w:eastAsia="宋体" w:cs="宋体"/>
                <w:color w:val="auto"/>
                <w:highlight w:val="none"/>
                <w:lang w:eastAsia="zh-CN"/>
              </w:rPr>
              <w:t>b.已标价报价清单说明文字与招标文件规定一致，未进行实质性修改和删减；</w:t>
            </w:r>
          </w:p>
          <w:p w14:paraId="3505C002">
            <w:pPr>
              <w:kinsoku/>
              <w:spacing w:before="54" w:line="234" w:lineRule="auto"/>
              <w:ind w:left="529"/>
              <w:rPr>
                <w:rFonts w:ascii="宋体" w:hAnsi="宋体" w:eastAsia="宋体" w:cs="宋体"/>
                <w:color w:val="auto"/>
                <w:highlight w:val="none"/>
                <w:lang w:eastAsia="zh-CN"/>
              </w:rPr>
            </w:pPr>
            <w:r>
              <w:rPr>
                <w:rFonts w:hint="eastAsia" w:ascii="宋体" w:hAnsi="宋体" w:eastAsia="宋体" w:cs="宋体"/>
                <w:color w:val="auto"/>
                <w:highlight w:val="none"/>
                <w:lang w:eastAsia="zh-CN"/>
              </w:rPr>
              <w:t>c.投标文件组成齐全完整，内容均按规定填写。</w:t>
            </w:r>
          </w:p>
          <w:p w14:paraId="15E0B64E">
            <w:pPr>
              <w:kinsoku/>
              <w:spacing w:before="73" w:line="259" w:lineRule="auto"/>
              <w:ind w:left="110" w:right="105" w:firstLine="426"/>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（2）投标文件上法定代表人或其委托代理人的签字、投标人的单位章盖章齐全，符合招标文件规定。</w:t>
            </w:r>
          </w:p>
          <w:p w14:paraId="2D1E95E7">
            <w:pPr>
              <w:kinsoku/>
              <w:spacing w:before="91" w:line="219"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（3）投标报价未超过招标文件设定的最高投标限价（如有）。</w:t>
            </w:r>
          </w:p>
          <w:p w14:paraId="2A96E82C">
            <w:pPr>
              <w:kinsoku/>
              <w:spacing w:before="92" w:line="219"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（4）投标报价的大写金额能够确定具体数值。</w:t>
            </w:r>
          </w:p>
          <w:p w14:paraId="589629B2">
            <w:pPr>
              <w:kinsoku/>
              <w:spacing w:before="89" w:line="260" w:lineRule="auto"/>
              <w:ind w:left="111" w:right="105" w:firstLine="424"/>
              <w:rPr>
                <w:rFonts w:ascii="宋体" w:hAnsi="宋体" w:eastAsia="宋体" w:cs="宋体"/>
                <w:color w:val="auto"/>
                <w:highlight w:val="none"/>
                <w:lang w:eastAsia="zh-CN"/>
              </w:rPr>
            </w:pPr>
            <w:r>
              <w:rPr>
                <w:rFonts w:hint="eastAsia" w:ascii="宋体" w:hAnsi="宋体" w:eastAsia="宋体" w:cs="宋体"/>
                <w:color w:val="auto"/>
                <w:highlight w:val="none"/>
                <w:lang w:eastAsia="zh-CN"/>
              </w:rPr>
              <w:t>（5）同一投标人未提交两个以上不同的投标报价，但招标文件要求提交备选投标的除外。</w:t>
            </w:r>
          </w:p>
          <w:p w14:paraId="4BE2302A">
            <w:pPr>
              <w:kinsoku/>
              <w:spacing w:before="89" w:line="260" w:lineRule="auto"/>
              <w:ind w:left="111" w:right="105" w:firstLine="424"/>
              <w:rPr>
                <w:color w:val="auto"/>
                <w:highlight w:val="none"/>
                <w:lang w:eastAsia="zh-CN"/>
              </w:rPr>
            </w:pPr>
            <w:r>
              <w:rPr>
                <w:rFonts w:hint="eastAsia" w:ascii="宋体" w:hAnsi="宋体" w:eastAsia="宋体" w:cs="宋体"/>
                <w:color w:val="auto"/>
                <w:highlight w:val="none"/>
                <w:lang w:eastAsia="zh-CN"/>
              </w:rPr>
              <w:t>（6）投标文件正、副本份数符合招标文件第二章“投标人须知”第3.7.4项规定。</w:t>
            </w:r>
          </w:p>
        </w:tc>
      </w:tr>
      <w:tr w14:paraId="65351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vAlign w:val="center"/>
          </w:tcPr>
          <w:p w14:paraId="5F5F566D">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2.1.2</w:t>
            </w:r>
          </w:p>
        </w:tc>
        <w:tc>
          <w:tcPr>
            <w:tcW w:w="1279" w:type="dxa"/>
            <w:gridSpan w:val="4"/>
            <w:tcBorders>
              <w:right w:val="single" w:color="000000" w:sz="4" w:space="0"/>
            </w:tcBorders>
            <w:vAlign w:val="center"/>
          </w:tcPr>
          <w:p w14:paraId="6CD4C204">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资格评审标准</w:t>
            </w:r>
          </w:p>
        </w:tc>
        <w:tc>
          <w:tcPr>
            <w:tcW w:w="6692" w:type="dxa"/>
            <w:gridSpan w:val="5"/>
            <w:tcBorders>
              <w:left w:val="single" w:color="000000" w:sz="4" w:space="0"/>
            </w:tcBorders>
          </w:tcPr>
          <w:p w14:paraId="2AB79A42">
            <w:pPr>
              <w:kinsoku/>
              <w:spacing w:before="99" w:line="259" w:lineRule="auto"/>
              <w:ind w:left="114" w:right="105" w:firstLine="422"/>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（1）投标人具备有效的营业执照、组织机构代码证</w:t>
            </w:r>
            <w:r>
              <w:rPr>
                <w:rFonts w:hint="eastAsia" w:ascii="宋体" w:hAnsi="宋体"/>
                <w:color w:val="auto"/>
                <w:highlight w:val="none"/>
                <w:lang w:eastAsia="zh-CN"/>
              </w:rPr>
              <w:t>（如有）</w:t>
            </w:r>
            <w:r>
              <w:rPr>
                <w:rFonts w:hint="eastAsia" w:ascii="宋体" w:hAnsi="宋体" w:eastAsia="宋体" w:cs="宋体"/>
                <w:color w:val="auto"/>
                <w:highlight w:val="none"/>
                <w:lang w:eastAsia="zh-CN"/>
              </w:rPr>
              <w:t>、勘察资质证书、设计资质证书和基本账户开户许可证</w:t>
            </w:r>
            <w:r>
              <w:rPr>
                <w:rFonts w:hint="eastAsia" w:ascii="宋体" w:hAnsi="宋体"/>
                <w:color w:val="auto"/>
                <w:highlight w:val="none"/>
                <w:lang w:eastAsia="zh-CN"/>
              </w:rPr>
              <w:t>（或提供投标人企业基本存款账户编号或基本存款账户信息）。</w:t>
            </w:r>
          </w:p>
          <w:p w14:paraId="420D4FFD">
            <w:pPr>
              <w:kinsoku/>
              <w:spacing w:before="90"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（2）投标人的资质等级符合招标文件规定。</w:t>
            </w:r>
          </w:p>
          <w:p w14:paraId="5C395155">
            <w:pPr>
              <w:kinsoku/>
              <w:spacing w:before="89"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（3）投标人的类似项目业绩符合招标文件规定。</w:t>
            </w:r>
          </w:p>
          <w:p w14:paraId="1E14C540">
            <w:pPr>
              <w:kinsoku/>
              <w:spacing w:before="87" w:line="220"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（4）投标人的信誉符合招标文件规定。</w:t>
            </w:r>
          </w:p>
          <w:p w14:paraId="0000F9A5">
            <w:pPr>
              <w:kinsoku/>
              <w:spacing w:before="90" w:line="221"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（5）投标人的项目负责人资格符合招标文件规定。</w:t>
            </w:r>
          </w:p>
          <w:p w14:paraId="68B6DDB9">
            <w:pPr>
              <w:kinsoku/>
              <w:spacing w:before="75" w:line="233" w:lineRule="auto"/>
              <w:ind w:left="536"/>
              <w:rPr>
                <w:rFonts w:ascii="宋体" w:hAnsi="宋体" w:eastAsia="宋体" w:cs="宋体"/>
                <w:color w:val="auto"/>
                <w:sz w:val="11"/>
                <w:szCs w:val="11"/>
                <w:highlight w:val="none"/>
                <w:lang w:eastAsia="zh-CN"/>
              </w:rPr>
            </w:pPr>
            <w:r>
              <w:rPr>
                <w:rFonts w:hint="eastAsia" w:ascii="宋体" w:hAnsi="宋体" w:eastAsia="宋体" w:cs="宋体"/>
                <w:color w:val="auto"/>
                <w:highlight w:val="none"/>
                <w:lang w:eastAsia="zh-CN"/>
              </w:rPr>
              <w:t>（6）投标人的其他要求符合招标文件规定。</w:t>
            </w:r>
          </w:p>
          <w:p w14:paraId="7B9C4D76">
            <w:pPr>
              <w:kinsoku/>
              <w:spacing w:before="88" w:line="260" w:lineRule="auto"/>
              <w:ind w:left="115" w:right="107" w:firstLine="421"/>
              <w:rPr>
                <w:rFonts w:ascii="宋体" w:hAnsi="宋体" w:eastAsia="宋体" w:cs="宋体"/>
                <w:color w:val="auto"/>
                <w:highlight w:val="none"/>
                <w:lang w:eastAsia="zh-CN"/>
              </w:rPr>
            </w:pPr>
            <w:r>
              <w:rPr>
                <w:rFonts w:hint="eastAsia" w:ascii="宋体" w:hAnsi="宋体" w:eastAsia="宋体" w:cs="宋体"/>
                <w:color w:val="auto"/>
                <w:highlight w:val="none"/>
                <w:lang w:eastAsia="zh-CN"/>
              </w:rPr>
              <w:t>（7）投标人不存在第二章“投标人须知”第1.4.3项或第1.4.4项规定的任何一种情形。</w:t>
            </w:r>
          </w:p>
          <w:p w14:paraId="13CD464E">
            <w:pPr>
              <w:kinsoku/>
              <w:spacing w:before="76" w:line="232" w:lineRule="auto"/>
              <w:ind w:left="536"/>
              <w:rPr>
                <w:rFonts w:ascii="宋体" w:hAnsi="宋体" w:eastAsia="宋体" w:cs="宋体"/>
                <w:color w:val="auto"/>
                <w:highlight w:val="none"/>
                <w:lang w:eastAsia="zh-CN"/>
              </w:rPr>
            </w:pPr>
            <w:r>
              <w:rPr>
                <w:rFonts w:hint="eastAsia" w:ascii="宋体" w:hAnsi="宋体" w:eastAsia="宋体" w:cs="宋体"/>
                <w:color w:val="auto"/>
                <w:highlight w:val="none"/>
                <w:lang w:eastAsia="zh-CN"/>
              </w:rPr>
              <w:t>（8）投标人符合第二章“投标人须知”第1.4.5项规定。</w:t>
            </w:r>
          </w:p>
        </w:tc>
      </w:tr>
      <w:tr w14:paraId="72A4F4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vAlign w:val="center"/>
          </w:tcPr>
          <w:p w14:paraId="2312AA38">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2.2.1</w:t>
            </w:r>
          </w:p>
        </w:tc>
        <w:tc>
          <w:tcPr>
            <w:tcW w:w="1279" w:type="dxa"/>
            <w:gridSpan w:val="4"/>
            <w:vAlign w:val="center"/>
          </w:tcPr>
          <w:p w14:paraId="3B0DF712">
            <w:pPr>
              <w:kinsoku/>
              <w:spacing w:before="61"/>
              <w:jc w:val="center"/>
              <w:rPr>
                <w:rFonts w:ascii="宋体" w:hAnsi="宋体" w:eastAsia="宋体" w:cs="宋体"/>
                <w:color w:val="auto"/>
                <w:highlight w:val="none"/>
              </w:rPr>
            </w:pPr>
            <w:r>
              <w:rPr>
                <w:rFonts w:hint="eastAsia" w:ascii="宋体" w:hAnsi="宋体" w:eastAsia="宋体" w:cs="宋体"/>
                <w:color w:val="auto"/>
                <w:highlight w:val="none"/>
              </w:rPr>
              <w:t>分值构成（总分100分）</w:t>
            </w:r>
          </w:p>
        </w:tc>
        <w:tc>
          <w:tcPr>
            <w:tcW w:w="6692" w:type="dxa"/>
            <w:gridSpan w:val="5"/>
          </w:tcPr>
          <w:p w14:paraId="59E0E955">
            <w:pPr>
              <w:kinsoku/>
              <w:spacing w:before="82" w:line="276" w:lineRule="auto"/>
              <w:ind w:left="534"/>
              <w:rPr>
                <w:rFonts w:ascii="宋体" w:hAnsi="宋体" w:eastAsia="宋体" w:cs="宋体"/>
                <w:color w:val="auto"/>
                <w:sz w:val="11"/>
                <w:szCs w:val="11"/>
                <w:highlight w:val="none"/>
                <w:lang w:eastAsia="zh-CN"/>
              </w:rPr>
            </w:pPr>
            <w:r>
              <w:rPr>
                <w:rFonts w:hint="eastAsia" w:ascii="宋体" w:hAnsi="宋体" w:eastAsia="宋体" w:cs="宋体"/>
                <w:b/>
                <w:bCs/>
                <w:color w:val="auto"/>
                <w:highlight w:val="none"/>
                <w:lang w:eastAsia="zh-CN"/>
              </w:rPr>
              <w:t>第一个信封（商务及技术文件）评分分值构成：</w:t>
            </w:r>
          </w:p>
          <w:p w14:paraId="03B74138">
            <w:pPr>
              <w:kinsoku/>
              <w:spacing w:before="88" w:line="276" w:lineRule="auto"/>
              <w:ind w:left="533" w:right="3955"/>
              <w:rPr>
                <w:rFonts w:ascii="宋体" w:hAnsi="宋体" w:eastAsia="宋体" w:cs="宋体"/>
                <w:color w:val="auto"/>
                <w:highlight w:val="none"/>
                <w:lang w:eastAsia="zh-CN"/>
              </w:rPr>
            </w:pPr>
            <w:r>
              <w:rPr>
                <w:rFonts w:hint="eastAsia" w:ascii="宋体" w:hAnsi="宋体" w:eastAsia="宋体" w:cs="宋体"/>
                <w:color w:val="auto"/>
                <w:highlight w:val="none"/>
                <w:lang w:eastAsia="zh-CN"/>
              </w:rPr>
              <w:t>技术建议书：</w:t>
            </w:r>
            <w:r>
              <w:rPr>
                <w:rFonts w:hint="eastAsia" w:ascii="宋体" w:hAnsi="宋体" w:eastAsia="宋体" w:cs="宋体"/>
                <w:color w:val="auto"/>
                <w:highlight w:val="none"/>
                <w:u w:val="single"/>
                <w:lang w:eastAsia="zh-CN"/>
              </w:rPr>
              <w:t xml:space="preserve"> 35 </w:t>
            </w:r>
            <w:r>
              <w:rPr>
                <w:rFonts w:hint="eastAsia" w:ascii="宋体" w:hAnsi="宋体" w:eastAsia="宋体" w:cs="宋体"/>
                <w:color w:val="auto"/>
                <w:highlight w:val="none"/>
                <w:lang w:eastAsia="zh-CN"/>
              </w:rPr>
              <w:t>分</w:t>
            </w:r>
          </w:p>
          <w:p w14:paraId="58D0F170">
            <w:pPr>
              <w:kinsoku/>
              <w:spacing w:before="88" w:line="276" w:lineRule="auto"/>
              <w:ind w:left="533" w:right="3955"/>
              <w:rPr>
                <w:rFonts w:ascii="宋体" w:hAnsi="宋体" w:eastAsia="宋体" w:cs="宋体"/>
                <w:color w:val="auto"/>
                <w:highlight w:val="none"/>
                <w:lang w:eastAsia="zh-CN"/>
              </w:rPr>
            </w:pPr>
            <w:r>
              <w:rPr>
                <w:rFonts w:hint="eastAsia" w:ascii="宋体" w:hAnsi="宋体" w:eastAsia="宋体" w:cs="宋体"/>
                <w:color w:val="auto"/>
                <w:highlight w:val="none"/>
                <w:lang w:eastAsia="zh-CN"/>
              </w:rPr>
              <w:t>主要人员：</w:t>
            </w:r>
            <w:r>
              <w:rPr>
                <w:rFonts w:hint="eastAsia" w:ascii="宋体" w:hAnsi="宋体" w:eastAsia="宋体" w:cs="宋体"/>
                <w:color w:val="auto"/>
                <w:highlight w:val="none"/>
                <w:u w:val="single"/>
                <w:lang w:eastAsia="zh-CN"/>
              </w:rPr>
              <w:t xml:space="preserve"> 20 </w:t>
            </w:r>
            <w:r>
              <w:rPr>
                <w:rFonts w:hint="eastAsia" w:ascii="宋体" w:hAnsi="宋体" w:eastAsia="宋体" w:cs="宋体"/>
                <w:color w:val="auto"/>
                <w:highlight w:val="none"/>
                <w:lang w:eastAsia="zh-CN"/>
              </w:rPr>
              <w:t>分</w:t>
            </w:r>
          </w:p>
          <w:p w14:paraId="03E3A499">
            <w:pPr>
              <w:kinsoku/>
              <w:spacing w:before="88" w:line="276" w:lineRule="auto"/>
              <w:ind w:left="533" w:right="3955"/>
              <w:rPr>
                <w:rFonts w:ascii="宋体" w:hAnsi="宋体" w:eastAsia="宋体" w:cs="宋体"/>
                <w:color w:val="auto"/>
                <w:highlight w:val="none"/>
                <w:lang w:eastAsia="zh-CN"/>
              </w:rPr>
            </w:pPr>
            <w:r>
              <w:rPr>
                <w:rFonts w:hint="eastAsia" w:ascii="宋体" w:hAnsi="宋体" w:eastAsia="宋体" w:cs="宋体"/>
                <w:color w:val="auto"/>
                <w:highlight w:val="none"/>
                <w:lang w:eastAsia="zh-CN"/>
              </w:rPr>
              <w:t>业绩：</w:t>
            </w:r>
            <w:r>
              <w:rPr>
                <w:rFonts w:hint="eastAsia" w:ascii="宋体" w:hAnsi="宋体" w:eastAsia="宋体" w:cs="宋体"/>
                <w:color w:val="auto"/>
                <w:highlight w:val="none"/>
                <w:u w:val="single"/>
                <w:lang w:eastAsia="zh-CN"/>
              </w:rPr>
              <w:t xml:space="preserve"> 25 </w:t>
            </w:r>
            <w:r>
              <w:rPr>
                <w:rFonts w:hint="eastAsia" w:ascii="宋体" w:hAnsi="宋体" w:eastAsia="宋体" w:cs="宋体"/>
                <w:color w:val="auto"/>
                <w:highlight w:val="none"/>
                <w:lang w:eastAsia="zh-CN"/>
              </w:rPr>
              <w:t>分</w:t>
            </w:r>
          </w:p>
          <w:p w14:paraId="6D8E3F80">
            <w:pPr>
              <w:kinsoku/>
              <w:spacing w:before="88" w:line="276" w:lineRule="auto"/>
              <w:ind w:left="533" w:right="3955"/>
              <w:rPr>
                <w:rFonts w:ascii="宋体" w:hAnsi="宋体" w:eastAsia="宋体" w:cs="宋体"/>
                <w:color w:val="auto"/>
                <w:highlight w:val="none"/>
                <w:lang w:eastAsia="zh-CN"/>
              </w:rPr>
            </w:pPr>
            <w:r>
              <w:rPr>
                <w:rFonts w:hint="eastAsia" w:ascii="宋体" w:hAnsi="宋体" w:eastAsia="宋体" w:cs="宋体"/>
                <w:color w:val="auto"/>
                <w:highlight w:val="none"/>
                <w:lang w:eastAsia="zh-CN"/>
              </w:rPr>
              <w:t>履约信誉：</w:t>
            </w:r>
            <w:r>
              <w:rPr>
                <w:rFonts w:hint="eastAsia" w:ascii="宋体" w:hAnsi="宋体" w:eastAsia="宋体" w:cs="宋体"/>
                <w:color w:val="auto"/>
                <w:highlight w:val="none"/>
                <w:u w:val="single"/>
                <w:lang w:eastAsia="zh-CN"/>
              </w:rPr>
              <w:t xml:space="preserve"> 10 </w:t>
            </w:r>
            <w:r>
              <w:rPr>
                <w:rFonts w:hint="eastAsia" w:ascii="宋体" w:hAnsi="宋体" w:eastAsia="宋体" w:cs="宋体"/>
                <w:color w:val="auto"/>
                <w:highlight w:val="none"/>
                <w:lang w:eastAsia="zh-CN"/>
              </w:rPr>
              <w:t>分</w:t>
            </w:r>
          </w:p>
          <w:p w14:paraId="24B023C9">
            <w:pPr>
              <w:kinsoku/>
              <w:spacing w:before="88" w:line="276" w:lineRule="auto"/>
              <w:ind w:left="533" w:right="102"/>
              <w:rPr>
                <w:rFonts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第二个信封（报价文件）评分分值构成：</w:t>
            </w:r>
          </w:p>
          <w:p w14:paraId="63C7650B">
            <w:pPr>
              <w:kinsoku/>
              <w:spacing w:before="88" w:line="276" w:lineRule="auto"/>
              <w:ind w:left="533" w:right="102"/>
              <w:rPr>
                <w:rFonts w:ascii="宋体" w:hAnsi="宋体" w:eastAsia="宋体" w:cs="宋体"/>
                <w:color w:val="auto"/>
                <w:highlight w:val="none"/>
              </w:rPr>
            </w:pPr>
            <w:r>
              <w:rPr>
                <w:rFonts w:hint="eastAsia" w:ascii="宋体" w:hAnsi="宋体" w:eastAsia="宋体" w:cs="宋体"/>
                <w:color w:val="auto"/>
                <w:highlight w:val="none"/>
              </w:rPr>
              <w:t>评标价</w:t>
            </w:r>
            <w:r>
              <w:rPr>
                <w:rFonts w:hint="eastAsia" w:ascii="宋体" w:hAnsi="宋体" w:eastAsia="宋体" w:cs="宋体"/>
                <w:color w:val="auto"/>
                <w:sz w:val="11"/>
                <w:szCs w:val="11"/>
                <w:highlight w:val="none"/>
              </w:rPr>
              <w:t xml:space="preserve"> </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10</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分</w:t>
            </w:r>
          </w:p>
        </w:tc>
      </w:tr>
      <w:tr w14:paraId="76DF7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vAlign w:val="center"/>
          </w:tcPr>
          <w:p w14:paraId="520B8C5B">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2.2.2</w:t>
            </w:r>
          </w:p>
        </w:tc>
        <w:tc>
          <w:tcPr>
            <w:tcW w:w="1279" w:type="dxa"/>
            <w:gridSpan w:val="4"/>
            <w:vAlign w:val="center"/>
          </w:tcPr>
          <w:p w14:paraId="650E1365">
            <w:pPr>
              <w:kinsoku/>
              <w:spacing w:before="61"/>
              <w:jc w:val="center"/>
              <w:rPr>
                <w:rFonts w:ascii="宋体" w:hAnsi="宋体" w:eastAsia="宋体" w:cs="宋体"/>
                <w:color w:val="auto"/>
                <w:highlight w:val="none"/>
              </w:rPr>
            </w:pPr>
            <w:r>
              <w:rPr>
                <w:rFonts w:hint="eastAsia" w:ascii="宋体" w:hAnsi="宋体" w:eastAsia="宋体" w:cs="宋体"/>
                <w:color w:val="auto"/>
                <w:highlight w:val="none"/>
              </w:rPr>
              <w:t>评标基准价计 算方法</w:t>
            </w:r>
          </w:p>
        </w:tc>
        <w:tc>
          <w:tcPr>
            <w:tcW w:w="6692" w:type="dxa"/>
            <w:gridSpan w:val="5"/>
          </w:tcPr>
          <w:p w14:paraId="0D5B3B06">
            <w:pPr>
              <w:kinsoku/>
              <w:spacing w:before="108" w:line="219" w:lineRule="auto"/>
              <w:ind w:left="531"/>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评标基准价的计算：</w:t>
            </w:r>
          </w:p>
          <w:p w14:paraId="031CDB18">
            <w:pPr>
              <w:kinsoku/>
              <w:spacing w:before="108" w:line="219" w:lineRule="auto"/>
              <w:ind w:left="531"/>
              <w:rPr>
                <w:rFonts w:ascii="宋体" w:hAnsi="宋体" w:eastAsia="宋体" w:cs="宋体"/>
                <w:color w:val="auto"/>
                <w:highlight w:val="none"/>
                <w:lang w:eastAsia="zh-CN"/>
              </w:rPr>
            </w:pPr>
            <w:r>
              <w:rPr>
                <w:rFonts w:hint="eastAsia" w:ascii="宋体" w:hAnsi="宋体" w:eastAsia="宋体" w:cs="宋体"/>
                <w:color w:val="auto"/>
                <w:highlight w:val="none"/>
                <w:lang w:eastAsia="zh-CN"/>
              </w:rPr>
              <w:t>在开标现场，招标人将当场计算并宣布评标基准价。</w:t>
            </w:r>
          </w:p>
          <w:p w14:paraId="5543D31B">
            <w:pPr>
              <w:kinsoku/>
              <w:spacing w:before="108" w:line="219" w:lineRule="auto"/>
              <w:ind w:left="531"/>
              <w:rPr>
                <w:rFonts w:ascii="宋体" w:hAnsi="宋体" w:eastAsia="宋体" w:cs="宋体"/>
                <w:color w:val="auto"/>
                <w:highlight w:val="none"/>
                <w:lang w:eastAsia="zh-CN"/>
              </w:rPr>
            </w:pPr>
            <w:r>
              <w:rPr>
                <w:rFonts w:hint="eastAsia" w:ascii="宋体" w:hAnsi="宋体" w:eastAsia="宋体" w:cs="宋体"/>
                <w:color w:val="auto"/>
                <w:highlight w:val="none"/>
                <w:lang w:eastAsia="zh-CN"/>
              </w:rPr>
              <w:t>（1）评标价的确定：</w:t>
            </w:r>
          </w:p>
          <w:p w14:paraId="62324D08">
            <w:pPr>
              <w:kinsoku/>
              <w:spacing w:before="108" w:line="219" w:lineRule="auto"/>
              <w:ind w:left="531"/>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评标价＝投标函文字报价</w:t>
            </w:r>
          </w:p>
          <w:p w14:paraId="2DD890CA">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（2）最高评标限价的确定：</w:t>
            </w:r>
          </w:p>
          <w:p w14:paraId="743677E9">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①最高投标限价下浮率的确定</w:t>
            </w:r>
          </w:p>
          <w:p w14:paraId="707B1771">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下浮率在开标前在开标现场采取摇珠方式确定。摇珠操作办法如下：以0.1%为一档次增序确定摇珠号码，不少于31个球，一次性摇出3个球（摇出的珠不放回），摇出3个球对应的下浮率的算术平均值即为本标段招标的下浮率（注：下浮率摇珠浮动区间为0%至3%，摇出3个下浮率的算术平均值四舍五入取整到0.001</w:t>
            </w:r>
            <w:r>
              <w:rPr>
                <w:rFonts w:hint="eastAsia" w:ascii="宋体" w:hAnsi="宋体" w:eastAsia="宋体" w:cs="宋体"/>
                <w:color w:val="auto"/>
                <w:highlight w:val="none"/>
                <w:lang w:eastAsia="zh-CN"/>
              </w:rPr>
              <w:t>%</w:t>
            </w:r>
            <w:r>
              <w:rPr>
                <w:rFonts w:hint="eastAsia" w:ascii="宋体" w:hAnsi="宋体" w:cs="宋体"/>
                <w:color w:val="auto"/>
                <w:highlight w:val="none"/>
                <w:lang w:eastAsia="zh-CN"/>
              </w:rPr>
              <w:t>）。</w:t>
            </w:r>
          </w:p>
          <w:p w14:paraId="2A5F4E27">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②最高评标限价=最高投标限价×（1-下浮率）</w:t>
            </w:r>
          </w:p>
          <w:p w14:paraId="0A6F17C9">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有效评标价范围：不大于最高评标限价的评标价为有效评标价。若大于最高评标限价的评标价，其评标价得分为0分。</w:t>
            </w:r>
          </w:p>
          <w:p w14:paraId="576293CD">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（3）评标基准价的确定：</w:t>
            </w:r>
          </w:p>
          <w:p w14:paraId="7800A72C">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将最高评标限价下浮0.5%，作为评标基准价。</w:t>
            </w:r>
          </w:p>
          <w:p w14:paraId="392A8CD6">
            <w:pPr>
              <w:kinsoku/>
              <w:spacing w:before="92" w:line="285" w:lineRule="auto"/>
              <w:ind w:left="111" w:right="160" w:firstLine="421"/>
              <w:rPr>
                <w:rFonts w:ascii="宋体" w:hAnsi="宋体" w:cs="宋体"/>
                <w:color w:val="auto"/>
                <w:highlight w:val="none"/>
                <w:lang w:eastAsia="zh-CN"/>
              </w:rPr>
            </w:pPr>
            <w:r>
              <w:rPr>
                <w:rFonts w:hint="eastAsia" w:ascii="宋体" w:hAnsi="宋体" w:cs="宋体"/>
                <w:color w:val="auto"/>
                <w:highlight w:val="none"/>
                <w:lang w:eastAsia="zh-CN"/>
              </w:rPr>
              <w:t>在评标过程中，评标委员会应对招标人计算的评标基准价进行复核，存在计算错误的应予以修正并在评标报告中作出说明。除此之外，评标基准价在整个评标期间保持不变，不随任何因素发生变化。</w:t>
            </w:r>
          </w:p>
          <w:p w14:paraId="4F309D86">
            <w:pPr>
              <w:kinsoku/>
              <w:spacing w:before="92" w:line="285" w:lineRule="auto"/>
              <w:ind w:left="111" w:right="160" w:firstLine="421"/>
              <w:rPr>
                <w:color w:val="auto"/>
                <w:highlight w:val="none"/>
                <w:lang w:eastAsia="zh-CN"/>
              </w:rPr>
            </w:pPr>
            <w:r>
              <w:rPr>
                <w:rFonts w:hint="eastAsia" w:ascii="宋体" w:hAnsi="宋体" w:cs="宋体"/>
                <w:color w:val="auto"/>
                <w:highlight w:val="none"/>
                <w:lang w:eastAsia="zh-CN"/>
              </w:rPr>
              <w:t>注：评标价平均值、最高评标限价、评标基准价的计算均四舍五入至个位整数。</w:t>
            </w:r>
          </w:p>
        </w:tc>
      </w:tr>
      <w:tr w14:paraId="3188D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993" w:type="dxa"/>
            <w:gridSpan w:val="2"/>
            <w:tcBorders>
              <w:bottom w:val="single" w:color="auto" w:sz="4" w:space="0"/>
            </w:tcBorders>
            <w:vAlign w:val="center"/>
          </w:tcPr>
          <w:p w14:paraId="52270ED4">
            <w:pPr>
              <w:kinsoku/>
              <w:spacing w:before="61" w:line="187" w:lineRule="auto"/>
              <w:jc w:val="center"/>
              <w:rPr>
                <w:rFonts w:ascii="宋体" w:hAnsi="宋体" w:eastAsia="宋体" w:cs="宋体"/>
                <w:color w:val="auto"/>
                <w:highlight w:val="none"/>
              </w:rPr>
            </w:pPr>
            <w:r>
              <w:rPr>
                <w:rFonts w:hint="eastAsia" w:ascii="宋体" w:hAnsi="宋体" w:eastAsia="宋体" w:cs="宋体"/>
                <w:color w:val="auto"/>
                <w:highlight w:val="none"/>
              </w:rPr>
              <w:t>2.2.3</w:t>
            </w:r>
          </w:p>
        </w:tc>
        <w:tc>
          <w:tcPr>
            <w:tcW w:w="1279" w:type="dxa"/>
            <w:gridSpan w:val="4"/>
            <w:tcBorders>
              <w:bottom w:val="single" w:color="auto" w:sz="4" w:space="0"/>
            </w:tcBorders>
            <w:vAlign w:val="center"/>
          </w:tcPr>
          <w:p w14:paraId="1E587B03">
            <w:pPr>
              <w:kinsoku/>
              <w:spacing w:before="61"/>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评标价的偏差率计算公式</w:t>
            </w:r>
          </w:p>
        </w:tc>
        <w:tc>
          <w:tcPr>
            <w:tcW w:w="6692" w:type="dxa"/>
            <w:gridSpan w:val="5"/>
            <w:tcBorders>
              <w:bottom w:val="single" w:color="auto" w:sz="4" w:space="0"/>
            </w:tcBorders>
          </w:tcPr>
          <w:p w14:paraId="7D0A8F52">
            <w:pPr>
              <w:kinsoku/>
              <w:spacing w:before="118" w:line="263" w:lineRule="auto"/>
              <w:ind w:left="532" w:right="597"/>
              <w:rPr>
                <w:rFonts w:ascii="宋体" w:hAnsi="宋体" w:eastAsia="宋体" w:cs="宋体"/>
                <w:color w:val="auto"/>
                <w:highlight w:val="none"/>
                <w:lang w:eastAsia="zh-CN"/>
              </w:rPr>
            </w:pPr>
            <w:r>
              <w:rPr>
                <w:rFonts w:hint="eastAsia" w:ascii="宋体" w:hAnsi="宋体" w:eastAsia="宋体" w:cs="宋体"/>
                <w:color w:val="auto"/>
                <w:highlight w:val="none"/>
                <w:lang w:eastAsia="zh-CN"/>
              </w:rPr>
              <w:t>偏差率=100%×（投标人评标价－评标基准价）/评标基准价</w:t>
            </w:r>
          </w:p>
        </w:tc>
      </w:tr>
      <w:tr w14:paraId="210C4E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restart"/>
            <w:tcBorders>
              <w:top w:val="single" w:color="auto" w:sz="4" w:space="0"/>
              <w:left w:val="single" w:color="auto" w:sz="4" w:space="0"/>
              <w:bottom w:val="single" w:color="auto" w:sz="4" w:space="0"/>
              <w:right w:val="single" w:color="auto" w:sz="4" w:space="0"/>
            </w:tcBorders>
            <w:vAlign w:val="center"/>
          </w:tcPr>
          <w:p w14:paraId="3A3D669B">
            <w:pPr>
              <w:kinsoku/>
              <w:spacing w:before="68" w:line="276" w:lineRule="auto"/>
              <w:jc w:val="center"/>
              <w:rPr>
                <w:rFonts w:ascii="宋体" w:hAnsi="宋体" w:eastAsia="宋体" w:cs="宋体"/>
                <w:color w:val="auto"/>
                <w:highlight w:val="none"/>
              </w:rPr>
            </w:pPr>
            <w:r>
              <w:rPr>
                <w:rFonts w:hint="eastAsia" w:ascii="宋体" w:hAnsi="宋体" w:eastAsia="宋体" w:cs="宋体"/>
                <w:b/>
                <w:bCs/>
                <w:color w:val="auto"/>
                <w:highlight w:val="none"/>
              </w:rPr>
              <w:t>条款号</w:t>
            </w:r>
          </w:p>
        </w:tc>
        <w:tc>
          <w:tcPr>
            <w:tcW w:w="3993" w:type="dxa"/>
            <w:gridSpan w:val="9"/>
            <w:tcBorders>
              <w:top w:val="single" w:color="auto" w:sz="4" w:space="0"/>
              <w:left w:val="single" w:color="auto" w:sz="4" w:space="0"/>
              <w:bottom w:val="single" w:color="auto" w:sz="4" w:space="0"/>
              <w:right w:val="single" w:color="auto" w:sz="4" w:space="0"/>
            </w:tcBorders>
            <w:vAlign w:val="center"/>
          </w:tcPr>
          <w:p w14:paraId="3F5BBBAD">
            <w:pPr>
              <w:kinsoku/>
              <w:spacing w:before="128" w:line="276" w:lineRule="auto"/>
              <w:jc w:val="center"/>
              <w:rPr>
                <w:rFonts w:ascii="宋体" w:hAnsi="宋体" w:eastAsia="宋体" w:cs="宋体"/>
                <w:color w:val="auto"/>
                <w:sz w:val="11"/>
                <w:szCs w:val="11"/>
                <w:highlight w:val="none"/>
              </w:rPr>
            </w:pPr>
            <w:r>
              <w:rPr>
                <w:rFonts w:hint="eastAsia" w:ascii="宋体" w:hAnsi="宋体" w:eastAsia="宋体" w:cs="宋体"/>
                <w:b/>
                <w:bCs/>
                <w:color w:val="auto"/>
                <w:highlight w:val="none"/>
              </w:rPr>
              <w:t>评分因素与权重分值</w:t>
            </w:r>
          </w:p>
        </w:tc>
        <w:tc>
          <w:tcPr>
            <w:tcW w:w="4376" w:type="dxa"/>
            <w:vMerge w:val="restart"/>
            <w:tcBorders>
              <w:top w:val="single" w:color="auto" w:sz="4" w:space="0"/>
              <w:left w:val="single" w:color="auto" w:sz="4" w:space="0"/>
              <w:bottom w:val="single" w:color="auto" w:sz="4" w:space="0"/>
              <w:right w:val="single" w:color="auto" w:sz="4" w:space="0"/>
            </w:tcBorders>
            <w:vAlign w:val="center"/>
          </w:tcPr>
          <w:p w14:paraId="17EB0625">
            <w:pPr>
              <w:kinsoku/>
              <w:spacing w:before="68" w:line="276" w:lineRule="auto"/>
              <w:jc w:val="center"/>
              <w:rPr>
                <w:rFonts w:ascii="宋体" w:hAnsi="宋体" w:eastAsia="宋体" w:cs="宋体"/>
                <w:color w:val="auto"/>
                <w:sz w:val="11"/>
                <w:szCs w:val="11"/>
                <w:highlight w:val="none"/>
              </w:rPr>
            </w:pPr>
            <w:r>
              <w:rPr>
                <w:rFonts w:hint="eastAsia" w:ascii="宋体" w:hAnsi="宋体" w:eastAsia="宋体" w:cs="宋体"/>
                <w:b/>
                <w:bCs/>
                <w:color w:val="auto"/>
                <w:highlight w:val="none"/>
              </w:rPr>
              <w:t>评分标准</w:t>
            </w:r>
          </w:p>
        </w:tc>
      </w:tr>
      <w:tr w14:paraId="74E1CA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single" w:color="auto" w:sz="4" w:space="0"/>
              <w:left w:val="single" w:color="auto" w:sz="4" w:space="0"/>
            </w:tcBorders>
            <w:vAlign w:val="center"/>
          </w:tcPr>
          <w:p w14:paraId="605F0A46">
            <w:pPr>
              <w:kinsoku/>
              <w:spacing w:line="276" w:lineRule="auto"/>
              <w:jc w:val="center"/>
              <w:rPr>
                <w:rFonts w:ascii="宋体" w:hAnsi="宋体" w:eastAsia="宋体" w:cs="宋体"/>
                <w:color w:val="auto"/>
                <w:highlight w:val="none"/>
              </w:rPr>
            </w:pPr>
          </w:p>
        </w:tc>
        <w:tc>
          <w:tcPr>
            <w:tcW w:w="975" w:type="dxa"/>
            <w:gridSpan w:val="4"/>
            <w:tcBorders>
              <w:top w:val="single" w:color="auto" w:sz="4" w:space="0"/>
            </w:tcBorders>
            <w:vAlign w:val="center"/>
          </w:tcPr>
          <w:p w14:paraId="0C8291BA">
            <w:pPr>
              <w:kinsoku/>
              <w:spacing w:before="68" w:line="276"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评分因素</w:t>
            </w:r>
          </w:p>
        </w:tc>
        <w:tc>
          <w:tcPr>
            <w:tcW w:w="956" w:type="dxa"/>
            <w:gridSpan w:val="2"/>
            <w:tcBorders>
              <w:top w:val="single" w:color="auto" w:sz="4" w:space="0"/>
            </w:tcBorders>
            <w:vAlign w:val="center"/>
          </w:tcPr>
          <w:p w14:paraId="42ACA50F">
            <w:pPr>
              <w:kinsoku/>
              <w:spacing w:before="68" w:line="276"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评分因素权重分值</w:t>
            </w:r>
          </w:p>
        </w:tc>
        <w:tc>
          <w:tcPr>
            <w:tcW w:w="1287" w:type="dxa"/>
            <w:tcBorders>
              <w:top w:val="single" w:color="auto" w:sz="4" w:space="0"/>
            </w:tcBorders>
            <w:vAlign w:val="center"/>
          </w:tcPr>
          <w:p w14:paraId="3D54B8AB">
            <w:pPr>
              <w:kinsoku/>
              <w:spacing w:before="68" w:line="276"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各评分因素细分项</w:t>
            </w:r>
          </w:p>
        </w:tc>
        <w:tc>
          <w:tcPr>
            <w:tcW w:w="775" w:type="dxa"/>
            <w:gridSpan w:val="2"/>
            <w:tcBorders>
              <w:top w:val="single" w:color="auto" w:sz="4" w:space="0"/>
            </w:tcBorders>
            <w:vAlign w:val="center"/>
          </w:tcPr>
          <w:p w14:paraId="0CDD6E8A">
            <w:pPr>
              <w:kinsoku/>
              <w:spacing w:before="68" w:line="276"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分值</w:t>
            </w:r>
          </w:p>
        </w:tc>
        <w:tc>
          <w:tcPr>
            <w:tcW w:w="4376" w:type="dxa"/>
            <w:vMerge w:val="continue"/>
            <w:tcBorders>
              <w:top w:val="single" w:color="auto" w:sz="4" w:space="0"/>
              <w:right w:val="single" w:color="auto" w:sz="4" w:space="0"/>
            </w:tcBorders>
            <w:vAlign w:val="center"/>
          </w:tcPr>
          <w:p w14:paraId="59A59E3B">
            <w:pPr>
              <w:kinsoku/>
              <w:spacing w:line="276" w:lineRule="auto"/>
              <w:jc w:val="center"/>
              <w:rPr>
                <w:rFonts w:ascii="宋体" w:hAnsi="宋体" w:eastAsia="宋体" w:cs="宋体"/>
                <w:color w:val="auto"/>
                <w:highlight w:val="none"/>
              </w:rPr>
            </w:pPr>
          </w:p>
        </w:tc>
      </w:tr>
      <w:tr w14:paraId="75D88F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restart"/>
            <w:tcBorders>
              <w:bottom w:val="nil"/>
            </w:tcBorders>
            <w:vAlign w:val="center"/>
          </w:tcPr>
          <w:p w14:paraId="0CECC83B">
            <w:pPr>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rPr>
              <w:t>2.2.4（1）</w:t>
            </w:r>
          </w:p>
        </w:tc>
        <w:tc>
          <w:tcPr>
            <w:tcW w:w="975" w:type="dxa"/>
            <w:gridSpan w:val="4"/>
            <w:vMerge w:val="restart"/>
            <w:tcBorders>
              <w:bottom w:val="nil"/>
            </w:tcBorders>
            <w:vAlign w:val="center"/>
          </w:tcPr>
          <w:p w14:paraId="4F2B68B6">
            <w:pPr>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rPr>
              <w:t>技术建议书</w:t>
            </w:r>
          </w:p>
        </w:tc>
        <w:tc>
          <w:tcPr>
            <w:tcW w:w="956" w:type="dxa"/>
            <w:gridSpan w:val="2"/>
            <w:vMerge w:val="restart"/>
            <w:tcBorders>
              <w:bottom w:val="nil"/>
            </w:tcBorders>
            <w:vAlign w:val="center"/>
          </w:tcPr>
          <w:p w14:paraId="09117FE1">
            <w:pPr>
              <w:tabs>
                <w:tab w:val="left" w:pos="663"/>
              </w:tabs>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35</w:t>
            </w:r>
            <w:r>
              <w:rPr>
                <w:rFonts w:hint="eastAsia" w:ascii="宋体" w:hAnsi="宋体" w:eastAsia="宋体" w:cs="宋体"/>
                <w:color w:val="auto"/>
                <w:highlight w:val="none"/>
              </w:rPr>
              <w:t>分</w:t>
            </w:r>
          </w:p>
        </w:tc>
        <w:tc>
          <w:tcPr>
            <w:tcW w:w="1287" w:type="dxa"/>
            <w:vAlign w:val="center"/>
          </w:tcPr>
          <w:p w14:paraId="1EC87452">
            <w:pPr>
              <w:kinsoku/>
              <w:spacing w:before="137" w:line="276" w:lineRule="auto"/>
              <w:ind w:left="114" w:right="99" w:hanging="2"/>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对招标项目的理解和总体设计思路</w:t>
            </w:r>
          </w:p>
        </w:tc>
        <w:tc>
          <w:tcPr>
            <w:tcW w:w="775" w:type="dxa"/>
            <w:gridSpan w:val="2"/>
            <w:vAlign w:val="center"/>
          </w:tcPr>
          <w:p w14:paraId="3C8ADF77">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10</w:t>
            </w:r>
            <w:r>
              <w:rPr>
                <w:rFonts w:hint="eastAsia" w:ascii="宋体" w:hAnsi="宋体" w:eastAsia="宋体" w:cs="宋体"/>
                <w:color w:val="auto"/>
                <w:highlight w:val="none"/>
              </w:rPr>
              <w:t>分</w:t>
            </w:r>
          </w:p>
        </w:tc>
        <w:tc>
          <w:tcPr>
            <w:tcW w:w="4376" w:type="dxa"/>
            <w:vAlign w:val="center"/>
          </w:tcPr>
          <w:p w14:paraId="66F23E8E">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hint="eastAsia" w:cs="宋体" w:asciiTheme="minorEastAsia" w:hAnsiTheme="minorEastAsia" w:eastAsiaTheme="minorEastAsia"/>
                <w:color w:val="auto"/>
                <w:highlight w:val="none"/>
                <w:lang w:eastAsia="zh-CN"/>
              </w:rPr>
              <w:t>1）对勘察设计工作范围和任务描述一般准确、总体设计思路一般清晰，得6.0-7.2分；</w:t>
            </w:r>
          </w:p>
          <w:p w14:paraId="61192CB0">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宋体" w:asciiTheme="minorEastAsia" w:hAnsiTheme="minorEastAsia" w:eastAsiaTheme="minorEastAsia"/>
                <w:color w:val="auto"/>
                <w:highlight w:val="none"/>
                <w:lang w:eastAsia="zh-CN"/>
              </w:rPr>
              <w:t>（2）对勘察设计工作范围和任务描述比较准确、总体设计思路比较清晰，得7.3-8.5分；</w:t>
            </w:r>
          </w:p>
          <w:p w14:paraId="5B6FC444">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3</w:t>
            </w:r>
            <w:r>
              <w:rPr>
                <w:rFonts w:hint="eastAsia" w:cs="微软雅黑" w:asciiTheme="minorEastAsia" w:hAnsiTheme="minorEastAsia" w:eastAsiaTheme="minorEastAsia"/>
                <w:color w:val="auto"/>
                <w:highlight w:val="none"/>
                <w:lang w:eastAsia="zh-CN"/>
              </w:rPr>
              <w:t>）对勘察设计工作范围和任务描述准确、总体设计思路清晰，得</w:t>
            </w:r>
            <w:r>
              <w:rPr>
                <w:rFonts w:cs="宋体" w:asciiTheme="minorEastAsia" w:hAnsiTheme="minorEastAsia" w:eastAsiaTheme="minorEastAsia"/>
                <w:color w:val="auto"/>
                <w:highlight w:val="none"/>
                <w:lang w:eastAsia="zh-CN"/>
              </w:rPr>
              <w:t>8.6-10.0</w:t>
            </w:r>
            <w:r>
              <w:rPr>
                <w:rFonts w:hint="eastAsia" w:cs="微软雅黑" w:asciiTheme="minorEastAsia" w:hAnsiTheme="minorEastAsia" w:eastAsiaTheme="minorEastAsia"/>
                <w:color w:val="auto"/>
                <w:highlight w:val="none"/>
                <w:lang w:eastAsia="zh-CN"/>
              </w:rPr>
              <w:t>分。</w:t>
            </w:r>
          </w:p>
        </w:tc>
      </w:tr>
      <w:tr w14:paraId="12511F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nil"/>
              <w:bottom w:val="nil"/>
            </w:tcBorders>
          </w:tcPr>
          <w:p w14:paraId="71C98A16">
            <w:pPr>
              <w:kinsoku/>
              <w:spacing w:line="276" w:lineRule="auto"/>
              <w:rPr>
                <w:rFonts w:ascii="宋体" w:hAnsi="宋体" w:eastAsia="宋体" w:cs="宋体"/>
                <w:color w:val="auto"/>
                <w:highlight w:val="none"/>
                <w:lang w:eastAsia="zh-CN"/>
              </w:rPr>
            </w:pPr>
          </w:p>
        </w:tc>
        <w:tc>
          <w:tcPr>
            <w:tcW w:w="975" w:type="dxa"/>
            <w:gridSpan w:val="4"/>
            <w:vMerge w:val="continue"/>
            <w:tcBorders>
              <w:top w:val="nil"/>
              <w:bottom w:val="nil"/>
            </w:tcBorders>
          </w:tcPr>
          <w:p w14:paraId="1E4A67AF">
            <w:pPr>
              <w:kinsoku/>
              <w:spacing w:line="276" w:lineRule="auto"/>
              <w:rPr>
                <w:rFonts w:ascii="宋体" w:hAnsi="宋体" w:eastAsia="宋体" w:cs="宋体"/>
                <w:color w:val="auto"/>
                <w:highlight w:val="none"/>
                <w:lang w:eastAsia="zh-CN"/>
              </w:rPr>
            </w:pPr>
          </w:p>
        </w:tc>
        <w:tc>
          <w:tcPr>
            <w:tcW w:w="956" w:type="dxa"/>
            <w:gridSpan w:val="2"/>
            <w:vMerge w:val="continue"/>
            <w:tcBorders>
              <w:top w:val="nil"/>
              <w:bottom w:val="nil"/>
            </w:tcBorders>
          </w:tcPr>
          <w:p w14:paraId="5EDF6D50">
            <w:pPr>
              <w:kinsoku/>
              <w:spacing w:line="276" w:lineRule="auto"/>
              <w:rPr>
                <w:rFonts w:ascii="宋体" w:hAnsi="宋体" w:eastAsia="宋体" w:cs="宋体"/>
                <w:color w:val="auto"/>
                <w:highlight w:val="none"/>
                <w:lang w:eastAsia="zh-CN"/>
              </w:rPr>
            </w:pPr>
          </w:p>
        </w:tc>
        <w:tc>
          <w:tcPr>
            <w:tcW w:w="1287" w:type="dxa"/>
            <w:vAlign w:val="center"/>
          </w:tcPr>
          <w:p w14:paraId="5797B741">
            <w:pPr>
              <w:kinsoku/>
              <w:spacing w:before="135" w:line="276" w:lineRule="auto"/>
              <w:ind w:left="114" w:right="107"/>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招标项目勘察设计的特点、关键技术问题的认识及其对策措施</w:t>
            </w:r>
          </w:p>
        </w:tc>
        <w:tc>
          <w:tcPr>
            <w:tcW w:w="775" w:type="dxa"/>
            <w:gridSpan w:val="2"/>
            <w:vAlign w:val="center"/>
          </w:tcPr>
          <w:p w14:paraId="6F208123">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10</w:t>
            </w:r>
            <w:r>
              <w:rPr>
                <w:rFonts w:hint="eastAsia" w:ascii="宋体" w:hAnsi="宋体" w:eastAsia="宋体" w:cs="宋体"/>
                <w:color w:val="auto"/>
                <w:highlight w:val="none"/>
              </w:rPr>
              <w:t>分</w:t>
            </w:r>
          </w:p>
        </w:tc>
        <w:tc>
          <w:tcPr>
            <w:tcW w:w="4376" w:type="dxa"/>
            <w:vAlign w:val="center"/>
          </w:tcPr>
          <w:p w14:paraId="23208AF4">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宋体"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1</w:t>
            </w:r>
            <w:r>
              <w:rPr>
                <w:rFonts w:hint="eastAsia" w:cs="宋体" w:asciiTheme="minorEastAsia" w:hAnsiTheme="minorEastAsia" w:eastAsiaTheme="minorEastAsia"/>
                <w:color w:val="auto"/>
                <w:highlight w:val="none"/>
                <w:lang w:eastAsia="zh-CN"/>
              </w:rPr>
              <w:t>）对项目勘察设计特点、关键技术问题的认识一般全面深刻及其对策措施一般具体、针对性一般强的得分为</w:t>
            </w:r>
            <w:r>
              <w:rPr>
                <w:rFonts w:cs="宋体" w:asciiTheme="minorEastAsia" w:hAnsiTheme="minorEastAsia" w:eastAsiaTheme="minorEastAsia"/>
                <w:color w:val="auto"/>
                <w:highlight w:val="none"/>
                <w:lang w:eastAsia="zh-CN"/>
              </w:rPr>
              <w:t>6.0-7.2</w:t>
            </w:r>
            <w:r>
              <w:rPr>
                <w:rFonts w:hint="eastAsia" w:cs="宋体" w:asciiTheme="minorEastAsia" w:hAnsiTheme="minorEastAsia" w:eastAsiaTheme="minorEastAsia"/>
                <w:color w:val="auto"/>
                <w:highlight w:val="none"/>
                <w:lang w:eastAsia="zh-CN"/>
              </w:rPr>
              <w:t>分；</w:t>
            </w:r>
          </w:p>
          <w:p w14:paraId="3E442A56">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（2）对项目勘察设计特点、关键技术问题的认识比较全面深刻及其对策措施比较具体、针对性比较强的得分为7.3-8.5分；</w:t>
            </w:r>
          </w:p>
          <w:p w14:paraId="4F26A292">
            <w:pPr>
              <w:kinsoku/>
              <w:spacing w:line="276" w:lineRule="auto"/>
              <w:ind w:left="40" w:leftChars="19" w:right="36" w:rightChars="17"/>
              <w:jc w:val="both"/>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3</w:t>
            </w:r>
            <w:r>
              <w:rPr>
                <w:rFonts w:hint="eastAsia" w:cs="微软雅黑" w:asciiTheme="minorEastAsia" w:hAnsiTheme="minorEastAsia" w:eastAsiaTheme="minorEastAsia"/>
                <w:color w:val="auto"/>
                <w:highlight w:val="none"/>
                <w:lang w:eastAsia="zh-CN"/>
              </w:rPr>
              <w:t>）对项目勘察设计特点、关键技术问题的认识全面深刻及其对策措施具体、针对性强的得分为</w:t>
            </w:r>
            <w:r>
              <w:rPr>
                <w:rFonts w:cs="宋体" w:asciiTheme="minorEastAsia" w:hAnsiTheme="minorEastAsia" w:eastAsiaTheme="minorEastAsia"/>
                <w:color w:val="auto"/>
                <w:highlight w:val="none"/>
                <w:lang w:eastAsia="zh-CN"/>
              </w:rPr>
              <w:t>8.6-10.0</w:t>
            </w:r>
            <w:r>
              <w:rPr>
                <w:rFonts w:hint="eastAsia" w:cs="微软雅黑" w:asciiTheme="minorEastAsia" w:hAnsiTheme="minorEastAsia" w:eastAsiaTheme="minorEastAsia"/>
                <w:color w:val="auto"/>
                <w:highlight w:val="none"/>
                <w:lang w:eastAsia="zh-CN"/>
              </w:rPr>
              <w:t>分</w:t>
            </w:r>
            <w:r>
              <w:rPr>
                <w:rFonts w:hint="eastAsia" w:cs="宋体" w:asciiTheme="minorEastAsia" w:hAnsiTheme="minorEastAsia" w:eastAsiaTheme="minorEastAsia"/>
                <w:color w:val="auto"/>
                <w:highlight w:val="none"/>
                <w:lang w:eastAsia="zh-CN"/>
              </w:rPr>
              <w:t>。</w:t>
            </w:r>
          </w:p>
        </w:tc>
      </w:tr>
      <w:tr w14:paraId="7C5EBE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nil"/>
              <w:bottom w:val="nil"/>
            </w:tcBorders>
          </w:tcPr>
          <w:p w14:paraId="52EB9236">
            <w:pPr>
              <w:kinsoku/>
              <w:spacing w:line="276" w:lineRule="auto"/>
              <w:rPr>
                <w:rFonts w:ascii="宋体" w:hAnsi="宋体" w:eastAsia="宋体" w:cs="宋体"/>
                <w:color w:val="auto"/>
                <w:highlight w:val="none"/>
                <w:lang w:eastAsia="zh-CN"/>
              </w:rPr>
            </w:pPr>
          </w:p>
        </w:tc>
        <w:tc>
          <w:tcPr>
            <w:tcW w:w="975" w:type="dxa"/>
            <w:gridSpan w:val="4"/>
            <w:vMerge w:val="continue"/>
            <w:tcBorders>
              <w:top w:val="nil"/>
              <w:bottom w:val="nil"/>
            </w:tcBorders>
          </w:tcPr>
          <w:p w14:paraId="25563CF4">
            <w:pPr>
              <w:kinsoku/>
              <w:spacing w:line="276" w:lineRule="auto"/>
              <w:rPr>
                <w:rFonts w:ascii="宋体" w:hAnsi="宋体" w:eastAsia="宋体" w:cs="宋体"/>
                <w:color w:val="auto"/>
                <w:highlight w:val="none"/>
                <w:lang w:eastAsia="zh-CN"/>
              </w:rPr>
            </w:pPr>
          </w:p>
        </w:tc>
        <w:tc>
          <w:tcPr>
            <w:tcW w:w="956" w:type="dxa"/>
            <w:gridSpan w:val="2"/>
            <w:vMerge w:val="continue"/>
            <w:tcBorders>
              <w:top w:val="nil"/>
              <w:bottom w:val="nil"/>
            </w:tcBorders>
          </w:tcPr>
          <w:p w14:paraId="5BBDBC3C">
            <w:pPr>
              <w:kinsoku/>
              <w:spacing w:line="276" w:lineRule="auto"/>
              <w:rPr>
                <w:rFonts w:ascii="宋体" w:hAnsi="宋体" w:eastAsia="宋体" w:cs="宋体"/>
                <w:color w:val="auto"/>
                <w:highlight w:val="none"/>
                <w:lang w:eastAsia="zh-CN"/>
              </w:rPr>
            </w:pPr>
          </w:p>
        </w:tc>
        <w:tc>
          <w:tcPr>
            <w:tcW w:w="1287" w:type="dxa"/>
            <w:vAlign w:val="center"/>
          </w:tcPr>
          <w:p w14:paraId="6B3C6CDF">
            <w:pPr>
              <w:kinsoku/>
              <w:spacing w:before="135" w:line="276" w:lineRule="auto"/>
              <w:ind w:left="114" w:right="107"/>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勘察设计工作量及计划安排</w:t>
            </w:r>
          </w:p>
        </w:tc>
        <w:tc>
          <w:tcPr>
            <w:tcW w:w="775" w:type="dxa"/>
            <w:gridSpan w:val="2"/>
            <w:vAlign w:val="center"/>
          </w:tcPr>
          <w:p w14:paraId="54A8FAEC">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5分</w:t>
            </w:r>
          </w:p>
        </w:tc>
        <w:tc>
          <w:tcPr>
            <w:tcW w:w="4376" w:type="dxa"/>
            <w:vAlign w:val="center"/>
          </w:tcPr>
          <w:p w14:paraId="7F6F9AAB">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（1）对项目勘察设计的工作量及计划安排不够具体、切合实际的得分为3.0-3.5分；</w:t>
            </w:r>
          </w:p>
          <w:p w14:paraId="710ACBDE">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（2）对项目勘察设计的工作量及计划安排比较具体、切合实际的得分为3.6-4.2分；</w:t>
            </w:r>
          </w:p>
          <w:p w14:paraId="325A4A5F">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3</w:t>
            </w:r>
            <w:r>
              <w:rPr>
                <w:rFonts w:hint="eastAsia" w:cs="微软雅黑" w:asciiTheme="minorEastAsia" w:hAnsiTheme="minorEastAsia" w:eastAsiaTheme="minorEastAsia"/>
                <w:color w:val="auto"/>
                <w:highlight w:val="none"/>
                <w:lang w:eastAsia="zh-CN"/>
              </w:rPr>
              <w:t>）对项目勘察设计的工作量及计划安排具体、切合实际的得分为</w:t>
            </w:r>
            <w:r>
              <w:rPr>
                <w:rFonts w:cs="宋体" w:asciiTheme="minorEastAsia" w:hAnsiTheme="minorEastAsia" w:eastAsiaTheme="minorEastAsia"/>
                <w:color w:val="auto"/>
                <w:highlight w:val="none"/>
                <w:lang w:eastAsia="zh-CN"/>
              </w:rPr>
              <w:t>4.3-5.0</w:t>
            </w:r>
            <w:r>
              <w:rPr>
                <w:rFonts w:hint="eastAsia" w:cs="微软雅黑" w:asciiTheme="minorEastAsia" w:hAnsiTheme="minorEastAsia" w:eastAsiaTheme="minorEastAsia"/>
                <w:color w:val="auto"/>
                <w:highlight w:val="none"/>
                <w:lang w:eastAsia="zh-CN"/>
              </w:rPr>
              <w:t>分。</w:t>
            </w:r>
          </w:p>
        </w:tc>
      </w:tr>
      <w:tr w14:paraId="63D3DC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nil"/>
              <w:bottom w:val="nil"/>
            </w:tcBorders>
          </w:tcPr>
          <w:p w14:paraId="2837B2B8">
            <w:pPr>
              <w:kinsoku/>
              <w:spacing w:line="276" w:lineRule="auto"/>
              <w:rPr>
                <w:rFonts w:ascii="宋体" w:hAnsi="宋体" w:eastAsia="宋体" w:cs="宋体"/>
                <w:color w:val="auto"/>
                <w:highlight w:val="none"/>
                <w:lang w:eastAsia="zh-CN"/>
              </w:rPr>
            </w:pPr>
          </w:p>
        </w:tc>
        <w:tc>
          <w:tcPr>
            <w:tcW w:w="975" w:type="dxa"/>
            <w:gridSpan w:val="4"/>
            <w:vMerge w:val="continue"/>
            <w:tcBorders>
              <w:top w:val="nil"/>
              <w:bottom w:val="nil"/>
            </w:tcBorders>
          </w:tcPr>
          <w:p w14:paraId="0E4380CC">
            <w:pPr>
              <w:kinsoku/>
              <w:spacing w:line="276" w:lineRule="auto"/>
              <w:rPr>
                <w:rFonts w:ascii="宋体" w:hAnsi="宋体" w:eastAsia="宋体" w:cs="宋体"/>
                <w:color w:val="auto"/>
                <w:highlight w:val="none"/>
                <w:lang w:eastAsia="zh-CN"/>
              </w:rPr>
            </w:pPr>
          </w:p>
        </w:tc>
        <w:tc>
          <w:tcPr>
            <w:tcW w:w="956" w:type="dxa"/>
            <w:gridSpan w:val="2"/>
            <w:vMerge w:val="continue"/>
            <w:tcBorders>
              <w:top w:val="nil"/>
              <w:bottom w:val="nil"/>
            </w:tcBorders>
          </w:tcPr>
          <w:p w14:paraId="729D0F01">
            <w:pPr>
              <w:kinsoku/>
              <w:spacing w:line="276" w:lineRule="auto"/>
              <w:rPr>
                <w:rFonts w:ascii="宋体" w:hAnsi="宋体" w:eastAsia="宋体" w:cs="宋体"/>
                <w:color w:val="auto"/>
                <w:highlight w:val="none"/>
                <w:lang w:eastAsia="zh-CN"/>
              </w:rPr>
            </w:pPr>
          </w:p>
        </w:tc>
        <w:tc>
          <w:tcPr>
            <w:tcW w:w="1287" w:type="dxa"/>
            <w:vAlign w:val="center"/>
          </w:tcPr>
          <w:p w14:paraId="3CC12BF6">
            <w:pPr>
              <w:kinsoku/>
              <w:spacing w:before="135" w:line="276" w:lineRule="auto"/>
              <w:ind w:left="114" w:right="107"/>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勘察设计的质量保证措施、进度保证措施、安全保证措施</w:t>
            </w:r>
          </w:p>
        </w:tc>
        <w:tc>
          <w:tcPr>
            <w:tcW w:w="775" w:type="dxa"/>
            <w:gridSpan w:val="2"/>
            <w:vAlign w:val="center"/>
          </w:tcPr>
          <w:p w14:paraId="586781A5">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5</w:t>
            </w:r>
            <w:r>
              <w:rPr>
                <w:rFonts w:hint="eastAsia" w:ascii="宋体" w:hAnsi="宋体" w:eastAsia="宋体" w:cs="宋体"/>
                <w:color w:val="auto"/>
                <w:highlight w:val="none"/>
              </w:rPr>
              <w:t>分</w:t>
            </w:r>
          </w:p>
        </w:tc>
        <w:tc>
          <w:tcPr>
            <w:tcW w:w="4376" w:type="dxa"/>
            <w:vAlign w:val="center"/>
          </w:tcPr>
          <w:p w14:paraId="5A5B3A9C">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（1）对项目勘察设计的质量保证措施、进度保证措施不够具体、针对性不够强的得分为3.0-3.5分；</w:t>
            </w:r>
          </w:p>
          <w:p w14:paraId="1F16E1F5">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（2）对项目勘察设计的质量保证措施、进度保证措施比较具体、针对性比较强的得分为3.6-4.2分；</w:t>
            </w:r>
          </w:p>
          <w:p w14:paraId="7EA6A41D">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3</w:t>
            </w:r>
            <w:r>
              <w:rPr>
                <w:rFonts w:hint="eastAsia" w:cs="微软雅黑" w:asciiTheme="minorEastAsia" w:hAnsiTheme="minorEastAsia" w:eastAsiaTheme="minorEastAsia"/>
                <w:color w:val="auto"/>
                <w:highlight w:val="none"/>
                <w:lang w:eastAsia="zh-CN"/>
              </w:rPr>
              <w:t>）对项目勘察设计的质量保证措施、进度保证措施具体、针对性强的得分为</w:t>
            </w:r>
            <w:r>
              <w:rPr>
                <w:rFonts w:cs="宋体" w:asciiTheme="minorEastAsia" w:hAnsiTheme="minorEastAsia" w:eastAsiaTheme="minorEastAsia"/>
                <w:color w:val="auto"/>
                <w:highlight w:val="none"/>
                <w:lang w:eastAsia="zh-CN"/>
              </w:rPr>
              <w:t>4.3-5.0</w:t>
            </w:r>
            <w:r>
              <w:rPr>
                <w:rFonts w:hint="eastAsia" w:cs="微软雅黑" w:asciiTheme="minorEastAsia" w:hAnsiTheme="minorEastAsia" w:eastAsiaTheme="minorEastAsia"/>
                <w:color w:val="auto"/>
                <w:highlight w:val="none"/>
                <w:lang w:eastAsia="zh-CN"/>
              </w:rPr>
              <w:t>分。</w:t>
            </w:r>
          </w:p>
        </w:tc>
      </w:tr>
      <w:tr w14:paraId="4EEEDB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nil"/>
              <w:bottom w:val="single" w:color="auto" w:sz="4" w:space="0"/>
            </w:tcBorders>
          </w:tcPr>
          <w:p w14:paraId="4D1CD176">
            <w:pPr>
              <w:kinsoku/>
              <w:spacing w:line="276" w:lineRule="auto"/>
              <w:rPr>
                <w:rFonts w:ascii="宋体" w:hAnsi="宋体" w:eastAsia="宋体" w:cs="宋体"/>
                <w:color w:val="auto"/>
                <w:highlight w:val="none"/>
                <w:lang w:eastAsia="zh-CN"/>
              </w:rPr>
            </w:pPr>
          </w:p>
        </w:tc>
        <w:tc>
          <w:tcPr>
            <w:tcW w:w="975" w:type="dxa"/>
            <w:gridSpan w:val="4"/>
            <w:vMerge w:val="continue"/>
            <w:tcBorders>
              <w:top w:val="nil"/>
              <w:bottom w:val="single" w:color="auto" w:sz="4" w:space="0"/>
            </w:tcBorders>
          </w:tcPr>
          <w:p w14:paraId="5581B99A">
            <w:pPr>
              <w:kinsoku/>
              <w:spacing w:line="276" w:lineRule="auto"/>
              <w:rPr>
                <w:rFonts w:ascii="宋体" w:hAnsi="宋体" w:eastAsia="宋体" w:cs="宋体"/>
                <w:color w:val="auto"/>
                <w:highlight w:val="none"/>
                <w:lang w:eastAsia="zh-CN"/>
              </w:rPr>
            </w:pPr>
          </w:p>
        </w:tc>
        <w:tc>
          <w:tcPr>
            <w:tcW w:w="956" w:type="dxa"/>
            <w:gridSpan w:val="2"/>
            <w:vMerge w:val="continue"/>
            <w:tcBorders>
              <w:top w:val="nil"/>
              <w:bottom w:val="single" w:color="auto" w:sz="4" w:space="0"/>
            </w:tcBorders>
          </w:tcPr>
          <w:p w14:paraId="6278B88F">
            <w:pPr>
              <w:kinsoku/>
              <w:spacing w:line="276" w:lineRule="auto"/>
              <w:rPr>
                <w:rFonts w:ascii="宋体" w:hAnsi="宋体" w:eastAsia="宋体" w:cs="宋体"/>
                <w:color w:val="auto"/>
                <w:highlight w:val="none"/>
                <w:lang w:eastAsia="zh-CN"/>
              </w:rPr>
            </w:pPr>
          </w:p>
        </w:tc>
        <w:tc>
          <w:tcPr>
            <w:tcW w:w="1287" w:type="dxa"/>
            <w:tcBorders>
              <w:bottom w:val="single" w:color="auto" w:sz="4" w:space="0"/>
            </w:tcBorders>
            <w:vAlign w:val="center"/>
          </w:tcPr>
          <w:p w14:paraId="348E2D56">
            <w:pPr>
              <w:kinsoku/>
              <w:spacing w:before="135" w:line="276" w:lineRule="auto"/>
              <w:ind w:left="114" w:right="107"/>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后续服务的安排及保证措施</w:t>
            </w:r>
          </w:p>
        </w:tc>
        <w:tc>
          <w:tcPr>
            <w:tcW w:w="775" w:type="dxa"/>
            <w:gridSpan w:val="2"/>
            <w:vAlign w:val="center"/>
          </w:tcPr>
          <w:p w14:paraId="5FD372CE">
            <w:pPr>
              <w:kinsoku/>
              <w:spacing w:before="68"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5分</w:t>
            </w:r>
          </w:p>
        </w:tc>
        <w:tc>
          <w:tcPr>
            <w:tcW w:w="4376" w:type="dxa"/>
            <w:vAlign w:val="center"/>
          </w:tcPr>
          <w:p w14:paraId="2FC7F101">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（1）对项目勘察设计的后续服务的安排及保证措施不够具体、针对性不够的得分为3.0-3.5分；</w:t>
            </w:r>
          </w:p>
          <w:p w14:paraId="5C8128CB">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（2）对项目勘察设计的后续服务的安排及保证措施比较具体、针对性较强的得分为3.6-4.2分；</w:t>
            </w:r>
          </w:p>
          <w:p w14:paraId="04166798">
            <w:pPr>
              <w:kinsoku/>
              <w:spacing w:line="276" w:lineRule="auto"/>
              <w:ind w:left="40" w:leftChars="19" w:right="36" w:rightChars="17"/>
              <w:rPr>
                <w:rFonts w:cs="宋体" w:asciiTheme="minorEastAsia" w:hAnsiTheme="minorEastAsia" w:eastAsiaTheme="minorEastAsia"/>
                <w:color w:val="auto"/>
                <w:highlight w:val="none"/>
                <w:lang w:eastAsia="zh-CN"/>
              </w:rPr>
            </w:pPr>
            <w:r>
              <w:rPr>
                <w:rFonts w:hint="eastAsia" w:cs="微软雅黑" w:asciiTheme="minorEastAsia" w:hAnsiTheme="minorEastAsia" w:eastAsiaTheme="minorEastAsia"/>
                <w:color w:val="auto"/>
                <w:highlight w:val="none"/>
                <w:lang w:eastAsia="zh-CN"/>
              </w:rPr>
              <w:t>（</w:t>
            </w:r>
            <w:r>
              <w:rPr>
                <w:rFonts w:cs="宋体" w:asciiTheme="minorEastAsia" w:hAnsiTheme="minorEastAsia" w:eastAsiaTheme="minorEastAsia"/>
                <w:color w:val="auto"/>
                <w:highlight w:val="none"/>
                <w:lang w:eastAsia="zh-CN"/>
              </w:rPr>
              <w:t>3</w:t>
            </w:r>
            <w:r>
              <w:rPr>
                <w:rFonts w:hint="eastAsia" w:cs="微软雅黑" w:asciiTheme="minorEastAsia" w:hAnsiTheme="minorEastAsia" w:eastAsiaTheme="minorEastAsia"/>
                <w:color w:val="auto"/>
                <w:highlight w:val="none"/>
                <w:lang w:eastAsia="zh-CN"/>
              </w:rPr>
              <w:t>）对项目勘察设计的后续服务的安排及保证措施具体、针对性强的得分为</w:t>
            </w:r>
            <w:r>
              <w:rPr>
                <w:rFonts w:cs="宋体" w:asciiTheme="minorEastAsia" w:hAnsiTheme="minorEastAsia" w:eastAsiaTheme="minorEastAsia"/>
                <w:color w:val="auto"/>
                <w:highlight w:val="none"/>
                <w:lang w:eastAsia="zh-CN"/>
              </w:rPr>
              <w:t>4.3-5.0</w:t>
            </w:r>
            <w:r>
              <w:rPr>
                <w:rFonts w:hint="eastAsia" w:cs="微软雅黑" w:asciiTheme="minorEastAsia" w:hAnsiTheme="minorEastAsia" w:eastAsiaTheme="minorEastAsia"/>
                <w:color w:val="auto"/>
                <w:highlight w:val="none"/>
                <w:lang w:eastAsia="zh-CN"/>
              </w:rPr>
              <w:t>分。</w:t>
            </w:r>
          </w:p>
        </w:tc>
      </w:tr>
      <w:tr w14:paraId="101BFB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7" w:hRule="atLeast"/>
        </w:trPr>
        <w:tc>
          <w:tcPr>
            <w:tcW w:w="595" w:type="dxa"/>
            <w:tcBorders>
              <w:top w:val="single" w:color="auto" w:sz="4" w:space="0"/>
              <w:left w:val="single" w:color="auto" w:sz="4" w:space="0"/>
              <w:right w:val="single" w:color="auto" w:sz="4" w:space="0"/>
            </w:tcBorders>
            <w:vAlign w:val="center"/>
          </w:tcPr>
          <w:p w14:paraId="150297A5">
            <w:pPr>
              <w:tabs>
                <w:tab w:val="left" w:pos="420"/>
              </w:tabs>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rPr>
              <w:t>2.2.4（2）</w:t>
            </w:r>
          </w:p>
        </w:tc>
        <w:tc>
          <w:tcPr>
            <w:tcW w:w="975" w:type="dxa"/>
            <w:gridSpan w:val="4"/>
            <w:tcBorders>
              <w:top w:val="single" w:color="auto" w:sz="4" w:space="0"/>
              <w:left w:val="single" w:color="auto" w:sz="4" w:space="0"/>
              <w:right w:val="single" w:color="auto" w:sz="4" w:space="0"/>
            </w:tcBorders>
            <w:vAlign w:val="center"/>
          </w:tcPr>
          <w:p w14:paraId="54A3B589">
            <w:pPr>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rPr>
              <w:t>主要人员</w:t>
            </w:r>
          </w:p>
        </w:tc>
        <w:tc>
          <w:tcPr>
            <w:tcW w:w="956" w:type="dxa"/>
            <w:gridSpan w:val="2"/>
            <w:tcBorders>
              <w:top w:val="single" w:color="auto" w:sz="4" w:space="0"/>
              <w:left w:val="single" w:color="auto" w:sz="4" w:space="0"/>
              <w:right w:val="single" w:color="auto" w:sz="4" w:space="0"/>
            </w:tcBorders>
            <w:vAlign w:val="center"/>
          </w:tcPr>
          <w:p w14:paraId="479786FA">
            <w:pPr>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20</w:t>
            </w:r>
            <w:r>
              <w:rPr>
                <w:rFonts w:hint="eastAsia" w:ascii="宋体" w:hAnsi="宋体" w:eastAsia="宋体" w:cs="宋体"/>
                <w:color w:val="auto"/>
                <w:highlight w:val="none"/>
              </w:rPr>
              <w:t>分</w:t>
            </w:r>
          </w:p>
        </w:tc>
        <w:tc>
          <w:tcPr>
            <w:tcW w:w="1287" w:type="dxa"/>
            <w:tcBorders>
              <w:top w:val="single" w:color="auto" w:sz="4" w:space="0"/>
              <w:left w:val="single" w:color="auto" w:sz="4" w:space="0"/>
              <w:right w:val="single" w:color="auto" w:sz="4" w:space="0"/>
            </w:tcBorders>
            <w:vAlign w:val="center"/>
          </w:tcPr>
          <w:p w14:paraId="0EF8D7DB">
            <w:pPr>
              <w:kinsoku/>
              <w:spacing w:before="132" w:line="276" w:lineRule="auto"/>
              <w:ind w:left="20"/>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项目负责人任职资格与业绩</w:t>
            </w:r>
          </w:p>
        </w:tc>
        <w:tc>
          <w:tcPr>
            <w:tcW w:w="775" w:type="dxa"/>
            <w:gridSpan w:val="2"/>
            <w:tcBorders>
              <w:left w:val="single" w:color="auto" w:sz="4" w:space="0"/>
            </w:tcBorders>
            <w:vAlign w:val="center"/>
          </w:tcPr>
          <w:p w14:paraId="47C462E9">
            <w:pPr>
              <w:kinsoku/>
              <w:spacing w:before="68" w:line="276" w:lineRule="auto"/>
              <w:jc w:val="center"/>
              <w:rPr>
                <w:rFonts w:ascii="宋体" w:hAnsi="宋体" w:eastAsia="宋体" w:cs="宋体"/>
                <w:color w:val="auto"/>
                <w:highlight w:val="none"/>
              </w:rPr>
            </w:pPr>
            <w:r>
              <w:rPr>
                <w:rFonts w:ascii="宋体" w:hAnsi="宋体" w:eastAsia="宋体" w:cs="宋体"/>
                <w:color w:val="auto"/>
                <w:highlight w:val="none"/>
                <w:lang w:eastAsia="zh-CN"/>
              </w:rPr>
              <w:t>20</w:t>
            </w:r>
            <w:r>
              <w:rPr>
                <w:rFonts w:hint="eastAsia" w:ascii="宋体" w:hAnsi="宋体" w:eastAsia="宋体" w:cs="宋体"/>
                <w:color w:val="auto"/>
                <w:highlight w:val="none"/>
              </w:rPr>
              <w:t>分</w:t>
            </w:r>
          </w:p>
        </w:tc>
        <w:tc>
          <w:tcPr>
            <w:tcW w:w="4376" w:type="dxa"/>
            <w:vAlign w:val="center"/>
          </w:tcPr>
          <w:p w14:paraId="08BE87E7">
            <w:pPr>
              <w:kinsoku/>
              <w:spacing w:line="300" w:lineRule="auto"/>
              <w:ind w:left="40" w:leftChars="19" w:right="36" w:rightChars="17"/>
              <w:rPr>
                <w:rFonts w:cs="宋体" w:asciiTheme="minorEastAsia" w:hAnsiTheme="minorEastAsia" w:eastAsiaTheme="minorEastAsia"/>
                <w:color w:val="auto"/>
                <w:highlight w:val="none"/>
                <w:lang w:eastAsia="zh-CN"/>
              </w:rPr>
            </w:pPr>
            <w:r>
              <w:rPr>
                <w:rFonts w:cs="宋体" w:asciiTheme="minorEastAsia" w:hAnsiTheme="minorEastAsia" w:eastAsiaTheme="minorEastAsia"/>
                <w:color w:val="auto"/>
                <w:highlight w:val="none"/>
                <w:lang w:eastAsia="zh-CN"/>
              </w:rPr>
              <w:t>满足资格审查条件（项目负责人最低要求）得基本分12分；此外，满足资格审查最低条件基础上：</w:t>
            </w:r>
          </w:p>
          <w:p w14:paraId="71CD33B1">
            <w:pPr>
              <w:kinsoku/>
              <w:spacing w:line="276" w:lineRule="auto"/>
              <w:ind w:left="40" w:leftChars="19" w:right="36" w:rightChars="17"/>
              <w:rPr>
                <w:rFonts w:ascii="宋体" w:hAnsi="宋体" w:eastAsia="宋体" w:cs="宋体"/>
                <w:color w:val="auto"/>
                <w:highlight w:val="none"/>
              </w:rPr>
            </w:pPr>
            <w:r>
              <w:rPr>
                <w:rFonts w:hint="eastAsia" w:ascii="宋体" w:hAnsi="宋体" w:eastAsia="宋体" w:cs="宋体"/>
                <w:color w:val="auto"/>
                <w:highlight w:val="none"/>
              </w:rPr>
              <w:t>（1）项目负责人每增加担任过1个合同段类似工程的勘察设计工作的项目负责人岗位工作经验的加</w:t>
            </w:r>
            <w:r>
              <w:rPr>
                <w:rFonts w:hint="eastAsia" w:ascii="宋体" w:hAnsi="宋体" w:eastAsia="宋体" w:cs="宋体"/>
                <w:color w:val="auto"/>
                <w:highlight w:val="none"/>
                <w:lang w:eastAsia="zh-CN"/>
              </w:rPr>
              <w:t>3</w:t>
            </w:r>
            <w:r>
              <w:rPr>
                <w:rFonts w:hint="eastAsia" w:ascii="宋体" w:hAnsi="宋体" w:eastAsia="宋体" w:cs="宋体"/>
                <w:color w:val="auto"/>
                <w:highlight w:val="none"/>
              </w:rPr>
              <w:t>分</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最多加6分。</w:t>
            </w:r>
          </w:p>
          <w:p w14:paraId="261FFA59">
            <w:pPr>
              <w:kinsoku/>
              <w:spacing w:line="300" w:lineRule="auto"/>
              <w:ind w:left="40" w:leftChars="19" w:right="36" w:rightChars="17"/>
              <w:rPr>
                <w:rFonts w:cs="宋体" w:asciiTheme="minorEastAsia" w:hAnsiTheme="minorEastAsia" w:eastAsiaTheme="minorEastAsia"/>
                <w:color w:val="auto"/>
                <w:highlight w:val="none"/>
                <w:lang w:eastAsia="zh-CN"/>
              </w:rPr>
            </w:pPr>
            <w:r>
              <w:rPr>
                <w:rFonts w:hint="eastAsia" w:ascii="宋体" w:hAnsi="宋体" w:eastAsia="宋体" w:cs="宋体"/>
                <w:color w:val="auto"/>
                <w:highlight w:val="none"/>
              </w:rPr>
              <w:t>（2）项目负责人①具有教授级高级工程师职称得1分，②具有注册土木工程师（道路工程）资格得0.5分，③具有注册土木工程师（岩土）资格得0.5分。</w:t>
            </w:r>
          </w:p>
        </w:tc>
      </w:tr>
      <w:tr w14:paraId="093AD2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Align w:val="center"/>
          </w:tcPr>
          <w:p w14:paraId="00D63BFE">
            <w:pPr>
              <w:kinsoku/>
              <w:spacing w:before="69" w:line="276" w:lineRule="auto"/>
              <w:jc w:val="center"/>
              <w:rPr>
                <w:rFonts w:ascii="宋体" w:hAnsi="宋体" w:eastAsia="宋体" w:cs="宋体"/>
                <w:color w:val="auto"/>
                <w:highlight w:val="none"/>
              </w:rPr>
            </w:pPr>
            <w:r>
              <w:rPr>
                <w:rFonts w:hint="eastAsia" w:ascii="宋体" w:hAnsi="宋体" w:eastAsia="宋体" w:cs="宋体"/>
                <w:color w:val="auto"/>
                <w:highlight w:val="none"/>
              </w:rPr>
              <w:t>2.2.4（3）</w:t>
            </w:r>
          </w:p>
        </w:tc>
        <w:tc>
          <w:tcPr>
            <w:tcW w:w="975" w:type="dxa"/>
            <w:gridSpan w:val="4"/>
            <w:tcBorders>
              <w:bottom w:val="single" w:color="auto" w:sz="4" w:space="0"/>
            </w:tcBorders>
            <w:vAlign w:val="center"/>
          </w:tcPr>
          <w:p w14:paraId="163CCDB4">
            <w:pPr>
              <w:kinsoku/>
              <w:jc w:val="center"/>
              <w:rPr>
                <w:rFonts w:ascii="宋体" w:hAnsi="宋体" w:cs="宋体"/>
                <w:color w:val="auto"/>
                <w:highlight w:val="none"/>
                <w:lang w:eastAsia="zh-CN"/>
              </w:rPr>
            </w:pPr>
            <w:r>
              <w:rPr>
                <w:rFonts w:hint="eastAsia" w:ascii="宋体" w:hAnsi="宋体" w:cs="宋体"/>
                <w:color w:val="auto"/>
                <w:highlight w:val="none"/>
                <w:lang w:eastAsia="zh-CN"/>
              </w:rPr>
              <w:t>评标价</w:t>
            </w:r>
          </w:p>
        </w:tc>
        <w:tc>
          <w:tcPr>
            <w:tcW w:w="956" w:type="dxa"/>
            <w:gridSpan w:val="2"/>
            <w:vAlign w:val="center"/>
          </w:tcPr>
          <w:p w14:paraId="7A40F052">
            <w:pPr>
              <w:kinsoku/>
              <w:jc w:val="center"/>
              <w:rPr>
                <w:rFonts w:ascii="宋体" w:hAnsi="宋体" w:cs="宋体"/>
                <w:color w:val="auto"/>
                <w:highlight w:val="none"/>
                <w:lang w:eastAsia="zh-CN"/>
              </w:rPr>
            </w:pPr>
            <w:r>
              <w:rPr>
                <w:rFonts w:hint="eastAsia" w:ascii="宋体" w:hAnsi="宋体" w:cs="宋体"/>
                <w:color w:val="auto"/>
                <w:highlight w:val="none"/>
                <w:lang w:eastAsia="zh-CN"/>
              </w:rPr>
              <w:t>10分</w:t>
            </w:r>
          </w:p>
        </w:tc>
        <w:tc>
          <w:tcPr>
            <w:tcW w:w="6438" w:type="dxa"/>
            <w:gridSpan w:val="4"/>
          </w:tcPr>
          <w:p w14:paraId="381B6B7E">
            <w:pPr>
              <w:kinsoku/>
              <w:spacing w:line="276" w:lineRule="auto"/>
              <w:ind w:left="59" w:leftChars="28"/>
              <w:rPr>
                <w:rFonts w:ascii="宋体" w:hAnsi="宋体" w:eastAsia="宋体" w:cs="宋体"/>
                <w:color w:val="auto"/>
                <w:highlight w:val="none"/>
                <w:lang w:eastAsia="zh-CN"/>
              </w:rPr>
            </w:pPr>
            <w:r>
              <w:rPr>
                <w:rFonts w:hint="eastAsia" w:ascii="宋体" w:hAnsi="宋体" w:eastAsia="宋体" w:cs="宋体"/>
                <w:color w:val="auto"/>
                <w:highlight w:val="none"/>
                <w:lang w:eastAsia="zh-CN"/>
              </w:rPr>
              <w:t>评标价得分计算公式示例：</w:t>
            </w:r>
          </w:p>
          <w:p w14:paraId="5A4141C7">
            <w:pPr>
              <w:kinsoku/>
              <w:spacing w:line="276" w:lineRule="auto"/>
              <w:ind w:left="59" w:leftChars="28" w:right="107"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（1）如果投标人的评标价＞评标基准价，则评标价得分=F－偏差率×100×E</w:t>
            </w:r>
            <w:r>
              <w:rPr>
                <w:rFonts w:hint="eastAsia" w:ascii="宋体" w:hAnsi="宋体" w:eastAsia="宋体" w:cs="宋体"/>
                <w:color w:val="auto"/>
                <w:sz w:val="13"/>
                <w:szCs w:val="13"/>
                <w:highlight w:val="none"/>
                <w:lang w:eastAsia="zh-CN"/>
              </w:rPr>
              <w:t>1</w:t>
            </w:r>
            <w:r>
              <w:rPr>
                <w:rFonts w:hint="eastAsia" w:ascii="宋体" w:hAnsi="宋体" w:eastAsia="宋体" w:cs="宋体"/>
                <w:color w:val="auto"/>
                <w:highlight w:val="none"/>
                <w:lang w:eastAsia="zh-CN"/>
              </w:rPr>
              <w:t>；</w:t>
            </w:r>
          </w:p>
          <w:p w14:paraId="5C673837">
            <w:pPr>
              <w:kinsoku/>
              <w:spacing w:line="276" w:lineRule="auto"/>
              <w:ind w:left="59" w:leftChars="28" w:right="107" w:firstLine="420" w:firstLineChars="200"/>
              <w:rPr>
                <w:rFonts w:ascii="宋体" w:hAnsi="宋体" w:eastAsia="宋体" w:cs="宋体"/>
                <w:color w:val="auto"/>
                <w:highlight w:val="none"/>
                <w:lang w:eastAsia="zh-CN"/>
              </w:rPr>
            </w:pPr>
            <w:r>
              <w:rPr>
                <w:rFonts w:hint="eastAsia" w:ascii="宋体" w:hAnsi="宋体" w:eastAsia="宋体" w:cs="宋体"/>
                <w:color w:val="auto"/>
                <w:highlight w:val="none"/>
                <w:lang w:eastAsia="zh-CN"/>
              </w:rPr>
              <w:t>（2）如果投标人的评标价≤评标基准价，则评标价得分=F＋偏差率×100×E</w:t>
            </w:r>
            <w:r>
              <w:rPr>
                <w:rFonts w:hint="eastAsia" w:ascii="宋体" w:hAnsi="宋体" w:eastAsia="宋体" w:cs="宋体"/>
                <w:color w:val="auto"/>
                <w:sz w:val="13"/>
                <w:szCs w:val="13"/>
                <w:highlight w:val="none"/>
                <w:lang w:eastAsia="zh-CN"/>
              </w:rPr>
              <w:t>2</w:t>
            </w:r>
            <w:r>
              <w:rPr>
                <w:rFonts w:hint="eastAsia" w:ascii="宋体" w:hAnsi="宋体" w:eastAsia="宋体" w:cs="宋体"/>
                <w:color w:val="auto"/>
                <w:highlight w:val="none"/>
                <w:lang w:eastAsia="zh-CN"/>
              </w:rPr>
              <w:t>。</w:t>
            </w:r>
          </w:p>
          <w:p w14:paraId="7FB34FE7">
            <w:pPr>
              <w:kinsoku/>
              <w:spacing w:line="276" w:lineRule="auto"/>
              <w:ind w:left="59" w:leftChars="28" w:right="107"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其中：F是评标价所占的权重分值，E</w:t>
            </w:r>
            <w:r>
              <w:rPr>
                <w:rFonts w:hint="eastAsia" w:ascii="宋体" w:hAnsi="宋体" w:eastAsia="宋体" w:cs="宋体"/>
                <w:color w:val="auto"/>
                <w:sz w:val="13"/>
                <w:szCs w:val="13"/>
                <w:highlight w:val="none"/>
                <w:lang w:eastAsia="zh-CN"/>
              </w:rPr>
              <w:t>1</w:t>
            </w:r>
            <w:r>
              <w:rPr>
                <w:rFonts w:hint="eastAsia" w:ascii="宋体" w:hAnsi="宋体" w:eastAsia="宋体" w:cs="宋体"/>
                <w:color w:val="auto"/>
                <w:highlight w:val="none"/>
                <w:lang w:eastAsia="zh-CN"/>
              </w:rPr>
              <w:t>是评标价每高于评标基准价一个百分点的扣分值，E</w:t>
            </w:r>
            <w:r>
              <w:rPr>
                <w:rFonts w:hint="eastAsia" w:ascii="宋体" w:hAnsi="宋体" w:eastAsia="宋体" w:cs="宋体"/>
                <w:color w:val="auto"/>
                <w:sz w:val="13"/>
                <w:szCs w:val="13"/>
                <w:highlight w:val="none"/>
                <w:lang w:eastAsia="zh-CN"/>
              </w:rPr>
              <w:t>2</w:t>
            </w:r>
            <w:r>
              <w:rPr>
                <w:rFonts w:hint="eastAsia" w:ascii="宋体" w:hAnsi="宋体" w:eastAsia="宋体" w:cs="宋体"/>
                <w:color w:val="auto"/>
                <w:highlight w:val="none"/>
                <w:lang w:eastAsia="zh-CN"/>
              </w:rPr>
              <w:t>是评标价每低于评标基准价一个百分点的扣分值；E1=0.6、E2=0.3。</w:t>
            </w:r>
          </w:p>
          <w:p w14:paraId="2833F893">
            <w:pPr>
              <w:kinsoku/>
              <w:spacing w:line="276" w:lineRule="auto"/>
              <w:ind w:left="59" w:leftChars="28" w:right="107" w:firstLine="420" w:firstLineChars="200"/>
              <w:jc w:val="both"/>
              <w:rPr>
                <w:color w:val="auto"/>
                <w:highlight w:val="none"/>
                <w:lang w:eastAsia="zh-CN"/>
              </w:rPr>
            </w:pPr>
            <w:r>
              <w:rPr>
                <w:rFonts w:hint="eastAsia" w:ascii="宋体" w:hAnsi="宋体" w:cs="宋体"/>
                <w:color w:val="auto"/>
                <w:highlight w:val="none"/>
                <w:lang w:eastAsia="zh-CN"/>
              </w:rPr>
              <w:t>评标价得分四舍五入至小数点后四位。</w:t>
            </w:r>
          </w:p>
        </w:tc>
      </w:tr>
      <w:tr w14:paraId="0A6052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restart"/>
            <w:tcBorders>
              <w:top w:val="single" w:color="auto" w:sz="4" w:space="0"/>
              <w:right w:val="single" w:color="auto" w:sz="4" w:space="0"/>
            </w:tcBorders>
            <w:vAlign w:val="center"/>
          </w:tcPr>
          <w:p w14:paraId="463A9854">
            <w:pPr>
              <w:kinsoku/>
              <w:jc w:val="center"/>
              <w:rPr>
                <w:rFonts w:ascii="宋体" w:hAnsi="宋体" w:eastAsia="宋体" w:cs="宋体"/>
                <w:color w:val="auto"/>
                <w:highlight w:val="none"/>
              </w:rPr>
            </w:pPr>
            <w:r>
              <w:rPr>
                <w:rFonts w:hint="eastAsia" w:ascii="宋体" w:hAnsi="宋体" w:eastAsia="宋体" w:cs="宋体"/>
                <w:color w:val="auto"/>
                <w:highlight w:val="none"/>
              </w:rPr>
              <w:t>2.2.4（4）</w:t>
            </w:r>
          </w:p>
        </w:tc>
        <w:tc>
          <w:tcPr>
            <w:tcW w:w="487" w:type="dxa"/>
            <w:gridSpan w:val="3"/>
            <w:vMerge w:val="restart"/>
            <w:tcBorders>
              <w:top w:val="single" w:color="auto" w:sz="4" w:space="0"/>
              <w:left w:val="single" w:color="auto" w:sz="4" w:space="0"/>
              <w:bottom w:val="single" w:color="auto" w:sz="4" w:space="0"/>
              <w:right w:val="single" w:color="auto" w:sz="4" w:space="0"/>
            </w:tcBorders>
            <w:vAlign w:val="center"/>
          </w:tcPr>
          <w:p w14:paraId="1ABC65CE">
            <w:pPr>
              <w:kinsoku/>
              <w:spacing w:before="69" w:line="233" w:lineRule="auto"/>
              <w:jc w:val="center"/>
              <w:rPr>
                <w:rFonts w:ascii="宋体" w:hAnsi="宋体" w:eastAsia="宋体" w:cs="宋体"/>
                <w:color w:val="auto"/>
                <w:highlight w:val="none"/>
              </w:rPr>
            </w:pPr>
            <w:r>
              <w:rPr>
                <w:rFonts w:hint="eastAsia" w:ascii="宋体" w:hAnsi="宋体" w:eastAsia="宋体" w:cs="宋体"/>
                <w:color w:val="auto"/>
                <w:highlight w:val="none"/>
                <w:lang w:eastAsia="zh-CN"/>
              </w:rPr>
              <w:t>其他</w:t>
            </w:r>
            <w:r>
              <w:rPr>
                <w:rFonts w:hint="eastAsia" w:ascii="宋体" w:hAnsi="宋体" w:eastAsia="宋体" w:cs="宋体"/>
                <w:color w:val="auto"/>
                <w:highlight w:val="none"/>
              </w:rPr>
              <w:t>因素</w:t>
            </w:r>
          </w:p>
        </w:tc>
        <w:tc>
          <w:tcPr>
            <w:tcW w:w="488" w:type="dxa"/>
            <w:tcBorders>
              <w:top w:val="single" w:color="auto" w:sz="4" w:space="0"/>
              <w:left w:val="single" w:color="auto" w:sz="4" w:space="0"/>
              <w:bottom w:val="single" w:color="auto" w:sz="4" w:space="0"/>
              <w:right w:val="single" w:color="auto" w:sz="4" w:space="0"/>
            </w:tcBorders>
            <w:shd w:val="clear" w:color="auto" w:fill="auto"/>
            <w:vAlign w:val="center"/>
          </w:tcPr>
          <w:p w14:paraId="725FAB1B">
            <w:pPr>
              <w:kinsoku/>
              <w:jc w:val="center"/>
              <w:rPr>
                <w:rFonts w:ascii="宋体" w:hAnsi="宋体" w:cs="宋体"/>
                <w:color w:val="auto"/>
                <w:highlight w:val="none"/>
                <w:lang w:eastAsia="zh-CN"/>
              </w:rPr>
            </w:pPr>
            <w:r>
              <w:rPr>
                <w:rFonts w:hint="eastAsia" w:ascii="宋体" w:hAnsi="宋体" w:cs="宋体"/>
                <w:color w:val="auto"/>
                <w:highlight w:val="none"/>
                <w:lang w:eastAsia="zh-CN"/>
              </w:rPr>
              <w:t>业绩</w:t>
            </w:r>
          </w:p>
        </w:tc>
        <w:tc>
          <w:tcPr>
            <w:tcW w:w="956" w:type="dxa"/>
            <w:gridSpan w:val="2"/>
            <w:tcBorders>
              <w:top w:val="single" w:color="auto" w:sz="4" w:space="0"/>
              <w:left w:val="single" w:color="auto" w:sz="4" w:space="0"/>
              <w:bottom w:val="single" w:color="auto" w:sz="4" w:space="0"/>
              <w:right w:val="single" w:color="auto" w:sz="4" w:space="0"/>
            </w:tcBorders>
            <w:vAlign w:val="center"/>
          </w:tcPr>
          <w:p w14:paraId="4DB0275B">
            <w:pPr>
              <w:kinsoku/>
              <w:jc w:val="center"/>
              <w:rPr>
                <w:rFonts w:ascii="宋体" w:hAnsi="宋体" w:cs="宋体"/>
                <w:color w:val="auto"/>
                <w:highlight w:val="none"/>
                <w:lang w:eastAsia="zh-CN"/>
              </w:rPr>
            </w:pPr>
            <w:r>
              <w:rPr>
                <w:rFonts w:hint="eastAsia" w:ascii="宋体" w:hAnsi="宋体" w:cs="宋体"/>
                <w:color w:val="auto"/>
                <w:highlight w:val="none"/>
                <w:lang w:eastAsia="zh-CN"/>
              </w:rPr>
              <w:t>25分</w:t>
            </w:r>
          </w:p>
        </w:tc>
        <w:tc>
          <w:tcPr>
            <w:tcW w:w="1487" w:type="dxa"/>
            <w:gridSpan w:val="2"/>
            <w:tcBorders>
              <w:top w:val="single" w:color="auto" w:sz="4" w:space="0"/>
              <w:left w:val="single" w:color="auto" w:sz="4" w:space="0"/>
              <w:bottom w:val="single" w:color="auto" w:sz="4" w:space="0"/>
              <w:right w:val="single" w:color="auto" w:sz="4" w:space="0"/>
            </w:tcBorders>
            <w:vAlign w:val="center"/>
          </w:tcPr>
          <w:p w14:paraId="47B61950">
            <w:pPr>
              <w:kinsoku/>
              <w:jc w:val="center"/>
              <w:rPr>
                <w:rFonts w:ascii="宋体" w:hAnsi="宋体" w:cs="宋体"/>
                <w:color w:val="auto"/>
                <w:highlight w:val="none"/>
                <w:lang w:eastAsia="zh-CN"/>
              </w:rPr>
            </w:pPr>
            <w:r>
              <w:rPr>
                <w:rFonts w:hint="eastAsia" w:asciiTheme="majorEastAsia" w:hAnsiTheme="majorEastAsia" w:eastAsiaTheme="majorEastAsia" w:cstheme="majorEastAsia"/>
                <w:color w:val="auto"/>
                <w:highlight w:val="none"/>
                <w:lang w:eastAsia="zh-CN"/>
              </w:rPr>
              <w:t>类似工程勘察设计项目业绩</w:t>
            </w:r>
          </w:p>
        </w:tc>
        <w:tc>
          <w:tcPr>
            <w:tcW w:w="575" w:type="dxa"/>
            <w:tcBorders>
              <w:left w:val="single" w:color="auto" w:sz="4" w:space="0"/>
            </w:tcBorders>
            <w:vAlign w:val="center"/>
          </w:tcPr>
          <w:p w14:paraId="32CCCD0B">
            <w:pPr>
              <w:kinsoku/>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25分</w:t>
            </w:r>
          </w:p>
        </w:tc>
        <w:tc>
          <w:tcPr>
            <w:tcW w:w="4376" w:type="dxa"/>
            <w:vAlign w:val="center"/>
          </w:tcPr>
          <w:p w14:paraId="780EAD90">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满足资格审查条件（业绩最低要求）得基本分15分；</w:t>
            </w:r>
          </w:p>
          <w:p w14:paraId="6A21BDAF">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在此基础上，近5年内（自2020年5月1日至投标文件递交截止之日止）累计完成每增加15公里（尾数不计）类似工程的土建工程勘察设计的加5分，最多加5分；</w:t>
            </w:r>
          </w:p>
          <w:p w14:paraId="3F268FB5">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近5年内（自2020年5月1日至投标文件递交截止之日止）每增加完成过2座类似工程的桥梁工程勘察设计的加5分，最多加5分。</w:t>
            </w:r>
          </w:p>
          <w:p w14:paraId="64B722E6">
            <w:pPr>
              <w:kinsoku/>
              <w:wordWrap w:val="0"/>
              <w:spacing w:before="60"/>
              <w:ind w:left="59" w:leftChars="28" w:right="55" w:rightChars="26" w:firstLine="420" w:firstLineChars="200"/>
              <w:jc w:val="both"/>
              <w:rPr>
                <w:rFonts w:ascii="Arial" w:hAnsi="Arial" w:eastAsia="Arial" w:cs="Arial"/>
                <w:color w:val="auto"/>
                <w:highlight w:val="none"/>
                <w:lang w:eastAsia="zh-CN"/>
              </w:rPr>
            </w:pPr>
            <w:r>
              <w:rPr>
                <w:rFonts w:hint="eastAsia" w:ascii="宋体" w:hAnsi="宋体" w:eastAsia="宋体" w:cs="宋体"/>
                <w:color w:val="auto"/>
                <w:highlight w:val="none"/>
                <w:lang w:eastAsia="zh-CN"/>
              </w:rPr>
              <w:t>如果一个项目同时满足上述多个业绩评分要求的，可以按业绩评分标准分别计算得分。</w:t>
            </w:r>
          </w:p>
        </w:tc>
      </w:tr>
      <w:tr w14:paraId="75378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single" w:color="auto" w:sz="4" w:space="0"/>
              <w:bottom w:val="single" w:color="auto" w:sz="4" w:space="0"/>
              <w:right w:val="single" w:color="auto" w:sz="4" w:space="0"/>
            </w:tcBorders>
          </w:tcPr>
          <w:p w14:paraId="63BCA2AB">
            <w:pPr>
              <w:kinsoku/>
              <w:rPr>
                <w:rFonts w:ascii="宋体" w:hAnsi="宋体" w:eastAsia="宋体" w:cs="宋体"/>
                <w:color w:val="auto"/>
                <w:highlight w:val="none"/>
                <w:lang w:eastAsia="zh-CN"/>
              </w:rPr>
            </w:pPr>
          </w:p>
        </w:tc>
        <w:tc>
          <w:tcPr>
            <w:tcW w:w="487" w:type="dxa"/>
            <w:gridSpan w:val="3"/>
            <w:vMerge w:val="continue"/>
            <w:tcBorders>
              <w:top w:val="single" w:color="auto" w:sz="4" w:space="0"/>
              <w:left w:val="single" w:color="auto" w:sz="4" w:space="0"/>
              <w:bottom w:val="single" w:color="auto" w:sz="4" w:space="0"/>
              <w:right w:val="single" w:color="auto" w:sz="4" w:space="0"/>
            </w:tcBorders>
            <w:textDirection w:val="tbRlV"/>
          </w:tcPr>
          <w:p w14:paraId="0A950995">
            <w:pPr>
              <w:kinsoku/>
              <w:rPr>
                <w:rFonts w:ascii="宋体" w:hAnsi="宋体" w:eastAsia="宋体" w:cs="宋体"/>
                <w:color w:val="auto"/>
                <w:highlight w:val="none"/>
                <w:lang w:eastAsia="zh-CN"/>
              </w:rPr>
            </w:pPr>
          </w:p>
        </w:tc>
        <w:tc>
          <w:tcPr>
            <w:tcW w:w="488"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45A13C68">
            <w:pPr>
              <w:kinsoku/>
              <w:jc w:val="center"/>
              <w:rPr>
                <w:rFonts w:ascii="宋体" w:hAnsi="宋体" w:cs="宋体"/>
                <w:color w:val="auto"/>
                <w:highlight w:val="none"/>
              </w:rPr>
            </w:pPr>
            <w:r>
              <w:rPr>
                <w:rFonts w:hint="eastAsia" w:ascii="宋体" w:hAnsi="宋体" w:cs="宋体"/>
                <w:color w:val="auto"/>
                <w:highlight w:val="none"/>
                <w:lang w:eastAsia="zh-CN"/>
              </w:rPr>
              <w:t>履约信誉</w:t>
            </w:r>
          </w:p>
        </w:tc>
        <w:tc>
          <w:tcPr>
            <w:tcW w:w="956" w:type="dxa"/>
            <w:gridSpan w:val="2"/>
            <w:vMerge w:val="restart"/>
            <w:tcBorders>
              <w:top w:val="single" w:color="auto" w:sz="4" w:space="0"/>
              <w:left w:val="single" w:color="auto" w:sz="4" w:space="0"/>
              <w:right w:val="single" w:color="auto" w:sz="4" w:space="0"/>
            </w:tcBorders>
            <w:vAlign w:val="center"/>
          </w:tcPr>
          <w:p w14:paraId="09E3B26C">
            <w:pPr>
              <w:kinsoku/>
              <w:jc w:val="center"/>
              <w:rPr>
                <w:rFonts w:ascii="宋体" w:hAnsi="宋体" w:cs="宋体"/>
                <w:color w:val="auto"/>
                <w:highlight w:val="none"/>
                <w:lang w:eastAsia="zh-CN"/>
              </w:rPr>
            </w:pPr>
            <w:r>
              <w:rPr>
                <w:rFonts w:hint="eastAsia" w:ascii="宋体" w:hAnsi="宋体" w:cs="宋体"/>
                <w:color w:val="auto"/>
                <w:highlight w:val="none"/>
                <w:lang w:eastAsia="zh-CN"/>
              </w:rPr>
              <w:t>10分</w:t>
            </w:r>
          </w:p>
        </w:tc>
        <w:tc>
          <w:tcPr>
            <w:tcW w:w="1487" w:type="dxa"/>
            <w:gridSpan w:val="2"/>
            <w:tcBorders>
              <w:top w:val="single" w:color="auto" w:sz="4" w:space="0"/>
              <w:left w:val="single" w:color="auto" w:sz="4" w:space="0"/>
              <w:bottom w:val="single" w:color="auto" w:sz="4" w:space="0"/>
            </w:tcBorders>
            <w:vAlign w:val="center"/>
          </w:tcPr>
          <w:p w14:paraId="6E0048D4">
            <w:pPr>
              <w:kinsoku/>
              <w:jc w:val="center"/>
              <w:rPr>
                <w:rFonts w:ascii="宋体" w:hAnsi="宋体" w:cs="宋体"/>
                <w:color w:val="auto"/>
                <w:highlight w:val="none"/>
                <w:lang w:eastAsia="zh-CN"/>
              </w:rPr>
            </w:pPr>
            <w:r>
              <w:rPr>
                <w:rFonts w:hint="eastAsia" w:ascii="宋体" w:hAnsi="宋体" w:cs="宋体"/>
                <w:color w:val="auto"/>
                <w:highlight w:val="none"/>
                <w:lang w:eastAsia="zh-CN"/>
              </w:rPr>
              <w:t>履约情况</w:t>
            </w:r>
          </w:p>
        </w:tc>
        <w:tc>
          <w:tcPr>
            <w:tcW w:w="575" w:type="dxa"/>
            <w:vAlign w:val="center"/>
          </w:tcPr>
          <w:p w14:paraId="403C3F98">
            <w:pPr>
              <w:kinsoku/>
              <w:jc w:val="center"/>
              <w:rPr>
                <w:rFonts w:ascii="宋体" w:hAnsi="宋体" w:eastAsia="宋体" w:cs="宋体"/>
                <w:color w:val="auto"/>
                <w:highlight w:val="none"/>
              </w:rPr>
            </w:pPr>
            <w:r>
              <w:rPr>
                <w:rFonts w:hint="eastAsia" w:ascii="宋体" w:hAnsi="宋体" w:eastAsia="宋体" w:cs="宋体"/>
                <w:color w:val="auto"/>
                <w:highlight w:val="none"/>
                <w:lang w:eastAsia="zh-CN"/>
              </w:rPr>
              <w:t>5分</w:t>
            </w:r>
          </w:p>
        </w:tc>
        <w:tc>
          <w:tcPr>
            <w:tcW w:w="4376" w:type="dxa"/>
          </w:tcPr>
          <w:p w14:paraId="5C2607BE">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若没出现下述情形得满分；</w:t>
            </w:r>
          </w:p>
          <w:p w14:paraId="2D9C7F26">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投标文件递交截止日前1年内，投标人因公路工程（含附属设施）勘察设计原因、质量、安全、履约或招标投标问题等原因被：</w:t>
            </w:r>
          </w:p>
          <w:p w14:paraId="10973BD5">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（1）交通运输部通报批评的，扣5分/次。</w:t>
            </w:r>
          </w:p>
          <w:p w14:paraId="2DA52F16">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（2）广东省交通运输厅通报批评的，扣4分/次。</w:t>
            </w:r>
          </w:p>
          <w:p w14:paraId="7BBCA382">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（3）项目所在地地市级交通局（委）、本项目招标人或招标人上级管理单位通报批评扣1分/次。</w:t>
            </w:r>
          </w:p>
          <w:p w14:paraId="3B0F8B3A">
            <w:pPr>
              <w:kinsoku/>
              <w:wordWrap w:val="0"/>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同一事项同时被多个部门通报批评只按最高的扣分计算1次。如果扣完本项分值，可以从总分中扣。以联合体形式投标的，若各联合体成员任何一方或均存在上述情形的，对联合体各成员进行累计扣分。</w:t>
            </w:r>
          </w:p>
        </w:tc>
      </w:tr>
      <w:tr w14:paraId="62EA1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95" w:type="dxa"/>
            <w:vMerge w:val="continue"/>
            <w:tcBorders>
              <w:top w:val="single" w:color="auto" w:sz="4" w:space="0"/>
              <w:bottom w:val="single" w:color="auto" w:sz="4" w:space="0"/>
              <w:right w:val="single" w:color="auto" w:sz="4" w:space="0"/>
            </w:tcBorders>
          </w:tcPr>
          <w:p w14:paraId="2C0E7B52">
            <w:pPr>
              <w:kinsoku/>
              <w:rPr>
                <w:rFonts w:ascii="宋体" w:hAnsi="宋体" w:eastAsia="宋体" w:cs="宋体"/>
                <w:color w:val="auto"/>
                <w:highlight w:val="none"/>
                <w:lang w:eastAsia="zh-CN"/>
              </w:rPr>
            </w:pPr>
          </w:p>
        </w:tc>
        <w:tc>
          <w:tcPr>
            <w:tcW w:w="487" w:type="dxa"/>
            <w:gridSpan w:val="3"/>
            <w:vMerge w:val="continue"/>
            <w:tcBorders>
              <w:top w:val="single" w:color="auto" w:sz="4" w:space="0"/>
              <w:left w:val="single" w:color="auto" w:sz="4" w:space="0"/>
              <w:bottom w:val="single" w:color="auto" w:sz="4" w:space="0"/>
              <w:right w:val="single" w:color="auto" w:sz="4" w:space="0"/>
            </w:tcBorders>
            <w:textDirection w:val="tbRlV"/>
          </w:tcPr>
          <w:p w14:paraId="375A2F93">
            <w:pPr>
              <w:kinsoku/>
              <w:rPr>
                <w:rFonts w:ascii="宋体" w:hAnsi="宋体" w:eastAsia="宋体" w:cs="宋体"/>
                <w:color w:val="auto"/>
                <w:highlight w:val="none"/>
                <w:lang w:eastAsia="zh-CN"/>
              </w:rPr>
            </w:pPr>
          </w:p>
        </w:tc>
        <w:tc>
          <w:tcPr>
            <w:tcW w:w="488" w:type="dxa"/>
            <w:vMerge w:val="continue"/>
            <w:tcBorders>
              <w:top w:val="single" w:color="auto" w:sz="4" w:space="0"/>
              <w:left w:val="single" w:color="auto" w:sz="4" w:space="0"/>
              <w:bottom w:val="single" w:color="auto" w:sz="4" w:space="0"/>
              <w:right w:val="single" w:color="auto" w:sz="4" w:space="0"/>
            </w:tcBorders>
            <w:vAlign w:val="center"/>
          </w:tcPr>
          <w:p w14:paraId="340E6ECB">
            <w:pPr>
              <w:kinsoku/>
              <w:spacing w:before="69" w:line="233" w:lineRule="auto"/>
              <w:jc w:val="center"/>
              <w:rPr>
                <w:rFonts w:ascii="宋体" w:hAnsi="宋体" w:eastAsia="宋体" w:cs="宋体"/>
                <w:color w:val="auto"/>
                <w:highlight w:val="none"/>
                <w:lang w:eastAsia="zh-CN"/>
              </w:rPr>
            </w:pPr>
          </w:p>
        </w:tc>
        <w:tc>
          <w:tcPr>
            <w:tcW w:w="956" w:type="dxa"/>
            <w:gridSpan w:val="2"/>
            <w:vMerge w:val="continue"/>
            <w:tcBorders>
              <w:left w:val="single" w:color="auto" w:sz="4" w:space="0"/>
              <w:bottom w:val="single" w:color="auto" w:sz="4" w:space="0"/>
              <w:right w:val="single" w:color="auto" w:sz="4" w:space="0"/>
            </w:tcBorders>
            <w:vAlign w:val="center"/>
          </w:tcPr>
          <w:p w14:paraId="68B5DCC6">
            <w:pPr>
              <w:kinsoku/>
              <w:spacing w:before="69" w:line="233" w:lineRule="auto"/>
              <w:jc w:val="center"/>
              <w:rPr>
                <w:rFonts w:ascii="宋体" w:hAnsi="宋体" w:eastAsia="宋体" w:cs="宋体"/>
                <w:color w:val="auto"/>
                <w:highlight w:val="none"/>
                <w:lang w:eastAsia="zh-CN"/>
              </w:rPr>
            </w:pPr>
          </w:p>
        </w:tc>
        <w:tc>
          <w:tcPr>
            <w:tcW w:w="1487" w:type="dxa"/>
            <w:gridSpan w:val="2"/>
            <w:tcBorders>
              <w:top w:val="single" w:color="auto" w:sz="4" w:space="0"/>
              <w:left w:val="single" w:color="auto" w:sz="4" w:space="0"/>
              <w:bottom w:val="single" w:color="auto" w:sz="4" w:space="0"/>
            </w:tcBorders>
            <w:vAlign w:val="center"/>
          </w:tcPr>
          <w:p w14:paraId="2D294B0D">
            <w:pPr>
              <w:kinsoku/>
              <w:spacing w:line="233"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信用评价</w:t>
            </w:r>
          </w:p>
        </w:tc>
        <w:tc>
          <w:tcPr>
            <w:tcW w:w="575" w:type="dxa"/>
            <w:vAlign w:val="center"/>
          </w:tcPr>
          <w:p w14:paraId="56061820">
            <w:pPr>
              <w:kinsoku/>
              <w:jc w:val="center"/>
              <w:rPr>
                <w:rFonts w:ascii="宋体" w:hAnsi="宋体" w:eastAsia="宋体" w:cs="宋体"/>
                <w:color w:val="auto"/>
                <w:highlight w:val="none"/>
                <w:lang w:eastAsia="zh-CN"/>
              </w:rPr>
            </w:pPr>
            <w:r>
              <w:rPr>
                <w:rFonts w:hint="eastAsia" w:ascii="宋体" w:hAnsi="宋体" w:cs="宋体"/>
                <w:color w:val="auto"/>
                <w:highlight w:val="none"/>
                <w:lang w:eastAsia="zh-CN"/>
              </w:rPr>
              <w:t>5分</w:t>
            </w:r>
          </w:p>
        </w:tc>
        <w:tc>
          <w:tcPr>
            <w:tcW w:w="4376" w:type="dxa"/>
          </w:tcPr>
          <w:p w14:paraId="37CB285F">
            <w:pPr>
              <w:kinsoku/>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信用等级为AA、A、B、C级单位的得分分别为5、4.75、4.45、3.65。</w:t>
            </w:r>
          </w:p>
          <w:p w14:paraId="579AF9B3">
            <w:pPr>
              <w:kinsoku/>
              <w:spacing w:before="60"/>
              <w:ind w:left="59" w:leftChars="28" w:right="55" w:rightChars="26" w:firstLine="420" w:firstLineChars="200"/>
              <w:jc w:val="both"/>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注：信用等级的确定原则遵循投标人须知前附表10.2款的规定。</w:t>
            </w:r>
          </w:p>
        </w:tc>
      </w:tr>
      <w:tr w14:paraId="52F80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8964" w:type="dxa"/>
            <w:gridSpan w:val="11"/>
          </w:tcPr>
          <w:p w14:paraId="7E438BC0">
            <w:pPr>
              <w:kinsoku/>
              <w:spacing w:before="149" w:line="221" w:lineRule="auto"/>
              <w:ind w:left="127"/>
              <w:rPr>
                <w:rFonts w:ascii="宋体" w:hAnsi="宋体" w:eastAsia="宋体" w:cs="宋体"/>
                <w:color w:val="auto"/>
                <w:highlight w:val="none"/>
                <w:lang w:eastAsia="zh-CN"/>
              </w:rPr>
            </w:pPr>
            <w:r>
              <w:rPr>
                <w:rFonts w:hint="eastAsia" w:ascii="宋体" w:hAnsi="宋体" w:eastAsia="宋体" w:cs="宋体"/>
                <w:b/>
                <w:bCs/>
                <w:color w:val="auto"/>
                <w:highlight w:val="none"/>
                <w:lang w:eastAsia="zh-CN"/>
              </w:rPr>
              <w:t>需要补充的其他内容：</w:t>
            </w:r>
          </w:p>
        </w:tc>
      </w:tr>
      <w:tr w14:paraId="159DE6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36" w:type="dxa"/>
            <w:gridSpan w:val="3"/>
          </w:tcPr>
          <w:p w14:paraId="477C0736">
            <w:pPr>
              <w:kinsoku/>
              <w:spacing w:before="149" w:line="221" w:lineRule="auto"/>
              <w:jc w:val="center"/>
              <w:rPr>
                <w:rFonts w:ascii="宋体" w:hAnsi="宋体" w:eastAsia="宋体" w:cs="宋体"/>
                <w:color w:val="auto"/>
                <w:highlight w:val="none"/>
              </w:rPr>
            </w:pPr>
            <w:r>
              <w:rPr>
                <w:rFonts w:hint="eastAsia" w:asciiTheme="majorEastAsia" w:hAnsiTheme="majorEastAsia" w:eastAsiaTheme="majorEastAsia" w:cstheme="majorEastAsia"/>
                <w:b/>
                <w:color w:val="auto"/>
                <w:highlight w:val="none"/>
              </w:rPr>
              <w:t>条款号</w:t>
            </w:r>
          </w:p>
        </w:tc>
        <w:tc>
          <w:tcPr>
            <w:tcW w:w="7928" w:type="dxa"/>
            <w:gridSpan w:val="8"/>
          </w:tcPr>
          <w:p w14:paraId="4AC77F11">
            <w:pPr>
              <w:kinsoku/>
              <w:spacing w:before="149" w:line="221" w:lineRule="auto"/>
              <w:ind w:left="127"/>
              <w:jc w:val="center"/>
              <w:rPr>
                <w:rFonts w:ascii="宋体" w:hAnsi="宋体" w:eastAsia="宋体" w:cs="宋体"/>
                <w:color w:val="auto"/>
                <w:highlight w:val="none"/>
              </w:rPr>
            </w:pPr>
            <w:r>
              <w:rPr>
                <w:rFonts w:hint="eastAsia" w:asciiTheme="majorEastAsia" w:hAnsiTheme="majorEastAsia" w:eastAsiaTheme="majorEastAsia" w:cstheme="majorEastAsia"/>
                <w:b/>
                <w:color w:val="auto"/>
                <w:highlight w:val="none"/>
              </w:rPr>
              <w:t>补充或修改的内容</w:t>
            </w:r>
          </w:p>
        </w:tc>
      </w:tr>
      <w:tr w14:paraId="1BCF88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36" w:type="dxa"/>
            <w:gridSpan w:val="3"/>
            <w:vAlign w:val="center"/>
          </w:tcPr>
          <w:p w14:paraId="5B7088D4">
            <w:pPr>
              <w:kinsoku/>
              <w:spacing w:before="149" w:line="221"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1</w:t>
            </w:r>
          </w:p>
        </w:tc>
        <w:tc>
          <w:tcPr>
            <w:tcW w:w="7928" w:type="dxa"/>
            <w:gridSpan w:val="8"/>
          </w:tcPr>
          <w:p w14:paraId="35B19FC3">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将评标办法范本原文第1条“评标方法”改为“评标方法、组织及工作程序”</w:t>
            </w:r>
            <w:r>
              <w:rPr>
                <w:rFonts w:hint="eastAsia" w:ascii="宋体" w:hAnsi="宋体" w:cs="宋体"/>
                <w:color w:val="auto"/>
                <w:highlight w:val="none"/>
                <w:lang w:eastAsia="zh-CN"/>
              </w:rPr>
              <w:t>，</w:t>
            </w:r>
            <w:r>
              <w:rPr>
                <w:rFonts w:ascii="宋体" w:hAnsi="宋体" w:cs="宋体"/>
                <w:color w:val="auto"/>
                <w:highlight w:val="none"/>
                <w:lang w:eastAsia="zh-CN"/>
              </w:rPr>
              <w:t>并且原文内容修改如下：</w:t>
            </w:r>
          </w:p>
          <w:p w14:paraId="7ABA23E5">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1.1评标方法</w:t>
            </w:r>
          </w:p>
          <w:p w14:paraId="239F3B24">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本次评标采用综合评估法。评标委员会对满足招标文件实质性要求的投标文件</w:t>
            </w:r>
            <w:r>
              <w:rPr>
                <w:rFonts w:hint="eastAsia" w:ascii="宋体" w:hAnsi="宋体" w:cs="宋体"/>
                <w:color w:val="auto"/>
                <w:highlight w:val="none"/>
                <w:lang w:eastAsia="zh-CN"/>
              </w:rPr>
              <w:t>，</w:t>
            </w:r>
            <w:r>
              <w:rPr>
                <w:rFonts w:ascii="宋体" w:hAnsi="宋体" w:cs="宋体"/>
                <w:color w:val="auto"/>
                <w:highlight w:val="none"/>
                <w:lang w:eastAsia="zh-CN"/>
              </w:rPr>
              <w:t>按照本章第2.2款规定的评分标准进行打分</w:t>
            </w:r>
            <w:r>
              <w:rPr>
                <w:rFonts w:hint="eastAsia" w:ascii="宋体" w:hAnsi="宋体" w:cs="宋体"/>
                <w:color w:val="auto"/>
                <w:highlight w:val="none"/>
                <w:lang w:eastAsia="zh-CN"/>
              </w:rPr>
              <w:t>，</w:t>
            </w:r>
            <w:r>
              <w:rPr>
                <w:rFonts w:ascii="宋体" w:hAnsi="宋体" w:cs="宋体"/>
                <w:color w:val="auto"/>
                <w:highlight w:val="none"/>
                <w:lang w:eastAsia="zh-CN"/>
              </w:rPr>
              <w:t>并按得分由高到低顺序推荐中标候选人</w:t>
            </w:r>
            <w:r>
              <w:rPr>
                <w:rFonts w:hint="eastAsia" w:ascii="宋体" w:hAnsi="宋体" w:cs="宋体"/>
                <w:color w:val="auto"/>
                <w:highlight w:val="none"/>
                <w:lang w:eastAsia="zh-CN"/>
              </w:rPr>
              <w:t>，</w:t>
            </w:r>
            <w:r>
              <w:rPr>
                <w:rFonts w:ascii="宋体" w:hAnsi="宋体" w:cs="宋体"/>
                <w:color w:val="auto"/>
                <w:highlight w:val="none"/>
                <w:lang w:eastAsia="zh-CN"/>
              </w:rPr>
              <w:t>或根据招标人授权直接确定中标人</w:t>
            </w:r>
            <w:r>
              <w:rPr>
                <w:rFonts w:hint="eastAsia" w:ascii="宋体" w:hAnsi="宋体" w:cs="宋体"/>
                <w:color w:val="auto"/>
                <w:highlight w:val="none"/>
                <w:lang w:eastAsia="zh-CN"/>
              </w:rPr>
              <w:t>，</w:t>
            </w:r>
            <w:r>
              <w:rPr>
                <w:rFonts w:ascii="宋体" w:hAnsi="宋体" w:cs="宋体"/>
                <w:color w:val="auto"/>
                <w:highlight w:val="none"/>
                <w:lang w:eastAsia="zh-CN"/>
              </w:rPr>
              <w:t>但投标报价低于其成本的除外。综合评分相等时</w:t>
            </w:r>
            <w:r>
              <w:rPr>
                <w:rFonts w:hint="eastAsia" w:ascii="宋体" w:hAnsi="宋体" w:cs="宋体"/>
                <w:color w:val="auto"/>
                <w:highlight w:val="none"/>
                <w:lang w:eastAsia="zh-CN"/>
              </w:rPr>
              <w:t>，</w:t>
            </w:r>
            <w:r>
              <w:rPr>
                <w:rFonts w:ascii="宋体" w:hAnsi="宋体" w:cs="宋体"/>
                <w:color w:val="auto"/>
                <w:highlight w:val="none"/>
                <w:lang w:eastAsia="zh-CN"/>
              </w:rPr>
              <w:t>评标委员会应按照评标办法前附表规定的优先次序推荐中标候选人或确定中标人。</w:t>
            </w:r>
          </w:p>
          <w:p w14:paraId="5FD14BF2">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1.2评标组织</w:t>
            </w:r>
          </w:p>
          <w:p w14:paraId="4FFD7D13">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1.2.1协助工作组</w:t>
            </w:r>
          </w:p>
          <w:p w14:paraId="35607EBD">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招标人</w:t>
            </w:r>
            <w:r>
              <w:rPr>
                <w:rFonts w:hint="eastAsia" w:ascii="宋体" w:hAnsi="宋体" w:cs="宋体"/>
                <w:color w:val="auto"/>
                <w:highlight w:val="none"/>
                <w:lang w:eastAsia="zh-CN"/>
              </w:rPr>
              <w:t>视情况需要</w:t>
            </w:r>
            <w:r>
              <w:rPr>
                <w:rFonts w:ascii="宋体" w:hAnsi="宋体" w:cs="宋体"/>
                <w:color w:val="auto"/>
                <w:highlight w:val="none"/>
                <w:lang w:eastAsia="zh-CN"/>
              </w:rPr>
              <w:t>可在评标工作开始前成立协助工作组</w:t>
            </w:r>
            <w:r>
              <w:rPr>
                <w:rFonts w:hint="eastAsia" w:ascii="宋体" w:hAnsi="宋体" w:cs="宋体"/>
                <w:color w:val="auto"/>
                <w:highlight w:val="none"/>
                <w:lang w:eastAsia="zh-CN"/>
              </w:rPr>
              <w:t>，</w:t>
            </w:r>
            <w:r>
              <w:rPr>
                <w:rFonts w:ascii="宋体" w:hAnsi="宋体" w:cs="宋体"/>
                <w:color w:val="auto"/>
                <w:highlight w:val="none"/>
                <w:lang w:eastAsia="zh-CN"/>
              </w:rPr>
              <w:t>选派熟悉招标工作、政治素质高的人员组成</w:t>
            </w:r>
            <w:r>
              <w:rPr>
                <w:rFonts w:hint="eastAsia" w:ascii="宋体" w:hAnsi="宋体" w:cs="宋体"/>
                <w:color w:val="auto"/>
                <w:highlight w:val="none"/>
                <w:lang w:eastAsia="zh-CN"/>
              </w:rPr>
              <w:t>，</w:t>
            </w:r>
            <w:r>
              <w:rPr>
                <w:rFonts w:ascii="宋体" w:hAnsi="宋体" w:cs="宋体"/>
                <w:color w:val="auto"/>
                <w:highlight w:val="none"/>
                <w:lang w:eastAsia="zh-CN"/>
              </w:rPr>
              <w:t>协助评标委员会工作。协助工作组人员的具体数量由招标人视评标工作量确定</w:t>
            </w:r>
            <w:r>
              <w:rPr>
                <w:rFonts w:hint="eastAsia" w:ascii="宋体" w:hAnsi="宋体" w:cs="宋体"/>
                <w:color w:val="auto"/>
                <w:highlight w:val="none"/>
                <w:lang w:eastAsia="zh-CN"/>
              </w:rPr>
              <w:t>，若招标人没有成立协助工作组的，相关工作由评标委员会负责</w:t>
            </w:r>
            <w:r>
              <w:rPr>
                <w:rFonts w:ascii="宋体" w:hAnsi="宋体" w:cs="宋体"/>
                <w:color w:val="auto"/>
                <w:highlight w:val="none"/>
                <w:lang w:eastAsia="zh-CN"/>
              </w:rPr>
              <w:t>。</w:t>
            </w:r>
          </w:p>
          <w:p w14:paraId="2EF193F2">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招标人可以协助评标委员会开展下列工作并提供相关信息：</w:t>
            </w:r>
          </w:p>
          <w:p w14:paraId="07C3398B">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（1）根据招标文件</w:t>
            </w:r>
            <w:r>
              <w:rPr>
                <w:rFonts w:hint="eastAsia" w:ascii="宋体" w:hAnsi="宋体" w:cs="宋体"/>
                <w:color w:val="auto"/>
                <w:highlight w:val="none"/>
                <w:lang w:eastAsia="zh-CN"/>
              </w:rPr>
              <w:t>，</w:t>
            </w:r>
            <w:r>
              <w:rPr>
                <w:rFonts w:ascii="宋体" w:hAnsi="宋体" w:cs="宋体"/>
                <w:color w:val="auto"/>
                <w:highlight w:val="none"/>
                <w:lang w:eastAsia="zh-CN"/>
              </w:rPr>
              <w:t>编制评标使用的相应表格；</w:t>
            </w:r>
          </w:p>
          <w:p w14:paraId="7C7C6693">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（2）对投标报价进行算术性校核（如采用固化工程量清单</w:t>
            </w:r>
            <w:r>
              <w:rPr>
                <w:rFonts w:hint="eastAsia" w:ascii="宋体" w:hAnsi="宋体" w:cs="宋体"/>
                <w:color w:val="auto"/>
                <w:highlight w:val="none"/>
                <w:lang w:eastAsia="zh-CN"/>
              </w:rPr>
              <w:t>，</w:t>
            </w:r>
            <w:r>
              <w:rPr>
                <w:rFonts w:ascii="宋体" w:hAnsi="宋体" w:cs="宋体"/>
                <w:color w:val="auto"/>
                <w:highlight w:val="none"/>
                <w:lang w:eastAsia="zh-CN"/>
              </w:rPr>
              <w:t>本步骤省略）；</w:t>
            </w:r>
          </w:p>
          <w:p w14:paraId="744962FA">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（3）以评标标准和方法为依据</w:t>
            </w:r>
            <w:r>
              <w:rPr>
                <w:rFonts w:hint="eastAsia" w:ascii="宋体" w:hAnsi="宋体" w:cs="宋体"/>
                <w:color w:val="auto"/>
                <w:highlight w:val="none"/>
                <w:lang w:eastAsia="zh-CN"/>
              </w:rPr>
              <w:t>，</w:t>
            </w:r>
            <w:r>
              <w:rPr>
                <w:rFonts w:ascii="宋体" w:hAnsi="宋体" w:cs="宋体"/>
                <w:color w:val="auto"/>
                <w:highlight w:val="none"/>
                <w:lang w:eastAsia="zh-CN"/>
              </w:rPr>
              <w:t>列出投标文件相对于招标文件的所有偏差</w:t>
            </w:r>
            <w:r>
              <w:rPr>
                <w:rFonts w:hint="eastAsia" w:ascii="宋体" w:hAnsi="宋体" w:cs="宋体"/>
                <w:color w:val="auto"/>
                <w:highlight w:val="none"/>
                <w:lang w:eastAsia="zh-CN"/>
              </w:rPr>
              <w:t>，</w:t>
            </w:r>
            <w:r>
              <w:rPr>
                <w:rFonts w:ascii="宋体" w:hAnsi="宋体" w:cs="宋体"/>
                <w:color w:val="auto"/>
                <w:highlight w:val="none"/>
                <w:lang w:eastAsia="zh-CN"/>
              </w:rPr>
              <w:t>并进行归类汇总；</w:t>
            </w:r>
          </w:p>
          <w:p w14:paraId="507747EE">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（4）查询</w:t>
            </w:r>
            <w:r>
              <w:rPr>
                <w:rFonts w:hint="eastAsia" w:ascii="宋体" w:hAnsi="宋体" w:cs="宋体"/>
                <w:color w:val="auto"/>
                <w:highlight w:val="none"/>
                <w:lang w:eastAsia="zh-CN"/>
              </w:rPr>
              <w:t>全国公路建设市场监督管理系统，</w:t>
            </w:r>
            <w:r>
              <w:rPr>
                <w:rFonts w:ascii="宋体" w:hAnsi="宋体" w:cs="宋体"/>
                <w:color w:val="auto"/>
                <w:highlight w:val="none"/>
                <w:lang w:eastAsia="zh-CN"/>
              </w:rPr>
              <w:t>对投标人的资质、业绩、信用等级进行核实。</w:t>
            </w:r>
          </w:p>
          <w:p w14:paraId="441EE39B">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招标人不得对投标文件作出任何评价</w:t>
            </w:r>
            <w:r>
              <w:rPr>
                <w:rFonts w:hint="eastAsia" w:ascii="宋体" w:hAnsi="宋体" w:cs="宋体"/>
                <w:color w:val="auto"/>
                <w:highlight w:val="none"/>
                <w:lang w:eastAsia="zh-CN"/>
              </w:rPr>
              <w:t>，</w:t>
            </w:r>
            <w:r>
              <w:rPr>
                <w:rFonts w:ascii="宋体" w:hAnsi="宋体" w:cs="宋体"/>
                <w:color w:val="auto"/>
                <w:highlight w:val="none"/>
                <w:lang w:eastAsia="zh-CN"/>
              </w:rPr>
              <w:t>不得故意遗漏或者片面摘录</w:t>
            </w:r>
            <w:r>
              <w:rPr>
                <w:rFonts w:hint="eastAsia" w:ascii="宋体" w:hAnsi="宋体" w:cs="宋体"/>
                <w:color w:val="auto"/>
                <w:highlight w:val="none"/>
                <w:lang w:eastAsia="zh-CN"/>
              </w:rPr>
              <w:t>，</w:t>
            </w:r>
            <w:r>
              <w:rPr>
                <w:rFonts w:ascii="宋体" w:hAnsi="宋体" w:cs="宋体"/>
                <w:color w:val="auto"/>
                <w:highlight w:val="none"/>
                <w:lang w:eastAsia="zh-CN"/>
              </w:rPr>
              <w:t>不得在评标委员会对所有偏差定性之前透露存有偏差的投标人名称。</w:t>
            </w:r>
          </w:p>
          <w:p w14:paraId="34632D4D">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1.2.2评标委员会</w:t>
            </w:r>
          </w:p>
          <w:p w14:paraId="20F0B165">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评标委员会的组建按投标人须知第6.1.1项执行。评标委员会的主要工作内容包括：</w:t>
            </w:r>
          </w:p>
          <w:p w14:paraId="67E7FE48">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（1）评标委员会开始评标工作之前</w:t>
            </w:r>
            <w:r>
              <w:rPr>
                <w:rFonts w:hint="eastAsia" w:ascii="宋体" w:hAnsi="宋体" w:cs="宋体"/>
                <w:color w:val="auto"/>
                <w:highlight w:val="none"/>
                <w:lang w:eastAsia="zh-CN"/>
              </w:rPr>
              <w:t>，</w:t>
            </w:r>
            <w:r>
              <w:rPr>
                <w:rFonts w:ascii="宋体" w:hAnsi="宋体" w:cs="宋体"/>
                <w:color w:val="auto"/>
                <w:highlight w:val="none"/>
                <w:lang w:eastAsia="zh-CN"/>
              </w:rPr>
              <w:t>首先听取招标人、协助工作组关于工程情况和辅助工作的说明</w:t>
            </w:r>
            <w:r>
              <w:rPr>
                <w:rFonts w:hint="eastAsia" w:ascii="宋体" w:hAnsi="宋体" w:cs="宋体"/>
                <w:color w:val="auto"/>
                <w:highlight w:val="none"/>
                <w:lang w:eastAsia="zh-CN"/>
              </w:rPr>
              <w:t>，</w:t>
            </w:r>
            <w:r>
              <w:rPr>
                <w:rFonts w:ascii="宋体" w:hAnsi="宋体" w:cs="宋体"/>
                <w:color w:val="auto"/>
                <w:highlight w:val="none"/>
                <w:lang w:eastAsia="zh-CN"/>
              </w:rPr>
              <w:t>并认真研读招标文件</w:t>
            </w:r>
            <w:r>
              <w:rPr>
                <w:rFonts w:hint="eastAsia" w:ascii="宋体" w:hAnsi="宋体" w:cs="宋体"/>
                <w:color w:val="auto"/>
                <w:highlight w:val="none"/>
                <w:lang w:eastAsia="zh-CN"/>
              </w:rPr>
              <w:t>，</w:t>
            </w:r>
            <w:r>
              <w:rPr>
                <w:rFonts w:ascii="宋体" w:hAnsi="宋体" w:cs="宋体"/>
                <w:color w:val="auto"/>
                <w:highlight w:val="none"/>
                <w:lang w:eastAsia="zh-CN"/>
              </w:rPr>
              <w:t>获取评标所需的重要信息和数据；</w:t>
            </w:r>
          </w:p>
          <w:p w14:paraId="0CF63D9E">
            <w:pPr>
              <w:pStyle w:val="28"/>
              <w:kinsoku/>
              <w:wordWrap w:val="0"/>
              <w:topLinePunct/>
              <w:autoSpaceDE/>
              <w:autoSpaceDN/>
              <w:spacing w:line="360" w:lineRule="exact"/>
              <w:ind w:firstLine="420" w:firstLineChars="200"/>
              <w:rPr>
                <w:rFonts w:ascii="宋体" w:hAnsi="宋体" w:cs="宋体"/>
                <w:color w:val="auto"/>
                <w:highlight w:val="none"/>
                <w:lang w:eastAsia="zh-CN"/>
              </w:rPr>
            </w:pPr>
            <w:r>
              <w:rPr>
                <w:rFonts w:ascii="宋体" w:hAnsi="宋体" w:cs="宋体"/>
                <w:color w:val="auto"/>
                <w:highlight w:val="none"/>
                <w:lang w:eastAsia="zh-CN"/>
              </w:rPr>
              <w:t>（2）对协助工作组提供的评标工作用表和评标内容进行核查。</w:t>
            </w:r>
          </w:p>
          <w:p w14:paraId="37DC60FD">
            <w:pPr>
              <w:pStyle w:val="28"/>
              <w:kinsoku/>
              <w:wordWrap w:val="0"/>
              <w:topLinePunct/>
              <w:autoSpaceDE/>
              <w:autoSpaceDN/>
              <w:spacing w:line="360" w:lineRule="exact"/>
              <w:ind w:firstLine="420" w:firstLineChars="200"/>
              <w:rPr>
                <w:rFonts w:ascii="宋体" w:hAnsi="宋体" w:eastAsia="宋体" w:cs="宋体"/>
                <w:color w:val="auto"/>
                <w:highlight w:val="none"/>
                <w:lang w:eastAsia="zh-CN"/>
              </w:rPr>
            </w:pPr>
            <w:r>
              <w:rPr>
                <w:rFonts w:ascii="宋体" w:hAnsi="宋体" w:cs="宋体"/>
                <w:color w:val="auto"/>
                <w:highlight w:val="none"/>
                <w:lang w:eastAsia="zh-CN"/>
              </w:rPr>
              <w:t>（3）按照评标程序进行各项评审工作。</w:t>
            </w:r>
          </w:p>
        </w:tc>
      </w:tr>
      <w:tr w14:paraId="47891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36" w:type="dxa"/>
            <w:gridSpan w:val="3"/>
            <w:vAlign w:val="center"/>
          </w:tcPr>
          <w:p w14:paraId="73E3A538">
            <w:pPr>
              <w:spacing w:line="360" w:lineRule="exact"/>
              <w:jc w:val="center"/>
              <w:rPr>
                <w:rFonts w:ascii="宋体" w:hAnsi="宋体" w:eastAsia="宋体" w:cs="宋体"/>
                <w:color w:val="auto"/>
                <w:highlight w:val="none"/>
                <w:lang w:eastAsia="zh-CN"/>
              </w:rPr>
            </w:pPr>
            <w:r>
              <w:rPr>
                <w:rFonts w:hint="eastAsia" w:asciiTheme="majorEastAsia" w:hAnsiTheme="majorEastAsia" w:eastAsiaTheme="majorEastAsia" w:cstheme="majorEastAsia"/>
                <w:color w:val="auto"/>
                <w:highlight w:val="none"/>
              </w:rPr>
              <w:t>3.2.3</w:t>
            </w:r>
          </w:p>
        </w:tc>
        <w:tc>
          <w:tcPr>
            <w:tcW w:w="7928" w:type="dxa"/>
            <w:gridSpan w:val="8"/>
            <w:vAlign w:val="center"/>
          </w:tcPr>
          <w:p w14:paraId="62B23D70">
            <w:pPr>
              <w:kinsoku/>
              <w:wordWrap w:val="0"/>
              <w:topLinePunct/>
              <w:autoSpaceDE/>
              <w:autoSpaceDN/>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将评标办法范本原文第3.2.3款细化如下：</w:t>
            </w:r>
          </w:p>
          <w:p w14:paraId="6F54B50D">
            <w:pPr>
              <w:kinsoku/>
              <w:wordWrap w:val="0"/>
              <w:topLinePunct/>
              <w:autoSpaceDE/>
              <w:autoSpaceDN/>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投标人的商务和技术得分=A+B+D。</w:t>
            </w:r>
          </w:p>
          <w:p w14:paraId="43FF2A23">
            <w:pPr>
              <w:kinsoku/>
              <w:wordWrap w:val="0"/>
              <w:topLinePunct/>
              <w:autoSpaceDE/>
              <w:autoSpaceDN/>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各评分因素（评标价、履约信誉评分项除外）及其各评审因素细分项的得分一般不得低于其权重分值的60%，评分低于上述权重分值百分比的，评标委员会成员应当在评标报告中作出说明。</w:t>
            </w:r>
          </w:p>
          <w:p w14:paraId="6D969BE8">
            <w:pPr>
              <w:kinsoku/>
              <w:wordWrap w:val="0"/>
              <w:topLinePunct/>
              <w:autoSpaceDE/>
              <w:autoSpaceDN/>
              <w:spacing w:line="360" w:lineRule="exact"/>
              <w:ind w:firstLine="420" w:firstLineChars="200"/>
              <w:rPr>
                <w:rFonts w:ascii="宋体" w:hAnsi="宋体" w:cs="宋体"/>
                <w:color w:val="auto"/>
                <w:highlight w:val="none"/>
                <w:lang w:eastAsia="zh-CN"/>
              </w:rPr>
            </w:pPr>
            <w:r>
              <w:rPr>
                <w:rFonts w:hint="eastAsia" w:asciiTheme="majorEastAsia" w:hAnsiTheme="majorEastAsia" w:eastAsiaTheme="majorEastAsia" w:cstheme="majorEastAsia"/>
                <w:color w:val="auto"/>
                <w:highlight w:val="none"/>
                <w:lang w:eastAsia="zh-CN"/>
              </w:rPr>
              <w:t>计算投标人技术得分时：首先在评委技术评分中，同一评委对各投标人评分总分的差值最大的评委评分进行取舍（当一位或两位评委评分差值最大时均取消其评委评分，当多于两位评分差值均最大时，不取消任一评委评分），再对各评分因素细分项中取消一个最高、一个最低分后计算算术平均值的和为投标人的最终技术得分，平均值计算四舍五入保留小数点后三位。</w:t>
            </w:r>
          </w:p>
        </w:tc>
      </w:tr>
      <w:tr w14:paraId="397FF5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36" w:type="dxa"/>
            <w:gridSpan w:val="3"/>
            <w:vAlign w:val="center"/>
          </w:tcPr>
          <w:p w14:paraId="3EF9A7F8">
            <w:pPr>
              <w:spacing w:line="360" w:lineRule="exact"/>
              <w:jc w:val="cente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3.6</w:t>
            </w:r>
          </w:p>
        </w:tc>
        <w:tc>
          <w:tcPr>
            <w:tcW w:w="7928" w:type="dxa"/>
            <w:gridSpan w:val="8"/>
            <w:vAlign w:val="center"/>
          </w:tcPr>
          <w:p w14:paraId="4A1B44BE">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评标办法范本原文增加3.6.3款：</w:t>
            </w:r>
          </w:p>
          <w:p w14:paraId="77DED6E0">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3.6.3 依法必须进行招标的项目，除第一中标候选人或者中标人以外的其他投标人存在串通投标、弄虚作假、行贿情形且在评标过程中未被发现的，视为对中标结果没有造成实质性影响，招标人可以依法继续开展招标活动。投标人的违法行为由行政监督部门依法处理。</w:t>
            </w:r>
          </w:p>
        </w:tc>
      </w:tr>
      <w:tr w14:paraId="5534B5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036" w:type="dxa"/>
            <w:gridSpan w:val="3"/>
            <w:vAlign w:val="center"/>
          </w:tcPr>
          <w:p w14:paraId="5305876F">
            <w:pPr>
              <w:spacing w:line="360" w:lineRule="exact"/>
              <w:jc w:val="center"/>
              <w:rPr>
                <w:rFonts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3.9</w:t>
            </w:r>
          </w:p>
        </w:tc>
        <w:tc>
          <w:tcPr>
            <w:tcW w:w="7928" w:type="dxa"/>
            <w:gridSpan w:val="8"/>
            <w:vAlign w:val="center"/>
          </w:tcPr>
          <w:p w14:paraId="67F92533">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评标办法范本原文增加3.9.3款-3.9.6款：</w:t>
            </w:r>
          </w:p>
          <w:p w14:paraId="7A4E4F50">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3.9.3 推荐中标候选人方式：按各合同段最高投标限价高低顺序依次选定中标候选人，如果出现投标人在多个合同段都排名第一，将确定该投标人为最高投标限价较高的合同段的第一中标候选人，同时该投标人自动失去在本次招标中其他合同段的中标候选人资格，其他合同段的综合排名名次高者自动上升为中标候选人，如此类推。</w:t>
            </w:r>
          </w:p>
          <w:p w14:paraId="11195EB8">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3.9.4 通过第一信封商务文件和技术文件评审的投标人少于3个的，评标委员会可以否决全部投标；未否决全部投标的，评标委员会应当在评标报告中阐明理由，招标人应当按照招标文件规定的程序进行第二信封报价文件开标，但评标委员会在进行报价文件评审时仍有权否决全部投标；评标委员会未在报价文件评审时否决全部投标的，应当在评标报告中阐明理由并推荐中标候选人。</w:t>
            </w:r>
          </w:p>
          <w:p w14:paraId="369A616E">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3.9.5 通过第一信封商务文件和技术文件评审的投标人在3个及以上的，招标人应当按照招标文件规定的程序进行第二信封报价文件开标；在对报价文件进行评审后，有效投标不足3个的，评标委员会可以否决全部投标。未否决全部投标的，评标委员会应当在评标报告中阐明理由并推荐中标候选人。</w:t>
            </w:r>
          </w:p>
          <w:p w14:paraId="4A4D46FE">
            <w:pPr>
              <w:spacing w:line="360" w:lineRule="exact"/>
              <w:ind w:firstLine="420" w:firstLineChars="200"/>
              <w:rPr>
                <w:rFonts w:asciiTheme="majorEastAsia" w:hAnsiTheme="majorEastAsia" w:eastAsiaTheme="majorEastAsia" w:cstheme="majorEastAsia"/>
                <w:color w:val="auto"/>
                <w:highlight w:val="none"/>
                <w:lang w:eastAsia="zh-CN"/>
              </w:rPr>
            </w:pPr>
            <w:r>
              <w:rPr>
                <w:rFonts w:hint="eastAsia" w:asciiTheme="majorEastAsia" w:hAnsiTheme="majorEastAsia" w:eastAsiaTheme="majorEastAsia" w:cstheme="majorEastAsia"/>
                <w:color w:val="auto"/>
                <w:highlight w:val="none"/>
                <w:lang w:eastAsia="zh-CN"/>
              </w:rPr>
              <w:t>3.9.6 如果发生无法确定推荐中标候选人的其它意外情况，评标委员会可建议招标人重新招标。</w:t>
            </w:r>
          </w:p>
        </w:tc>
      </w:tr>
    </w:tbl>
    <w:p w14:paraId="3142F0D7">
      <w:pPr>
        <w:kinsoku/>
        <w:rPr>
          <w:rFonts w:ascii="宋体" w:hAnsi="宋体" w:eastAsia="宋体" w:cs="宋体"/>
          <w:color w:val="auto"/>
          <w:sz w:val="28"/>
          <w:szCs w:val="28"/>
          <w:highlight w:val="none"/>
          <w:lang w:eastAsia="zh-CN"/>
        </w:rPr>
      </w:pPr>
      <w:bookmarkStart w:id="246" w:name="bookmark187"/>
      <w:bookmarkEnd w:id="246"/>
      <w:bookmarkStart w:id="247" w:name="bookmark186"/>
      <w:bookmarkEnd w:id="247"/>
    </w:p>
    <w:p w14:paraId="186A6DE0">
      <w:pPr>
        <w:kinsoku/>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br w:type="page"/>
      </w:r>
    </w:p>
    <w:p w14:paraId="724FF860">
      <w:pPr>
        <w:kinsoku/>
        <w:spacing w:before="91" w:line="360" w:lineRule="auto"/>
        <w:ind w:left="54"/>
        <w:outlineLvl w:val="2"/>
        <w:rPr>
          <w:rFonts w:ascii="宋体" w:hAnsi="宋体" w:eastAsia="宋体" w:cs="宋体"/>
          <w:b/>
          <w:bCs/>
          <w:color w:val="auto"/>
          <w:sz w:val="28"/>
          <w:szCs w:val="28"/>
          <w:highlight w:val="none"/>
          <w:lang w:eastAsia="zh-CN"/>
        </w:rPr>
      </w:pPr>
      <w:bookmarkStart w:id="248" w:name="_Toc21940"/>
      <w:r>
        <w:rPr>
          <w:rFonts w:hint="eastAsia" w:ascii="宋体" w:hAnsi="宋体" w:eastAsia="宋体" w:cs="宋体"/>
          <w:b/>
          <w:bCs/>
          <w:color w:val="auto"/>
          <w:sz w:val="28"/>
          <w:szCs w:val="28"/>
          <w:highlight w:val="none"/>
          <w:lang w:eastAsia="zh-CN"/>
        </w:rPr>
        <w:t>1.评标方法</w:t>
      </w:r>
      <w:bookmarkEnd w:id="248"/>
    </w:p>
    <w:p w14:paraId="476C35F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次评标采用综合评估法。评标委员会对满足招标文件实质性要求的投标文件，按照本章第2.2款规定的评分标准进行打分，并按得分由高到低顺序推荐中标候选人，或根据招标人授权直接确定中标人，但投标报价低于其成本的除外。综合评分相等时，评标委员会应按照评标办法前附表规定的优先次序推荐中标候选人或确定中标人。</w:t>
      </w:r>
    </w:p>
    <w:p w14:paraId="023B40CB">
      <w:pPr>
        <w:kinsoku/>
        <w:spacing w:before="309" w:line="360" w:lineRule="auto"/>
        <w:ind w:left="37"/>
        <w:outlineLvl w:val="2"/>
        <w:rPr>
          <w:rFonts w:ascii="宋体" w:hAnsi="宋体" w:eastAsia="宋体" w:cs="宋体"/>
          <w:b/>
          <w:bCs/>
          <w:color w:val="auto"/>
          <w:sz w:val="28"/>
          <w:szCs w:val="28"/>
          <w:highlight w:val="none"/>
          <w:lang w:eastAsia="zh-CN"/>
        </w:rPr>
      </w:pPr>
      <w:bookmarkStart w:id="249" w:name="bookmark188"/>
      <w:bookmarkEnd w:id="249"/>
      <w:bookmarkStart w:id="250" w:name="bookmark189"/>
      <w:bookmarkEnd w:id="250"/>
      <w:bookmarkStart w:id="251" w:name="bookmark191"/>
      <w:bookmarkEnd w:id="251"/>
      <w:bookmarkStart w:id="252" w:name="_Toc19279"/>
      <w:r>
        <w:rPr>
          <w:rFonts w:hint="eastAsia" w:ascii="宋体" w:hAnsi="宋体" w:eastAsia="宋体" w:cs="宋体"/>
          <w:b/>
          <w:bCs/>
          <w:color w:val="auto"/>
          <w:sz w:val="28"/>
          <w:szCs w:val="28"/>
          <w:highlight w:val="none"/>
          <w:lang w:eastAsia="zh-CN"/>
        </w:rPr>
        <w:t>2.评审标准</w:t>
      </w:r>
      <w:bookmarkEnd w:id="252"/>
    </w:p>
    <w:p w14:paraId="2DAD0B9E">
      <w:pPr>
        <w:kinsoku/>
        <w:spacing w:before="266" w:line="360" w:lineRule="auto"/>
        <w:ind w:left="36"/>
        <w:outlineLvl w:val="2"/>
        <w:rPr>
          <w:rFonts w:ascii="宋体" w:hAnsi="宋体" w:eastAsia="宋体" w:cs="宋体"/>
          <w:b/>
          <w:bCs/>
          <w:color w:val="auto"/>
          <w:sz w:val="24"/>
          <w:szCs w:val="24"/>
          <w:highlight w:val="none"/>
          <w:lang w:eastAsia="zh-CN"/>
        </w:rPr>
      </w:pPr>
      <w:bookmarkStart w:id="253" w:name="bookmark190"/>
      <w:bookmarkEnd w:id="253"/>
      <w:bookmarkStart w:id="254" w:name="_Toc1210"/>
      <w:r>
        <w:rPr>
          <w:rFonts w:hint="eastAsia" w:ascii="宋体" w:hAnsi="宋体" w:eastAsia="宋体" w:cs="宋体"/>
          <w:b/>
          <w:bCs/>
          <w:color w:val="auto"/>
          <w:sz w:val="24"/>
          <w:szCs w:val="24"/>
          <w:highlight w:val="none"/>
          <w:lang w:eastAsia="zh-CN"/>
        </w:rPr>
        <w:t>2.1 初步评审标准</w:t>
      </w:r>
      <w:bookmarkEnd w:id="254"/>
    </w:p>
    <w:p w14:paraId="61CF606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2.1.1形式评审标准：见评标办法前附表。</w:t>
      </w:r>
    </w:p>
    <w:p w14:paraId="658AB93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2.1.2资格评审标准：见评标办法前附表。</w:t>
      </w:r>
    </w:p>
    <w:p w14:paraId="105DDB8E">
      <w:pPr>
        <w:kinsoku/>
        <w:spacing w:before="113" w:line="286" w:lineRule="auto"/>
        <w:ind w:left="37" w:right="204" w:firstLine="481"/>
        <w:rPr>
          <w:rFonts w:ascii="宋体" w:hAnsi="宋体" w:eastAsia="宋体" w:cs="宋体"/>
          <w:color w:val="auto"/>
          <w:sz w:val="24"/>
          <w:szCs w:val="24"/>
          <w:highlight w:val="none"/>
          <w:lang w:eastAsia="zh-CN"/>
        </w:rPr>
      </w:pPr>
      <w:bookmarkStart w:id="255" w:name="bookmark193"/>
      <w:bookmarkEnd w:id="255"/>
      <w:r>
        <w:rPr>
          <w:rFonts w:hint="eastAsia" w:ascii="宋体" w:hAnsi="宋体" w:eastAsia="宋体" w:cs="宋体"/>
          <w:color w:val="auto"/>
          <w:sz w:val="24"/>
          <w:szCs w:val="24"/>
          <w:highlight w:val="none"/>
          <w:lang w:eastAsia="zh-CN"/>
        </w:rPr>
        <w:t>2.1.3响应性评审标准：见评标办法前附表。</w:t>
      </w:r>
    </w:p>
    <w:p w14:paraId="5E901733">
      <w:pPr>
        <w:kinsoku/>
        <w:spacing w:before="267" w:line="360" w:lineRule="auto"/>
        <w:ind w:left="36"/>
        <w:outlineLvl w:val="2"/>
        <w:rPr>
          <w:rFonts w:ascii="宋体" w:hAnsi="宋体" w:eastAsia="宋体" w:cs="宋体"/>
          <w:b/>
          <w:bCs/>
          <w:color w:val="auto"/>
          <w:sz w:val="24"/>
          <w:szCs w:val="24"/>
          <w:highlight w:val="none"/>
          <w:lang w:eastAsia="zh-CN"/>
        </w:rPr>
      </w:pPr>
      <w:bookmarkStart w:id="256" w:name="bookmark192"/>
      <w:bookmarkEnd w:id="256"/>
      <w:bookmarkStart w:id="257" w:name="_Toc16496"/>
      <w:r>
        <w:rPr>
          <w:rFonts w:hint="eastAsia" w:ascii="宋体" w:hAnsi="宋体" w:eastAsia="宋体" w:cs="宋体"/>
          <w:b/>
          <w:bCs/>
          <w:color w:val="auto"/>
          <w:sz w:val="24"/>
          <w:szCs w:val="24"/>
          <w:highlight w:val="none"/>
          <w:lang w:eastAsia="zh-CN"/>
        </w:rPr>
        <w:t>2.2 分值构成与评分标准</w:t>
      </w:r>
      <w:bookmarkEnd w:id="257"/>
    </w:p>
    <w:p w14:paraId="4C21C55E">
      <w:pPr>
        <w:kinsoku/>
        <w:spacing w:before="79" w:line="360" w:lineRule="auto"/>
        <w:ind w:left="513"/>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2.2.1分值构成</w:t>
      </w:r>
    </w:p>
    <w:p w14:paraId="7C60EF5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（1）技术建议书：见评标办法前附表；</w:t>
      </w:r>
    </w:p>
    <w:p w14:paraId="2022ED9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（2）主要人员：见评标办法前附表；</w:t>
      </w:r>
    </w:p>
    <w:p w14:paraId="0F1CEC2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（3）评标价：见评标办法前附表；</w:t>
      </w:r>
    </w:p>
    <w:p w14:paraId="60F4569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（4）其他评分因素：见评标办法前附表。</w:t>
      </w:r>
    </w:p>
    <w:p w14:paraId="4118B847">
      <w:pPr>
        <w:kinsoku/>
        <w:spacing w:before="117" w:line="360" w:lineRule="auto"/>
        <w:ind w:left="513"/>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2.2.2评标基准价计算</w:t>
      </w:r>
    </w:p>
    <w:p w14:paraId="36231EB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评标基准价计算方法：见评标办法前附表。</w:t>
      </w:r>
    </w:p>
    <w:p w14:paraId="56F068B3">
      <w:pPr>
        <w:kinsoku/>
        <w:spacing w:before="117" w:line="360" w:lineRule="auto"/>
        <w:ind w:left="513"/>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2.2.3评标价的偏差率计算</w:t>
      </w:r>
    </w:p>
    <w:p w14:paraId="209154B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评标价的偏差率计算公式：见评标办法前附表。</w:t>
      </w:r>
    </w:p>
    <w:p w14:paraId="23128CAB">
      <w:pPr>
        <w:kinsoku/>
        <w:spacing w:before="115" w:line="360" w:lineRule="auto"/>
        <w:ind w:left="513"/>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2.2.4评分标准</w:t>
      </w:r>
    </w:p>
    <w:p w14:paraId="1CA5EB8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（1）技术建议书评分标准：见评标办法前附表；</w:t>
      </w:r>
    </w:p>
    <w:p w14:paraId="2BF29C0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（2）主要人员评分标准：见评标办法前附表；</w:t>
      </w:r>
    </w:p>
    <w:p w14:paraId="4CF9F2F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（3）评标价评分标准：见评标办法前附表；</w:t>
      </w:r>
    </w:p>
    <w:p w14:paraId="54E3A32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（4）其他因素评分标准：见评标办法前附表。</w:t>
      </w:r>
    </w:p>
    <w:p w14:paraId="78740E04">
      <w:pPr>
        <w:kinsoku/>
        <w:spacing w:before="91" w:line="219" w:lineRule="auto"/>
        <w:ind w:left="56"/>
        <w:outlineLvl w:val="2"/>
        <w:rPr>
          <w:rFonts w:ascii="宋体" w:hAnsi="宋体" w:eastAsia="宋体" w:cs="宋体"/>
          <w:b/>
          <w:bCs/>
          <w:color w:val="auto"/>
          <w:sz w:val="28"/>
          <w:szCs w:val="28"/>
          <w:highlight w:val="none"/>
          <w:lang w:eastAsia="zh-CN"/>
        </w:rPr>
      </w:pPr>
      <w:bookmarkStart w:id="258" w:name="bookmark194"/>
      <w:bookmarkEnd w:id="258"/>
      <w:bookmarkStart w:id="259" w:name="bookmark195"/>
      <w:bookmarkEnd w:id="259"/>
      <w:bookmarkStart w:id="260" w:name="bookmark197"/>
      <w:bookmarkEnd w:id="260"/>
      <w:bookmarkStart w:id="261" w:name="_Toc29019"/>
      <w:r>
        <w:rPr>
          <w:rFonts w:hint="eastAsia" w:ascii="宋体" w:hAnsi="宋体" w:eastAsia="宋体" w:cs="宋体"/>
          <w:b/>
          <w:bCs/>
          <w:color w:val="auto"/>
          <w:sz w:val="28"/>
          <w:szCs w:val="28"/>
          <w:highlight w:val="none"/>
          <w:lang w:eastAsia="zh-CN"/>
        </w:rPr>
        <w:t>3.评标程序</w:t>
      </w:r>
      <w:bookmarkEnd w:id="261"/>
    </w:p>
    <w:p w14:paraId="1FA1CCB9">
      <w:pPr>
        <w:kinsoku/>
        <w:spacing w:before="263" w:line="219" w:lineRule="auto"/>
        <w:ind w:left="54"/>
        <w:outlineLvl w:val="2"/>
        <w:rPr>
          <w:rFonts w:ascii="宋体" w:hAnsi="宋体" w:eastAsia="宋体" w:cs="宋体"/>
          <w:b/>
          <w:bCs/>
          <w:color w:val="auto"/>
          <w:sz w:val="24"/>
          <w:szCs w:val="24"/>
          <w:highlight w:val="none"/>
          <w:lang w:eastAsia="zh-CN"/>
        </w:rPr>
      </w:pPr>
      <w:bookmarkStart w:id="262" w:name="bookmark196"/>
      <w:bookmarkEnd w:id="262"/>
      <w:bookmarkStart w:id="263" w:name="_Toc7843"/>
      <w:r>
        <w:rPr>
          <w:rFonts w:hint="eastAsia" w:ascii="宋体" w:hAnsi="宋体" w:eastAsia="宋体" w:cs="宋体"/>
          <w:b/>
          <w:bCs/>
          <w:color w:val="auto"/>
          <w:sz w:val="24"/>
          <w:szCs w:val="24"/>
          <w:highlight w:val="none"/>
          <w:lang w:eastAsia="zh-CN"/>
        </w:rPr>
        <w:t>3.1 第一个信封初步评审</w:t>
      </w:r>
      <w:bookmarkEnd w:id="263"/>
    </w:p>
    <w:p w14:paraId="407C00B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3.1.1评标委员会可以要求投标人提交第二章“投标人须知”第3.5.1项至第3.5.5项规定的有关证明和证件的原件，以便核验。评标委员会依据本章第2.1款规定的标准对投标文件第一个信封（商务及技术文件）进行初步评审。有一项不符合评审标准的，评标委员会应否决其投标。</w:t>
      </w:r>
    </w:p>
    <w:p w14:paraId="124CDDA2">
      <w:pPr>
        <w:kinsoku/>
        <w:spacing w:before="267" w:line="360" w:lineRule="auto"/>
        <w:ind w:left="54"/>
        <w:outlineLvl w:val="2"/>
        <w:rPr>
          <w:rFonts w:ascii="宋体" w:hAnsi="宋体" w:eastAsia="宋体" w:cs="宋体"/>
          <w:b/>
          <w:bCs/>
          <w:color w:val="auto"/>
          <w:sz w:val="24"/>
          <w:szCs w:val="24"/>
          <w:highlight w:val="none"/>
          <w:lang w:eastAsia="zh-CN"/>
        </w:rPr>
      </w:pPr>
      <w:bookmarkStart w:id="264" w:name="bookmark199"/>
      <w:bookmarkEnd w:id="264"/>
      <w:bookmarkStart w:id="265" w:name="bookmark198"/>
      <w:bookmarkEnd w:id="265"/>
      <w:bookmarkStart w:id="266" w:name="_Toc21027"/>
      <w:r>
        <w:rPr>
          <w:rFonts w:hint="eastAsia" w:ascii="宋体" w:hAnsi="宋体" w:eastAsia="宋体" w:cs="宋体"/>
          <w:b/>
          <w:bCs/>
          <w:color w:val="auto"/>
          <w:sz w:val="24"/>
          <w:szCs w:val="24"/>
          <w:highlight w:val="none"/>
          <w:lang w:eastAsia="zh-CN"/>
        </w:rPr>
        <w:t>3.2 第一个信封详细评审</w:t>
      </w:r>
      <w:bookmarkEnd w:id="266"/>
    </w:p>
    <w:p w14:paraId="38193CD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3.2.1评标委员会按本章第2.2款规定的量化因素和分值进行打分，并计算出各投标人的商务和技术得分。</w:t>
      </w:r>
    </w:p>
    <w:p w14:paraId="559C67B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（1）按本章第2.2.4项（1）目规定的评审因素和分值对技术建议书部分计算出得分A；</w:t>
      </w:r>
    </w:p>
    <w:p w14:paraId="5B5C224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（2）按本章第2.2.4项（2）目规定的评审因素和分值对主要人员部分计算出得分B；</w:t>
      </w:r>
    </w:p>
    <w:p w14:paraId="430B642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（3）按本章第2.2.4项（4）目规定的评审因素和分值对其他部分计算出得分D。</w:t>
      </w:r>
    </w:p>
    <w:p w14:paraId="2FB82AE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3.2.2投标人的商务和技术得分分值计算保留小数点后两位，小数点后第三位“四舍五入”。</w:t>
      </w:r>
    </w:p>
    <w:p w14:paraId="1CEB0D82">
      <w:pPr>
        <w:kinsoku/>
        <w:spacing w:before="113" w:line="286" w:lineRule="auto"/>
        <w:ind w:left="37" w:right="204" w:firstLine="481"/>
        <w:rPr>
          <w:rFonts w:ascii="宋体" w:hAnsi="宋体" w:eastAsia="宋体" w:cs="宋体"/>
          <w:color w:val="auto"/>
          <w:sz w:val="24"/>
          <w:szCs w:val="24"/>
          <w:highlight w:val="none"/>
          <w:lang w:eastAsia="zh-CN"/>
        </w:rPr>
      </w:pPr>
      <w:bookmarkStart w:id="267" w:name="bookmark201"/>
      <w:bookmarkEnd w:id="267"/>
      <w:r>
        <w:rPr>
          <w:rFonts w:hint="eastAsia" w:ascii="宋体" w:hAnsi="宋体" w:eastAsia="宋体" w:cs="宋体"/>
          <w:color w:val="auto"/>
          <w:sz w:val="24"/>
          <w:szCs w:val="24"/>
          <w:highlight w:val="none"/>
          <w:lang w:eastAsia="zh-CN"/>
        </w:rPr>
        <w:t>3.2.3投标人的商务和技术得分=A+B+D。</w:t>
      </w:r>
    </w:p>
    <w:p w14:paraId="1DDC2352">
      <w:pPr>
        <w:kinsoku/>
        <w:spacing w:before="265" w:line="219" w:lineRule="auto"/>
        <w:ind w:left="54"/>
        <w:outlineLvl w:val="2"/>
        <w:rPr>
          <w:rFonts w:ascii="宋体" w:hAnsi="宋体" w:eastAsia="宋体" w:cs="宋体"/>
          <w:b/>
          <w:bCs/>
          <w:color w:val="auto"/>
          <w:sz w:val="24"/>
          <w:szCs w:val="24"/>
          <w:highlight w:val="none"/>
          <w:lang w:eastAsia="zh-CN"/>
        </w:rPr>
      </w:pPr>
      <w:bookmarkStart w:id="268" w:name="bookmark200"/>
      <w:bookmarkEnd w:id="268"/>
      <w:bookmarkStart w:id="269" w:name="_Toc21323"/>
      <w:r>
        <w:rPr>
          <w:rFonts w:hint="eastAsia" w:ascii="宋体" w:hAnsi="宋体" w:eastAsia="宋体" w:cs="宋体"/>
          <w:b/>
          <w:bCs/>
          <w:color w:val="auto"/>
          <w:sz w:val="24"/>
          <w:szCs w:val="24"/>
          <w:highlight w:val="none"/>
          <w:lang w:eastAsia="zh-CN"/>
        </w:rPr>
        <w:t>3.3 第二个信封开标</w:t>
      </w:r>
      <w:bookmarkEnd w:id="269"/>
    </w:p>
    <w:p w14:paraId="0EA54CC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第一个信封（商务及技术文件）评审结束后，招标人将按照第二章“投标人须知”第5.1款规定的时间和地点对通过投标文件第一个信封（商务及技术文件）评审的</w:t>
      </w:r>
      <w:bookmarkStart w:id="270" w:name="bookmark203"/>
      <w:bookmarkEnd w:id="270"/>
      <w:r>
        <w:rPr>
          <w:rFonts w:hint="eastAsia" w:ascii="宋体" w:hAnsi="宋体" w:eastAsia="宋体" w:cs="宋体"/>
          <w:color w:val="auto"/>
          <w:sz w:val="24"/>
          <w:szCs w:val="24"/>
          <w:highlight w:val="none"/>
          <w:lang w:eastAsia="zh-CN"/>
        </w:rPr>
        <w:t>投标文件第二个信封（报价文件）进行开标。</w:t>
      </w:r>
    </w:p>
    <w:p w14:paraId="7CFA2939">
      <w:pPr>
        <w:kinsoku/>
        <w:spacing w:before="188" w:line="360" w:lineRule="auto"/>
        <w:ind w:left="54"/>
        <w:outlineLvl w:val="2"/>
        <w:rPr>
          <w:rFonts w:ascii="宋体" w:hAnsi="宋体" w:eastAsia="宋体" w:cs="宋体"/>
          <w:b/>
          <w:bCs/>
          <w:color w:val="auto"/>
          <w:sz w:val="24"/>
          <w:szCs w:val="24"/>
          <w:highlight w:val="none"/>
          <w:lang w:eastAsia="zh-CN"/>
        </w:rPr>
      </w:pPr>
      <w:bookmarkStart w:id="271" w:name="bookmark202"/>
      <w:bookmarkEnd w:id="271"/>
      <w:bookmarkStart w:id="272" w:name="_Toc21449"/>
      <w:r>
        <w:rPr>
          <w:rFonts w:hint="eastAsia" w:ascii="宋体" w:hAnsi="宋体" w:eastAsia="宋体" w:cs="宋体"/>
          <w:b/>
          <w:bCs/>
          <w:color w:val="auto"/>
          <w:sz w:val="24"/>
          <w:szCs w:val="24"/>
          <w:highlight w:val="none"/>
          <w:lang w:eastAsia="zh-CN"/>
        </w:rPr>
        <w:t>3.4 第二个信封初步评审</w:t>
      </w:r>
      <w:bookmarkEnd w:id="272"/>
    </w:p>
    <w:p w14:paraId="161566A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3.4.1评标委员会依据本章第2.1.1项、第2.1.3项规定的评审标准对投标文件第二个信封（报价文件）进行初步评审。有一项不符合评审标准的，评标委员会应否决其投标。</w:t>
      </w:r>
    </w:p>
    <w:p w14:paraId="5B42D20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3.4.2投标报价有算术错误的，评标委员会按以下原则对投标报价进行修正，修正的价格经投标人书面确认后具有约束力。投标人不接受修正价格的，评标委员会应否决其投标。</w:t>
      </w:r>
    </w:p>
    <w:p w14:paraId="6C339A7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（1）投标文件中的大写金额与小写金额不一致的，以大写金额为准；</w:t>
      </w:r>
    </w:p>
    <w:p w14:paraId="0B93D06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（2）总价金额与依据单价计算出的结果不一致的，以单价金额为准修正总价，但单价金额小数点有明显错误的除外；</w:t>
      </w:r>
    </w:p>
    <w:p w14:paraId="08B910D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（3）当单价与数量相乘不等于合价时，以单价计算为准，如果单价有明显的小数点位置差错，应以标出的合价为准，同时对单价予以修正；</w:t>
      </w:r>
    </w:p>
    <w:p w14:paraId="2D4E25B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（4）当各子目的合价累计不等于总价时，应以各子目合价累计数为准，修正总价。</w:t>
      </w:r>
    </w:p>
    <w:p w14:paraId="5880E3D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3.4.3修正后的最终投标报价若超过最高投标限价（如有），评标委员会应否决其投标。</w:t>
      </w:r>
    </w:p>
    <w:p w14:paraId="0A8BF5B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3.4.4修正后的最终投标报价仅作为签订合同的一个依据，不参与评标价得分的</w:t>
      </w:r>
      <w:bookmarkStart w:id="273" w:name="bookmark205"/>
      <w:bookmarkEnd w:id="273"/>
      <w:r>
        <w:rPr>
          <w:rFonts w:hint="eastAsia" w:ascii="宋体" w:hAnsi="宋体" w:eastAsia="宋体" w:cs="宋体"/>
          <w:color w:val="auto"/>
          <w:sz w:val="24"/>
          <w:szCs w:val="24"/>
          <w:highlight w:val="none"/>
          <w:lang w:eastAsia="zh-CN"/>
        </w:rPr>
        <w:t>计算。</w:t>
      </w:r>
    </w:p>
    <w:p w14:paraId="3E61E747">
      <w:pPr>
        <w:kinsoku/>
        <w:spacing w:before="264" w:line="360" w:lineRule="auto"/>
        <w:ind w:left="38"/>
        <w:outlineLvl w:val="2"/>
        <w:rPr>
          <w:rFonts w:ascii="宋体" w:hAnsi="宋体" w:eastAsia="宋体" w:cs="宋体"/>
          <w:b/>
          <w:bCs/>
          <w:color w:val="auto"/>
          <w:sz w:val="24"/>
          <w:szCs w:val="24"/>
          <w:highlight w:val="none"/>
          <w:lang w:eastAsia="zh-CN"/>
        </w:rPr>
      </w:pPr>
      <w:bookmarkStart w:id="274" w:name="bookmark204"/>
      <w:bookmarkEnd w:id="274"/>
      <w:bookmarkStart w:id="275" w:name="_Toc415"/>
      <w:r>
        <w:rPr>
          <w:rFonts w:hint="eastAsia" w:ascii="宋体" w:hAnsi="宋体" w:eastAsia="宋体" w:cs="宋体"/>
          <w:b/>
          <w:bCs/>
          <w:color w:val="auto"/>
          <w:sz w:val="24"/>
          <w:szCs w:val="24"/>
          <w:highlight w:val="none"/>
          <w:lang w:eastAsia="zh-CN"/>
        </w:rPr>
        <w:t>3.5 第二个信封详细评审</w:t>
      </w:r>
      <w:bookmarkEnd w:id="275"/>
    </w:p>
    <w:p w14:paraId="6B1F266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3.5.1评标委员会按本章第2.2.4项（3）目规定的评审因素和分值对评标价计算出得分C。评标价得分分值计算保留小数点后两位，小数点后第三位“四舍五入”。</w:t>
      </w:r>
    </w:p>
    <w:p w14:paraId="57E9A72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3.5.2投标人综合得分=投标人的商务和技术得分+C。</w:t>
      </w:r>
    </w:p>
    <w:p w14:paraId="0E06FC3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3.5.3评标委员会发现投标人的报价明显低于其他投标报价，使得其投标报价可能低于其个别成本的，应要求该投标人作出书面说明并提供相应的证明材料。投标人不能合理说明或不能提供相应证明材料的，评标委员会应认定该投标人以低于成</w:t>
      </w:r>
      <w:bookmarkStart w:id="276" w:name="bookmark207"/>
      <w:bookmarkEnd w:id="276"/>
      <w:r>
        <w:rPr>
          <w:rFonts w:hint="eastAsia" w:ascii="宋体" w:hAnsi="宋体" w:eastAsia="宋体" w:cs="宋体"/>
          <w:color w:val="auto"/>
          <w:sz w:val="24"/>
          <w:szCs w:val="24"/>
          <w:highlight w:val="none"/>
          <w:lang w:eastAsia="zh-CN"/>
        </w:rPr>
        <w:t>本报价竞标，并否决其投标。</w:t>
      </w:r>
    </w:p>
    <w:p w14:paraId="0AC615C1">
      <w:pPr>
        <w:kinsoku/>
        <w:spacing w:before="269" w:line="360" w:lineRule="auto"/>
        <w:ind w:left="38"/>
        <w:outlineLvl w:val="2"/>
        <w:rPr>
          <w:rFonts w:ascii="宋体" w:hAnsi="宋体" w:eastAsia="宋体" w:cs="宋体"/>
          <w:b/>
          <w:bCs/>
          <w:color w:val="auto"/>
          <w:sz w:val="24"/>
          <w:szCs w:val="24"/>
          <w:highlight w:val="none"/>
          <w:lang w:eastAsia="zh-CN"/>
        </w:rPr>
      </w:pPr>
      <w:bookmarkStart w:id="277" w:name="bookmark206"/>
      <w:bookmarkEnd w:id="277"/>
      <w:bookmarkStart w:id="278" w:name="_Toc30876"/>
      <w:r>
        <w:rPr>
          <w:rFonts w:hint="eastAsia" w:ascii="宋体" w:hAnsi="宋体" w:eastAsia="宋体" w:cs="宋体"/>
          <w:b/>
          <w:bCs/>
          <w:color w:val="auto"/>
          <w:sz w:val="24"/>
          <w:szCs w:val="24"/>
          <w:highlight w:val="none"/>
          <w:lang w:eastAsia="zh-CN"/>
        </w:rPr>
        <w:t>3.6 投标文件相关信息的核查</w:t>
      </w:r>
      <w:bookmarkEnd w:id="278"/>
    </w:p>
    <w:p w14:paraId="55EDAF5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3.6.1在评标过程中，评标委员会应查询交通运输主管部门“全国公路建设市场监督管理系统”，对投标人的资质、业绩、主要人员资历和目前在岗情况、信用等级等信息进行核实。若投标文件载明的信息与交通运输主管部门“全国公路建设市场监督管理系统”发布的信息不符，使得投标人的资格条件不符合招标文件规定的，评标委员会应否决其投标。</w:t>
      </w:r>
    </w:p>
    <w:p w14:paraId="496A9A0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3.6.2评标委员会应对在评标过程中发现的投标人与投标人之间、投标人与招标人之间存在的串通投标的情形进行评审和认定。投标人存在串通投标、弄虚作假、行贿等违法行为的，评标委员会应否决其投标。</w:t>
      </w:r>
    </w:p>
    <w:p w14:paraId="0E4CD54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（1）有下列情形之一的，属于投标人相互串通投标：</w:t>
      </w:r>
    </w:p>
    <w:p w14:paraId="5B828A0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a.投标人之间协商投标报价等投标文件的实质性内容；</w:t>
      </w:r>
    </w:p>
    <w:p w14:paraId="3A58CCE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b.投标人之间约定中标人；</w:t>
      </w:r>
    </w:p>
    <w:p w14:paraId="7A81ABC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c.投标人之间约定部分投标人放弃投标或中标；</w:t>
      </w:r>
    </w:p>
    <w:p w14:paraId="5505D38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d.属于同一集团、协会、商会等组织成员的投标人按照该组织要求协同投标；</w:t>
      </w:r>
    </w:p>
    <w:p w14:paraId="05E5C51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e.投标人之间为谋取中标或排斥特定投标人而采取的其他联合行动。</w:t>
      </w:r>
    </w:p>
    <w:p w14:paraId="0475F46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（2）有下列情形之一的，视为投标人相互串通投标：</w:t>
      </w:r>
    </w:p>
    <w:p w14:paraId="302CB37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a.不同投标人的投标文件由同一单位或个人编制；</w:t>
      </w:r>
    </w:p>
    <w:p w14:paraId="531E49A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b.不同投标人委托同一单位或个人办理投标事宜；</w:t>
      </w:r>
    </w:p>
    <w:p w14:paraId="1635C3C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c.不同投标人的投标文件载明的项目管理成员为同一人；</w:t>
      </w:r>
    </w:p>
    <w:p w14:paraId="0D6A121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d.不同投标人的投标文件异常一致或投标报价呈规律性差异；</w:t>
      </w:r>
    </w:p>
    <w:p w14:paraId="6606809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e.不同投标人的投标文件相互混装；</w:t>
      </w:r>
    </w:p>
    <w:p w14:paraId="6E6C850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f.不同投标人的投标保证金从同一单位或个人的账户转出。</w:t>
      </w:r>
    </w:p>
    <w:p w14:paraId="47B7198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（3）有下列情形之一的，属于招标人与投标人串通投标：</w:t>
      </w:r>
    </w:p>
    <w:p w14:paraId="245D1D9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a.招标人在开标前开启投标文件并将有关信息泄露给其他投标人；</w:t>
      </w:r>
    </w:p>
    <w:p w14:paraId="64E7081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b.招标人直接或间接向投标人泄露标底、评标委员会成员等信息；</w:t>
      </w:r>
    </w:p>
    <w:p w14:paraId="71A0CCF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c.招标人明示或暗示投标人压低或抬高投标报价；</w:t>
      </w:r>
    </w:p>
    <w:p w14:paraId="008C12A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d.招标人授意投标人撤换、修改投标文件；</w:t>
      </w:r>
    </w:p>
    <w:p w14:paraId="522A1C7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e.招标人明示或暗示投标人为特定投标人中标提供方便；</w:t>
      </w:r>
    </w:p>
    <w:p w14:paraId="0E40DFF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f.招标人与投标人为谋求特定投标人中标而采取的其他串通行为。</w:t>
      </w:r>
    </w:p>
    <w:p w14:paraId="450C01C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（4）投标人有下列情形之一的，属于弄虚作假的行为：</w:t>
      </w:r>
    </w:p>
    <w:p w14:paraId="4F17A1C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a.使用通过受让或租借等方式获取的资格、资质证书投标；</w:t>
      </w:r>
    </w:p>
    <w:p w14:paraId="62A0155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b.使用伪造、变造的许可证件；</w:t>
      </w:r>
    </w:p>
    <w:p w14:paraId="7D47A6F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c.提供虚假的业绩；</w:t>
      </w:r>
    </w:p>
    <w:p w14:paraId="0DEAFB0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d.提供虚假的项目负责人或主要技术人员简历、劳动关系证明；</w:t>
      </w:r>
    </w:p>
    <w:p w14:paraId="7B2358F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e.提供虚假的信用状况；</w:t>
      </w:r>
    </w:p>
    <w:p w14:paraId="666402E3">
      <w:pPr>
        <w:kinsoku/>
        <w:spacing w:before="113" w:line="286" w:lineRule="auto"/>
        <w:ind w:left="37" w:right="204" w:firstLine="481"/>
        <w:rPr>
          <w:rFonts w:ascii="宋体" w:hAnsi="宋体" w:eastAsia="宋体" w:cs="宋体"/>
          <w:color w:val="auto"/>
          <w:sz w:val="24"/>
          <w:szCs w:val="24"/>
          <w:highlight w:val="none"/>
          <w:lang w:eastAsia="zh-CN"/>
        </w:rPr>
      </w:pPr>
      <w:bookmarkStart w:id="279" w:name="bookmark209"/>
      <w:bookmarkEnd w:id="279"/>
      <w:r>
        <w:rPr>
          <w:rFonts w:hint="eastAsia" w:ascii="宋体" w:hAnsi="宋体" w:eastAsia="宋体" w:cs="宋体"/>
          <w:color w:val="auto"/>
          <w:sz w:val="24"/>
          <w:szCs w:val="24"/>
          <w:highlight w:val="none"/>
          <w:lang w:eastAsia="zh-CN"/>
        </w:rPr>
        <w:t>f.其他弄虚作假的行为。</w:t>
      </w:r>
    </w:p>
    <w:p w14:paraId="05828217">
      <w:pPr>
        <w:kinsoku/>
        <w:spacing w:before="78" w:line="360" w:lineRule="auto"/>
        <w:ind w:left="38"/>
        <w:outlineLvl w:val="2"/>
        <w:rPr>
          <w:rFonts w:ascii="宋体" w:hAnsi="宋体" w:eastAsia="宋体" w:cs="宋体"/>
          <w:b/>
          <w:bCs/>
          <w:color w:val="auto"/>
          <w:sz w:val="24"/>
          <w:szCs w:val="24"/>
          <w:highlight w:val="none"/>
          <w:lang w:eastAsia="zh-CN"/>
        </w:rPr>
      </w:pPr>
      <w:bookmarkStart w:id="280" w:name="bookmark208"/>
      <w:bookmarkEnd w:id="280"/>
      <w:bookmarkStart w:id="281" w:name="_Toc9947"/>
      <w:r>
        <w:rPr>
          <w:rFonts w:hint="eastAsia" w:ascii="宋体" w:hAnsi="宋体" w:eastAsia="宋体" w:cs="宋体"/>
          <w:b/>
          <w:bCs/>
          <w:color w:val="auto"/>
          <w:sz w:val="24"/>
          <w:szCs w:val="24"/>
          <w:highlight w:val="none"/>
          <w:lang w:eastAsia="zh-CN"/>
        </w:rPr>
        <w:t>3.7 投标文件的澄清和说明</w:t>
      </w:r>
      <w:bookmarkEnd w:id="281"/>
    </w:p>
    <w:p w14:paraId="493B3E8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3.7.1在评标过程中，评标委员会可以书面形式要求投标人对投标文件中含义不明确的内容、明显文字或计算错误进行书面澄清或说明。评标委员会不接受投标人主动提出的澄清、说明。投标人不按评标委员会要求澄清或说明的，评标委员会应否决其投标。</w:t>
      </w:r>
    </w:p>
    <w:p w14:paraId="6C3E9C8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3.7.2澄清和说明不得超出投标文件的范围或改变投标文件的实质性内容（算术性错误的修正除外）。投标人的书面澄清、说明属于投标文件的组成部分。</w:t>
      </w:r>
    </w:p>
    <w:p w14:paraId="0312613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3.7.3评标委员会不得暗示或诱导投标人作出澄清、说明，对投标人提交的澄清、说明有疑问的，可以要求投标人进一步澄清或说明，直至满足评标委员会的要求。</w:t>
      </w:r>
    </w:p>
    <w:p w14:paraId="1087587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3.7.4凡超出招标文件规定的或给发包人带来未曾要求的利益的变化、偏差或其</w:t>
      </w:r>
      <w:bookmarkStart w:id="282" w:name="bookmark211"/>
      <w:bookmarkEnd w:id="282"/>
      <w:r>
        <w:rPr>
          <w:rFonts w:hint="eastAsia" w:ascii="宋体" w:hAnsi="宋体" w:eastAsia="宋体" w:cs="宋体"/>
          <w:color w:val="auto"/>
          <w:sz w:val="24"/>
          <w:szCs w:val="24"/>
          <w:highlight w:val="none"/>
          <w:lang w:eastAsia="zh-CN"/>
        </w:rPr>
        <w:t>他因素在评标时不予考虑。</w:t>
      </w:r>
    </w:p>
    <w:p w14:paraId="189E3502">
      <w:pPr>
        <w:kinsoku/>
        <w:spacing w:before="274" w:line="360" w:lineRule="auto"/>
        <w:ind w:left="38"/>
        <w:outlineLvl w:val="2"/>
        <w:rPr>
          <w:rFonts w:ascii="宋体" w:hAnsi="宋体" w:eastAsia="宋体" w:cs="宋体"/>
          <w:b/>
          <w:bCs/>
          <w:color w:val="auto"/>
          <w:sz w:val="24"/>
          <w:szCs w:val="24"/>
          <w:highlight w:val="none"/>
          <w:lang w:eastAsia="zh-CN"/>
        </w:rPr>
      </w:pPr>
      <w:bookmarkStart w:id="283" w:name="bookmark210"/>
      <w:bookmarkEnd w:id="283"/>
      <w:bookmarkStart w:id="284" w:name="_Toc25703"/>
      <w:r>
        <w:rPr>
          <w:rFonts w:hint="eastAsia" w:ascii="宋体" w:hAnsi="宋体" w:eastAsia="宋体" w:cs="宋体"/>
          <w:b/>
          <w:bCs/>
          <w:color w:val="auto"/>
          <w:sz w:val="24"/>
          <w:szCs w:val="24"/>
          <w:highlight w:val="none"/>
          <w:lang w:eastAsia="zh-CN"/>
        </w:rPr>
        <w:t>3.8 不得否决投标的情形</w:t>
      </w:r>
      <w:bookmarkEnd w:id="284"/>
    </w:p>
    <w:p w14:paraId="3F13B59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投标文件存在第二章“投标人须知”第1.12.3项所列情形的，均视为细微偏差，评标委员会不得否决投标人的投标，应按照第二章“投标人须知”第1.12.4项规定</w:t>
      </w:r>
      <w:bookmarkStart w:id="285" w:name="bookmark213"/>
      <w:bookmarkEnd w:id="285"/>
      <w:r>
        <w:rPr>
          <w:rFonts w:hint="eastAsia" w:ascii="宋体" w:hAnsi="宋体" w:eastAsia="宋体" w:cs="宋体"/>
          <w:color w:val="auto"/>
          <w:sz w:val="24"/>
          <w:szCs w:val="24"/>
          <w:highlight w:val="none"/>
          <w:lang w:eastAsia="zh-CN"/>
        </w:rPr>
        <w:t>的原则处理。</w:t>
      </w:r>
    </w:p>
    <w:p w14:paraId="76AF2227">
      <w:pPr>
        <w:kinsoku/>
        <w:spacing w:before="182" w:line="360" w:lineRule="auto"/>
        <w:ind w:left="38"/>
        <w:outlineLvl w:val="2"/>
        <w:rPr>
          <w:rFonts w:ascii="宋体" w:hAnsi="宋体" w:eastAsia="宋体" w:cs="宋体"/>
          <w:b/>
          <w:bCs/>
          <w:color w:val="auto"/>
          <w:sz w:val="24"/>
          <w:szCs w:val="24"/>
          <w:highlight w:val="none"/>
          <w:lang w:eastAsia="zh-CN"/>
        </w:rPr>
      </w:pPr>
      <w:bookmarkStart w:id="286" w:name="bookmark212"/>
      <w:bookmarkEnd w:id="286"/>
      <w:bookmarkStart w:id="287" w:name="_Toc3353"/>
      <w:r>
        <w:rPr>
          <w:rFonts w:hint="eastAsia" w:ascii="宋体" w:hAnsi="宋体" w:eastAsia="宋体" w:cs="宋体"/>
          <w:b/>
          <w:bCs/>
          <w:color w:val="auto"/>
          <w:sz w:val="24"/>
          <w:szCs w:val="24"/>
          <w:highlight w:val="none"/>
          <w:lang w:eastAsia="zh-CN"/>
        </w:rPr>
        <w:t>3.9 评标结果</w:t>
      </w:r>
      <w:bookmarkEnd w:id="287"/>
    </w:p>
    <w:p w14:paraId="051EA12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3.9.1除第二章“投标人须知 ”前附表授权直接确定中标人外，评标委员会按照得分由高到低的顺序推荐中标候选人，并标明排序。</w:t>
      </w:r>
    </w:p>
    <w:p w14:paraId="53C9857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3.9.2评标委员会完成评标后，应向招标人提交书面评标报告。</w:t>
      </w:r>
    </w:p>
    <w:p w14:paraId="1618EA76">
      <w:pPr>
        <w:kinsoku/>
        <w:spacing w:before="113" w:line="286" w:lineRule="auto"/>
        <w:ind w:left="37" w:right="204" w:firstLine="481"/>
        <w:rPr>
          <w:rFonts w:ascii="宋体" w:hAnsi="宋体" w:eastAsia="宋体" w:cs="宋体"/>
          <w:color w:val="auto"/>
          <w:sz w:val="24"/>
          <w:szCs w:val="24"/>
          <w:highlight w:val="none"/>
          <w:lang w:eastAsia="zh-CN"/>
        </w:rPr>
        <w:sectPr>
          <w:headerReference r:id="rId24" w:type="default"/>
          <w:footerReference r:id="rId25" w:type="default"/>
          <w:pgSz w:w="11907" w:h="16841"/>
          <w:pgMar w:top="1173" w:right="1555" w:bottom="1254" w:left="1615" w:header="862" w:footer="1093" w:gutter="0"/>
          <w:cols w:space="720" w:num="1"/>
        </w:sectPr>
      </w:pPr>
    </w:p>
    <w:p w14:paraId="5ACD96BC">
      <w:pPr>
        <w:kinsoku/>
        <w:spacing w:line="360" w:lineRule="auto"/>
        <w:rPr>
          <w:rFonts w:ascii="宋体" w:hAnsi="宋体" w:eastAsia="宋体" w:cs="宋体"/>
          <w:color w:val="auto"/>
          <w:highlight w:val="none"/>
          <w:lang w:eastAsia="zh-CN"/>
        </w:rPr>
      </w:pPr>
    </w:p>
    <w:p w14:paraId="057EAF4E">
      <w:pPr>
        <w:kinsoku/>
        <w:spacing w:line="360" w:lineRule="auto"/>
        <w:rPr>
          <w:rFonts w:ascii="宋体" w:hAnsi="宋体" w:eastAsia="宋体" w:cs="宋体"/>
          <w:color w:val="auto"/>
          <w:highlight w:val="none"/>
          <w:lang w:eastAsia="zh-CN"/>
        </w:rPr>
      </w:pPr>
    </w:p>
    <w:p w14:paraId="362E3439">
      <w:pPr>
        <w:kinsoku/>
        <w:spacing w:line="360" w:lineRule="auto"/>
        <w:rPr>
          <w:rFonts w:ascii="宋体" w:hAnsi="宋体" w:eastAsia="宋体" w:cs="宋体"/>
          <w:color w:val="auto"/>
          <w:highlight w:val="none"/>
          <w:lang w:eastAsia="zh-CN"/>
        </w:rPr>
      </w:pPr>
    </w:p>
    <w:p w14:paraId="037E64D5">
      <w:pPr>
        <w:kinsoku/>
        <w:spacing w:line="360" w:lineRule="auto"/>
        <w:rPr>
          <w:rFonts w:ascii="宋体" w:hAnsi="宋体" w:eastAsia="宋体" w:cs="宋体"/>
          <w:color w:val="auto"/>
          <w:highlight w:val="none"/>
          <w:lang w:eastAsia="zh-CN"/>
        </w:rPr>
      </w:pPr>
    </w:p>
    <w:p w14:paraId="6FA8CB60">
      <w:pPr>
        <w:kinsoku/>
        <w:spacing w:line="360" w:lineRule="auto"/>
        <w:rPr>
          <w:rFonts w:ascii="宋体" w:hAnsi="宋体" w:eastAsia="宋体" w:cs="宋体"/>
          <w:color w:val="auto"/>
          <w:highlight w:val="none"/>
          <w:lang w:eastAsia="zh-CN"/>
        </w:rPr>
      </w:pPr>
    </w:p>
    <w:p w14:paraId="1222BA0F">
      <w:pPr>
        <w:kinsoku/>
        <w:spacing w:line="360" w:lineRule="auto"/>
        <w:rPr>
          <w:rFonts w:ascii="宋体" w:hAnsi="宋体" w:eastAsia="宋体" w:cs="宋体"/>
          <w:color w:val="auto"/>
          <w:highlight w:val="none"/>
          <w:lang w:eastAsia="zh-CN"/>
        </w:rPr>
      </w:pPr>
    </w:p>
    <w:p w14:paraId="204DEECB">
      <w:pPr>
        <w:kinsoku/>
        <w:spacing w:line="360" w:lineRule="auto"/>
        <w:rPr>
          <w:rFonts w:ascii="宋体" w:hAnsi="宋体" w:eastAsia="宋体" w:cs="宋体"/>
          <w:color w:val="auto"/>
          <w:highlight w:val="none"/>
          <w:lang w:eastAsia="zh-CN"/>
        </w:rPr>
      </w:pPr>
    </w:p>
    <w:p w14:paraId="4BAA961A">
      <w:pPr>
        <w:kinsoku/>
        <w:spacing w:line="360" w:lineRule="auto"/>
        <w:rPr>
          <w:rFonts w:ascii="宋体" w:hAnsi="宋体" w:eastAsia="宋体" w:cs="宋体"/>
          <w:color w:val="auto"/>
          <w:highlight w:val="none"/>
          <w:lang w:eastAsia="zh-CN"/>
        </w:rPr>
      </w:pPr>
    </w:p>
    <w:p w14:paraId="6CE516F3">
      <w:pPr>
        <w:kinsoku/>
        <w:spacing w:line="360" w:lineRule="auto"/>
        <w:rPr>
          <w:rFonts w:ascii="宋体" w:hAnsi="宋体" w:eastAsia="宋体" w:cs="宋体"/>
          <w:color w:val="auto"/>
          <w:highlight w:val="none"/>
          <w:lang w:eastAsia="zh-CN"/>
        </w:rPr>
      </w:pPr>
    </w:p>
    <w:p w14:paraId="697AC060">
      <w:pPr>
        <w:kinsoku/>
        <w:spacing w:line="360" w:lineRule="auto"/>
        <w:rPr>
          <w:rFonts w:ascii="宋体" w:hAnsi="宋体" w:eastAsia="宋体" w:cs="宋体"/>
          <w:color w:val="auto"/>
          <w:highlight w:val="none"/>
          <w:lang w:eastAsia="zh-CN"/>
        </w:rPr>
      </w:pPr>
    </w:p>
    <w:p w14:paraId="1F950D8B">
      <w:pPr>
        <w:kinsoku/>
        <w:spacing w:line="360" w:lineRule="auto"/>
        <w:rPr>
          <w:rFonts w:ascii="宋体" w:hAnsi="宋体" w:eastAsia="宋体" w:cs="宋体"/>
          <w:color w:val="auto"/>
          <w:highlight w:val="none"/>
          <w:lang w:eastAsia="zh-CN"/>
        </w:rPr>
      </w:pPr>
    </w:p>
    <w:p w14:paraId="00214BE0">
      <w:pPr>
        <w:kinsoku/>
        <w:spacing w:line="360" w:lineRule="auto"/>
        <w:rPr>
          <w:rFonts w:ascii="宋体" w:hAnsi="宋体" w:eastAsia="宋体" w:cs="宋体"/>
          <w:color w:val="auto"/>
          <w:highlight w:val="none"/>
          <w:lang w:eastAsia="zh-CN"/>
        </w:rPr>
      </w:pPr>
    </w:p>
    <w:p w14:paraId="78A825BC">
      <w:pPr>
        <w:kinsoku/>
        <w:spacing w:line="360" w:lineRule="auto"/>
        <w:rPr>
          <w:rFonts w:ascii="宋体" w:hAnsi="宋体" w:eastAsia="宋体" w:cs="宋体"/>
          <w:color w:val="auto"/>
          <w:highlight w:val="none"/>
          <w:lang w:eastAsia="zh-CN"/>
        </w:rPr>
      </w:pPr>
    </w:p>
    <w:p w14:paraId="0AF70C51">
      <w:pPr>
        <w:kinsoku/>
        <w:spacing w:line="360" w:lineRule="auto"/>
        <w:rPr>
          <w:rFonts w:ascii="宋体" w:hAnsi="宋体" w:eastAsia="宋体" w:cs="宋体"/>
          <w:color w:val="auto"/>
          <w:highlight w:val="none"/>
          <w:lang w:eastAsia="zh-CN"/>
        </w:rPr>
      </w:pPr>
    </w:p>
    <w:p w14:paraId="20932967">
      <w:pPr>
        <w:kinsoku/>
        <w:spacing w:line="360" w:lineRule="auto"/>
        <w:rPr>
          <w:rFonts w:ascii="宋体" w:hAnsi="宋体" w:eastAsia="宋体" w:cs="宋体"/>
          <w:color w:val="auto"/>
          <w:highlight w:val="none"/>
          <w:lang w:eastAsia="zh-CN"/>
        </w:rPr>
      </w:pPr>
    </w:p>
    <w:p w14:paraId="74516375">
      <w:pPr>
        <w:kinsoku/>
        <w:spacing w:line="360" w:lineRule="auto"/>
        <w:rPr>
          <w:rFonts w:ascii="宋体" w:hAnsi="宋体" w:eastAsia="宋体" w:cs="宋体"/>
          <w:color w:val="auto"/>
          <w:highlight w:val="none"/>
          <w:lang w:eastAsia="zh-CN"/>
        </w:rPr>
      </w:pPr>
    </w:p>
    <w:p w14:paraId="66FC0527">
      <w:pPr>
        <w:kinsoku/>
        <w:spacing w:before="179" w:line="360" w:lineRule="auto"/>
        <w:ind w:left="1308"/>
        <w:outlineLvl w:val="0"/>
        <w:rPr>
          <w:rFonts w:ascii="宋体" w:hAnsi="宋体" w:eastAsia="宋体" w:cs="宋体"/>
          <w:color w:val="auto"/>
          <w:sz w:val="55"/>
          <w:szCs w:val="55"/>
          <w:highlight w:val="none"/>
          <w:lang w:eastAsia="zh-CN"/>
        </w:rPr>
      </w:pPr>
      <w:bookmarkStart w:id="288" w:name="bookmark214"/>
      <w:bookmarkEnd w:id="288"/>
      <w:bookmarkStart w:id="289" w:name="bookmark215"/>
      <w:bookmarkEnd w:id="289"/>
      <w:bookmarkStart w:id="290" w:name="_Toc113"/>
      <w:r>
        <w:rPr>
          <w:rFonts w:hint="eastAsia" w:ascii="宋体" w:hAnsi="宋体" w:eastAsia="宋体" w:cs="宋体"/>
          <w:color w:val="auto"/>
          <w:sz w:val="55"/>
          <w:szCs w:val="55"/>
          <w:highlight w:val="none"/>
          <w:lang w:eastAsia="zh-CN"/>
        </w:rPr>
        <w:t>第四章  合同条款及格式</w:t>
      </w:r>
      <w:bookmarkEnd w:id="290"/>
    </w:p>
    <w:p w14:paraId="5175DF9B">
      <w:pPr>
        <w:kinsoku/>
        <w:spacing w:line="360" w:lineRule="auto"/>
        <w:rPr>
          <w:rFonts w:ascii="宋体" w:hAnsi="宋体" w:eastAsia="宋体" w:cs="宋体"/>
          <w:color w:val="auto"/>
          <w:sz w:val="55"/>
          <w:szCs w:val="55"/>
          <w:highlight w:val="none"/>
          <w:lang w:eastAsia="zh-CN"/>
        </w:rPr>
        <w:sectPr>
          <w:footerReference r:id="rId26" w:type="default"/>
          <w:pgSz w:w="11907" w:h="16841"/>
          <w:pgMar w:top="1173" w:right="1555" w:bottom="1254" w:left="1615" w:header="862" w:footer="1093" w:gutter="0"/>
          <w:cols w:space="720" w:num="1"/>
        </w:sectPr>
      </w:pPr>
    </w:p>
    <w:p w14:paraId="2E88289A">
      <w:pPr>
        <w:kinsoku/>
        <w:spacing w:line="360" w:lineRule="auto"/>
        <w:rPr>
          <w:rFonts w:ascii="宋体" w:hAnsi="宋体" w:eastAsia="宋体" w:cs="宋体"/>
          <w:color w:val="auto"/>
          <w:highlight w:val="none"/>
          <w:lang w:eastAsia="zh-CN"/>
        </w:rPr>
      </w:pPr>
    </w:p>
    <w:p w14:paraId="324FDA16">
      <w:pPr>
        <w:kinsoku/>
        <w:spacing w:line="360" w:lineRule="auto"/>
        <w:rPr>
          <w:rFonts w:ascii="宋体" w:hAnsi="宋体" w:eastAsia="宋体" w:cs="宋体"/>
          <w:color w:val="auto"/>
          <w:highlight w:val="none"/>
          <w:lang w:eastAsia="zh-CN"/>
        </w:rPr>
      </w:pPr>
    </w:p>
    <w:p w14:paraId="50D2BEFE">
      <w:pPr>
        <w:kinsoku/>
        <w:spacing w:line="360" w:lineRule="auto"/>
        <w:rPr>
          <w:rFonts w:ascii="宋体" w:hAnsi="宋体" w:eastAsia="宋体" w:cs="宋体"/>
          <w:color w:val="auto"/>
          <w:highlight w:val="none"/>
          <w:lang w:eastAsia="zh-CN"/>
        </w:rPr>
      </w:pPr>
    </w:p>
    <w:p w14:paraId="5FA2A00E">
      <w:pPr>
        <w:kinsoku/>
        <w:spacing w:line="360" w:lineRule="auto"/>
        <w:rPr>
          <w:rFonts w:ascii="宋体" w:hAnsi="宋体" w:eastAsia="宋体" w:cs="宋体"/>
          <w:color w:val="auto"/>
          <w:highlight w:val="none"/>
          <w:lang w:eastAsia="zh-CN"/>
        </w:rPr>
      </w:pPr>
    </w:p>
    <w:p w14:paraId="15D5690E">
      <w:pPr>
        <w:kinsoku/>
        <w:spacing w:line="360" w:lineRule="auto"/>
        <w:rPr>
          <w:rFonts w:ascii="宋体" w:hAnsi="宋体" w:eastAsia="宋体" w:cs="宋体"/>
          <w:color w:val="auto"/>
          <w:highlight w:val="none"/>
          <w:lang w:eastAsia="zh-CN"/>
        </w:rPr>
      </w:pPr>
    </w:p>
    <w:p w14:paraId="1455C367">
      <w:pPr>
        <w:kinsoku/>
        <w:spacing w:line="360" w:lineRule="auto"/>
        <w:rPr>
          <w:rFonts w:ascii="宋体" w:hAnsi="宋体" w:eastAsia="宋体" w:cs="宋体"/>
          <w:color w:val="auto"/>
          <w:highlight w:val="none"/>
          <w:lang w:eastAsia="zh-CN"/>
        </w:rPr>
      </w:pPr>
    </w:p>
    <w:p w14:paraId="55E4E746">
      <w:pPr>
        <w:kinsoku/>
        <w:spacing w:line="360" w:lineRule="auto"/>
        <w:rPr>
          <w:rFonts w:ascii="宋体" w:hAnsi="宋体" w:eastAsia="宋体" w:cs="宋体"/>
          <w:color w:val="auto"/>
          <w:highlight w:val="none"/>
          <w:lang w:eastAsia="zh-CN"/>
        </w:rPr>
      </w:pPr>
    </w:p>
    <w:p w14:paraId="475B087D">
      <w:pPr>
        <w:kinsoku/>
        <w:spacing w:line="360" w:lineRule="auto"/>
        <w:rPr>
          <w:rFonts w:ascii="宋体" w:hAnsi="宋体" w:eastAsia="宋体" w:cs="宋体"/>
          <w:color w:val="auto"/>
          <w:highlight w:val="none"/>
          <w:lang w:eastAsia="zh-CN"/>
        </w:rPr>
      </w:pPr>
    </w:p>
    <w:p w14:paraId="6D240703">
      <w:pPr>
        <w:kinsoku/>
        <w:spacing w:line="360" w:lineRule="auto"/>
        <w:rPr>
          <w:rFonts w:ascii="宋体" w:hAnsi="宋体" w:eastAsia="宋体" w:cs="宋体"/>
          <w:color w:val="auto"/>
          <w:highlight w:val="none"/>
          <w:lang w:eastAsia="zh-CN"/>
        </w:rPr>
      </w:pPr>
    </w:p>
    <w:p w14:paraId="787B7914">
      <w:pPr>
        <w:kinsoku/>
        <w:spacing w:line="360" w:lineRule="auto"/>
        <w:rPr>
          <w:rFonts w:ascii="宋体" w:hAnsi="宋体" w:eastAsia="宋体" w:cs="宋体"/>
          <w:color w:val="auto"/>
          <w:highlight w:val="none"/>
          <w:lang w:eastAsia="zh-CN"/>
        </w:rPr>
      </w:pPr>
    </w:p>
    <w:p w14:paraId="5198D64A">
      <w:pPr>
        <w:kinsoku/>
        <w:spacing w:line="360" w:lineRule="auto"/>
        <w:rPr>
          <w:rFonts w:ascii="宋体" w:hAnsi="宋体" w:eastAsia="宋体" w:cs="宋体"/>
          <w:color w:val="auto"/>
          <w:highlight w:val="none"/>
          <w:lang w:eastAsia="zh-CN"/>
        </w:rPr>
      </w:pPr>
    </w:p>
    <w:p w14:paraId="5DB2D63E">
      <w:pPr>
        <w:kinsoku/>
        <w:spacing w:line="360" w:lineRule="auto"/>
        <w:rPr>
          <w:rFonts w:ascii="宋体" w:hAnsi="宋体" w:eastAsia="宋体" w:cs="宋体"/>
          <w:color w:val="auto"/>
          <w:highlight w:val="none"/>
          <w:lang w:eastAsia="zh-CN"/>
        </w:rPr>
      </w:pPr>
    </w:p>
    <w:p w14:paraId="354B6242">
      <w:pPr>
        <w:kinsoku/>
        <w:spacing w:line="360" w:lineRule="auto"/>
        <w:rPr>
          <w:rFonts w:ascii="宋体" w:hAnsi="宋体" w:eastAsia="宋体" w:cs="宋体"/>
          <w:color w:val="auto"/>
          <w:highlight w:val="none"/>
          <w:lang w:eastAsia="zh-CN"/>
        </w:rPr>
      </w:pPr>
    </w:p>
    <w:p w14:paraId="01C7A113">
      <w:pPr>
        <w:kinsoku/>
        <w:spacing w:line="360" w:lineRule="auto"/>
        <w:rPr>
          <w:rFonts w:ascii="宋体" w:hAnsi="宋体" w:eastAsia="宋体" w:cs="宋体"/>
          <w:color w:val="auto"/>
          <w:highlight w:val="none"/>
          <w:lang w:eastAsia="zh-CN"/>
        </w:rPr>
      </w:pPr>
    </w:p>
    <w:p w14:paraId="5B0E0515">
      <w:pPr>
        <w:kinsoku/>
        <w:spacing w:line="360" w:lineRule="auto"/>
        <w:rPr>
          <w:rFonts w:ascii="宋体" w:hAnsi="宋体" w:eastAsia="宋体" w:cs="宋体"/>
          <w:color w:val="auto"/>
          <w:highlight w:val="none"/>
          <w:lang w:eastAsia="zh-CN"/>
        </w:rPr>
      </w:pPr>
    </w:p>
    <w:p w14:paraId="365CE2ED">
      <w:pPr>
        <w:kinsoku/>
        <w:spacing w:line="360" w:lineRule="auto"/>
        <w:rPr>
          <w:rFonts w:ascii="宋体" w:hAnsi="宋体" w:eastAsia="宋体" w:cs="宋体"/>
          <w:color w:val="auto"/>
          <w:highlight w:val="none"/>
          <w:lang w:eastAsia="zh-CN"/>
        </w:rPr>
      </w:pPr>
    </w:p>
    <w:p w14:paraId="551FED2B">
      <w:pPr>
        <w:kinsoku/>
        <w:spacing w:line="360" w:lineRule="auto"/>
        <w:rPr>
          <w:rFonts w:ascii="宋体" w:hAnsi="宋体" w:eastAsia="宋体" w:cs="宋体"/>
          <w:color w:val="auto"/>
          <w:highlight w:val="none"/>
          <w:lang w:eastAsia="zh-CN"/>
        </w:rPr>
      </w:pPr>
    </w:p>
    <w:p w14:paraId="75B98F97">
      <w:pPr>
        <w:kinsoku/>
        <w:spacing w:line="360" w:lineRule="auto"/>
        <w:rPr>
          <w:rFonts w:ascii="宋体" w:hAnsi="宋体" w:eastAsia="宋体" w:cs="宋体"/>
          <w:color w:val="auto"/>
          <w:highlight w:val="none"/>
          <w:lang w:eastAsia="zh-CN"/>
        </w:rPr>
      </w:pPr>
    </w:p>
    <w:p w14:paraId="71B7937F">
      <w:pPr>
        <w:kinsoku/>
        <w:spacing w:before="101" w:line="360" w:lineRule="auto"/>
        <w:ind w:left="2859"/>
        <w:outlineLvl w:val="1"/>
        <w:rPr>
          <w:rFonts w:ascii="宋体" w:hAnsi="宋体" w:eastAsia="宋体" w:cs="宋体"/>
          <w:color w:val="auto"/>
          <w:sz w:val="31"/>
          <w:szCs w:val="31"/>
          <w:highlight w:val="none"/>
          <w:lang w:eastAsia="zh-CN"/>
        </w:rPr>
      </w:pPr>
      <w:bookmarkStart w:id="291" w:name="bookmark217"/>
      <w:bookmarkEnd w:id="291"/>
      <w:bookmarkStart w:id="292" w:name="bookmark216"/>
      <w:bookmarkEnd w:id="292"/>
      <w:bookmarkStart w:id="293" w:name="_Toc27084"/>
      <w:r>
        <w:rPr>
          <w:rFonts w:hint="eastAsia" w:ascii="宋体" w:hAnsi="宋体" w:eastAsia="宋体" w:cs="宋体"/>
          <w:color w:val="auto"/>
          <w:sz w:val="31"/>
          <w:szCs w:val="31"/>
          <w:highlight w:val="none"/>
          <w:lang w:eastAsia="zh-CN"/>
        </w:rPr>
        <w:t>第一节 通用合同条款</w:t>
      </w:r>
      <w:bookmarkEnd w:id="293"/>
    </w:p>
    <w:p w14:paraId="247159BA">
      <w:pPr>
        <w:kinsoku/>
        <w:spacing w:line="360" w:lineRule="auto"/>
        <w:rPr>
          <w:rFonts w:ascii="宋体" w:hAnsi="宋体" w:eastAsia="宋体" w:cs="宋体"/>
          <w:color w:val="auto"/>
          <w:sz w:val="31"/>
          <w:szCs w:val="31"/>
          <w:highlight w:val="none"/>
          <w:lang w:eastAsia="zh-CN"/>
        </w:rPr>
        <w:sectPr>
          <w:footerReference r:id="rId27" w:type="default"/>
          <w:pgSz w:w="11907" w:h="16841"/>
          <w:pgMar w:top="1173" w:right="1555" w:bottom="1254" w:left="1615" w:header="862" w:footer="1093" w:gutter="0"/>
          <w:cols w:space="720" w:num="1"/>
        </w:sectPr>
      </w:pPr>
    </w:p>
    <w:p w14:paraId="572FCA36">
      <w:pPr>
        <w:kinsoku/>
        <w:spacing w:line="360" w:lineRule="auto"/>
        <w:rPr>
          <w:rFonts w:ascii="宋体" w:hAnsi="宋体" w:eastAsia="宋体" w:cs="宋体"/>
          <w:color w:val="auto"/>
          <w:highlight w:val="none"/>
          <w:lang w:eastAsia="zh-CN"/>
        </w:rPr>
      </w:pPr>
    </w:p>
    <w:p w14:paraId="13C48569">
      <w:pPr>
        <w:kinsoku/>
        <w:spacing w:before="100" w:line="360" w:lineRule="auto"/>
        <w:ind w:left="3416"/>
        <w:rPr>
          <w:rFonts w:ascii="宋体" w:hAnsi="宋体" w:eastAsia="宋体" w:cs="宋体"/>
          <w:color w:val="auto"/>
          <w:sz w:val="31"/>
          <w:szCs w:val="31"/>
          <w:highlight w:val="none"/>
          <w:lang w:eastAsia="zh-CN"/>
        </w:rPr>
      </w:pPr>
      <w:r>
        <w:rPr>
          <w:rFonts w:hint="eastAsia" w:ascii="宋体" w:hAnsi="宋体" w:eastAsia="宋体" w:cs="宋体"/>
          <w:color w:val="auto"/>
          <w:sz w:val="31"/>
          <w:szCs w:val="31"/>
          <w:highlight w:val="none"/>
          <w:lang w:eastAsia="zh-CN"/>
        </w:rPr>
        <w:t>通用合同条款</w:t>
      </w:r>
    </w:p>
    <w:p w14:paraId="563A4F6C">
      <w:pPr>
        <w:kinsoku/>
        <w:spacing w:before="261" w:line="286" w:lineRule="auto"/>
        <w:ind w:left="47"/>
        <w:rPr>
          <w:rFonts w:ascii="宋体" w:hAnsi="宋体" w:eastAsia="宋体" w:cs="宋体"/>
          <w:color w:val="auto"/>
          <w:sz w:val="28"/>
          <w:szCs w:val="28"/>
          <w:highlight w:val="none"/>
          <w:lang w:eastAsia="zh-CN"/>
        </w:rPr>
      </w:pPr>
      <w:bookmarkStart w:id="294" w:name="bookmark218"/>
      <w:bookmarkEnd w:id="294"/>
      <w:bookmarkStart w:id="295" w:name="bookmark219"/>
      <w:bookmarkEnd w:id="295"/>
      <w:r>
        <w:rPr>
          <w:rFonts w:hint="eastAsia" w:ascii="宋体" w:hAnsi="宋体" w:eastAsia="宋体" w:cs="宋体"/>
          <w:b/>
          <w:bCs/>
          <w:color w:val="auto"/>
          <w:sz w:val="28"/>
          <w:szCs w:val="28"/>
          <w:highlight w:val="none"/>
          <w:lang w:eastAsia="zh-CN"/>
        </w:rPr>
        <w:t>1.一般约定</w:t>
      </w:r>
    </w:p>
    <w:p w14:paraId="784463C8">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 词语定义</w:t>
      </w:r>
    </w:p>
    <w:p w14:paraId="17ECCBE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通用合同条款、专用合同条款中的下列词语应具有本款所赋予的含义。</w:t>
      </w:r>
    </w:p>
    <w:p w14:paraId="3A792B6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 合同</w:t>
      </w:r>
    </w:p>
    <w:p w14:paraId="0C8781FF">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"file:///F:\\2025年项目\\预招标\\机场路\\新建文件夹\\1.1.1.1" </w:instrText>
      </w:r>
      <w:r>
        <w:rPr>
          <w:color w:val="auto"/>
          <w:highlight w:val="none"/>
        </w:rPr>
        <w:fldChar w:fldCharType="separate"/>
      </w:r>
      <w:r>
        <w:rPr>
          <w:rFonts w:hint="eastAsia" w:ascii="宋体" w:hAnsi="宋体" w:eastAsia="宋体" w:cs="宋体"/>
          <w:color w:val="auto"/>
          <w:sz w:val="24"/>
          <w:szCs w:val="24"/>
          <w:highlight w:val="none"/>
          <w:lang w:eastAsia="zh-CN"/>
        </w:rPr>
        <w:t>1.1.1.1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合同文件（或称合同）：指合同协议书及各种合同附件、中标通知书、投标函、专用合同条款、通用合同条款、发包人要求、勘察设计费用清单，以及其他构成合同组成部分的文件。</w:t>
      </w:r>
    </w:p>
    <w:p w14:paraId="1DC25646">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"file:///F:\\2025年项目\\预招标\\机场路\\新建文件夹\\1.1.1.2" </w:instrText>
      </w:r>
      <w:r>
        <w:rPr>
          <w:color w:val="auto"/>
          <w:highlight w:val="none"/>
        </w:rPr>
        <w:fldChar w:fldCharType="separate"/>
      </w:r>
      <w:r>
        <w:rPr>
          <w:rFonts w:hint="eastAsia" w:ascii="宋体" w:hAnsi="宋体" w:eastAsia="宋体" w:cs="宋体"/>
          <w:color w:val="auto"/>
          <w:sz w:val="24"/>
          <w:szCs w:val="24"/>
          <w:highlight w:val="none"/>
          <w:lang w:eastAsia="zh-CN"/>
        </w:rPr>
        <w:t>1.1.1.2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合同协议书：指发包人和设计人共同签署的合同协议书。</w:t>
      </w:r>
    </w:p>
    <w:p w14:paraId="770D456A">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"file:///F:\\2025年项目\\预招标\\机场路\\新建文件夹\\1.1.1.3" </w:instrText>
      </w:r>
      <w:r>
        <w:rPr>
          <w:color w:val="auto"/>
          <w:highlight w:val="none"/>
        </w:rPr>
        <w:fldChar w:fldCharType="separate"/>
      </w:r>
      <w:r>
        <w:rPr>
          <w:rFonts w:hint="eastAsia" w:ascii="宋体" w:hAnsi="宋体" w:eastAsia="宋体" w:cs="宋体"/>
          <w:color w:val="auto"/>
          <w:sz w:val="24"/>
          <w:szCs w:val="24"/>
          <w:highlight w:val="none"/>
          <w:lang w:eastAsia="zh-CN"/>
        </w:rPr>
        <w:t>1.1.1.3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中标通知书：指发包人通知设计人中标的函件。</w:t>
      </w:r>
    </w:p>
    <w:p w14:paraId="3763BF54">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"file:///F:\\2025年项目\\预招标\\机场路\\新建文件夹\\1.1.1.4" </w:instrText>
      </w:r>
      <w:r>
        <w:rPr>
          <w:color w:val="auto"/>
          <w:highlight w:val="none"/>
        </w:rPr>
        <w:fldChar w:fldCharType="separate"/>
      </w:r>
      <w:r>
        <w:rPr>
          <w:rFonts w:hint="eastAsia" w:ascii="宋体" w:hAnsi="宋体" w:eastAsia="宋体" w:cs="宋体"/>
          <w:color w:val="auto"/>
          <w:sz w:val="24"/>
          <w:szCs w:val="24"/>
          <w:highlight w:val="none"/>
          <w:lang w:eastAsia="zh-CN"/>
        </w:rPr>
        <w:t>1.1.1.4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投标函：指由设计人填写并签署的，名为“投标函”的函件。</w:t>
      </w:r>
    </w:p>
    <w:p w14:paraId="421BE32C">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"file:///F:\\2025年项目\\预招标\\机场路\\新建文件夹\\1.1.1.5" </w:instrText>
      </w:r>
      <w:r>
        <w:rPr>
          <w:color w:val="auto"/>
          <w:highlight w:val="none"/>
        </w:rPr>
        <w:fldChar w:fldCharType="separate"/>
      </w:r>
      <w:r>
        <w:rPr>
          <w:rFonts w:hint="eastAsia" w:ascii="宋体" w:hAnsi="宋体" w:eastAsia="宋体" w:cs="宋体"/>
          <w:color w:val="auto"/>
          <w:sz w:val="24"/>
          <w:szCs w:val="24"/>
          <w:highlight w:val="none"/>
          <w:lang w:eastAsia="zh-CN"/>
        </w:rPr>
        <w:t>1.1.1.5</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发包人要求：指合同文件中名为“发包人要求”的文件。</w:t>
      </w:r>
    </w:p>
    <w:p w14:paraId="22FC2B28">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"file:///F:\\2025年项目\\预招标\\机场路\\新建文件夹\\1.1.1.6" </w:instrText>
      </w:r>
      <w:r>
        <w:rPr>
          <w:color w:val="auto"/>
          <w:highlight w:val="none"/>
        </w:rPr>
        <w:fldChar w:fldCharType="separate"/>
      </w:r>
      <w:r>
        <w:rPr>
          <w:rFonts w:hint="eastAsia" w:ascii="宋体" w:hAnsi="宋体" w:eastAsia="宋体" w:cs="宋体"/>
          <w:color w:val="auto"/>
          <w:sz w:val="24"/>
          <w:szCs w:val="24"/>
          <w:highlight w:val="none"/>
          <w:lang w:eastAsia="zh-CN"/>
        </w:rPr>
        <w:t>1.1.1.6</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技术建议书：指设计人投标文件中的技术建议书。</w:t>
      </w:r>
    </w:p>
    <w:p w14:paraId="31F2945E">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"file:///F:\\2025年项目\\预招标\\机场路\\新建文件夹\\1.1.1.7" </w:instrText>
      </w:r>
      <w:r>
        <w:rPr>
          <w:color w:val="auto"/>
          <w:highlight w:val="none"/>
        </w:rPr>
        <w:fldChar w:fldCharType="separate"/>
      </w:r>
      <w:r>
        <w:rPr>
          <w:rFonts w:hint="eastAsia" w:ascii="宋体" w:hAnsi="宋体" w:eastAsia="宋体" w:cs="宋体"/>
          <w:color w:val="auto"/>
          <w:sz w:val="24"/>
          <w:szCs w:val="24"/>
          <w:highlight w:val="none"/>
          <w:lang w:eastAsia="zh-CN"/>
        </w:rPr>
        <w:t>1.1.1.7</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勘察设计费用清单：指设计人投标文件中的勘察设计费用清单。</w:t>
      </w:r>
    </w:p>
    <w:p w14:paraId="17879433">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"file:///F:\\2025年项目\\预招标\\机场路\\新建文件夹\\1.1.1.8" </w:instrText>
      </w:r>
      <w:r>
        <w:rPr>
          <w:color w:val="auto"/>
          <w:highlight w:val="none"/>
        </w:rPr>
        <w:fldChar w:fldCharType="separate"/>
      </w:r>
      <w:r>
        <w:rPr>
          <w:rFonts w:hint="eastAsia" w:ascii="宋体" w:hAnsi="宋体" w:eastAsia="宋体" w:cs="宋体"/>
          <w:color w:val="auto"/>
          <w:sz w:val="24"/>
          <w:szCs w:val="24"/>
          <w:highlight w:val="none"/>
          <w:lang w:eastAsia="zh-CN"/>
        </w:rPr>
        <w:t>1.1.1.8</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其他合同文件：指经合同双方当事人确认构成合同文件的其他文件。</w:t>
      </w:r>
    </w:p>
    <w:p w14:paraId="7C97915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 合同当事人和人员</w:t>
      </w:r>
    </w:p>
    <w:p w14:paraId="238DE933">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"file:///F:\\2025年项目\\预招标\\机场路\\新建文件夹\\1.1.2.1" </w:instrText>
      </w:r>
      <w:r>
        <w:rPr>
          <w:color w:val="auto"/>
          <w:highlight w:val="none"/>
        </w:rPr>
        <w:fldChar w:fldCharType="separate"/>
      </w:r>
      <w:r>
        <w:rPr>
          <w:rFonts w:hint="eastAsia" w:ascii="宋体" w:hAnsi="宋体" w:eastAsia="宋体" w:cs="宋体"/>
          <w:color w:val="auto"/>
          <w:sz w:val="24"/>
          <w:szCs w:val="24"/>
          <w:highlight w:val="none"/>
          <w:lang w:eastAsia="zh-CN"/>
        </w:rPr>
        <w:t>1.1.2.1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合同当事人：指发包人和（或）设计人。</w:t>
      </w:r>
    </w:p>
    <w:p w14:paraId="09431ABF">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"file:///F:\\2025年项目\\预招标\\机场路\\新建文件夹\\1.1.2.2" </w:instrText>
      </w:r>
      <w:r>
        <w:rPr>
          <w:color w:val="auto"/>
          <w:highlight w:val="none"/>
        </w:rPr>
        <w:fldChar w:fldCharType="separate"/>
      </w:r>
      <w:r>
        <w:rPr>
          <w:rFonts w:hint="eastAsia" w:ascii="宋体" w:hAnsi="宋体" w:eastAsia="宋体" w:cs="宋体"/>
          <w:color w:val="auto"/>
          <w:sz w:val="24"/>
          <w:szCs w:val="24"/>
          <w:highlight w:val="none"/>
          <w:lang w:eastAsia="zh-CN"/>
        </w:rPr>
        <w:t>1.1.2.2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发包人：指与设计人签订合同协议书的当事人，以及取得该当事人资格的合法继承人。</w:t>
      </w:r>
    </w:p>
    <w:p w14:paraId="17C9AC31">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"file:///F:\\2025年项目\\预招标\\机场路\\新建文件夹\\1.1.2.3" </w:instrText>
      </w:r>
      <w:r>
        <w:rPr>
          <w:color w:val="auto"/>
          <w:highlight w:val="none"/>
        </w:rPr>
        <w:fldChar w:fldCharType="separate"/>
      </w:r>
      <w:r>
        <w:rPr>
          <w:rFonts w:hint="eastAsia" w:ascii="宋体" w:hAnsi="宋体" w:eastAsia="宋体" w:cs="宋体"/>
          <w:color w:val="auto"/>
          <w:sz w:val="24"/>
          <w:szCs w:val="24"/>
          <w:highlight w:val="none"/>
          <w:lang w:eastAsia="zh-CN"/>
        </w:rPr>
        <w:t>1.1.2.3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设计人：指与发包人签订合同协议书的当事人，以及取得该当事人资格的合法继承人。若设计人为联合体，则设计人包括联合体所有成员单位。</w:t>
      </w:r>
    </w:p>
    <w:p w14:paraId="1C180B27">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"file:///F:\\2025年项目\\预招标\\机场路\\新建文件夹\\1.1.2.4" </w:instrText>
      </w:r>
      <w:r>
        <w:rPr>
          <w:color w:val="auto"/>
          <w:highlight w:val="none"/>
        </w:rPr>
        <w:fldChar w:fldCharType="separate"/>
      </w:r>
      <w:r>
        <w:rPr>
          <w:rFonts w:hint="eastAsia" w:ascii="宋体" w:hAnsi="宋体" w:eastAsia="宋体" w:cs="宋体"/>
          <w:color w:val="auto"/>
          <w:sz w:val="24"/>
          <w:szCs w:val="24"/>
          <w:highlight w:val="none"/>
          <w:lang w:eastAsia="zh-CN"/>
        </w:rPr>
        <w:t>1.1.2.4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发包人代表：指由发包人任命，并在授权范围和期限内代表发包人行使权利和履行义务的全权负责人。</w:t>
      </w:r>
    </w:p>
    <w:p w14:paraId="2BE1DE3E">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"file:///F:\\2025年项目\\预招标\\机场路\\新建文件夹\\1.1.2.5" </w:instrText>
      </w:r>
      <w:r>
        <w:rPr>
          <w:color w:val="auto"/>
          <w:highlight w:val="none"/>
        </w:rPr>
        <w:fldChar w:fldCharType="separate"/>
      </w:r>
      <w:r>
        <w:rPr>
          <w:rFonts w:hint="eastAsia" w:ascii="宋体" w:hAnsi="宋体" w:eastAsia="宋体" w:cs="宋体"/>
          <w:color w:val="auto"/>
          <w:sz w:val="24"/>
          <w:szCs w:val="24"/>
          <w:highlight w:val="none"/>
          <w:lang w:eastAsia="zh-CN"/>
        </w:rPr>
        <w:t>1.1.2.5</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项目负责人：指由设计人任命，代表设计人行使权利和履行义务的全权负责人。</w:t>
      </w:r>
    </w:p>
    <w:p w14:paraId="754ACEF2">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"file:///F:\\2025年项目\\预招标\\机场路\\新建文件夹\\1.1.2.6" </w:instrText>
      </w:r>
      <w:r>
        <w:rPr>
          <w:color w:val="auto"/>
          <w:highlight w:val="none"/>
        </w:rPr>
        <w:fldChar w:fldCharType="separate"/>
      </w:r>
      <w:r>
        <w:rPr>
          <w:rFonts w:hint="eastAsia" w:ascii="宋体" w:hAnsi="宋体" w:eastAsia="宋体" w:cs="宋体"/>
          <w:color w:val="auto"/>
          <w:sz w:val="24"/>
          <w:szCs w:val="24"/>
          <w:highlight w:val="none"/>
          <w:lang w:eastAsia="zh-CN"/>
        </w:rPr>
        <w:t>1.1.2.6</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分项负责人：指由设计人任命，并经过发包人认可的各专业负责人。</w:t>
      </w:r>
    </w:p>
    <w:p w14:paraId="3BF6E42B">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"file:///F:\\2025年项目\\预招标\\机场路\\新建文件夹\\1.1.2.7" </w:instrText>
      </w:r>
      <w:r>
        <w:rPr>
          <w:color w:val="auto"/>
          <w:highlight w:val="none"/>
        </w:rPr>
        <w:fldChar w:fldCharType="separate"/>
      </w:r>
      <w:r>
        <w:rPr>
          <w:rFonts w:hint="eastAsia" w:ascii="宋体" w:hAnsi="宋体" w:eastAsia="宋体" w:cs="宋体"/>
          <w:color w:val="auto"/>
          <w:sz w:val="24"/>
          <w:szCs w:val="24"/>
          <w:highlight w:val="none"/>
          <w:lang w:eastAsia="zh-CN"/>
        </w:rPr>
        <w:t>1.1.2.7</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分包人：指从设计人处分包合同中某一部分工作，并与其签订分包合同的单位。</w:t>
      </w:r>
    </w:p>
    <w:p w14:paraId="0F982902">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"file:///F:\\2025年项目\\预招标\\机场路\\新建文件夹\\1.1.2.8" </w:instrText>
      </w:r>
      <w:r>
        <w:rPr>
          <w:color w:val="auto"/>
          <w:highlight w:val="none"/>
        </w:rPr>
        <w:fldChar w:fldCharType="separate"/>
      </w:r>
      <w:r>
        <w:rPr>
          <w:rFonts w:hint="eastAsia" w:ascii="宋体" w:hAnsi="宋体" w:eastAsia="宋体" w:cs="宋体"/>
          <w:color w:val="auto"/>
          <w:sz w:val="24"/>
          <w:szCs w:val="24"/>
          <w:highlight w:val="none"/>
          <w:lang w:eastAsia="zh-CN"/>
        </w:rPr>
        <w:t>1.1.2.8</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咨询单位：指受发包人委托对本工程勘察设计文件进行审查或提供咨询意见的咨询机构。</w:t>
      </w:r>
    </w:p>
    <w:p w14:paraId="63769CC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1.1.3 工程和勘察设计</w:t>
      </w:r>
    </w:p>
    <w:p w14:paraId="5E1867D7">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"file:///F:\\2025年项目\\预招标\\机场路\\新建文件夹\\1.1.3.1" </w:instrText>
      </w:r>
      <w:r>
        <w:rPr>
          <w:color w:val="auto"/>
          <w:highlight w:val="none"/>
        </w:rPr>
        <w:fldChar w:fldCharType="separate"/>
      </w:r>
      <w:r>
        <w:rPr>
          <w:rFonts w:hint="eastAsia" w:ascii="宋体" w:hAnsi="宋体" w:eastAsia="宋体" w:cs="宋体"/>
          <w:color w:val="auto"/>
          <w:sz w:val="24"/>
          <w:szCs w:val="24"/>
          <w:highlight w:val="none"/>
          <w:lang w:eastAsia="zh-CN"/>
        </w:rPr>
        <w:t>1.1.3.1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工程：指专用合同条款中指明进行勘察设计招标的工程。</w:t>
      </w:r>
    </w:p>
    <w:p w14:paraId="233714C5">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"file:///F:\\2025年项目\\预招标\\机场路\\新建文件夹\\1.1.3.2" </w:instrText>
      </w:r>
      <w:r>
        <w:rPr>
          <w:color w:val="auto"/>
          <w:highlight w:val="none"/>
        </w:rPr>
        <w:fldChar w:fldCharType="separate"/>
      </w:r>
      <w:r>
        <w:rPr>
          <w:rFonts w:hint="eastAsia" w:ascii="宋体" w:hAnsi="宋体" w:eastAsia="宋体" w:cs="宋体"/>
          <w:color w:val="auto"/>
          <w:sz w:val="24"/>
          <w:szCs w:val="24"/>
          <w:highlight w:val="none"/>
          <w:lang w:eastAsia="zh-CN"/>
        </w:rPr>
        <w:t>1.1.3.2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服务：指设计人按照合同约定履行的服务，包括制订勘察设计工作大纲，进行测绘、勘探、取样和试验等，查明、分析和评估地质特征和工程条件，编制勘察报告；编制设计文件和设计概算、预算，提供技术交底、招标与施工配合，参加交工验收、参加竣工验收或发包人委托的其他服务。</w:t>
      </w:r>
    </w:p>
    <w:p w14:paraId="18816D84">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"file:///F:\\2025年项目\\预招标\\机场路\\新建文件夹\\1.1.3.3" </w:instrText>
      </w:r>
      <w:r>
        <w:rPr>
          <w:color w:val="auto"/>
          <w:highlight w:val="none"/>
        </w:rPr>
        <w:fldChar w:fldCharType="separate"/>
      </w:r>
      <w:r>
        <w:rPr>
          <w:rFonts w:hint="eastAsia" w:ascii="宋体" w:hAnsi="宋体" w:eastAsia="宋体" w:cs="宋体"/>
          <w:color w:val="auto"/>
          <w:sz w:val="24"/>
          <w:szCs w:val="24"/>
          <w:highlight w:val="none"/>
          <w:lang w:eastAsia="zh-CN"/>
        </w:rPr>
        <w:t>1.1.3.3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勘察设备：指为完成合同约定的各项工作所需的设备、器具和其他物品，不包括临时工程和材料。</w:t>
      </w:r>
    </w:p>
    <w:p w14:paraId="03DF5E32">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"file:///F:\\2025年项目\\预招标\\机场路\\新建文件夹\\1.1.3.4" </w:instrText>
      </w:r>
      <w:r>
        <w:rPr>
          <w:color w:val="auto"/>
          <w:highlight w:val="none"/>
        </w:rPr>
        <w:fldChar w:fldCharType="separate"/>
      </w:r>
      <w:r>
        <w:rPr>
          <w:rFonts w:hint="eastAsia" w:ascii="宋体" w:hAnsi="宋体" w:eastAsia="宋体" w:cs="宋体"/>
          <w:color w:val="auto"/>
          <w:sz w:val="24"/>
          <w:szCs w:val="24"/>
          <w:highlight w:val="none"/>
          <w:lang w:eastAsia="zh-CN"/>
        </w:rPr>
        <w:t>1.1.3.4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勘探场地：指用于工程勘探的场所，以及在合同中指定作为勘探场地组成的其他场所。</w:t>
      </w:r>
    </w:p>
    <w:p w14:paraId="3E27A03D">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"file:///F:\\2025年项目\\预招标\\机场路\\新建文件夹\\1.1.3.5" </w:instrText>
      </w:r>
      <w:r>
        <w:rPr>
          <w:color w:val="auto"/>
          <w:highlight w:val="none"/>
        </w:rPr>
        <w:fldChar w:fldCharType="separate"/>
      </w:r>
      <w:r>
        <w:rPr>
          <w:rFonts w:hint="eastAsia" w:ascii="宋体" w:hAnsi="宋体" w:eastAsia="宋体" w:cs="宋体"/>
          <w:color w:val="auto"/>
          <w:sz w:val="24"/>
          <w:szCs w:val="24"/>
          <w:highlight w:val="none"/>
          <w:lang w:eastAsia="zh-CN"/>
        </w:rPr>
        <w:t>1.1.3.5</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勘察设计资料：指发包人按合同约定向设计人提供的、用于完成勘察设计服务范围与内容所需的资料。</w:t>
      </w:r>
    </w:p>
    <w:p w14:paraId="5E29DB1E">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"file:///F:\\2025年项目\\预招标\\机场路\\新建文件夹\\1.1.3.6" </w:instrText>
      </w:r>
      <w:r>
        <w:rPr>
          <w:color w:val="auto"/>
          <w:highlight w:val="none"/>
        </w:rPr>
        <w:fldChar w:fldCharType="separate"/>
      </w:r>
      <w:r>
        <w:rPr>
          <w:rFonts w:hint="eastAsia" w:ascii="宋体" w:hAnsi="宋体" w:eastAsia="宋体" w:cs="宋体"/>
          <w:color w:val="auto"/>
          <w:sz w:val="24"/>
          <w:szCs w:val="24"/>
          <w:highlight w:val="none"/>
          <w:lang w:eastAsia="zh-CN"/>
        </w:rPr>
        <w:t>1.1.3.6</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文件：指设计人按合同约定向发包人提交的工程勘察报告、服务大纲、勘察方案、外业指导书、进度计划，设计说明、图纸、图板、模型、计算书、软件和其他文件等，包括阶段性文件和最终文件，且应采用合同中双方约定的格式和载体。</w:t>
      </w:r>
    </w:p>
    <w:p w14:paraId="1E39A16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1.1.4 日期</w:t>
      </w:r>
    </w:p>
    <w:p w14:paraId="2FD2BFE1">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"file:///F:\\2025年项目\\预招标\\机场路\\新建文件夹\\1.1.4.1" </w:instrText>
      </w:r>
      <w:r>
        <w:rPr>
          <w:color w:val="auto"/>
          <w:highlight w:val="none"/>
        </w:rPr>
        <w:fldChar w:fldCharType="separate"/>
      </w:r>
      <w:r>
        <w:rPr>
          <w:rFonts w:hint="eastAsia" w:ascii="宋体" w:hAnsi="宋体" w:eastAsia="宋体" w:cs="宋体"/>
          <w:color w:val="auto"/>
          <w:sz w:val="24"/>
          <w:szCs w:val="24"/>
          <w:highlight w:val="none"/>
          <w:lang w:eastAsia="zh-CN"/>
        </w:rPr>
        <w:t>1.1.4.1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开始勘察设计通知：指发包人按第6.1款通知设计人开始勘察设计的函件。</w:t>
      </w:r>
    </w:p>
    <w:p w14:paraId="0E85385B">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"file:///F:\\2025年项目\\预招标\\机场路\\新建文件夹\\1.1.4.2" </w:instrText>
      </w:r>
      <w:r>
        <w:rPr>
          <w:color w:val="auto"/>
          <w:highlight w:val="none"/>
        </w:rPr>
        <w:fldChar w:fldCharType="separate"/>
      </w:r>
      <w:r>
        <w:rPr>
          <w:rFonts w:hint="eastAsia" w:ascii="宋体" w:hAnsi="宋体" w:eastAsia="宋体" w:cs="宋体"/>
          <w:color w:val="auto"/>
          <w:sz w:val="24"/>
          <w:szCs w:val="24"/>
          <w:highlight w:val="none"/>
          <w:lang w:eastAsia="zh-CN"/>
        </w:rPr>
        <w:t>1.1.4.2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开始勘察设计日期：指发包人按第6.1款发出的开始勘察设计通知中写明的开始勘察设计日期。</w:t>
      </w:r>
    </w:p>
    <w:p w14:paraId="24816FCE">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"file:///F:\\2025年项目\\预招标\\机场路\\新建文件夹\\1.1.4.3" </w:instrText>
      </w:r>
      <w:r>
        <w:rPr>
          <w:color w:val="auto"/>
          <w:highlight w:val="none"/>
        </w:rPr>
        <w:fldChar w:fldCharType="separate"/>
      </w:r>
      <w:r>
        <w:rPr>
          <w:rFonts w:hint="eastAsia" w:ascii="宋体" w:hAnsi="宋体" w:eastAsia="宋体" w:cs="宋体"/>
          <w:color w:val="auto"/>
          <w:sz w:val="24"/>
          <w:szCs w:val="24"/>
          <w:highlight w:val="none"/>
          <w:lang w:eastAsia="zh-CN"/>
        </w:rPr>
        <w:t>1.1.4.3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勘察设计服务期限：指设计人在投标函中承诺的完成合同勘察设计服务所需的期限，包括按第6.2款、第6.4款、第6.5款和第6.7款约定所作的调整。</w:t>
      </w:r>
    </w:p>
    <w:p w14:paraId="55468E8C">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"file:///F:\\2025年项目\\预招标\\机场路\\新建文件夹\\1.1.4.4" </w:instrText>
      </w:r>
      <w:r>
        <w:rPr>
          <w:color w:val="auto"/>
          <w:highlight w:val="none"/>
        </w:rPr>
        <w:fldChar w:fldCharType="separate"/>
      </w:r>
      <w:r>
        <w:rPr>
          <w:rFonts w:hint="eastAsia" w:ascii="宋体" w:hAnsi="宋体" w:eastAsia="宋体" w:cs="宋体"/>
          <w:color w:val="auto"/>
          <w:sz w:val="24"/>
          <w:szCs w:val="24"/>
          <w:highlight w:val="none"/>
          <w:lang w:eastAsia="zh-CN"/>
        </w:rPr>
        <w:t>1.1.4.4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完成勘察设计日期：指第</w:t>
      </w:r>
      <w:r>
        <w:rPr>
          <w:color w:val="auto"/>
          <w:highlight w:val="none"/>
        </w:rPr>
        <w:fldChar w:fldCharType="begin"/>
      </w:r>
      <w:r>
        <w:rPr>
          <w:color w:val="auto"/>
          <w:highlight w:val="none"/>
          <w:lang w:eastAsia="zh-CN"/>
        </w:rPr>
        <w:instrText xml:space="preserve"> HYPERLINK "file:///F:\\2025年项目\\预招标\\机场路\\新建文件夹\\1.1.4.3" </w:instrText>
      </w:r>
      <w:r>
        <w:rPr>
          <w:color w:val="auto"/>
          <w:highlight w:val="none"/>
        </w:rPr>
        <w:fldChar w:fldCharType="separate"/>
      </w:r>
      <w:r>
        <w:rPr>
          <w:rFonts w:hint="eastAsia" w:ascii="宋体" w:hAnsi="宋体" w:eastAsia="宋体" w:cs="宋体"/>
          <w:color w:val="auto"/>
          <w:sz w:val="24"/>
          <w:szCs w:val="24"/>
          <w:highlight w:val="none"/>
          <w:lang w:eastAsia="zh-CN"/>
        </w:rPr>
        <w:t>1.1.4.3</w:t>
      </w:r>
      <w:r>
        <w:rPr>
          <w:rFonts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目约定勘察设计服务期限届满时的日期。</w:t>
      </w:r>
    </w:p>
    <w:p w14:paraId="6EB26FF8">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"file:///F:\\2025年项目\\预招标\\机场路\\新建文件夹\\1.1.4.5" </w:instrText>
      </w:r>
      <w:r>
        <w:rPr>
          <w:color w:val="auto"/>
          <w:highlight w:val="none"/>
        </w:rPr>
        <w:fldChar w:fldCharType="separate"/>
      </w:r>
      <w:r>
        <w:rPr>
          <w:rFonts w:hint="eastAsia" w:ascii="宋体" w:hAnsi="宋体" w:eastAsia="宋体" w:cs="宋体"/>
          <w:color w:val="auto"/>
          <w:sz w:val="24"/>
          <w:szCs w:val="24"/>
          <w:highlight w:val="none"/>
          <w:lang w:eastAsia="zh-CN"/>
        </w:rPr>
        <w:t>1.1.4.5</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基准日：指投标截止时间前28天的日期。</w:t>
      </w:r>
    </w:p>
    <w:p w14:paraId="464281EE">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"file:///F:\\2025年项目\\预招标\\机场路\\新建文件夹\\1.1.4.6" </w:instrText>
      </w:r>
      <w:r>
        <w:rPr>
          <w:color w:val="auto"/>
          <w:highlight w:val="none"/>
        </w:rPr>
        <w:fldChar w:fldCharType="separate"/>
      </w:r>
      <w:r>
        <w:rPr>
          <w:rFonts w:hint="eastAsia" w:ascii="宋体" w:hAnsi="宋体" w:eastAsia="宋体" w:cs="宋体"/>
          <w:color w:val="auto"/>
          <w:sz w:val="24"/>
          <w:szCs w:val="24"/>
          <w:highlight w:val="none"/>
          <w:lang w:eastAsia="zh-CN"/>
        </w:rPr>
        <w:t>1.1.4.6</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天：除特别指明外，指日历天。合同中按天计算时间的，开始当天不计入，从次日开始计算。期限最后一天的截止时间为当天24:00。</w:t>
      </w:r>
    </w:p>
    <w:p w14:paraId="5475CFC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1.1.5 合同价格和费用</w:t>
      </w:r>
    </w:p>
    <w:p w14:paraId="4EF52F55">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"file:///F:\\2025年项目\\预招标\\机场路\\新建文件夹\\1.1.5.1" </w:instrText>
      </w:r>
      <w:r>
        <w:rPr>
          <w:color w:val="auto"/>
          <w:highlight w:val="none"/>
        </w:rPr>
        <w:fldChar w:fldCharType="separate"/>
      </w:r>
      <w:r>
        <w:rPr>
          <w:rFonts w:hint="eastAsia" w:ascii="宋体" w:hAnsi="宋体" w:eastAsia="宋体" w:cs="宋体"/>
          <w:color w:val="auto"/>
          <w:sz w:val="24"/>
          <w:szCs w:val="24"/>
          <w:highlight w:val="none"/>
          <w:lang w:eastAsia="zh-CN"/>
        </w:rPr>
        <w:t>1.1.5.1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签约合同价：指签订合同时合同协议书中写明的、包括暂列金额在内的勘察设计费用总金额。</w:t>
      </w:r>
    </w:p>
    <w:p w14:paraId="5B764E9D">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"file:///F:\\2025年项目\\预招标\\机场路\\新建文件夹\\1.1.5.2" </w:instrText>
      </w:r>
      <w:r>
        <w:rPr>
          <w:color w:val="auto"/>
          <w:highlight w:val="none"/>
        </w:rPr>
        <w:fldChar w:fldCharType="separate"/>
      </w:r>
      <w:r>
        <w:rPr>
          <w:rFonts w:hint="eastAsia" w:ascii="宋体" w:hAnsi="宋体" w:eastAsia="宋体" w:cs="宋体"/>
          <w:color w:val="auto"/>
          <w:sz w:val="24"/>
          <w:szCs w:val="24"/>
          <w:highlight w:val="none"/>
          <w:lang w:eastAsia="zh-CN"/>
        </w:rPr>
        <w:t>1.1.5.2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合同价格：指设计人按合同约定完成了全部勘察设计工作后，发包人应付给设计人的金额，包括在履行合同过程中按合同约定进行的变更和调整。</w:t>
      </w:r>
    </w:p>
    <w:p w14:paraId="6A48A788">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"file:///F:\\2025年项目\\预招标\\机场路\\新建文件夹\\1.1.5.3" </w:instrText>
      </w:r>
      <w:r>
        <w:rPr>
          <w:color w:val="auto"/>
          <w:highlight w:val="none"/>
        </w:rPr>
        <w:fldChar w:fldCharType="separate"/>
      </w:r>
      <w:r>
        <w:rPr>
          <w:rFonts w:hint="eastAsia" w:ascii="宋体" w:hAnsi="宋体" w:eastAsia="宋体" w:cs="宋体"/>
          <w:color w:val="auto"/>
          <w:sz w:val="24"/>
          <w:szCs w:val="24"/>
          <w:highlight w:val="none"/>
          <w:lang w:eastAsia="zh-CN"/>
        </w:rPr>
        <w:t>1.1.5.3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费用：指为履行合同所发生的或将要发生的所有合理开支，包括管理费和应分摊的其他费用，但不包括利润。</w:t>
      </w:r>
    </w:p>
    <w:p w14:paraId="76CC2273">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"file:///F:\\2025年项目\\预招标\\机场路\\新建文件夹\\1.1.5.4" </w:instrText>
      </w:r>
      <w:r>
        <w:rPr>
          <w:color w:val="auto"/>
          <w:highlight w:val="none"/>
        </w:rPr>
        <w:fldChar w:fldCharType="separate"/>
      </w:r>
      <w:r>
        <w:rPr>
          <w:rFonts w:hint="eastAsia" w:ascii="宋体" w:hAnsi="宋体" w:eastAsia="宋体" w:cs="宋体"/>
          <w:color w:val="auto"/>
          <w:sz w:val="24"/>
          <w:szCs w:val="24"/>
          <w:highlight w:val="none"/>
          <w:lang w:eastAsia="zh-CN"/>
        </w:rPr>
        <w:t>1.1.5.4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暂列金额：指暂时未定的，包括在合同中，并在报价清单汇总表中以此名称标明的金额，用于进行本工程可能发生的额外勘察设计工作或作为不可预见费用，按照合同条款第12.5款的规定使用。</w:t>
      </w:r>
    </w:p>
    <w:p w14:paraId="1E75732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1.1.6 其他</w:t>
      </w:r>
    </w:p>
    <w:p w14:paraId="75EF6AB8">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"file:///F:\\2025年项目\\预招标\\机场路\\新建文件夹\\1.1.6.1" </w:instrText>
      </w:r>
      <w:r>
        <w:rPr>
          <w:color w:val="auto"/>
          <w:highlight w:val="none"/>
        </w:rPr>
        <w:fldChar w:fldCharType="separate"/>
      </w:r>
      <w:r>
        <w:rPr>
          <w:rFonts w:hint="eastAsia" w:ascii="宋体" w:hAnsi="宋体" w:eastAsia="宋体" w:cs="宋体"/>
          <w:color w:val="auto"/>
          <w:sz w:val="24"/>
          <w:szCs w:val="24"/>
          <w:highlight w:val="none"/>
          <w:lang w:eastAsia="zh-CN"/>
        </w:rPr>
        <w:t>1.1.6.1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书面形式：指合同文件、信件和数据电文（包括电报、电传、传真、电子数据交换和电子邮件）等可以有形地表现所载内容的形式。</w:t>
      </w:r>
    </w:p>
    <w:p w14:paraId="40795B8B">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"file:///F:\\2025年项目\\预招标\\机场路\\新建文件夹\\1.1.6.2" </w:instrText>
      </w:r>
      <w:r>
        <w:rPr>
          <w:color w:val="auto"/>
          <w:highlight w:val="none"/>
        </w:rPr>
        <w:fldChar w:fldCharType="separate"/>
      </w:r>
      <w:r>
        <w:rPr>
          <w:rFonts w:hint="eastAsia" w:ascii="宋体" w:hAnsi="宋体" w:eastAsia="宋体" w:cs="宋体"/>
          <w:color w:val="auto"/>
          <w:sz w:val="24"/>
          <w:szCs w:val="24"/>
          <w:highlight w:val="none"/>
          <w:lang w:eastAsia="zh-CN"/>
        </w:rPr>
        <w:t>1.1.6.2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勘察设计质量事故：指在缺陷责任期结束前，由于勘察设计原因使工程不满足技术标准及设计要求，并造成结构损毁或一定直接经济损失的事故。</w:t>
      </w:r>
    </w:p>
    <w:p w14:paraId="7C3D310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直接经济损失或工程结构损毁情况（自然灾害所致除外），勘察设计质量事故分为特别重大质量事故、重大质量事故、较大质量事故和一般质量事故四个等级，上述质量事故的界定按交通运输部《公路水运建设工程质量事故等级划分和报告制度》规定执行。</w:t>
      </w:r>
    </w:p>
    <w:p w14:paraId="6D1A2E39">
      <w:pPr>
        <w:kinsoku/>
        <w:spacing w:before="3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 语言文字</w:t>
      </w:r>
    </w:p>
    <w:p w14:paraId="1B320B0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合同使用的语言文字为中文。专用术语使用外文的，应附有中文注释。</w:t>
      </w:r>
    </w:p>
    <w:p w14:paraId="06E0331B">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1.3 适用法律</w:t>
      </w:r>
    </w:p>
    <w:p w14:paraId="4B956D5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适用于合同的法律包括中华人民共和国法律、行政法规、部门规章，以及工程所在地的地方法规、自治条例、单行条例和地方政府规章。</w:t>
      </w:r>
    </w:p>
    <w:p w14:paraId="2B74AA0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本合同适用的其他规范性文件，可在专用合同条款中约定。</w:t>
      </w:r>
    </w:p>
    <w:p w14:paraId="094F16C6">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1.4 合同文件的优先顺序</w:t>
      </w:r>
    </w:p>
    <w:p w14:paraId="25C036E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组成合同的各项文件应互相解释，互为说明。除专用合同条款另有约定外，解释合同文件的优先顺序如下：</w:t>
      </w:r>
    </w:p>
    <w:p w14:paraId="142D9D9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（1）合同协议书及各种合同附件（含评标期间和合同谈判过程中的澄清文件和补充资料；设计人提交的经发包人审核通过的勘察设计详细工作大纲及进度计划、专题研究详细工作大纲等）；</w:t>
      </w:r>
    </w:p>
    <w:p w14:paraId="436EDD4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（2）中标通知书；</w:t>
      </w:r>
    </w:p>
    <w:p w14:paraId="7350511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（3）投标函；</w:t>
      </w:r>
    </w:p>
    <w:p w14:paraId="6B9CB59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（4）专用合同条款；</w:t>
      </w:r>
    </w:p>
    <w:p w14:paraId="1D8116D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（5）通用合同条款；</w:t>
      </w:r>
    </w:p>
    <w:p w14:paraId="360D449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（6）发包人要求；</w:t>
      </w:r>
    </w:p>
    <w:p w14:paraId="1C72601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（7）勘察设计费用清单；</w:t>
      </w:r>
    </w:p>
    <w:p w14:paraId="6634416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（8）设计人有关人员投入的承诺；</w:t>
      </w:r>
    </w:p>
    <w:p w14:paraId="50E01FF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（9）其他合同文件。</w:t>
      </w:r>
    </w:p>
    <w:p w14:paraId="7DC38AB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合同当事人针对各类合同文件所作出的补充和修改亦属于合同文件的组成部分，属于同一类内容的文件，应以最新签署的为准。</w:t>
      </w:r>
    </w:p>
    <w:p w14:paraId="220FF8D3">
      <w:pPr>
        <w:kinsoku/>
        <w:spacing w:before="3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1.5 合同协议书</w:t>
      </w:r>
    </w:p>
    <w:p w14:paraId="34B8370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设计人按中标通知书规定的时间与发包人签订合同协议书。除法律另有规定或合同另有约定外，发包人和设计人的法定代表人或其委托代理人在合同协议书上签字并盖单位章后，合同生效。</w:t>
      </w:r>
    </w:p>
    <w:p w14:paraId="023BD0E6">
      <w:pPr>
        <w:kinsoku/>
        <w:spacing w:before="36"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1.6 文件的提供和照管</w:t>
      </w:r>
    </w:p>
    <w:p w14:paraId="5CEB4B3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1.6.1 勘察设计文件的提供</w:t>
      </w:r>
    </w:p>
    <w:p w14:paraId="0B8E2CA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除专用合同条款另有约定外，设计人应在合理的期限内按照合同约定的数量向发包人提供勘察设计文件。合同约定勘察设计文件应经发包人批复的，发包人应在合同约定的期限内批复或提出修改意见。</w:t>
      </w:r>
    </w:p>
    <w:p w14:paraId="1D7B711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1.6.2 发包人提供的文件</w:t>
      </w:r>
    </w:p>
    <w:p w14:paraId="0864389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按专用合同条款约定由发包人提供的文件，包括基础资料、勘察设计任务书等，发包人应按约定的数量和期限交给设计人。由于发包人未按时提供文件造成勘察设计服务期限延误的，按第6.2款约定执行。</w:t>
      </w:r>
    </w:p>
    <w:p w14:paraId="3A7C2F0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1.6.3 文件错误的通知</w:t>
      </w:r>
    </w:p>
    <w:p w14:paraId="1CFA474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任何一方当事人发现文件中存在的明显错误或疏忽，均应及时通知对方当事人，并应立即采取适当的措施防止损失扩大。</w:t>
      </w:r>
    </w:p>
    <w:p w14:paraId="0709F456">
      <w:pPr>
        <w:kinsoku/>
        <w:spacing w:before="3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1.7 联络</w:t>
      </w:r>
    </w:p>
    <w:p w14:paraId="4111D71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1.7.1 与合同有关的通知、批准、证明、证书、指示、要求、请求、同意、意见、确定和决定等，均应采用书面形式。</w:t>
      </w:r>
    </w:p>
    <w:p w14:paraId="3BA9550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1.7.2 上述通知、批准、证明、证书、指示、要求、请求、同意、意见、确定和决定等来往函件，均应在合同约定的期限内送达指定的地点和指定的接收人，并办理签收手续。</w:t>
      </w:r>
    </w:p>
    <w:p w14:paraId="4A4FD76F">
      <w:pPr>
        <w:kinsoku/>
        <w:spacing w:before="19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1.8 转让</w:t>
      </w:r>
    </w:p>
    <w:p w14:paraId="39BDB96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除专用合同条款另有约定外，未经对方当事人同意，一方当事人不得将合同权利全部或部分转让给第三人，也不得全部或部分转移合同义务。</w:t>
      </w:r>
    </w:p>
    <w:p w14:paraId="6B1CECA9">
      <w:pPr>
        <w:kinsoku/>
        <w:spacing w:before="3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1.9 严禁贿赂</w:t>
      </w:r>
    </w:p>
    <w:p w14:paraId="77DCB0F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合同双方当事人不得以贿赂或变相贿赂的方式，谋取不当利益或损害对方权益。因贿赂造成对方当事人损失的，行为人应赔偿损失，并承担相应的法律责任。</w:t>
      </w:r>
    </w:p>
    <w:p w14:paraId="5AF1F6C8">
      <w:pPr>
        <w:kinsoku/>
        <w:spacing w:before="3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1.10 知识产权</w:t>
      </w:r>
    </w:p>
    <w:p w14:paraId="7841151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1.10.1 除专用合同条款另有约定外，设计人因受发包人委托进行的本项目勘察设计及专题研究而产生的成果均为双方所共同享有，其中任何一方向第三方转让时须经另一方同意，但若发包人因推进本项目的需要向第三者透露研究成果，则无须经过设计人的同意。</w:t>
      </w:r>
    </w:p>
    <w:p w14:paraId="22B9BEC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1.10.2 设计人在从事勘察设计活动时，不得侵犯他人的知识产权。因侵犯专利权或其他知识产权所引起的责任，由设计人自行承担。因发包人提供的勘察设计资料导致侵权的，由发包人承担责任。</w:t>
      </w:r>
    </w:p>
    <w:p w14:paraId="26F031C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1.10.3 设计人在投标文件中采用专利技术、专有技术的，相应的使用费视为已包含在投标报价之中。</w:t>
      </w:r>
    </w:p>
    <w:p w14:paraId="7BFB6A90">
      <w:pPr>
        <w:kinsoku/>
        <w:spacing w:before="196"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1.11 文件及信息的保密</w:t>
      </w:r>
    </w:p>
    <w:p w14:paraId="17BEA1B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未经对方同意，任何一方当事人不得将有关文件、技术秘密、需要保密的资料和信息泄露给他人或公开发表与引用。</w:t>
      </w:r>
    </w:p>
    <w:p w14:paraId="18FE8EDC">
      <w:pPr>
        <w:kinsoku/>
        <w:spacing w:before="35" w:line="286" w:lineRule="auto"/>
        <w:ind w:left="526"/>
        <w:rPr>
          <w:rFonts w:ascii="宋体" w:hAnsi="宋体" w:eastAsia="宋体" w:cs="宋体"/>
          <w:color w:val="auto"/>
          <w:highlight w:val="none"/>
          <w:lang w:eastAsia="zh-CN"/>
        </w:rPr>
      </w:pPr>
      <w:r>
        <w:rPr>
          <w:rFonts w:hint="eastAsia" w:ascii="宋体" w:hAnsi="宋体" w:eastAsia="宋体" w:cs="宋体"/>
          <w:b/>
          <w:bCs/>
          <w:color w:val="auto"/>
          <w:sz w:val="24"/>
          <w:szCs w:val="24"/>
          <w:highlight w:val="none"/>
          <w:lang w:eastAsia="zh-CN"/>
        </w:rPr>
        <w:t>1.12 发包人要求</w:t>
      </w:r>
    </w:p>
    <w:p w14:paraId="18636B9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1.12.1 设计人应认真阅读、复核发包人要求，发现错误的，应及时书面通知发包人。无论是否存在错误，发包人均有权修改发包人要求，并在修改后3天内通知设计人。除专用合同条款另有约定外，由此导致设计人费用增加和（或）周期延误的，发包人应当相应地增加费用和（或）延长周期。</w:t>
      </w:r>
    </w:p>
    <w:p w14:paraId="3FF460F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1.12.2 如果发包人要求违反法律规定，设计人应在发现后及时书面通知发包人，要求其改正。发包人收到通知书后不予改正或不予答复的，设计人有权拒绝履行合同义务，直至解除合同；由此引起的设计人的全部损失由发包人承担。</w:t>
      </w:r>
    </w:p>
    <w:p w14:paraId="1A6605D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1.12.3 发包人要求采用国外规范和标准进行勘察设计时，应由发包人负责提供该规范和标准的外国文本和中文译本，提供的时间、份数和其他要求在专用合同条款中约定。</w:t>
      </w:r>
    </w:p>
    <w:p w14:paraId="2B10DC90">
      <w:pPr>
        <w:kinsoku/>
        <w:spacing w:before="193"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1.13 避免利益冲突</w:t>
      </w:r>
    </w:p>
    <w:p w14:paraId="14C619F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除专用合同条款另有约定外，设计人及其雇员不应接受本合同规定以外的与本工程有关的利益和报酬；设计人不得参与与发包人的利益相冲突的任何活动。</w:t>
      </w:r>
    </w:p>
    <w:p w14:paraId="28624F01">
      <w:pPr>
        <w:kinsoku/>
        <w:spacing w:before="135" w:line="286" w:lineRule="auto"/>
        <w:ind w:left="35"/>
        <w:rPr>
          <w:rFonts w:ascii="宋体" w:hAnsi="宋体" w:eastAsia="宋体" w:cs="宋体"/>
          <w:color w:val="auto"/>
          <w:sz w:val="28"/>
          <w:szCs w:val="28"/>
          <w:highlight w:val="none"/>
          <w:lang w:eastAsia="zh-CN"/>
        </w:rPr>
      </w:pPr>
      <w:bookmarkStart w:id="296" w:name="bookmark220"/>
      <w:bookmarkEnd w:id="296"/>
      <w:bookmarkStart w:id="297" w:name="bookmark221"/>
      <w:bookmarkEnd w:id="297"/>
      <w:r>
        <w:rPr>
          <w:rFonts w:hint="eastAsia" w:ascii="宋体" w:hAnsi="宋体" w:eastAsia="宋体" w:cs="宋体"/>
          <w:b/>
          <w:bCs/>
          <w:color w:val="auto"/>
          <w:sz w:val="28"/>
          <w:szCs w:val="28"/>
          <w:highlight w:val="none"/>
          <w:lang w:eastAsia="zh-CN"/>
        </w:rPr>
        <w:t>2.发包人义务</w:t>
      </w:r>
    </w:p>
    <w:p w14:paraId="5047DFE4">
      <w:pPr>
        <w:kinsoku/>
        <w:spacing w:before="78" w:line="286" w:lineRule="auto"/>
        <w:ind w:left="51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2.1 遵守法律</w:t>
      </w:r>
    </w:p>
    <w:p w14:paraId="42AD76C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发包人在履行合同过程中应遵守法律，并保证设计人免于承担因发包人违反法律而引起的任何责任。</w:t>
      </w:r>
    </w:p>
    <w:p w14:paraId="6C47C3E9">
      <w:pPr>
        <w:kinsoku/>
        <w:spacing w:before="34" w:line="286" w:lineRule="auto"/>
        <w:ind w:left="51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2.2 发出开始勘察设计通知</w:t>
      </w:r>
    </w:p>
    <w:p w14:paraId="52A2AB1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发包人应按第6.1款的约定向设计人发出开始勘察设计通知。</w:t>
      </w:r>
    </w:p>
    <w:p w14:paraId="47725D0A">
      <w:pPr>
        <w:kinsoku/>
        <w:spacing w:before="194" w:line="286" w:lineRule="auto"/>
        <w:ind w:left="51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2.3 办理证件和批件</w:t>
      </w:r>
    </w:p>
    <w:p w14:paraId="094E492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法律规定和（或）合同约定由发包人负责办理的工程建设项目必须履行的各类审批、核准或备案手续，发包人应按时办理，设计人应给予必要的协助。</w:t>
      </w:r>
    </w:p>
    <w:p w14:paraId="2CC0C5B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法律规定和（或）合同约定由设计人负责办理的勘察设计所需的证件和批件，发包人应给予必要的协助。</w:t>
      </w:r>
    </w:p>
    <w:p w14:paraId="728C62A2">
      <w:pPr>
        <w:kinsoku/>
        <w:spacing w:before="34" w:line="286" w:lineRule="auto"/>
        <w:ind w:left="51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2.4 支付合同价款</w:t>
      </w:r>
    </w:p>
    <w:p w14:paraId="20462B3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发包人应按合同约定向设计人及时支付合同价款。</w:t>
      </w:r>
    </w:p>
    <w:p w14:paraId="7CCAA857">
      <w:pPr>
        <w:kinsoku/>
        <w:spacing w:before="196" w:line="286" w:lineRule="auto"/>
        <w:ind w:left="516"/>
        <w:rPr>
          <w:rFonts w:ascii="宋体" w:hAnsi="宋体" w:eastAsia="宋体" w:cs="宋体"/>
          <w:color w:val="auto"/>
          <w:highlight w:val="none"/>
          <w:lang w:eastAsia="zh-CN"/>
        </w:rPr>
      </w:pPr>
      <w:r>
        <w:rPr>
          <w:rFonts w:hint="eastAsia" w:ascii="宋体" w:hAnsi="宋体" w:eastAsia="宋体" w:cs="宋体"/>
          <w:b/>
          <w:bCs/>
          <w:color w:val="auto"/>
          <w:sz w:val="24"/>
          <w:szCs w:val="24"/>
          <w:highlight w:val="none"/>
          <w:lang w:eastAsia="zh-CN"/>
        </w:rPr>
        <w:t>2.5 提供勘察设计资料</w:t>
      </w:r>
    </w:p>
    <w:p w14:paraId="705F27B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发包人应按第1.6.2项的约定向设计人提供勘察设计资料。</w:t>
      </w:r>
    </w:p>
    <w:p w14:paraId="1A819CC3">
      <w:pPr>
        <w:kinsoku/>
        <w:spacing w:before="194" w:line="286" w:lineRule="auto"/>
        <w:ind w:left="51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2.6 其他义务</w:t>
      </w:r>
    </w:p>
    <w:p w14:paraId="72537EC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2.6.1 发包人应严格履行基本建设程序，根据本工程的具体情况和技术要求，确定合理的勘察设计工作量及合理的勘察设计服务期限。</w:t>
      </w:r>
    </w:p>
    <w:p w14:paraId="1219D58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2.6.2 发包人应组织专家或委托咨询单位对勘察设计文件和为了满足勘察设计需要而进行的各种研究试验成果进行审查，并负责设计文件的报审工作，向设计人提供上级主管部门对设计文件进行审查后的批复意见。对设计人在贯彻落实审查意见时提出的有关问题应及时认真予以解答，但并不免除设计人根据本合同规定应负的责任。</w:t>
      </w:r>
    </w:p>
    <w:p w14:paraId="0D3638A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2.6.3 发包人不应向设计人提出不符合工程安全生产法律、法规和工程建设强制性标准规定的要求。</w:t>
      </w:r>
    </w:p>
    <w:p w14:paraId="41964E1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2.6.4 由于执行发包人的书面指令而造成的勘察设计质量事故应由发包人承担责任。</w:t>
      </w:r>
    </w:p>
    <w:p w14:paraId="283E0E3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2.6.5 发包人应履行专用合同条款约定的其他义务。</w:t>
      </w:r>
    </w:p>
    <w:p w14:paraId="7F098390">
      <w:pPr>
        <w:kinsoku/>
        <w:spacing w:before="296" w:line="286" w:lineRule="auto"/>
        <w:ind w:left="33"/>
        <w:rPr>
          <w:rFonts w:ascii="宋体" w:hAnsi="宋体" w:eastAsia="宋体" w:cs="宋体"/>
          <w:color w:val="auto"/>
          <w:sz w:val="28"/>
          <w:szCs w:val="28"/>
          <w:highlight w:val="none"/>
          <w:lang w:eastAsia="zh-CN"/>
        </w:rPr>
      </w:pPr>
      <w:bookmarkStart w:id="298" w:name="bookmark222"/>
      <w:bookmarkEnd w:id="298"/>
      <w:bookmarkStart w:id="299" w:name="bookmark223"/>
      <w:bookmarkEnd w:id="299"/>
      <w:r>
        <w:rPr>
          <w:rFonts w:hint="eastAsia" w:ascii="宋体" w:hAnsi="宋体" w:eastAsia="宋体" w:cs="宋体"/>
          <w:b/>
          <w:bCs/>
          <w:color w:val="auto"/>
          <w:sz w:val="28"/>
          <w:szCs w:val="28"/>
          <w:highlight w:val="none"/>
          <w:lang w:eastAsia="zh-CN"/>
        </w:rPr>
        <w:t>3.发包人管理</w:t>
      </w:r>
    </w:p>
    <w:p w14:paraId="3056C7A9">
      <w:pPr>
        <w:kinsoku/>
        <w:spacing w:before="78"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3.1 发包人代表</w:t>
      </w:r>
    </w:p>
    <w:p w14:paraId="4F14EB3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3.1.1 除专用合同条款另有约定外，发包人应在合同签订后14天内，将发包人代表的姓名、职务、联系方式、授权范围和授权期限书面通知设计人，由发包人代表在其授权范围和授权期限内，代表发包人行使权利、履行义务和处理合同履行中的具体事宜。发包人代表在授权范围内的行为由发包人承担法律责任。</w:t>
      </w:r>
    </w:p>
    <w:p w14:paraId="2666D4C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3.1.2 发包人代表违反法律法规、违背职业道德守则或不按合同约定履行职责及义务，导致合同无法继续正常履行的，设计人有权通知发包人更换发包人代表。发包人收到通知后7天内，应核实完毕并将处理结果通知设计人。</w:t>
      </w:r>
    </w:p>
    <w:p w14:paraId="51B7FF2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3.1.3 发包人更换发包人代表的，应提前14天将更换人员的姓名、职务、联系方式、授权范围和授权期限书面通知设计人。</w:t>
      </w:r>
    </w:p>
    <w:p w14:paraId="447D5C9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3.1.4 发包人代表可以授权发包人的其他人员负责执行其指派的一项或多项工作。发包人代表应将被授权人员的姓名及其授权范围通知设计人。被授权人员在授权范围内发出的指示视为已得到发包人代表的同意，与发包人代表发出的指示具有同等效力。</w:t>
      </w:r>
    </w:p>
    <w:p w14:paraId="24F0C793">
      <w:pPr>
        <w:kinsoku/>
        <w:spacing w:before="35"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3.2 监理人</w:t>
      </w:r>
    </w:p>
    <w:p w14:paraId="5CA6931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3.2.1 发包人可以根据工程建设需要确定是否委托监理人进行勘察设计监理。如果委托监理，则监理人享有合同约定的权力，其所发出的任何指示应视为已得到发包人的批准。监理人的监理范围、职责权限和总监理工程师信息，应在专用合同条款中指明。未经发包人批准，监理人无权修改合同。</w:t>
      </w:r>
    </w:p>
    <w:p w14:paraId="290A40A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3.2.2 合同约定应由设计人承担的义务和责任，不因监理人对设计文件的审查或批准，以及为实施监理作出的指示等职务行为而减轻或解除。</w:t>
      </w:r>
    </w:p>
    <w:p w14:paraId="5FEA6277">
      <w:pPr>
        <w:kinsoku/>
        <w:spacing w:before="194"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3.3 发包人的指示</w:t>
      </w:r>
    </w:p>
    <w:p w14:paraId="3B23CF3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3.3.1 发包人应按合同约定向设计人发出指示，发包人的指示应盖有发包人单位章，并由发包人代表签字确认。</w:t>
      </w:r>
    </w:p>
    <w:p w14:paraId="71ED20D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3.3.2 设计人收到发包人作出的指示后应遵照执行。指示构成变更的，应按第11条执行。</w:t>
      </w:r>
    </w:p>
    <w:p w14:paraId="3303A3F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3.3.3 在紧急情况下，发包人代表或其授权人员可以当场签发临时书面指示，设计人应遵照执行。发包人代表应在临时书面指示发出后24小时内发出书面确认函，逾期未发出书面确认函的，该临时书面指示应被视为发包人的正式指示。</w:t>
      </w:r>
    </w:p>
    <w:p w14:paraId="13DA6BC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3.3.4 除专用合同条款另有约定外，设计人只从发包人代表或按第3.1.4项约定的被授权人员处取得指示。</w:t>
      </w:r>
    </w:p>
    <w:p w14:paraId="7B29D12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3.3.5 由于发包人未能按合同约定发出指示、指示延误或指示错误而导致设计人费用增加和（或）周期延误的，发包人应承担由此增加的费用和（或）周期延误。</w:t>
      </w:r>
    </w:p>
    <w:p w14:paraId="0F39F86F">
      <w:pPr>
        <w:kinsoku/>
        <w:spacing w:before="194"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3.4 决定或答复</w:t>
      </w:r>
    </w:p>
    <w:p w14:paraId="3C259D6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3.4.1 发包人在法律允许的范围内有权对设计人的勘察设计工作和（或）勘察设计文件作出处理决定，设计人应按照发包人的决定执行，涉及勘察设计服务期限或勘察设计费用等问题按第11条的约定处理。</w:t>
      </w:r>
    </w:p>
    <w:p w14:paraId="43D80F4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3.4.2 发包人应在专用合同条款约定的时间之内，对设计人书面提出的事项作出书面答复；逾期没有作出答复的，视为已获得发包人的批准。</w:t>
      </w:r>
    </w:p>
    <w:p w14:paraId="69D1C974">
      <w:pPr>
        <w:kinsoku/>
        <w:spacing w:before="91" w:line="286" w:lineRule="auto"/>
        <w:ind w:left="35"/>
        <w:rPr>
          <w:rFonts w:ascii="宋体" w:hAnsi="宋体" w:eastAsia="宋体" w:cs="宋体"/>
          <w:color w:val="auto"/>
          <w:sz w:val="28"/>
          <w:szCs w:val="28"/>
          <w:highlight w:val="none"/>
          <w:lang w:eastAsia="zh-CN"/>
        </w:rPr>
      </w:pPr>
      <w:bookmarkStart w:id="300" w:name="bookmark224"/>
      <w:bookmarkEnd w:id="300"/>
      <w:bookmarkStart w:id="301" w:name="bookmark225"/>
      <w:bookmarkEnd w:id="301"/>
      <w:r>
        <w:rPr>
          <w:rFonts w:hint="eastAsia" w:ascii="宋体" w:hAnsi="宋体" w:eastAsia="宋体" w:cs="宋体"/>
          <w:b/>
          <w:bCs/>
          <w:color w:val="auto"/>
          <w:sz w:val="28"/>
          <w:szCs w:val="28"/>
          <w:highlight w:val="none"/>
          <w:lang w:eastAsia="zh-CN"/>
        </w:rPr>
        <w:t>4.设计人义务</w:t>
      </w:r>
    </w:p>
    <w:p w14:paraId="0F6204F7">
      <w:pPr>
        <w:kinsoku/>
        <w:spacing w:before="78"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4.1 设计人的一般义务</w:t>
      </w:r>
    </w:p>
    <w:p w14:paraId="5C6649F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4.1.1 遵守法律</w:t>
      </w:r>
    </w:p>
    <w:p w14:paraId="4D64559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设计人在履行合同过程中应遵守法律，并保证发包人免于承担因设计人违反法律而引起的任何责任。</w:t>
      </w:r>
    </w:p>
    <w:p w14:paraId="17D2992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4.1.2 依法纳税</w:t>
      </w:r>
    </w:p>
    <w:p w14:paraId="38133DD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设计人应按有关法律规定纳税，应缴纳的税金（含增值税）包括在合同价格之中。</w:t>
      </w:r>
    </w:p>
    <w:p w14:paraId="23E8D98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4.1.3 完成全部勘察设计工作</w:t>
      </w:r>
    </w:p>
    <w:p w14:paraId="68A4D0D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应按合同约定以及发包人要求，完成合同约定的全部工作，并对工作中的任何缺陷进行整改、完善和修补，使其满足合同约定的目的。设计人应按合同约定提供勘察设计文件和相关服务，以及为完成勘察设计服务所需的劳务、材料、勘察设备、试验设施等，并应自行承担勘探场地临时设施的搭设、维护、管理和拆除。</w:t>
      </w:r>
    </w:p>
    <w:p w14:paraId="5DA125B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4.1.4 保证勘察作业规范、安全和环保</w:t>
      </w:r>
    </w:p>
    <w:p w14:paraId="2796FED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应按法律、规范标准和发包人要求，采取各项有效措施，确保勘察作业操作规范、安全、文明和环保，在风险性较大的环境中作业时应编制安全防护方案并制定应急预案，防止因勘察作业造成的人身伤害和财产损失。</w:t>
      </w:r>
    </w:p>
    <w:p w14:paraId="2D2E8B5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对于设计人在勘察设计过程中发生的人员伤亡或财产损失，或造成第三方的人员伤亡、财产损失，或由此而引起的其他一切损害和损失，发包人均不承担责任。</w:t>
      </w:r>
    </w:p>
    <w:p w14:paraId="6C4218F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4.1.5 避免勘探对公众与他人的利益造成损害</w:t>
      </w:r>
    </w:p>
    <w:p w14:paraId="13813B1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在进行合同约定的各项工作时，不得侵害发包人与他人使用公用道路、水源、市政管网等公共设施的权利，避免对邻近的公共设施产生干扰，保证勘探场地的周边设施、建构筑物、地下管线、架空线和其他物体的安全运行。设计人占用或使用他人的施工场地，影响他人作业或生活的，应承担相应责任。</w:t>
      </w:r>
    </w:p>
    <w:p w14:paraId="46D42D4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4.1.6 其他义务</w:t>
      </w:r>
    </w:p>
    <w:p w14:paraId="5D215431">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"file:///F:\\2025年项目\\预招标\\机场路\\新建文件夹\\4.1.6.1" </w:instrText>
      </w:r>
      <w:r>
        <w:rPr>
          <w:color w:val="auto"/>
          <w:highlight w:val="none"/>
        </w:rPr>
        <w:fldChar w:fldCharType="separate"/>
      </w:r>
      <w:r>
        <w:rPr>
          <w:rFonts w:hint="eastAsia" w:ascii="宋体" w:hAnsi="宋体" w:eastAsia="宋体" w:cs="宋体"/>
          <w:color w:val="auto"/>
          <w:sz w:val="24"/>
          <w:szCs w:val="24"/>
          <w:highlight w:val="none"/>
          <w:lang w:eastAsia="zh-CN"/>
        </w:rPr>
        <w:t>4.1.6.1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设计人对本合同工程勘察设计质量承担设计使用年限内的终身责任。</w:t>
      </w:r>
    </w:p>
    <w:p w14:paraId="2CF71750">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"file:///F:\\2025年项目\\预招标\\机场路\\新建文件夹\\4.1.6.2" </w:instrText>
      </w:r>
      <w:r>
        <w:rPr>
          <w:color w:val="auto"/>
          <w:highlight w:val="none"/>
        </w:rPr>
        <w:fldChar w:fldCharType="separate"/>
      </w:r>
      <w:r>
        <w:rPr>
          <w:rFonts w:hint="eastAsia" w:ascii="宋体" w:hAnsi="宋体" w:eastAsia="宋体" w:cs="宋体"/>
          <w:color w:val="auto"/>
          <w:sz w:val="24"/>
          <w:szCs w:val="24"/>
          <w:highlight w:val="none"/>
          <w:lang w:eastAsia="zh-CN"/>
        </w:rPr>
        <w:t>4.1.6.2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设计人应按照交通运输部《公路勘察设计工序管理执行办法》做好设计的质量管理工作，简历健全设计、复核、审核、会签和批准制度，明确各阶段的责任人，并对本合同工程的设计质量负责。</w:t>
      </w:r>
    </w:p>
    <w:p w14:paraId="67099829">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"file:///F:\\2025年项目\\预招标\\机场路\\新建文件夹\\4.1.6.3" </w:instrText>
      </w:r>
      <w:r>
        <w:rPr>
          <w:color w:val="auto"/>
          <w:highlight w:val="none"/>
        </w:rPr>
        <w:fldChar w:fldCharType="separate"/>
      </w:r>
      <w:r>
        <w:rPr>
          <w:rFonts w:hint="eastAsia" w:ascii="宋体" w:hAnsi="宋体" w:eastAsia="宋体" w:cs="宋体"/>
          <w:color w:val="auto"/>
          <w:sz w:val="24"/>
          <w:szCs w:val="24"/>
          <w:highlight w:val="none"/>
          <w:lang w:eastAsia="zh-CN"/>
        </w:rPr>
        <w:t>4.1.6.3</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在勘察设计过程中，设计人应与本项目相干扰的铁路、航道、水利、管线、电力电信及其他相关建筑设施或特殊保护区域的主管部门进行协商，获得项目相干扰部门对推荐路线的认同意见、协议、批准文件或纪要等，以确保本项目顺利 实施。</w:t>
      </w:r>
    </w:p>
    <w:p w14:paraId="40E651E7">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"file:///F:\\2025年项目\\预招标\\机场路\\新建文件夹\\4.1.6.3" </w:instrText>
      </w:r>
      <w:r>
        <w:rPr>
          <w:color w:val="auto"/>
          <w:highlight w:val="none"/>
        </w:rPr>
        <w:fldChar w:fldCharType="separate"/>
      </w:r>
      <w:r>
        <w:rPr>
          <w:rFonts w:hint="eastAsia" w:ascii="宋体" w:hAnsi="宋体" w:eastAsia="宋体" w:cs="宋体"/>
          <w:color w:val="auto"/>
          <w:sz w:val="24"/>
          <w:szCs w:val="24"/>
          <w:highlight w:val="none"/>
          <w:lang w:eastAsia="zh-CN"/>
        </w:rPr>
        <w:t>4.1.6.4</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设计人的勘察设计文件应接受发包人、咨询单位及发包人的上级主管部门的审查，凡审查意见中提出的问题，设计人应逐条给予认真贯彻落实，提交书面的反馈意见并免费修改勘察设计文件。</w:t>
      </w:r>
    </w:p>
    <w:p w14:paraId="24FE5C0B">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"file:///F:\\2025年项目\\预招标\\机场路\\新建文件夹\\4.1.6.4" </w:instrText>
      </w:r>
      <w:r>
        <w:rPr>
          <w:color w:val="auto"/>
          <w:highlight w:val="none"/>
        </w:rPr>
        <w:fldChar w:fldCharType="separate"/>
      </w:r>
      <w:r>
        <w:rPr>
          <w:rFonts w:hint="eastAsia" w:ascii="宋体" w:hAnsi="宋体" w:eastAsia="宋体" w:cs="宋体"/>
          <w:color w:val="auto"/>
          <w:sz w:val="24"/>
          <w:szCs w:val="24"/>
          <w:highlight w:val="none"/>
          <w:lang w:eastAsia="zh-CN"/>
        </w:rPr>
        <w:t>4.1.6.5</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设计人应按发包人要求的数量（符合规范要求）提供所有为完成勘察设计所必需的研究试验阶段性或成果性报告，接受发包人或上级主管部门的审查，并对相关问题作出澄清和解答。</w:t>
      </w:r>
    </w:p>
    <w:p w14:paraId="24C069DD">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"file:///F:\\2025年项目\\预招标\\机场路\\新建文件夹\\4.1.6.5" </w:instrText>
      </w:r>
      <w:r>
        <w:rPr>
          <w:color w:val="auto"/>
          <w:highlight w:val="none"/>
        </w:rPr>
        <w:fldChar w:fldCharType="separate"/>
      </w:r>
      <w:r>
        <w:rPr>
          <w:rFonts w:hint="eastAsia" w:ascii="宋体" w:hAnsi="宋体" w:eastAsia="宋体" w:cs="宋体"/>
          <w:color w:val="auto"/>
          <w:sz w:val="24"/>
          <w:szCs w:val="24"/>
          <w:highlight w:val="none"/>
          <w:lang w:eastAsia="zh-CN"/>
        </w:rPr>
        <w:t>4.1.6.6</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设计人应根据设计需要开展专题研究工作，提交相应专题研究报告，并通过发包人或上级主管部门的审查。</w:t>
      </w:r>
    </w:p>
    <w:p w14:paraId="191A031C">
      <w:pPr>
        <w:kinsoku/>
        <w:spacing w:before="113" w:line="286" w:lineRule="auto"/>
        <w:ind w:left="37" w:right="204" w:firstLine="481"/>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"file:///F:\\2025年项目\\预招标\\机场路\\新建文件夹\\4.1.6.6" </w:instrText>
      </w:r>
      <w:r>
        <w:rPr>
          <w:color w:val="auto"/>
          <w:highlight w:val="none"/>
        </w:rPr>
        <w:fldChar w:fldCharType="separate"/>
      </w:r>
      <w:r>
        <w:rPr>
          <w:rFonts w:hint="eastAsia" w:ascii="宋体" w:hAnsi="宋体" w:eastAsia="宋体" w:cs="宋体"/>
          <w:color w:val="auto"/>
          <w:sz w:val="24"/>
          <w:szCs w:val="24"/>
          <w:highlight w:val="none"/>
          <w:lang w:eastAsia="zh-CN"/>
        </w:rPr>
        <w:t>4.1.6.7</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设计人应履行合同约定的其他义务。</w:t>
      </w:r>
    </w:p>
    <w:p w14:paraId="0C4EF010">
      <w:pPr>
        <w:kinsoku/>
        <w:spacing w:before="195"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4.2 履约保证金</w:t>
      </w:r>
    </w:p>
    <w:p w14:paraId="3044D46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4.2.1 除专用合同条款另有约定外，履约保证金自合同生效之日起生效，在最后一批勘察设计成果文件经上级主管部门批复且设计人按照合同约定缴纳质量保证金之日起28天后失效。如果设计人不履行合同约定的义务或其履行不符合合同的约定，发包人有权扣划相应金额的履约保证金。</w:t>
      </w:r>
    </w:p>
    <w:p w14:paraId="773B105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4.2.2 发包人应在收到设计人缴纳的质量保证金后28天内将履约保证金退还给设计人。设计人拒绝按照本合同约定缴纳质量保证金的，发包人有权从勘察设计费中扣留相应金额作为质量保证金。</w:t>
      </w:r>
    </w:p>
    <w:p w14:paraId="65EE9C9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4.2.3 发包人对履约保证金提出的任何索赔要求，均应在履约保证金有效期内提出。</w:t>
      </w:r>
    </w:p>
    <w:p w14:paraId="4E3A26C1">
      <w:pPr>
        <w:kinsoku/>
        <w:spacing w:before="190"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4.3 分包和不得转包</w:t>
      </w:r>
    </w:p>
    <w:p w14:paraId="2DB3E4A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4.3.1 设计人不得将其勘察设计的全部工作转包给第三人。</w:t>
      </w:r>
    </w:p>
    <w:p w14:paraId="4F4DF84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4.3.2 设计人不得将勘察设计的主体、关键性工作分包给第三人。除专用合同条款另有约定外，经发包人同意，设计人可将工程设计中跨专业或有特殊要求的勘察、设计工作进行分包。未列入投标文件的勘察设计工作，设计人不得分包。</w:t>
      </w:r>
    </w:p>
    <w:p w14:paraId="67F0D98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4.3.3 发包人同意设计人分包工作的，设计人应在分包合同签订之日起7天内向发包人提交1份分包合同副本，并对分包工作质量承担连带责任。除专用合同条款另有约定外，分包人的勘察设计费用由设计人向分包人自行支付。</w:t>
      </w:r>
    </w:p>
    <w:p w14:paraId="6CD20C8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4.3.4 分包人的资格能力应与其分包工作的标准和规模相适应，包括必要的企业资质、人员、设备和类似业绩等。分包人不得将分包项目再次分包或转包。</w:t>
      </w:r>
    </w:p>
    <w:p w14:paraId="64941F9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4.3.5 发包人对设计人与各分包人之间的法律和经济纠纷不承担任何责任和义务。</w:t>
      </w:r>
    </w:p>
    <w:p w14:paraId="2AB196A1">
      <w:pPr>
        <w:kinsoku/>
        <w:spacing w:before="194"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4.4 联合体</w:t>
      </w:r>
    </w:p>
    <w:p w14:paraId="1228704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4.4.1 联合体各方应共同与发包人签订合同。联合体各方应为履行合同承担连带责任。</w:t>
      </w:r>
    </w:p>
    <w:p w14:paraId="064C9B4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4.4.2 联合体协议经发包人确认后作为合同附件。在履行合同过程中，未经发包人同意，不得修改联合体协议。</w:t>
      </w:r>
    </w:p>
    <w:p w14:paraId="6D765ED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4.4.3 联合体牵头人负责与发包人联系并接受指示，负责组织联合体各成员全面履行合同。发包人就本合同工程向联合体牵头人发布的任何指令、指示、通知等均对联合体其他成员具有同等效力。</w:t>
      </w:r>
    </w:p>
    <w:p w14:paraId="373BE18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4.4.4 未经发包人同意，联合体的组成、结构与业务分工均不得变动。</w:t>
      </w:r>
    </w:p>
    <w:p w14:paraId="5CE220A4">
      <w:pPr>
        <w:kinsoku/>
        <w:spacing w:before="194"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4.5 项目负责人</w:t>
      </w:r>
    </w:p>
    <w:p w14:paraId="7B500B5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4.5.1 设计人应按合同协议书的约定指派项目负责人，并在约定的期限内到职。设计人更换项目负责人应事先征得发包人同意，并应在更换14天前将拟更换的项目负责人姓名和详细资料提交发包人，拟更换的项目负责人资历应不低于原项目负责人。项目负责人2天内不能履行职责的，应事先征得发包人同意，并委派代表代行其职责。</w:t>
      </w:r>
    </w:p>
    <w:p w14:paraId="1245185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4.5.2 项目负责人应按合同约定以及发包人要求，负责组织合同工作的实施。在情况紧急且无法与发包人取得联系时，可采取保证工程和人员生命财产安全的紧急措施，并在采取措施后24小时内向发包人提交书面报告。</w:t>
      </w:r>
    </w:p>
    <w:p w14:paraId="7DB47F2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4.5.3 设计人为履行合同发出的一切函件均应盖有设计人单位章，并由设计人的项目负责人签字确认。</w:t>
      </w:r>
    </w:p>
    <w:p w14:paraId="7237F4F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4.5.4 按照专用合同条款约定，项目负责人可以授权其下属人员履行其某项职责，但事先应将这些人员的姓名和授权范围书面通知发包人。</w:t>
      </w:r>
    </w:p>
    <w:p w14:paraId="68C31F33">
      <w:pPr>
        <w:kinsoku/>
        <w:spacing w:before="194" w:line="286" w:lineRule="auto"/>
        <w:ind w:left="517"/>
        <w:rPr>
          <w:rFonts w:ascii="宋体" w:hAnsi="宋体" w:eastAsia="宋体" w:cs="宋体"/>
          <w:color w:val="auto"/>
          <w:highlight w:val="none"/>
          <w:lang w:eastAsia="zh-CN"/>
        </w:rPr>
      </w:pPr>
      <w:r>
        <w:rPr>
          <w:rFonts w:hint="eastAsia" w:ascii="宋体" w:hAnsi="宋体" w:eastAsia="宋体" w:cs="宋体"/>
          <w:b/>
          <w:bCs/>
          <w:color w:val="auto"/>
          <w:sz w:val="24"/>
          <w:szCs w:val="24"/>
          <w:highlight w:val="none"/>
          <w:lang w:eastAsia="zh-CN"/>
        </w:rPr>
        <w:t>4.6 勘察设计人员的管理</w:t>
      </w:r>
    </w:p>
    <w:p w14:paraId="39B0711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4.6.1 设计人应在接到开始勘察设计通知之日起7天内，向发包人提交勘察设计项目机构以及人员安排的报告，其内容应包括项目机构设置、主要勘察设计人员和其他人员的名单及资格条件。主要勘察设计人员应相对稳定，更换主要勘察设计人员的，应取得发包人的同意，并向发包人提交继任人员的资格、管理经验等资料，继任人员的资历应不低于原设计人员。项目负责人的更换，应按照本章第4.5.1项规定执行。</w:t>
      </w:r>
    </w:p>
    <w:p w14:paraId="16FE3B6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4.6.2 除专用合同条款另有约定外，主要勘察设计人员包括项目负责人、专业负责人、审核人、审定人等；其他人员包括勘察作业人员、各专业的设计人员、管理人员等。</w:t>
      </w:r>
    </w:p>
    <w:p w14:paraId="530F927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4.6.3 设计人应保证其主要勘察设计人员（含分包人）在合同期限内的任何时候，都能按时参加发包人组织的工作会议。</w:t>
      </w:r>
    </w:p>
    <w:p w14:paraId="3FAED93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4.6.4 国家规定应当持证上岗的工作人员均应持有相应的资格证明，发包人有权随时检查。发包人认为有必要时，可以进行现场考核。</w:t>
      </w:r>
    </w:p>
    <w:p w14:paraId="54FB9E1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4.6.5 设计人的工作进度未达到设计人投标文件中承诺的进度计划时，发包人有权要求设计人增加勘察设计人员，设计人应立即安排，其费用视为已包含在合同价格中。</w:t>
      </w:r>
    </w:p>
    <w:p w14:paraId="6684C2DD">
      <w:pPr>
        <w:kinsoku/>
        <w:spacing w:before="194"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4.7 撤换项目负责人和其他人员</w:t>
      </w:r>
    </w:p>
    <w:p w14:paraId="65A8BD8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设计人应对其项目负责人和其他人员进行有效管理。发包人要求撤换不能胜任本职工作、行为不端或玩忽职守的项目负责人和其他人员的，设计人应予以撤换。</w:t>
      </w:r>
    </w:p>
    <w:p w14:paraId="7B6B6BDE">
      <w:pPr>
        <w:kinsoku/>
        <w:spacing w:before="36"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4.8 保障人员的合法权益</w:t>
      </w:r>
    </w:p>
    <w:p w14:paraId="6A2AF5C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4.8.1 设计人应与其雇用的人员签订劳动合同，并按时发放工资。</w:t>
      </w:r>
    </w:p>
    <w:p w14:paraId="2531416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4.8.2 设计人应按劳动法的规定安排工作时间，保证其雇用人员享有休息和休假的权利。因勘察设计需要占用休假日或延长工作时间的，应不超过法律规定的限度，并按法律规定给予补休或付酬。</w:t>
      </w:r>
    </w:p>
    <w:p w14:paraId="0BF604A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4.8.3 设计人应为其现场人员提供必要的食宿条件，以及符合环境保护和卫生要求的生活环境，在远离城镇的勘探场地，还应配备必要的伤病防治和急救设施。</w:t>
      </w:r>
    </w:p>
    <w:p w14:paraId="1753998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4.8.4 设计人应按国家有关劳动保护的规定，采取有效的防止粉尘、降低噪声、控制有害气体和保障高温、高寒、高空作业安全等劳动保护措施。其雇用人员在勘探作业中受到伤害的，设计人应立即采取有效措施进行抢救和治疗。</w:t>
      </w:r>
    </w:p>
    <w:p w14:paraId="6410056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4.8.5 设计人应按有关法律规定和合同约定，为其雇用人员办理保险。</w:t>
      </w:r>
    </w:p>
    <w:p w14:paraId="76D7BD80">
      <w:pPr>
        <w:kinsoku/>
        <w:spacing w:before="194" w:line="286" w:lineRule="auto"/>
        <w:ind w:left="51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4.9 合同价款应专款专用</w:t>
      </w:r>
    </w:p>
    <w:p w14:paraId="6B455BA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发包人按合同约定支付给设计人的各项价款，应专用于合同勘察设计工作。</w:t>
      </w:r>
    </w:p>
    <w:p w14:paraId="75F15596">
      <w:pPr>
        <w:kinsoku/>
        <w:spacing w:before="299" w:line="286" w:lineRule="auto"/>
        <w:ind w:left="38"/>
        <w:rPr>
          <w:rFonts w:ascii="宋体" w:hAnsi="宋体" w:eastAsia="宋体" w:cs="宋体"/>
          <w:color w:val="auto"/>
          <w:sz w:val="28"/>
          <w:szCs w:val="28"/>
          <w:highlight w:val="none"/>
          <w:lang w:eastAsia="zh-CN"/>
        </w:rPr>
      </w:pPr>
      <w:bookmarkStart w:id="302" w:name="bookmark227"/>
      <w:bookmarkEnd w:id="302"/>
      <w:bookmarkStart w:id="303" w:name="bookmark226"/>
      <w:bookmarkEnd w:id="303"/>
      <w:r>
        <w:rPr>
          <w:rFonts w:hint="eastAsia" w:ascii="宋体" w:hAnsi="宋体" w:eastAsia="宋体" w:cs="宋体"/>
          <w:b/>
          <w:bCs/>
          <w:color w:val="auto"/>
          <w:sz w:val="28"/>
          <w:szCs w:val="28"/>
          <w:highlight w:val="none"/>
          <w:lang w:eastAsia="zh-CN"/>
        </w:rPr>
        <w:t>5.勘察设计要求</w:t>
      </w:r>
    </w:p>
    <w:p w14:paraId="1483CF50">
      <w:pPr>
        <w:kinsoku/>
        <w:spacing w:before="78"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5.1 一般要求</w:t>
      </w:r>
    </w:p>
    <w:p w14:paraId="5C05466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5.1.1 发包人应遵守法律和规范标准，不得以任何理由要求设计人违反法律和工程质量、安全标准进行勘察设计服务，降低工程质量。</w:t>
      </w:r>
    </w:p>
    <w:p w14:paraId="78C9E0E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5.1.2 设计人应按照法律规定，以及国家、行业和地方的规范和标准完成勘察设计工作，并应符合发包人要求。各项规范、标准和发包人要求之间如对同一内容的描述不一致时，应以描述更为严格的内容为准。</w:t>
      </w:r>
    </w:p>
    <w:p w14:paraId="6CD91A3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5.1.3 除专用合同条款另有约定外，设计人完成勘察设计工作所应遵守的法律规定，以及国家、行业和地方的规范和标准，均应视为在基准日适用的版本。基准日之后，前述版本发生重大变化，或者有新的法律，以及国家、行业和地方的规范和标准实施的，设计人应向发包人提出遵守新规定的建议。发包人应在收到建议后7天内发出是否遵守新规定的指示。发包人指示遵守新规定的，按照第11条约定执行。</w:t>
      </w:r>
    </w:p>
    <w:p w14:paraId="3A4B0A7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5.1.4 设计人在勘察设计服务中选用的材料、设备，应注明其规格、型号、性能等技术指标及适应性，满足质量、安全、节能、环保等要求，但不得指定生产厂、供应商和产品品牌。</w:t>
      </w:r>
    </w:p>
    <w:p w14:paraId="2A8EDF3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5.1.5 设计人必须贯彻“技术先进、安全可靠、适用耐久、经济合理”的基本原则，加强总体设计，重视与城镇建设总体规划、土地开发利用规划、农田水利、森林植被、水土保持、生态环境、特殊设施保护区、其他运输方式和其他建设工程的总体协调和配合，节约资源、保护环境、合理选用技术指标、树立全寿命周期成本的理念，充分发挥工程建设项目经济、社会和环境的综合效益。</w:t>
      </w:r>
    </w:p>
    <w:p w14:paraId="2ABA0F6E">
      <w:pPr>
        <w:kinsoku/>
        <w:spacing w:before="19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5.2 勘察设计依据</w:t>
      </w:r>
    </w:p>
    <w:p w14:paraId="01BD5EE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除专用合同条款另有约定外，本工程的勘察设计依据如下：</w:t>
      </w:r>
    </w:p>
    <w:p w14:paraId="02674E6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（1）适用的法律、行政法规及部门规章；</w:t>
      </w:r>
    </w:p>
    <w:p w14:paraId="5D4116B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（2）与工程有关的规范、标准、规程；</w:t>
      </w:r>
    </w:p>
    <w:p w14:paraId="53851EB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（3）工程基础资料及其他文件；</w:t>
      </w:r>
    </w:p>
    <w:p w14:paraId="3F1E8ED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（4）本勘察设计服务合同及补充合同；</w:t>
      </w:r>
    </w:p>
    <w:p w14:paraId="03D07ED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（5）本工程施工需求；</w:t>
      </w:r>
    </w:p>
    <w:p w14:paraId="7722EA1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（6）合同履行中与勘察设计服务有关的来往函件；</w:t>
      </w:r>
    </w:p>
    <w:p w14:paraId="673FDC5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（7）其他勘察设计依据。</w:t>
      </w:r>
    </w:p>
    <w:p w14:paraId="134F1CC6">
      <w:pPr>
        <w:kinsoku/>
        <w:spacing w:before="196"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5.3 勘察设计范围</w:t>
      </w:r>
    </w:p>
    <w:p w14:paraId="21DE127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5.3.1 本合同的勘察设计范围包括工程范围、阶段范围和工作范围，具体勘察设计范围应根据三者之间的关联内容进行确定。</w:t>
      </w:r>
    </w:p>
    <w:p w14:paraId="70BF950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5.3.2 工程范围指勘察设计工程的建设内容，具体范围在专用合同条款中约定。</w:t>
      </w:r>
    </w:p>
    <w:p w14:paraId="6141467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5.3.3 阶段范围指工程建设程序中的可行性研究勘察、初步勘察、详细勘察、施工勘察、方案设计、初步设计、技术设计（如有）、施工图设计等阶段中的一个或多个阶段，具体范围在专用合同条款中约定。</w:t>
      </w:r>
    </w:p>
    <w:p w14:paraId="3DAF0B6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5.3.4 工作范围指工程测量、岩土工程勘察、岩土工程设计（如有），编制设计文件，编制设计概算、预算，提供技术交底、招标与施工配合，编制竣工图，参加交工验收、参加竣工验收和发包人委托的其他服务中的一项或多项工作，具体范围在专用合同条款中约定。</w:t>
      </w:r>
    </w:p>
    <w:p w14:paraId="40456FD7">
      <w:pPr>
        <w:kinsoku/>
        <w:spacing w:before="19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5.4 勘察作业要求</w:t>
      </w:r>
    </w:p>
    <w:p w14:paraId="55E6B7B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5.4.1 测绘</w:t>
      </w:r>
    </w:p>
    <w:p w14:paraId="273C5FA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除专用合同条款另有约定外，发包人应在开始勘察前7天内，向设计人提供测量基准点、水准点和书面资料等；设计人应根据国家测绘基准、测绘系统和工程测量技术规范，按发包人要求的基准点以及合同工程精度要求，进行测绘。</w:t>
      </w:r>
    </w:p>
    <w:p w14:paraId="0397CE4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（2）设计人测绘之前，应认真核对测绘数据，保证引用数据和原始数据准确无误。测绘工作应由测量人员如实记录，不得补记、涂改或损坏。</w:t>
      </w:r>
    </w:p>
    <w:p w14:paraId="17E761E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（3）工程勘探之前，设计人应严格按照勘察方案的孔位坐标，进行测量放线并在实地位置定位，埋设带有编号且不易移动的标志桩进行定位控制。</w:t>
      </w:r>
    </w:p>
    <w:p w14:paraId="2153137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5.4.2 勘探</w:t>
      </w:r>
    </w:p>
    <w:p w14:paraId="7511903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应根据公路基本建设程序各阶段要求的深度开展工作，结合现场地形地质条件、工程结构设置以及不同勘察手段的特性等，统筹考虑、综合确定勘察方法及勘察工作量，为完成合同约定的勘察设计任务创造条件。设计人对于勘察方法的正确性、适用性和可靠性完全负责。</w:t>
      </w:r>
    </w:p>
    <w:p w14:paraId="51913DE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布置勘探工作时，应充分考虑勘探方法对于自然环境、周边设施、建构筑物、地下管线、架空线和其他物体的影响，采用切实有效的措施进行防范控制，不得造成损坏或中断运行，否则由此导致的费用增加和（或）周期延误由设计人自行承担。</w:t>
      </w:r>
    </w:p>
    <w:p w14:paraId="60FDCE4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（3）设计人应在标定的孔位处进行勘探，不得随意改动位置。勘探方法、勘探机具、勘探记录、取样编录与描述，孔位标记、孔位封闭等事项，应严格执行规范标准，按实填写勘探报表和勘探日志。</w:t>
      </w:r>
    </w:p>
    <w:p w14:paraId="37A1D52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勘探工作完成后，设计人应按照规范要求及时封孔，并将封孔记录整理存档，勘探场地应地面平整、清洁卫生，并通知发包人、行政主管部门及使用维护单位进行现场验收。验收通过之后如果发生沉陷，设计人应及时进行二次封孔和现场验收。</w:t>
      </w:r>
    </w:p>
    <w:p w14:paraId="3F6680B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5.4.3 取样</w:t>
      </w:r>
    </w:p>
    <w:p w14:paraId="234E5E7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（1）设计人应针对不同的岩土地质，按照勘探取样规范规程中的相关规定，根据地层特征、取样深度、设备条件和试验项目的不同，合理选用取样方法和取样工具进行取样，包括并不限于土样、水样、岩芯等。</w:t>
      </w:r>
    </w:p>
    <w:p w14:paraId="4E8966D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取样后的样品应根据其类别、性质和特点等进行封装、贮存和运输。样品搬运之前，宜用数码相机进行现场拍照；运输途中应采用柔软材料充填、尽量避免震动和阳光曝晒；装卸之时尽量轻拿轻放，以免样品损坏。</w:t>
      </w:r>
    </w:p>
    <w:p w14:paraId="07A90DF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（3）取样后的样品应填写和粘贴标签，标签内容包括并不限于工程名称、孔号、样品编号、取样深度、样品名称、取样日期、取样人姓名、施工机组等。</w:t>
      </w:r>
    </w:p>
    <w:p w14:paraId="4A73976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5.4.4 试验</w:t>
      </w:r>
    </w:p>
    <w:p w14:paraId="64FB772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（1）设计人应根据岩土条件、设计要求、勘察经验和测试方法特点，选用合适的原位测试方法和勘察设备进行原位测试。原位测试成果应与室内试验数据进行对比分析，检验其可靠性。</w:t>
      </w:r>
    </w:p>
    <w:p w14:paraId="05C6614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（2）设计人的试验室应通过行业管理部门认可的CMA 计量认证，具有相应的</w:t>
      </w:r>
    </w:p>
    <w:p w14:paraId="5BB9F06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资格证书、试验人员和试验条件，否则应委托第三方试验室进行室内试验。</w:t>
      </w:r>
    </w:p>
    <w:p w14:paraId="048212B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应在试验之前按照要求清点样品数目，认定取样质量及数量是否满足试验需要；勘察设备应检定合格，性能参数满足试验要求，严格按照规范标准的相应规定进行试验操作；试验之后应在有效期内保留备样，以备复核试验成果之用，并按规范标准规定处理余土和废液，符合环境保护、健康卫生等要求。</w:t>
      </w:r>
    </w:p>
    <w:p w14:paraId="53C856A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（4）试验报告的格式应符合CMA计量认证体系要求，加盖CMA章并由试验负责人签字确认；试验负责人应通过计量认证考核，并由项目负责人授权许可。</w:t>
      </w:r>
    </w:p>
    <w:p w14:paraId="7544099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5.4.5 其他要求</w:t>
      </w:r>
    </w:p>
    <w:p w14:paraId="7287E15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（1）设计人应在勘察过程中重视地质环境对安全的影响，提交的勘察报告应真实、准确、可靠，满足工程安全生产的需要，并对勘察结论负责。</w:t>
      </w:r>
    </w:p>
    <w:p w14:paraId="6828E39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（2）设计人应对有可能引发公路工程安全隐患的地质灾害提出防治建议。</w:t>
      </w:r>
    </w:p>
    <w:p w14:paraId="386C0FF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（3）工程勘察布点应参考发包人提供的资料。勘探点的数量、深度和位置可根据地质情况和现场条件依据规范进行调整，但应经发包人同意和批准。</w:t>
      </w:r>
    </w:p>
    <w:p w14:paraId="3ACB5D0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（4）勘探过程中应认真记录每日工作内容，保存原始记录资料与数据，以供发包人检查和分析。</w:t>
      </w:r>
    </w:p>
    <w:p w14:paraId="3E1C3DE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（5）在钻探过程中，如发包人根据规范需要更改取样间距与现场试验的要求，或更改钻孔深度，设计人应积极配合并安排实施。</w:t>
      </w:r>
    </w:p>
    <w:p w14:paraId="0F18F96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设计人在钻探过程中应对地下管线和构筑物进行相应保护，遇到地下文物时应及时向发包人和文物保护部门汇报并妥善保护。设计人在钻探过程中应采取有效的环境保护措施，避免对周围环境造成破坏或污染。</w:t>
      </w:r>
    </w:p>
    <w:p w14:paraId="1EE789B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设计人在进行外业勘察时，应采取有效措施避免对原有道路、桥梁、构造物及其他公共设施或地上附着物造成损坏或损伤。如造成损坏或损伤而引起的一切索赔、赔偿、诉讼费用和其他费用，由设计人自行承担。</w:t>
      </w:r>
    </w:p>
    <w:p w14:paraId="4A592062">
      <w:pPr>
        <w:kinsoku/>
        <w:spacing w:before="19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5.5 勘察设备要求</w:t>
      </w:r>
    </w:p>
    <w:p w14:paraId="7076116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5.5.1 设计人应按合同进度计划的要求，及时配置勘察设备进行作业。设计人更换合同约定的勘察设备的，应报发包人批准。</w:t>
      </w:r>
    </w:p>
    <w:p w14:paraId="6E9E904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5.5.2 设计人应按照规范要求，及时维修、保养或更换勘察设备，包括并不限于钻机、触探仪、全站仪、水准仪、探测仪、测井平台、天平、固结仪、振筛机、干燥箱、直剪仪、收缩仪、膨胀仪、渗透仪等，保证勘察设备能够随时进场使用。</w:t>
      </w:r>
    </w:p>
    <w:p w14:paraId="4C0D311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5.5.3 设计人使用的勘察设备不能满足合同进度计划和（或）质量要求时，发包人有权要求设计人增加或更换勘察设备，设计人应及时增加或更换，由此增加的费用和（或）周期延误由设计人自行承担。</w:t>
      </w:r>
    </w:p>
    <w:p w14:paraId="575D6502">
      <w:pPr>
        <w:kinsoku/>
        <w:spacing w:before="3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5.6 临时占地和设施要求</w:t>
      </w:r>
    </w:p>
    <w:p w14:paraId="0EA5082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5.6.1 设计人应根据勘察设计服务方案制订临时占地计划，报请发包人批准。</w:t>
      </w:r>
    </w:p>
    <w:p w14:paraId="49DD2DC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5.6.2 位于本工程区域内的临时占地，由发包人协调提供。位于道路、绿化或者其他市政设施内的临时占地，由设计人向行政管理部门报建申请，按照要求制订占地施工方案，并据此实施。</w:t>
      </w:r>
    </w:p>
    <w:p w14:paraId="102194A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5.6.3 临时占地使用完毕后，设计人应按照发包人要求或行政管理部门规定恢复临时占地。如果恢复或清理标准不能满足要求的，发包人有权委托他人代为恢复或清理，由此发生的费用从拟支付给设计人的勘察设计费用中扣除。</w:t>
      </w:r>
    </w:p>
    <w:p w14:paraId="2045C8D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5.6.4 设计人应配备或搭设足够的临时设施，保证勘探工作能够正常开展。临时设施包括并不限于施工围挡、交通疏导设施、安全防范设施、钻机防护设施、安全文明施工设施、办公生活用房、取样存放场所等。</w:t>
      </w:r>
    </w:p>
    <w:p w14:paraId="4E34AFD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5.6.5 临时设施应满足规范标准、发包人要求和行政管理部门的规定等。除专用合同条款另有约定外，临时设施的修建、拆除和恢复费用由设计人自行承担。</w:t>
      </w:r>
    </w:p>
    <w:p w14:paraId="315FBA29">
      <w:pPr>
        <w:kinsoku/>
        <w:spacing w:before="19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5.7 安全作业要求</w:t>
      </w:r>
    </w:p>
    <w:p w14:paraId="7F0DDFE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5.7.1 设计人应按合同约定履行安全职责，执行发包人有关安全工作的指示，并在专用合同条款约定的期限内，按合同约定的安全工作内容，编制安全措施计划报送发包人批准。</w:t>
      </w:r>
    </w:p>
    <w:p w14:paraId="7912C2B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5.7.2 设计人应严格执行操作规程，采取有效措施保证道路、桥梁、交通安全设施、建构筑物、地下管线、架空线和其他周边设施等安全正常地运行。</w:t>
      </w:r>
    </w:p>
    <w:p w14:paraId="36A5DE5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5.7.3 设计人应按照法律、法规和工程建设强制性标准进行勘察，加强勘察作业安全管理，特别加强易燃、易爆材料、火工器材、有毒与腐蚀性材料和其他危险品的管理。</w:t>
      </w:r>
    </w:p>
    <w:p w14:paraId="00E10A8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5.7.4 设计人应严格按照国家安全标准制定施工安全操作规程，配备必要的安全生产和劳动保护设施，加强对设计人人员的安全教育，并且发放安全工作手册和劳动保护用具。</w:t>
      </w:r>
    </w:p>
    <w:p w14:paraId="2F77FB2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5.7.5 设计人应按发包人的指示制订应对灾害的紧急预案，报送发包人批准。设计人还应按预案做好安全检查，配置必要的救助物资和器材，切实保护好有关人员的人身和财产安全。</w:t>
      </w:r>
    </w:p>
    <w:p w14:paraId="30220B6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5.7.6 设计人应对其履行合同所雇用的全部人员，包括分包人人员的工伤事故承担责任，但由于发包人原因造成设计人人员工伤事故的，应由发包人承担责任。</w:t>
      </w:r>
    </w:p>
    <w:p w14:paraId="208BCE0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5.7.7 由于设计人原因在施工场地内及其毗邻地带造成的第三者人员伤亡和财产损失，由设计人负责赔偿。</w:t>
      </w:r>
    </w:p>
    <w:p w14:paraId="11C0DD12">
      <w:pPr>
        <w:kinsoku/>
        <w:spacing w:before="19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5.8 环境保护要求</w:t>
      </w:r>
    </w:p>
    <w:p w14:paraId="7F1D278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5.8.1 设计人在履行合同过程中，应遵守有关环境保护的法律，履行合同约定的环境保护义务，并对违反法律和合同约定义务所造成的环境破坏、人身伤害和财产损失负责。</w:t>
      </w:r>
    </w:p>
    <w:p w14:paraId="0F0A4AA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5.8.2 设计人应按合同约定的环保工作内容，编制环保措施计划，报送发包人批准。</w:t>
      </w:r>
    </w:p>
    <w:p w14:paraId="27EDC10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5.8.3 设计人应确保勘探过程中产生的气体排放物、粉尘、噪声、地面排水及排污等，符合法律规定和发包人要求。</w:t>
      </w:r>
    </w:p>
    <w:p w14:paraId="43AD6018">
      <w:pPr>
        <w:kinsoku/>
        <w:spacing w:before="19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5.9 事故处理要求</w:t>
      </w:r>
    </w:p>
    <w:p w14:paraId="6B90888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5.9.1 合同履行过程中发生事故的，设计人应立即通知发包人。</w:t>
      </w:r>
    </w:p>
    <w:p w14:paraId="1D4CAD1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5.9.2 发包人和设计人应立即组织人员和设备进行紧急抢救和抢修，减少人员伤亡和财产损失，防止事故扩大，并保护事故现场。需要移动现场物品时，应作出标记和书面记录，妥善保管有关证据。发包人和设计人应按国家有关规定，及时如实地向有关部门报告事故发生的情况，以及正在采取的紧急措施等。</w:t>
      </w:r>
    </w:p>
    <w:p w14:paraId="596FBE2A">
      <w:pPr>
        <w:kinsoku/>
        <w:spacing w:before="196"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5.10 勘察设计文件要求</w:t>
      </w:r>
    </w:p>
    <w:p w14:paraId="246682D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5.10.1 勘察设计文件的编制应符合法律法规、规范标准的强制性规定和发包人要求，相关勘察设计依据应完整、准确、可靠，勘察设计方案论证充分，计算成果规范可靠，并能够实施。</w:t>
      </w:r>
    </w:p>
    <w:p w14:paraId="2E22D59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5.10.2 勘察设计服务应根据法律、规范标准和发包人要求，保证工程的合理使用寿命年限，并在设计文件中予以注明。</w:t>
      </w:r>
    </w:p>
    <w:p w14:paraId="0247759C">
      <w:pPr>
        <w:kinsoku/>
        <w:spacing w:before="113" w:line="286" w:lineRule="auto"/>
        <w:ind w:left="37" w:right="204" w:firstLine="481"/>
        <w:rPr>
          <w:rFonts w:ascii="宋体" w:hAnsi="宋体" w:eastAsia="宋体" w:cs="宋体"/>
          <w:color w:val="auto"/>
          <w:sz w:val="24"/>
          <w:szCs w:val="24"/>
          <w:highlight w:val="none"/>
          <w:lang w:eastAsia="zh-CN"/>
        </w:rPr>
      </w:pPr>
    </w:p>
    <w:p w14:paraId="330AC84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5.10.3 勘察设计文件的深度应满足本合同相应勘察设计阶段的规定要求，满足发包人的下步工作需要，并应符合国家和行业现行规定。</w:t>
      </w:r>
    </w:p>
    <w:p w14:paraId="3FC7DF9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5.10.4 勘察设计文件必须保证工程质量和施工安全等方面的要求，按照有关法律法规规定在勘察设计文件中提出保障施工作业人员安全和预防生产安全事故的措施建议。</w:t>
      </w:r>
    </w:p>
    <w:p w14:paraId="330F8CA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5.10.5 勘察设计文件必须符合下列要求：</w:t>
      </w:r>
    </w:p>
    <w:p w14:paraId="38D3714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（1）勘察设计文件的编制必须严格执行国家基本建设程序、工程建设标准强制性条文及有关公路工程建设的法律、法规、规章、规范、标准、规程、定额和合同的要求。</w:t>
      </w:r>
    </w:p>
    <w:p w14:paraId="1A04E4E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勘察设计文件的编制须符合国民经济、社会发展规划和产业政策，贯彻提高社会经济效益和促进技术进步的方针，实行资源综合利用，节约资源和能源，符合国家自然风景区、城市、集镇、村庄规划和相关专业规划，符合国家有关劳动安全卫生、消防、抗震、人防规定。</w:t>
      </w:r>
    </w:p>
    <w:p w14:paraId="2DC9E31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（3）勘察设计文件必须保证工程质量和安全的要求，符合安全、适用、耐久、经济、美观的综合要求；并应特别注意沿线景观及沿线设施的协调性和符合环境保护、水土保持的要求。</w:t>
      </w:r>
    </w:p>
    <w:p w14:paraId="748D6F9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5.10.6 设计人应根据批复的可行性研究报告和交通运输部《公路工程基本建设项目设计文件编制办法》规定的设计深度完成施工图设计工作。</w:t>
      </w:r>
    </w:p>
    <w:p w14:paraId="556A72D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5.10.7 若发包人或发包人上级主管部门认为需要进行技术设计，设计人应根据发包人要求，按交通运输部《公路工程基本建设项目设计文件编制办法》有关规定编制技术设计文件和修正概算，并通过发包人上级主管部门的审查。如果发包人在招标阶段已明确本项目包括技术设计并且在报价清单中已列有相应报价子目，则按设计人在报价清单中所报的相应费用支付；否则，对于发包人在项目实施过程中提出的技术设计，发包人应另行支付费用。</w:t>
      </w:r>
    </w:p>
    <w:p w14:paraId="17C9967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5.10.8 设计人应按批准的初步设计完成施工图设计工作，并接受发包人、咨询单位及发包人上级主管部门对施工图设计文件的审查，按审查意见修改施工图设计文件。设计人应在发包人规定的时间内完成施工图预算的编制，施工图设计文件及施工图预算应按各施工标段进行编制。施工图设计文件批复后，则作为编制施工招标文件的依据。</w:t>
      </w:r>
    </w:p>
    <w:p w14:paraId="5587751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5.10.9 当发包人、咨询单位或上级主管部门认为需调用设计人的设计计算书时，设计人必须及时提供。</w:t>
      </w:r>
    </w:p>
    <w:p w14:paraId="4C4B88C3">
      <w:pPr>
        <w:kinsoku/>
        <w:spacing w:before="136" w:line="286" w:lineRule="auto"/>
        <w:ind w:left="39"/>
        <w:rPr>
          <w:rFonts w:ascii="宋体" w:hAnsi="宋体" w:eastAsia="宋体" w:cs="宋体"/>
          <w:color w:val="auto"/>
          <w:sz w:val="28"/>
          <w:szCs w:val="28"/>
          <w:highlight w:val="none"/>
          <w:lang w:eastAsia="zh-CN"/>
        </w:rPr>
      </w:pPr>
      <w:bookmarkStart w:id="304" w:name="bookmark228"/>
      <w:bookmarkEnd w:id="304"/>
      <w:bookmarkStart w:id="305" w:name="bookmark229"/>
      <w:bookmarkEnd w:id="305"/>
      <w:r>
        <w:rPr>
          <w:rFonts w:hint="eastAsia" w:ascii="宋体" w:hAnsi="宋体" w:eastAsia="宋体" w:cs="宋体"/>
          <w:b/>
          <w:bCs/>
          <w:color w:val="auto"/>
          <w:sz w:val="28"/>
          <w:szCs w:val="28"/>
          <w:highlight w:val="none"/>
          <w:lang w:eastAsia="zh-CN"/>
        </w:rPr>
        <w:t>6. 开始勘察设计和完成勘察设计</w:t>
      </w:r>
    </w:p>
    <w:p w14:paraId="04807D5A">
      <w:pPr>
        <w:kinsoku/>
        <w:spacing w:before="78"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6.1 开始勘察设计</w:t>
      </w:r>
    </w:p>
    <w:p w14:paraId="589AD9B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6.1.1 符合专用合同条款约定的开始勘察设计条件的，发包人应提前7天向设计人发出开始勘察设计通知。勘察设计服务期限自开始勘察设计通知中载明的开始勘察设计日期起计算。勘察设计服务周期安排在专用合同条款中约定。</w:t>
      </w:r>
    </w:p>
    <w:p w14:paraId="59B53DF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6.1.2 除专用合同条款另有约定外，因发包人原因造成合同签订之日起90天内未能发出开始勘察设计通知的，设计人有权提出价格调整要求，或者解除合同。发包人应承担由此增加的费用和（或）周期延误。</w:t>
      </w:r>
    </w:p>
    <w:p w14:paraId="3B08D14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6.1.3 设计人应在接到中标通知书后14天内，针对勘察设计各个阶段工作内容向发包人提交具有可实施性、分项目的勘察设计详细工作大纲及进度计划，以及为完成本计划而建议采用的措施和说明（含电子文件一份），经批准后作为勘察设计合同文件的组成部分，是发包人对勘察设计进行项目管理的依据之一。</w:t>
      </w:r>
    </w:p>
    <w:p w14:paraId="02F410D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6.1.4 设计人在开展专题研究之前，应针对专题研究的具体内容提交详细的工作大纲（含电子文件一份），报发包人审核后实施，并作为勘察设计合同文件的组成部分。</w:t>
      </w:r>
    </w:p>
    <w:p w14:paraId="7C40CF6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6.1.5 发包人对设计人勘察设计详细工作大纲及进度计划、专题研究详细工作大纲的审查，并不免除设计人对本项目勘察设计（含专题研究）应承担的责任。</w:t>
      </w:r>
    </w:p>
    <w:p w14:paraId="1944636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6.1.6 设计人应在每月月底向发包人提供进度报告，说明该月工作进展情况及下月计划安排，并根据发包人要求，参加发包人组织的月度工作例会。</w:t>
      </w:r>
    </w:p>
    <w:p w14:paraId="3AD268E5">
      <w:pPr>
        <w:kinsoku/>
        <w:spacing w:before="196"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6.2 发包人引起的周期延误</w:t>
      </w:r>
    </w:p>
    <w:p w14:paraId="73D88E9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在履行合同过程中，由于发包人的下列原因造成勘察设计服务期限延误的，发包人应延长勘察设计服务期限并增加勘察设计费用，具体方法在专用合同条款中约定。</w:t>
      </w:r>
    </w:p>
    <w:p w14:paraId="3B1F6AC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（1）合同变更；</w:t>
      </w:r>
    </w:p>
    <w:p w14:paraId="6FD7A56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（2）未按合同约定期限及时答复勘察设计事项；</w:t>
      </w:r>
    </w:p>
    <w:p w14:paraId="0A7C9DA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（3）因发包人原因导致的暂停勘察设计；</w:t>
      </w:r>
    </w:p>
    <w:p w14:paraId="211B00A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（4）未按合同约定及时支付勘察设计费用；</w:t>
      </w:r>
    </w:p>
    <w:p w14:paraId="6E4A89D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（5）发包人提供的基准资料错误；</w:t>
      </w:r>
    </w:p>
    <w:p w14:paraId="3194AB4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（6）未及时履行合同约定的相关义务；</w:t>
      </w:r>
    </w:p>
    <w:p w14:paraId="07F362C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（7）未能按照合同约定期限对勘察设计文件进行审查；</w:t>
      </w:r>
    </w:p>
    <w:p w14:paraId="749CE1A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（8）发包人造成周期延误的其他原因。</w:t>
      </w:r>
    </w:p>
    <w:p w14:paraId="595ADCAD">
      <w:pPr>
        <w:kinsoku/>
        <w:spacing w:before="194"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6.3 设计人引起的周期延误</w:t>
      </w:r>
    </w:p>
    <w:p w14:paraId="540B5C9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由于设计人原因造成周期延误，设计人应支付逾期违约金。逾期违约金的计算方法和最高限额在专用合同条款中约定。</w:t>
      </w:r>
    </w:p>
    <w:p w14:paraId="39B86461">
      <w:pPr>
        <w:kinsoku/>
        <w:spacing w:before="34"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6.4 行政管理部门引起的周期延误</w:t>
      </w:r>
    </w:p>
    <w:p w14:paraId="599262F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由于行政管理部门审查延迟原因造成费用增加和（或）周期延误的，由发包人承担。</w:t>
      </w:r>
    </w:p>
    <w:p w14:paraId="53090A4B">
      <w:pPr>
        <w:kinsoku/>
        <w:spacing w:before="34"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6.5 非人为因素引起的周期延误</w:t>
      </w:r>
    </w:p>
    <w:p w14:paraId="1D417B6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6.5.1 由于出现专用合同条款规定的异常恶劣气候条件、不利物质条件等因素导致周期延误的，设计人有权要求发包人延长周期和（或）增加费用。</w:t>
      </w:r>
    </w:p>
    <w:p w14:paraId="0DF1771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6.5.2 设计人发现地下文物或化石时，应按规定及时报告发包人和文物保护部门，并采取有效措施进行保护；设计人有权要求发包人延长周期和（或）增加费用。</w:t>
      </w:r>
    </w:p>
    <w:p w14:paraId="3EAF8507">
      <w:pPr>
        <w:kinsoku/>
        <w:spacing w:before="196"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6.6 完成勘察设计</w:t>
      </w:r>
    </w:p>
    <w:p w14:paraId="250B4D5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6.6.1 设计人完成勘察设计服务之后，应根据法律、规范标准、合同约定和发包人要求编制勘察设计文件。</w:t>
      </w:r>
    </w:p>
    <w:p w14:paraId="101E895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6.6.2 勘察设计文件是工程勘察设计的最终成果和施工的重要依据，应根据本工程的勘察设计内容和不同阶段的勘察设计任务、目的和要求等进行编制。勘察设计文件的内容和深度应满足对应阶段的规范要求。</w:t>
      </w:r>
    </w:p>
    <w:p w14:paraId="0A9D49C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6.6.3 除专用合同条款另有约定外，勘察设计文件包括纸质文件和电子文件两种形式，两者若有不一致时，应以纸质文件为准。纸质文件一式八份，应加盖单位章和项目负责人注册执业印章；电子文件中的文字为WORD格式、图形为CAD格式，并应使用光盘和U盘分别贮存。</w:t>
      </w:r>
    </w:p>
    <w:p w14:paraId="143C8F7F">
      <w:pPr>
        <w:kinsoku/>
        <w:spacing w:before="194"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6.7 提前完成勘察设计</w:t>
      </w:r>
    </w:p>
    <w:p w14:paraId="6D37AC2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6.7.1 根据发包人要求或者基于专业能力判断，设计人认为能够提前完成勘察设计的，可向发包人递交一份提前完成勘察设计建议书，包括实施方案、提前时间、勘察设计费用变动等内容。除专用合同条款另有约定之外，发包人接受建议书的，不因提前完成勘察设计而减少勘察设计费用；增加勘察设计费用的，所增费用由发包人承担。</w:t>
      </w:r>
    </w:p>
    <w:p w14:paraId="56CAB9B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6.7.2 发包人要求提前完成勘察设计但设计人认为无法实施的，应在收到发包人书面指示后7天内提出异议，说明不能提前完成的理由。发包人应在收到异议后7天内予以答复。任何情况下，发包人不得压缩合理的勘察设计服务期限。</w:t>
      </w:r>
    </w:p>
    <w:p w14:paraId="4112357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6.7.3 由于设计人提前完成勘察设计而给发包人带来经济效益的，发包人可以在专用合同条款中约定设计人因此获得的奖励内容。</w:t>
      </w:r>
    </w:p>
    <w:p w14:paraId="09DB346A">
      <w:pPr>
        <w:kinsoku/>
        <w:spacing w:before="297" w:line="286" w:lineRule="auto"/>
        <w:ind w:left="38"/>
        <w:rPr>
          <w:rFonts w:ascii="宋体" w:hAnsi="宋体" w:eastAsia="宋体" w:cs="宋体"/>
          <w:color w:val="auto"/>
          <w:sz w:val="28"/>
          <w:szCs w:val="28"/>
          <w:highlight w:val="none"/>
          <w:lang w:eastAsia="zh-CN"/>
        </w:rPr>
      </w:pPr>
      <w:bookmarkStart w:id="306" w:name="bookmark230"/>
      <w:bookmarkEnd w:id="306"/>
      <w:bookmarkStart w:id="307" w:name="bookmark231"/>
      <w:bookmarkEnd w:id="307"/>
      <w:r>
        <w:rPr>
          <w:rFonts w:hint="eastAsia" w:ascii="宋体" w:hAnsi="宋体" w:eastAsia="宋体" w:cs="宋体"/>
          <w:b/>
          <w:bCs/>
          <w:color w:val="auto"/>
          <w:sz w:val="28"/>
          <w:szCs w:val="28"/>
          <w:highlight w:val="none"/>
          <w:lang w:eastAsia="zh-CN"/>
        </w:rPr>
        <w:t>7. 暂停勘察设计</w:t>
      </w:r>
    </w:p>
    <w:p w14:paraId="7A67FD3D">
      <w:pPr>
        <w:kinsoku/>
        <w:spacing w:before="79"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7.1 发包人原因暂停勘察设计</w:t>
      </w:r>
    </w:p>
    <w:p w14:paraId="5645960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合同履行中发生下列情形之一的，设计人可向发包人发出通知，要求发包人采取有效措施予以纠正。发包人收到设计人通知后的 28 天内仍不履行合同义务时，设计人有权暂停勘察设计并通知发包人；发包人应承担由此导致的费用增加和（或）周期延误。</w:t>
      </w:r>
    </w:p>
    <w:p w14:paraId="07AAE69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（1）发包人违约；</w:t>
      </w:r>
    </w:p>
    <w:p w14:paraId="396086B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（2）发包人确定暂停勘察设计；</w:t>
      </w:r>
    </w:p>
    <w:p w14:paraId="1450E3E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（3）合同约定由发包人承担责任的其他情形。</w:t>
      </w:r>
    </w:p>
    <w:p w14:paraId="1BC1F6D1">
      <w:pPr>
        <w:kinsoku/>
        <w:spacing w:before="19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7.2 设计人原因暂停勘察设计</w:t>
      </w:r>
    </w:p>
    <w:p w14:paraId="7357DA7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合同履行中发生下列情形之一的，发包人可向设计人发出通知暂停勘察设计，由此造成费用的增加和（或）周期延误由设计人承担：</w:t>
      </w:r>
    </w:p>
    <w:p w14:paraId="3AB55CD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（1）设计人违约；</w:t>
      </w:r>
    </w:p>
    <w:p w14:paraId="28AD9DD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（2）设计人擅自暂停勘察设计；</w:t>
      </w:r>
    </w:p>
    <w:p w14:paraId="019647B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（3）合同约定由设计人承担责任的其他情形。</w:t>
      </w:r>
    </w:p>
    <w:p w14:paraId="4EBA925A">
      <w:pPr>
        <w:kinsoku/>
        <w:spacing w:before="78"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7.3 暂停期间的文件照管</w:t>
      </w:r>
    </w:p>
    <w:p w14:paraId="1D51585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不论由于何种原因引起暂停勘察设计的，暂停期间设计人应负责妥善保护已完部分的勘察设计文件，由此增加的费用由责任方承担。</w:t>
      </w:r>
    </w:p>
    <w:p w14:paraId="760DEBB4">
      <w:pPr>
        <w:kinsoku/>
        <w:spacing w:before="136" w:line="286" w:lineRule="auto"/>
        <w:ind w:left="38"/>
        <w:rPr>
          <w:rFonts w:ascii="宋体" w:hAnsi="宋体" w:eastAsia="宋体" w:cs="宋体"/>
          <w:color w:val="auto"/>
          <w:sz w:val="28"/>
          <w:szCs w:val="28"/>
          <w:highlight w:val="none"/>
          <w:lang w:eastAsia="zh-CN"/>
        </w:rPr>
      </w:pPr>
      <w:bookmarkStart w:id="308" w:name="bookmark232"/>
      <w:bookmarkEnd w:id="308"/>
      <w:bookmarkStart w:id="309" w:name="bookmark233"/>
      <w:bookmarkEnd w:id="309"/>
      <w:r>
        <w:rPr>
          <w:rFonts w:hint="eastAsia" w:ascii="宋体" w:hAnsi="宋体" w:eastAsia="宋体" w:cs="宋体"/>
          <w:b/>
          <w:bCs/>
          <w:color w:val="auto"/>
          <w:sz w:val="28"/>
          <w:szCs w:val="28"/>
          <w:highlight w:val="none"/>
          <w:lang w:eastAsia="zh-CN"/>
        </w:rPr>
        <w:t>8. 勘察设计文件</w:t>
      </w:r>
    </w:p>
    <w:p w14:paraId="381BD376">
      <w:pPr>
        <w:kinsoku/>
        <w:spacing w:before="78"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8.1 勘察设计文件接收</w:t>
      </w:r>
    </w:p>
    <w:p w14:paraId="0E5C59A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8.1.1 发包人应及时接收设计人提交的勘察设计文件。如无正当理由拒收的，视为发包人已经接收勘察设计文件。</w:t>
      </w:r>
    </w:p>
    <w:p w14:paraId="64DAC0D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8.1.2 发包人接收勘察设计文件时，应向设计人出具文件签收凭证，凭证内容包括文件名称、文件内容、文件形式、份数、提交和接收日期、提交人与接收人的亲笔签名等。</w:t>
      </w:r>
    </w:p>
    <w:p w14:paraId="13D0F4D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8.1.3 勘察设计文件提交的份数、内容、纸幅、装订格式、电子文件、展板、模型、沙盘、动画等要求，在专用合同条款中约定。</w:t>
      </w:r>
    </w:p>
    <w:p w14:paraId="3F96827E">
      <w:pPr>
        <w:kinsoku/>
        <w:spacing w:before="19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8.2 发包人审查勘察设计文件</w:t>
      </w:r>
    </w:p>
    <w:p w14:paraId="76F6B32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8.2.1 发包人接收勘察设计文件之后，可以自行或者组织专家会进行审查，设计人应给予配合。审查标准应符合法律、规范标准、合同约定和发包人要求等；审查 的具体范围、明细内容和费用分担原则，在专用合同条款中约定。</w:t>
      </w:r>
    </w:p>
    <w:p w14:paraId="59C1FF1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8.2.2 除专用合同条款另有约定外，发包人对于勘察设计文件的审查期限，自文件接收之日起不应超过14天。发包人逾期未作出审查结论且未提出异议的，视为设计人的勘察设计文件已经通过发包人审查。</w:t>
      </w:r>
    </w:p>
    <w:p w14:paraId="731A077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8.2.3 发包人审查后不同意勘察设计文件的，应以书面形式通知设计人，说明审查不通过的理由及其具体内容。设计人应根据发包人的审查意见修改完善勘察设计文件，并重新报送发包人审查，审查期限重新起算。</w:t>
      </w:r>
    </w:p>
    <w:p w14:paraId="45B03881">
      <w:pPr>
        <w:kinsoku/>
        <w:spacing w:before="19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8.3 审查机构审查勘察设计文件</w:t>
      </w:r>
    </w:p>
    <w:p w14:paraId="1D88B81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8.3.1 勘察设计文件需经政府有关部门审查或批准的，发包人应在审查同意后，按照有关主管部门要求，将勘察设计文件和相关资料报送审查机构进行审查。发包人的审查和审查机构的审查不减免设计人因为质量问题而应承担的勘察设计责任。</w:t>
      </w:r>
    </w:p>
    <w:p w14:paraId="0FA8E81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8.3.2 对于审查机构的审查意见，如不需要修改发包人要求的，应由设计人按照审查意见修改完善勘察设计文件；如需修改发包人要求的，则由发包人重新修改和提出发包人要求，再由设计人根据新的发包人要求修改完善勘察设计文件。</w:t>
      </w:r>
    </w:p>
    <w:p w14:paraId="34FE175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8.3.3 由于自身原因造成勘察设计文件未通过审查机构审查的，设计人应承担违约责任，采取补救措施直至达到合同约定的质量标准，并自行承担由此导致的费用增加和（或）周期延误。</w:t>
      </w:r>
    </w:p>
    <w:p w14:paraId="01D43D84">
      <w:pPr>
        <w:kinsoku/>
        <w:spacing w:before="134" w:line="286" w:lineRule="auto"/>
        <w:ind w:left="37"/>
        <w:rPr>
          <w:rFonts w:ascii="宋体" w:hAnsi="宋体" w:eastAsia="宋体" w:cs="宋体"/>
          <w:color w:val="auto"/>
          <w:sz w:val="28"/>
          <w:szCs w:val="28"/>
          <w:highlight w:val="none"/>
          <w:lang w:eastAsia="zh-CN"/>
        </w:rPr>
      </w:pPr>
      <w:bookmarkStart w:id="310" w:name="bookmark235"/>
      <w:bookmarkEnd w:id="310"/>
      <w:bookmarkStart w:id="311" w:name="bookmark234"/>
      <w:bookmarkEnd w:id="311"/>
      <w:r>
        <w:rPr>
          <w:rFonts w:hint="eastAsia" w:ascii="宋体" w:hAnsi="宋体" w:eastAsia="宋体" w:cs="宋体"/>
          <w:b/>
          <w:bCs/>
          <w:color w:val="auto"/>
          <w:sz w:val="28"/>
          <w:szCs w:val="28"/>
          <w:highlight w:val="none"/>
          <w:lang w:eastAsia="zh-CN"/>
        </w:rPr>
        <w:t>9. 勘察设计责任与保险</w:t>
      </w:r>
    </w:p>
    <w:p w14:paraId="5B818F9D">
      <w:pPr>
        <w:kinsoku/>
        <w:spacing w:before="78" w:line="286" w:lineRule="auto"/>
        <w:ind w:left="518"/>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9.1 工作质量责任</w:t>
      </w:r>
    </w:p>
    <w:p w14:paraId="01BEB5C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9.1.1 勘察设计工作质量应满足法律规定、规范标准、合同约定和发包人要求等。</w:t>
      </w:r>
    </w:p>
    <w:p w14:paraId="58F8CC2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9.1.2 设计人应做好勘察设计服务的质量与技术管理工作，建立健全内部质量管理体系和质量责任制度，加强勘察设计服务全过程的质量控制，建立完整的勘察设计文件的设计、复核、审核、会签和批准制度，明确各阶段的责任人。</w:t>
      </w:r>
    </w:p>
    <w:p w14:paraId="085AFFB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9.1.3 设计人应强化现场作业质量和试验工作管理，保证原始记录和试验数据的可靠性、真实性和完整性，严禁离开现场进行追记、补记和修改记录。</w:t>
      </w:r>
    </w:p>
    <w:p w14:paraId="46A9C53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9.1.4 设计人应按合同约定对勘察设计服务进行全过程的质量检查和检验，并作详细记录，编制勘察设计工作质量报表，报送发包人审查。</w:t>
      </w:r>
    </w:p>
    <w:p w14:paraId="5872B6C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9.1.5 发包人有权对勘察设计工作质量进行检查和审核。设计人应为发包人的检查和检验提供方便，包括发包人到勘察设计场地、试验室或合同约定的其他地方进行察看，查阅、审核勘察设计的原始记录和其他文件。发包人的检查和审核，不免除设计人按合同约定应负的责任。</w:t>
      </w:r>
    </w:p>
    <w:p w14:paraId="5F3A7A1E">
      <w:pPr>
        <w:kinsoku/>
        <w:spacing w:before="194" w:line="286" w:lineRule="auto"/>
        <w:ind w:left="518"/>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9.2 勘察设计文件错误责任</w:t>
      </w:r>
    </w:p>
    <w:p w14:paraId="2E1EA34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9.2.1 勘察设计文件存在错误、遗漏、含混、矛盾、不充分之处或其他缺陷，无论设计人是否通过了发包人审查或审查机构审查，设计人均应自费对前述问题带来的缺陷和工程问题进行改正，但因第1.6.2项约定由发包人提供的文件错误导致的除外。</w:t>
      </w:r>
    </w:p>
    <w:p w14:paraId="6C79039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9.2.2 因设计人原因造成勘察设计文件不合格的，发包人有权要求设计人采取补救措施，直至达到合同要求的质量标准，并按第14.1款的约定承担责任。</w:t>
      </w:r>
    </w:p>
    <w:p w14:paraId="146220F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9.2.3 因发包人原因造成勘察设计文件不合格的，设计人应当采取补救措施，直至达到合同要求的质量标准，由此造成的勘察设计费用增加和（或）勘察设计服务期限延误由发包人承担。</w:t>
      </w:r>
    </w:p>
    <w:p w14:paraId="6FA08857">
      <w:pPr>
        <w:kinsoku/>
        <w:spacing w:before="34" w:line="286" w:lineRule="auto"/>
        <w:ind w:left="518"/>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9.3 勘察设计责任主体</w:t>
      </w:r>
    </w:p>
    <w:p w14:paraId="73AB6CD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9.3.1 设计人应运用一切合理的专业技术、知识技能和项目经验，按照职业道德准则和行业公认标准尽其全部职责，勤勉、谨慎、公正地履行其在本合同项下的责任和义务。</w:t>
      </w:r>
    </w:p>
    <w:p w14:paraId="003A1EA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9.3.2 本工程施行质量责任终身制。设计人应书面明确相应的项目负责人和质量负责人。设计人的相关人员按照国家法律法规和有关规定在工程合理使用年限内承担相应的质量责任。</w:t>
      </w:r>
    </w:p>
    <w:p w14:paraId="11BA125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9.3.3 设计人应按照相关规定，做好设计交底、设计变更和后续服务工作，保障设计意图在施工中得以贯彻落实，及时处理施工中与设计相关的质量技术问题。</w:t>
      </w:r>
    </w:p>
    <w:p w14:paraId="322B7EF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9.3.4 本工程交工验收前，设计人应对工程建设内容是否满足设计要求、是否达到使用功能等方面进行综合检查和分析评价，向发包人出具工程设计符合性评价意见。</w:t>
      </w:r>
    </w:p>
    <w:p w14:paraId="2C07F31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9.3.5 设计人应依法规范分包行为，并对承担的工程质量负总责，分包单位对分包合同范围内的工程质量负责。</w:t>
      </w:r>
    </w:p>
    <w:p w14:paraId="34BBC2D8">
      <w:pPr>
        <w:kinsoku/>
        <w:spacing w:before="194" w:line="286" w:lineRule="auto"/>
        <w:ind w:left="518"/>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9.4 勘察设计责任保险</w:t>
      </w:r>
    </w:p>
    <w:p w14:paraId="5186562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9.4.1 除专用合同条款另有约定外，设计人应具有发包人认可的、履行本合同所需要的工程勘察设计责任险，于合同签订后28天内向发包人提交工程勘察设计责任险的保险单副本或者其他有效证明，并在合同履行期间保持足额、有效。</w:t>
      </w:r>
    </w:p>
    <w:p w14:paraId="0E3C5E00">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9.4.2 工程勘察设计责任险的保险范围，应当包括由于设计人的疏忽或过失而造成的工程质量事故损失，以及由于事故引发的第三者人身伤亡、财产损失或费用赔偿等。</w:t>
      </w:r>
    </w:p>
    <w:p w14:paraId="0448D96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9.4.3 发生工程勘察设计保险事故后，设计人应按保险人要求进行报告，并负责办理保险理赔业务；保险金不足以补偿损失的，由设计人自行补偿。</w:t>
      </w:r>
    </w:p>
    <w:p w14:paraId="6478957C">
      <w:pPr>
        <w:kinsoku/>
        <w:spacing w:before="296" w:line="286" w:lineRule="auto"/>
        <w:ind w:left="47"/>
        <w:rPr>
          <w:rFonts w:ascii="宋体" w:hAnsi="宋体" w:eastAsia="宋体" w:cs="宋体"/>
          <w:color w:val="auto"/>
          <w:sz w:val="28"/>
          <w:szCs w:val="28"/>
          <w:highlight w:val="none"/>
          <w:lang w:eastAsia="zh-CN"/>
        </w:rPr>
      </w:pPr>
      <w:bookmarkStart w:id="312" w:name="bookmark237"/>
      <w:bookmarkEnd w:id="312"/>
      <w:bookmarkStart w:id="313" w:name="bookmark236"/>
      <w:bookmarkEnd w:id="313"/>
      <w:r>
        <w:rPr>
          <w:rFonts w:hint="eastAsia" w:ascii="宋体" w:hAnsi="宋体" w:eastAsia="宋体" w:cs="宋体"/>
          <w:b/>
          <w:bCs/>
          <w:color w:val="auto"/>
          <w:sz w:val="28"/>
          <w:szCs w:val="28"/>
          <w:highlight w:val="none"/>
          <w:lang w:eastAsia="zh-CN"/>
        </w:rPr>
        <w:t>10. 招标和施工期间配合</w:t>
      </w:r>
    </w:p>
    <w:p w14:paraId="0350E2B2">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10.1 招标期间配合</w:t>
      </w:r>
    </w:p>
    <w:p w14:paraId="7730462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10.1.1 招标配合指设计人配合发包人进行各项招标工作。</w:t>
      </w:r>
    </w:p>
    <w:p w14:paraId="18D75F3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10.1.2 招标人应按发包人规定的时间提供各标段施工招标资格预审所需的工程数量和工程说明；按发包人规定的时间提供各标段的施工招标图纸、工程量清单和参考资料；按发包人要求安排相关人员参加标前会，就有关设计问题进行答疑。</w:t>
      </w:r>
    </w:p>
    <w:p w14:paraId="49D14148">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10.2 施工期间配合</w:t>
      </w:r>
    </w:p>
    <w:p w14:paraId="5FA37DF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10.2.1 施工配合指设计人配合施工承包人，在施工期间提供的补充勘察、设计服务或其他配合工作，直至工程通过竣工验收为止。</w:t>
      </w:r>
    </w:p>
    <w:p w14:paraId="30D1E5C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10.2.2 除专用合同条款另有约定外，发包人应为设计人派赴施工现场的工作人员，在施工期间提供办公房间、办公桌椅、互联网接口、冷暖设施、生活设施、进出现场交通服务和其他便利条件。</w:t>
      </w:r>
    </w:p>
    <w:p w14:paraId="76096A8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10.2.3 设计人应在本工程的施工期间，积极提供勘察设计配合服务，包括并不限于设计技术交底、施工现场服务、参与施工过程验收、参与工程交工验收、参与工程竣工验收等工作。</w:t>
      </w:r>
    </w:p>
    <w:p w14:paraId="581B1F9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10.2.4 发包人应当组织设计技术交底会，由设计人向发包人、监理人和施工承包人等进行设计交底，对本工程的设计意图、设计文件和施工要求等进行系统的说 明和解释。</w:t>
      </w:r>
    </w:p>
    <w:p w14:paraId="0D78519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10.2.5 工程施工完毕后，发包人应当按有关规定组织工程交工验收和工程竣工验收，设计人参加验收并出具本单位的验收结论。如因勘察设计原因致使工程不合格的，设计人应当承担违约责任，免费修改勘察设计文件和赔偿发包人由此产生的经济损失。</w:t>
      </w:r>
    </w:p>
    <w:p w14:paraId="1C79DF2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10.2.6 设计人应在施工现场设立代表处或派驻经验丰富的设计代表常驻施工现场，做好施工现场服务，并负责解决施工过程中出现的设计问题：</w:t>
      </w:r>
    </w:p>
    <w:p w14:paraId="23E74C9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（1）开工前在发包人指定的时间内，做好设计文件的技术交底工作和现场控制点的交接工作（交桩）；</w:t>
      </w:r>
    </w:p>
    <w:p w14:paraId="5332075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（2）在发包人规定的时间内 ，及时处理与解决施工中与设计有关的问题；</w:t>
      </w:r>
    </w:p>
    <w:p w14:paraId="0A04DD0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（3）在发包人规定的时间内，积极配合发包人对施工及设计方案进行优化设计；</w:t>
      </w:r>
    </w:p>
    <w:p w14:paraId="5F0501A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（4）参与工程质量事故分析，并对因设计造成的质量事故，提出相应的技术处理方案；</w:t>
      </w:r>
    </w:p>
    <w:p w14:paraId="7FE0E47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（5）参加本工程的交工、竣工验收， 提交设计工作报告，并配合质量监督部门校核工程是否按施工图设计施工。</w:t>
      </w:r>
    </w:p>
    <w:p w14:paraId="56CF338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发包人对设计代表的数量和资历条件有特定要求的，在专用合同条款中约定。设计人应按发包人提出的要求派驻设计代表，否则按违约处理。</w:t>
      </w:r>
    </w:p>
    <w:p w14:paraId="76CF592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若发包人在工作中发现设计代表不称职或有违法行为时，有权提出更换，设计人应在发包人提出更换通知的 7 天内完成更换工作并使发包人满意。</w:t>
      </w:r>
    </w:p>
    <w:p w14:paraId="0C36AF7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10.2.7 本项目设计变更的勘察设计由设计人承担，设计人应及时完成勘察设计，提交设计变更文件，并对设计变更文件承担相应责任。除本合同第11条规定之外的设计变更，其勘察设计费用应视为已含入合同价格中，发包人不再另行支付。所有设计变更必须提供预算金额并由设计代表签字确认。</w:t>
      </w:r>
    </w:p>
    <w:p w14:paraId="19DE8BCB">
      <w:pPr>
        <w:kinsoku/>
        <w:spacing w:before="137" w:line="286" w:lineRule="auto"/>
        <w:ind w:left="47"/>
        <w:rPr>
          <w:rFonts w:ascii="宋体" w:hAnsi="宋体" w:eastAsia="宋体" w:cs="宋体"/>
          <w:color w:val="auto"/>
          <w:sz w:val="28"/>
          <w:szCs w:val="28"/>
          <w:highlight w:val="none"/>
          <w:lang w:eastAsia="zh-CN"/>
        </w:rPr>
      </w:pPr>
      <w:bookmarkStart w:id="314" w:name="bookmark239"/>
      <w:bookmarkEnd w:id="314"/>
      <w:bookmarkStart w:id="315" w:name="bookmark238"/>
      <w:bookmarkEnd w:id="315"/>
      <w:r>
        <w:rPr>
          <w:rFonts w:hint="eastAsia" w:ascii="宋体" w:hAnsi="宋体" w:eastAsia="宋体" w:cs="宋体"/>
          <w:b/>
          <w:bCs/>
          <w:color w:val="auto"/>
          <w:sz w:val="28"/>
          <w:szCs w:val="28"/>
          <w:highlight w:val="none"/>
          <w:lang w:eastAsia="zh-CN"/>
        </w:rPr>
        <w:t>11. 合同变更</w:t>
      </w:r>
    </w:p>
    <w:p w14:paraId="4ABEA14F">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11.1 变更情形</w:t>
      </w:r>
    </w:p>
    <w:p w14:paraId="3E579FD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11.1.1 合同履行中发生下述情形时，合同一方均可向对方提出变更请求，经双方协商一致后进行变更，勘察设计服务期限和勘察设计费用的调整方法在专用合同条款中约定。</w:t>
      </w:r>
    </w:p>
    <w:p w14:paraId="037ED3B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（1）勘察设计范围发生变化；</w:t>
      </w:r>
    </w:p>
    <w:p w14:paraId="157638E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（2）除不可抗力外，非设计人的原因引起的周期延误；</w:t>
      </w:r>
    </w:p>
    <w:p w14:paraId="55E1A80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（3）非设计人的原因，对工程同一部分重复进行勘察设计；</w:t>
      </w:r>
    </w:p>
    <w:p w14:paraId="642A5CB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（4）非设计人的原因，对工程暂停勘察设计及恢复勘察设计。</w:t>
      </w:r>
    </w:p>
    <w:p w14:paraId="057F95B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11.1.2 基准日后，因颁布新的或修订原有法律、法规、规范和标准等引发合同变更情形的，按照上述约定进行调整。</w:t>
      </w:r>
    </w:p>
    <w:p w14:paraId="02FA8C58">
      <w:pPr>
        <w:kinsoku/>
        <w:spacing w:before="3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11.2 合理化建议</w:t>
      </w:r>
    </w:p>
    <w:p w14:paraId="3CB4CAB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11.2.1 合同履行中，设计人可对发包人要求提出合理化建议。合理化建议应以书面形式提交发包人，被发包人采纳并构成变更的，执行第11.1款约定。</w:t>
      </w:r>
    </w:p>
    <w:p w14:paraId="6B53B93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11.2.2 设计人提出的合理化建议降低了工程投资、缩短了施工期限或者提高了工程经济效益的，发包人应按专用合同条款中的约定给予奖励。</w:t>
      </w:r>
    </w:p>
    <w:p w14:paraId="1A9C63DB">
      <w:pPr>
        <w:kinsoku/>
        <w:spacing w:before="91" w:line="286" w:lineRule="auto"/>
        <w:ind w:left="47"/>
        <w:rPr>
          <w:rFonts w:ascii="宋体" w:hAnsi="宋体" w:eastAsia="宋体" w:cs="宋体"/>
          <w:color w:val="auto"/>
          <w:sz w:val="28"/>
          <w:szCs w:val="28"/>
          <w:highlight w:val="none"/>
        </w:rPr>
      </w:pPr>
      <w:bookmarkStart w:id="316" w:name="bookmark240"/>
      <w:bookmarkEnd w:id="316"/>
      <w:bookmarkStart w:id="317" w:name="bookmark241"/>
      <w:bookmarkEnd w:id="317"/>
      <w:r>
        <w:rPr>
          <w:rFonts w:hint="eastAsia" w:ascii="宋体" w:hAnsi="宋体" w:eastAsia="宋体" w:cs="宋体"/>
          <w:b/>
          <w:bCs/>
          <w:color w:val="auto"/>
          <w:sz w:val="28"/>
          <w:szCs w:val="28"/>
          <w:highlight w:val="none"/>
        </w:rPr>
        <w:t>12. 合同价格与支付</w:t>
      </w:r>
    </w:p>
    <w:p w14:paraId="77B947B9">
      <w:pPr>
        <w:kinsoku/>
        <w:spacing w:before="78" w:line="286" w:lineRule="auto"/>
        <w:ind w:left="526"/>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12.1 合同价格</w:t>
      </w:r>
    </w:p>
    <w:p w14:paraId="1448419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12.1.1 本合同的报价方式、价格调整方式和风险范围划分，在专用合同条款中约定。</w:t>
      </w:r>
    </w:p>
    <w:p w14:paraId="1460CA4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12.1.2 勘察设计费用实行发包人签证制度，即设计人完成勘察设计项目后通知发包人进行验收，通过验收后由发包人代表对实施的勘察设计项目、数量、质量和实施时间签字确认，以此作为计算勘察设计费用的依据之一。</w:t>
      </w:r>
    </w:p>
    <w:p w14:paraId="3D1676B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12.1.3 除专用合同条款另有约定外，合同价格应当包括收集资料，踏勘现场，制订纲要，进行测绘、勘探、取样、试验、测试、分析、设计、评估、审查等，编制勘察设计文件，招标与施工配合等全部费用和国家规定的各项税费。</w:t>
      </w:r>
    </w:p>
    <w:p w14:paraId="0A793E1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12.1.4 发包人要求设计人进行外出考察、试验检测、专项咨询或专家评审时，相应费用不含在合同价格之中，由发包人另行支付。</w:t>
      </w:r>
    </w:p>
    <w:p w14:paraId="6B587D2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12.1.5 设计人为联合体的，发包人应根据勘察设计工作进展向联合体牵头人支付勘察设计费用，由联合体牵头人根据联合体各成员及分包人（如有）实际完成的工作量及完成质量，向联合体各成员及分包人支付合同价款，由此发生的税费等费用统一包含在合同价格内，发包人不另行支付。联合体牵头人提出书面申请时，发 包人也可直接向联合体各成员支付合同价款。</w:t>
      </w:r>
    </w:p>
    <w:p w14:paraId="0528C80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12.1.6 发包人向设计人实际支付的勘察设计费，将不高于施工图设计审批概算中相应勘察设计费的审批额，除非勘察设计费审批额依法予以调整。勘察设计费超出审批额部分发包人将予以扣除，合同价格相应变更，不足部分发包人将不另行支付。</w:t>
      </w:r>
    </w:p>
    <w:p w14:paraId="7558C90A">
      <w:pPr>
        <w:kinsoku/>
        <w:spacing w:before="196"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12.2 预付款</w:t>
      </w:r>
    </w:p>
    <w:p w14:paraId="53FCC85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12.2.1 预付款应专用于本工程的勘察设计。预付款的额度、支付方式在专用合同条款中约定。设计人无须向发包人提交预付款保函，但设计人提交的履约保证金对预付款的正常使用承担保证责任。</w:t>
      </w:r>
    </w:p>
    <w:p w14:paraId="556D96D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12.2.2 发包人应在收到预付款支付申请后28天内，将预付款支付给设计人；设计人应当提供等额的增值税专用发票。</w:t>
      </w:r>
    </w:p>
    <w:p w14:paraId="35D492CD">
      <w:pPr>
        <w:kinsoku/>
        <w:spacing w:before="195" w:line="286" w:lineRule="auto"/>
        <w:ind w:left="526"/>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12.3 中期支付</w:t>
      </w:r>
    </w:p>
    <w:p w14:paraId="1FFF119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12.3.1 设计人应按发包人批准或专用合同条款约定的格式及份数，向发包人提交中期支付申请，并附相应的支持性证明文件。</w:t>
      </w:r>
    </w:p>
    <w:p w14:paraId="0B22A90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12.3.2 发包人应在收到中期支付申请后的28天内，将应付款项支付给设计人；设计人应当提供等额的增值税专用发票。发包人未能在前述时间内完成审批或不予答复的，视为发包人同意中期支付申请。发包人不按期支付的，按专用合同条款的约定支付逾期付款违约金。</w:t>
      </w:r>
    </w:p>
    <w:p w14:paraId="513E692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12.3.3 中期支付涉及政府投资资金的，按照国库集中支付等国家相关规定和专用合同条款的约定执行。</w:t>
      </w:r>
    </w:p>
    <w:p w14:paraId="3DEF2D3C">
      <w:pPr>
        <w:kinsoku/>
        <w:spacing w:before="19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12.4 费用结算</w:t>
      </w:r>
    </w:p>
    <w:p w14:paraId="0FB1685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12.4.1 合同工作完成后，设计人应按专用合同条款约定的份数和期限，向发包人提交勘察设计费用结算申请，并提供相关证明材料。</w:t>
      </w:r>
    </w:p>
    <w:p w14:paraId="130EED4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12.4.2 发包人应在收到费用结算申请后的28天内，将应付款项支付给设计人；设计人应当提供等额的增值税专用发票。发包人未能在前述时间内完成审批或不予答复的，视为发包人同意费用结算申请。发包人不按期支付的，按专用合同条款的约定支付逾期付款违约金。</w:t>
      </w:r>
    </w:p>
    <w:p w14:paraId="3E43934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12.4.3 发包人对费用结算申请内容有异议的，有权要求设计人进行修正和提供补充资料，由设计人重新提交。设计人对此有异议的，按第15条的约定执行。</w:t>
      </w:r>
    </w:p>
    <w:p w14:paraId="41C4E0E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12.4.4 最终结清付款涉及政府投资资金的，按第12.3.3项的约定执行。</w:t>
      </w:r>
    </w:p>
    <w:p w14:paraId="0542CA17">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12.5 暂列金额</w:t>
      </w:r>
    </w:p>
    <w:p w14:paraId="6F95AFE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12.5.1 本合同的暂列金额在专用合同条款中约定。暂列金额应按发包人的书面指示全部或部分地使用，或根本不予动用。</w:t>
      </w:r>
    </w:p>
    <w:p w14:paraId="21786D26">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12.5.2 如果使用暂列金额进行某项额外勘察设计工作、专题研究、审查和会务工作，其费用应按设计人投标报价中相应项目的基本单价和实际发生的工作量经发包人核定后支付，或者按实际发生的工作费用经发包人核实后支付。</w:t>
      </w:r>
    </w:p>
    <w:p w14:paraId="79A3E9F7">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12.6 质量保证金</w:t>
      </w:r>
    </w:p>
    <w:p w14:paraId="785E21B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为保证设计人的设计质量和设计服务，最后一批勘察设计成果文件经上级主管部门批复之后28天内，设计人应向发包人缴纳质量保证金。质量保证金可采用银行保函或现金、支票形式，金额应符合专用合同条款的规定。采用银行保函时，出具保函的银行须具有相应担保能力，且按照发包人批准的格式出具，所需费用由设计人承担，待项目交工证书签发后 28 天内返还给设计人。</w:t>
      </w:r>
    </w:p>
    <w:p w14:paraId="59D7D4E0">
      <w:pPr>
        <w:kinsoku/>
        <w:spacing w:before="296" w:line="286" w:lineRule="auto"/>
        <w:ind w:left="47"/>
        <w:rPr>
          <w:rFonts w:ascii="宋体" w:hAnsi="宋体" w:eastAsia="宋体" w:cs="宋体"/>
          <w:color w:val="auto"/>
          <w:sz w:val="28"/>
          <w:szCs w:val="28"/>
          <w:highlight w:val="none"/>
          <w:lang w:eastAsia="zh-CN"/>
        </w:rPr>
      </w:pPr>
      <w:bookmarkStart w:id="318" w:name="bookmark242"/>
      <w:bookmarkEnd w:id="318"/>
      <w:bookmarkStart w:id="319" w:name="bookmark243"/>
      <w:bookmarkEnd w:id="319"/>
      <w:r>
        <w:rPr>
          <w:rFonts w:hint="eastAsia" w:ascii="宋体" w:hAnsi="宋体" w:eastAsia="宋体" w:cs="宋体"/>
          <w:b/>
          <w:bCs/>
          <w:color w:val="auto"/>
          <w:sz w:val="28"/>
          <w:szCs w:val="28"/>
          <w:highlight w:val="none"/>
          <w:lang w:eastAsia="zh-CN"/>
        </w:rPr>
        <w:t>13. 不可抗力</w:t>
      </w:r>
    </w:p>
    <w:p w14:paraId="385D7E68">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13.1 不可抗力的确认</w:t>
      </w:r>
    </w:p>
    <w:p w14:paraId="0A9DD0D5">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13.1.1 不可抗力是指设计人和发包人在订立合同时不可预见，在履行合同过程中不可避免发生并不能克服的自然灾害和社会性突发事件，如地震、海啸、瘟疫、水灾、骚乱、暴动、战争和专用合同条款约定的其他情形。</w:t>
      </w:r>
    </w:p>
    <w:p w14:paraId="14C9B13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13.1.2 不可抗力发生后，发包人和设计人应及时认真统计所造成的损失，收集不可抗力造成损失的证据。合同双方对是否属于不可抗力或其损失的意见不一致的，由合同双方协商确定。</w:t>
      </w:r>
    </w:p>
    <w:p w14:paraId="5CFAE23A">
      <w:pPr>
        <w:kinsoku/>
        <w:spacing w:before="193"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13.2 不可抗力的通知</w:t>
      </w:r>
    </w:p>
    <w:p w14:paraId="68366AF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13.2.1 合同一方当事人遇到不可抗力事件，使其履行合同义务受到阻碍时，应立即通知合同另一方当事人，书面说明不可抗力和受阻碍的详细情况，并提供必要的证明。</w:t>
      </w:r>
    </w:p>
    <w:p w14:paraId="765A07A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13.2.2 如不可抗力持续发生，合同一方当事人应及时向合同另一方当事人提交中间报告，说明不可抗力和履行合同受阻的情况，并于不可抗力事件结束后28天内提交最终报告及有关资料。</w:t>
      </w:r>
    </w:p>
    <w:p w14:paraId="6ABE2A89">
      <w:pPr>
        <w:kinsoku/>
        <w:spacing w:before="196"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13.3 不可抗力后果及其处理</w:t>
      </w:r>
    </w:p>
    <w:p w14:paraId="2E7951A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13.3.1 不可抗力引起的后果及其损失，应由合同当事人依据法律规定各自承担。不可抗力发生前已完成的勘察设计工作，应当按照合同约定进行支付。</w:t>
      </w:r>
    </w:p>
    <w:p w14:paraId="18E3C42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13.3.2 不可抗力发生后，合同当事人应当采取有效措施避免损失进一步扩大，如未采取有效措施致使损失扩大的，应当自行承担扩大部分的损失。</w:t>
      </w:r>
    </w:p>
    <w:p w14:paraId="3F37F00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13.3.3 因一方当事人迟延履行合同义务，致使迟延履行期间遭遇不可抗力的，应由该当事人承担全部损失。</w:t>
      </w:r>
    </w:p>
    <w:p w14:paraId="44A7C286">
      <w:pPr>
        <w:kinsoku/>
        <w:spacing w:before="296" w:line="286" w:lineRule="auto"/>
        <w:ind w:left="47"/>
        <w:rPr>
          <w:rFonts w:ascii="宋体" w:hAnsi="宋体" w:eastAsia="宋体" w:cs="宋体"/>
          <w:color w:val="auto"/>
          <w:sz w:val="28"/>
          <w:szCs w:val="28"/>
          <w:highlight w:val="none"/>
          <w:lang w:eastAsia="zh-CN"/>
        </w:rPr>
      </w:pPr>
      <w:bookmarkStart w:id="320" w:name="bookmark245"/>
      <w:bookmarkEnd w:id="320"/>
      <w:bookmarkStart w:id="321" w:name="bookmark244"/>
      <w:bookmarkEnd w:id="321"/>
      <w:r>
        <w:rPr>
          <w:rFonts w:hint="eastAsia" w:ascii="宋体" w:hAnsi="宋体" w:eastAsia="宋体" w:cs="宋体"/>
          <w:b/>
          <w:bCs/>
          <w:color w:val="auto"/>
          <w:sz w:val="28"/>
          <w:szCs w:val="28"/>
          <w:highlight w:val="none"/>
          <w:lang w:eastAsia="zh-CN"/>
        </w:rPr>
        <w:t>14. 违约</w:t>
      </w:r>
    </w:p>
    <w:p w14:paraId="334BA2A5">
      <w:pPr>
        <w:kinsoku/>
        <w:spacing w:before="79"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14.1 设计人违约</w:t>
      </w:r>
    </w:p>
    <w:p w14:paraId="0A1DD3C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14.1.1 合同履行中发生下列情况之一的，属设计人违约：</w:t>
      </w:r>
    </w:p>
    <w:p w14:paraId="75D4A72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（1）勘察设计文件不符合法律以及合同约定；</w:t>
      </w:r>
    </w:p>
    <w:p w14:paraId="1D3D526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（2）设计人转包、违法分包或者未经发包人同意擅自分包；</w:t>
      </w:r>
    </w:p>
    <w:p w14:paraId="4B94F52F">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（3）设计人未按合同计划完成勘察设计（发包人同意延期的除外）；</w:t>
      </w:r>
    </w:p>
    <w:p w14:paraId="3080615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（4）设计人无法履行或停止履行合同；</w:t>
      </w:r>
    </w:p>
    <w:p w14:paraId="21DD62DA">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（5）在收到发包人或咨询单位或上级主管部门提出的审查意见后，设计人未在专用合同条款规定的期限内完成对勘察设计文件的修改；</w:t>
      </w:r>
    </w:p>
    <w:p w14:paraId="03583AD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（6）设计人在投标文件中承诺的或按合同文件约定的投入本项目的主要勘察设计人员发生变化（因不可抗力引起的人员变动除外）；</w:t>
      </w:r>
    </w:p>
    <w:p w14:paraId="66219A93">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（7）设计人未按照本合同第10.1款规定提供招标期间的配合服务；</w:t>
      </w:r>
    </w:p>
    <w:p w14:paraId="565F6FF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（8）设计人未及时选派合格的设计代表进驻施工现场，或未能在发包人和设计人约定的时间内给予答复、完成变更设计；</w:t>
      </w:r>
    </w:p>
    <w:p w14:paraId="4D824A52">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（9）因勘察设计深度不够、资料不足、方案缺陷以及勘察设计质量低劣而被要求返工；</w:t>
      </w:r>
    </w:p>
    <w:p w14:paraId="6C6DAF6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（10）因勘察设计深度不够、资料不足、方案缺陷或质量低劣导致未通过上级主管部门的审查，或导致本项目造价调整率超过专用合同条款中约定的比例；</w:t>
      </w:r>
    </w:p>
    <w:p w14:paraId="16385D4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由于设计人的过失或责任引起本项目发生重大设计变更、较大设计变更或单个合同段因变更引起的工程费用调整累计超过专用合同条款中约定的比例，导致施工工期拖延或者给发包人造成经济损失。重大设计变更及较大设计变更的划分标准参照《公路工程设计变更管理办法》的规定执行；</w:t>
      </w:r>
    </w:p>
    <w:p w14:paraId="2EE430E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（12）由于设计人的过失或责任导致勘察设计质量事故；</w:t>
      </w:r>
    </w:p>
    <w:p w14:paraId="1BB2169D">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（13）设计人不履行合同约定的其他义务。</w:t>
      </w:r>
    </w:p>
    <w:p w14:paraId="3E8C730B">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14.1.2 设计人发生违约情况时，发包人可向设计人发出整改通知，要求其在限定期限内纠正；逾期仍不纠正的，发包人有权解除合同并向设计人发出解除合同通知。设计人应当承担由于违约所造成的费用增加、周期延误和发包人损失等。发包人有权向设计人课以专用合同条款中约定的违约金，并由发包人将其违约行为上报省级交通运输主管部门，作为不良记录纳入全国公路建设市场监督管理系统。</w:t>
      </w:r>
    </w:p>
    <w:p w14:paraId="675FB063">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14.2 发包人违约</w:t>
      </w:r>
    </w:p>
    <w:p w14:paraId="6DDB03D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14.2.1 合同履行中发生下列情况之一的，属发包人违约：</w:t>
      </w:r>
    </w:p>
    <w:p w14:paraId="7062AA3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（1）发包人未按合同约定支付勘察设计费用；</w:t>
      </w:r>
    </w:p>
    <w:p w14:paraId="0963A55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（2）发包人原因造成勘察设计停止；</w:t>
      </w:r>
    </w:p>
    <w:p w14:paraId="7E73E608">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（3）发包人无法履行或停止履行合同；</w:t>
      </w:r>
    </w:p>
    <w:p w14:paraId="7FDA3C3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（4）由于发包人变更勘察设计项目、规模、条件， 或未按合同约定提供勘察设计必需的资料，造成勘察设计的返工、停工、窝工或修改设计；</w:t>
      </w:r>
    </w:p>
    <w:p w14:paraId="5B177B6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（5）发包人无正当理由不按时返还履约保证金、质量保证金；</w:t>
      </w:r>
    </w:p>
    <w:p w14:paraId="626706EC">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（6）发包人不履行合同约定的其他义务。</w:t>
      </w:r>
    </w:p>
    <w:p w14:paraId="3206DEF4">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14.2.2 发包人发生违约情况时，设计人可向发包人发出暂停勘察设计通知，要求其在限定期限内纠正；逾期仍不纠正的，设计人有权解除合同并向发包人发出解除合同通知。发包人应当承担由于违约所造成的费用增加、周期延误和设计人损失等。设计人有权向发包人课以专用合同条款中约定的违约金。</w:t>
      </w:r>
    </w:p>
    <w:p w14:paraId="617C65DD">
      <w:pPr>
        <w:kinsoku/>
        <w:spacing w:before="194"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14.3 第三人造成的违约</w:t>
      </w:r>
    </w:p>
    <w:p w14:paraId="312B6A11">
      <w:pPr>
        <w:kinsoku/>
        <w:spacing w:before="193" w:line="286" w:lineRule="auto"/>
        <w:ind w:left="40" w:right="38" w:firstLine="477"/>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在履行合同过程中，一方当事人因第三人的原因造成违约的，应当向对方当事人承担违约责任。一方当事人和第三人之间的纠纷，依照法律规定或者按照约定解决。</w:t>
      </w:r>
    </w:p>
    <w:p w14:paraId="4B1AB569">
      <w:pPr>
        <w:kinsoku/>
        <w:spacing w:before="137" w:line="286" w:lineRule="auto"/>
        <w:ind w:left="47"/>
        <w:rPr>
          <w:rFonts w:ascii="宋体" w:hAnsi="宋体" w:eastAsia="宋体" w:cs="宋体"/>
          <w:color w:val="auto"/>
          <w:sz w:val="28"/>
          <w:szCs w:val="28"/>
          <w:highlight w:val="none"/>
          <w:lang w:eastAsia="zh-CN"/>
        </w:rPr>
      </w:pPr>
      <w:bookmarkStart w:id="322" w:name="bookmark246"/>
      <w:bookmarkEnd w:id="322"/>
      <w:bookmarkStart w:id="323" w:name="bookmark247"/>
      <w:bookmarkEnd w:id="323"/>
      <w:r>
        <w:rPr>
          <w:rFonts w:hint="eastAsia" w:ascii="宋体" w:hAnsi="宋体" w:eastAsia="宋体" w:cs="宋体"/>
          <w:b/>
          <w:bCs/>
          <w:color w:val="auto"/>
          <w:sz w:val="28"/>
          <w:szCs w:val="28"/>
          <w:highlight w:val="none"/>
          <w:lang w:eastAsia="zh-CN"/>
        </w:rPr>
        <w:t>15. 争议的解决</w:t>
      </w:r>
    </w:p>
    <w:p w14:paraId="09420FF1">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15.1 发包人和设计人在履行合同中发生争议的，可以友好协商解决。合同当事人友好协商解决不成的，可在专用合同条款中约定按下列一种方式解决：</w:t>
      </w:r>
    </w:p>
    <w:p w14:paraId="17A5728E">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（1）向约定的仲裁委员会申请仲裁；</w:t>
      </w:r>
    </w:p>
    <w:p w14:paraId="3EA311A9">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（2）向有管辖权的人民法院提起诉讼。</w:t>
      </w:r>
    </w:p>
    <w:p w14:paraId="1CAF63C7">
      <w:pPr>
        <w:kinsoku/>
        <w:spacing w:before="113" w:line="286" w:lineRule="auto"/>
        <w:ind w:left="37" w:right="204"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15.2 采用仲裁方式最终解决争议的项目，仲裁裁决是终局性的并对发包人和设计人双方均具有约束力。全部仲裁费用应由败诉方承担，或按仲裁委员会裁决的比例分担。</w:t>
      </w:r>
    </w:p>
    <w:p w14:paraId="7C1F28C9">
      <w:pPr>
        <w:kinsoku/>
        <w:spacing w:before="113" w:line="286" w:lineRule="auto"/>
        <w:ind w:left="37" w:right="204" w:firstLine="481"/>
        <w:rPr>
          <w:rFonts w:ascii="宋体" w:hAnsi="宋体" w:eastAsia="宋体" w:cs="宋体"/>
          <w:color w:val="auto"/>
          <w:sz w:val="24"/>
          <w:szCs w:val="24"/>
          <w:highlight w:val="none"/>
          <w:lang w:eastAsia="zh-CN"/>
        </w:rPr>
        <w:sectPr>
          <w:headerReference r:id="rId28" w:type="default"/>
          <w:footerReference r:id="rId29" w:type="default"/>
          <w:pgSz w:w="11907" w:h="16841"/>
          <w:pgMar w:top="1173" w:right="1555" w:bottom="1254" w:left="1615" w:header="862" w:footer="1093" w:gutter="0"/>
          <w:cols w:space="720" w:num="1"/>
        </w:sectPr>
      </w:pPr>
    </w:p>
    <w:p w14:paraId="11D71317">
      <w:pPr>
        <w:kinsoku/>
        <w:spacing w:line="286" w:lineRule="auto"/>
        <w:rPr>
          <w:rFonts w:ascii="宋体" w:hAnsi="宋体" w:eastAsia="宋体" w:cs="宋体"/>
          <w:color w:val="auto"/>
          <w:highlight w:val="none"/>
          <w:lang w:eastAsia="zh-CN"/>
        </w:rPr>
      </w:pPr>
    </w:p>
    <w:p w14:paraId="32BAABAD">
      <w:pPr>
        <w:kinsoku/>
        <w:spacing w:before="101" w:line="286" w:lineRule="auto"/>
        <w:ind w:left="2789"/>
        <w:outlineLvl w:val="1"/>
        <w:rPr>
          <w:rFonts w:ascii="宋体" w:hAnsi="宋体" w:eastAsia="宋体" w:cs="宋体"/>
          <w:color w:val="auto"/>
          <w:sz w:val="13"/>
          <w:szCs w:val="13"/>
          <w:highlight w:val="none"/>
          <w:lang w:eastAsia="zh-CN"/>
        </w:rPr>
      </w:pPr>
      <w:bookmarkStart w:id="324" w:name="bookmark249"/>
      <w:bookmarkEnd w:id="324"/>
      <w:bookmarkStart w:id="325" w:name="bookmark248"/>
      <w:bookmarkEnd w:id="325"/>
      <w:bookmarkStart w:id="326" w:name="_Toc134"/>
      <w:r>
        <w:rPr>
          <w:rFonts w:hint="eastAsia" w:ascii="宋体" w:hAnsi="宋体" w:eastAsia="宋体" w:cs="宋体"/>
          <w:color w:val="auto"/>
          <w:sz w:val="31"/>
          <w:szCs w:val="31"/>
          <w:highlight w:val="none"/>
          <w:lang w:eastAsia="zh-CN"/>
        </w:rPr>
        <w:t>第二节 专用合同条款</w:t>
      </w:r>
      <w:bookmarkEnd w:id="326"/>
    </w:p>
    <w:p w14:paraId="5EFB21EE">
      <w:pPr>
        <w:kinsoku/>
        <w:spacing w:before="235" w:line="286" w:lineRule="auto"/>
        <w:ind w:left="46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说明：</w:t>
      </w:r>
    </w:p>
    <w:p w14:paraId="5779DBE5">
      <w:pPr>
        <w:kinsoku/>
        <w:spacing w:before="233" w:line="286" w:lineRule="auto"/>
        <w:ind w:left="459" w:right="31" w:firstLine="5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招标人在根据《公路工程标准勘察设计招标文件》编制项目招标文件中的“专用合同条款”时，可根据招标项目的具体特点和实际需要，对“通用合同条款”进行补充、细化。在“专用合同条款”中补充或细化的内容，不得违反法律、行政法规的强制性规定和平等、自愿、公平和诚实信用原则。</w:t>
      </w:r>
    </w:p>
    <w:p w14:paraId="50A24913">
      <w:pPr>
        <w:kinsoku/>
        <w:spacing w:before="233" w:line="286" w:lineRule="auto"/>
        <w:ind w:left="459" w:right="31" w:firstLine="50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2.专用合同条款的编号应与通用合同条款一致。</w:t>
      </w:r>
    </w:p>
    <w:p w14:paraId="166C5048">
      <w:pPr>
        <w:kinsoku/>
        <w:spacing w:line="286" w:lineRule="auto"/>
        <w:rPr>
          <w:rFonts w:ascii="宋体" w:hAnsi="宋体" w:eastAsia="宋体" w:cs="宋体"/>
          <w:color w:val="auto"/>
          <w:highlight w:val="none"/>
          <w:lang w:eastAsia="zh-CN"/>
        </w:rPr>
      </w:pPr>
    </w:p>
    <w:p w14:paraId="7E0B1BE2">
      <w:pPr>
        <w:kinsoku/>
        <w:spacing w:line="286" w:lineRule="auto"/>
        <w:rPr>
          <w:rFonts w:ascii="宋体" w:hAnsi="宋体" w:eastAsia="宋体" w:cs="宋体"/>
          <w:color w:val="auto"/>
          <w:highlight w:val="none"/>
          <w:lang w:eastAsia="zh-CN"/>
        </w:rPr>
      </w:pPr>
    </w:p>
    <w:p w14:paraId="72E94D87">
      <w:pPr>
        <w:kinsoku/>
        <w:spacing w:line="286" w:lineRule="auto"/>
        <w:rPr>
          <w:rFonts w:ascii="宋体" w:hAnsi="宋体" w:eastAsia="宋体" w:cs="宋体"/>
          <w:color w:val="auto"/>
          <w:highlight w:val="none"/>
          <w:lang w:eastAsia="zh-CN"/>
        </w:rPr>
      </w:pPr>
    </w:p>
    <w:p w14:paraId="30004EE1">
      <w:pPr>
        <w:kinsoku/>
        <w:spacing w:line="286" w:lineRule="auto"/>
        <w:rPr>
          <w:rFonts w:ascii="宋体" w:hAnsi="宋体" w:eastAsia="宋体" w:cs="宋体"/>
          <w:color w:val="auto"/>
          <w:highlight w:val="none"/>
          <w:lang w:eastAsia="zh-CN"/>
        </w:rPr>
      </w:pPr>
    </w:p>
    <w:p w14:paraId="67508C9D">
      <w:pPr>
        <w:kinsoku/>
        <w:spacing w:line="286" w:lineRule="auto"/>
        <w:rPr>
          <w:rFonts w:ascii="宋体" w:hAnsi="宋体" w:eastAsia="宋体" w:cs="宋体"/>
          <w:color w:val="auto"/>
          <w:highlight w:val="none"/>
          <w:lang w:eastAsia="zh-CN"/>
        </w:rPr>
      </w:pPr>
    </w:p>
    <w:p w14:paraId="5C2E4E03">
      <w:pPr>
        <w:kinsoku/>
        <w:spacing w:line="286" w:lineRule="auto"/>
        <w:rPr>
          <w:rFonts w:ascii="宋体" w:hAnsi="宋体" w:eastAsia="宋体" w:cs="宋体"/>
          <w:color w:val="auto"/>
          <w:highlight w:val="none"/>
          <w:lang w:eastAsia="zh-CN"/>
        </w:rPr>
      </w:pPr>
    </w:p>
    <w:p w14:paraId="7C3A807F">
      <w:pPr>
        <w:kinsoku/>
        <w:spacing w:line="286" w:lineRule="auto"/>
        <w:rPr>
          <w:rFonts w:ascii="宋体" w:hAnsi="宋体" w:eastAsia="宋体" w:cs="宋体"/>
          <w:color w:val="auto"/>
          <w:highlight w:val="none"/>
          <w:lang w:eastAsia="zh-CN"/>
        </w:rPr>
      </w:pPr>
    </w:p>
    <w:p w14:paraId="600E5BBD">
      <w:pPr>
        <w:kinsoku/>
        <w:spacing w:line="286" w:lineRule="auto"/>
        <w:rPr>
          <w:rFonts w:ascii="宋体" w:hAnsi="宋体" w:eastAsia="宋体" w:cs="宋体"/>
          <w:color w:val="auto"/>
          <w:highlight w:val="none"/>
          <w:lang w:eastAsia="zh-CN"/>
        </w:rPr>
      </w:pPr>
    </w:p>
    <w:p w14:paraId="398BB1FB">
      <w:pPr>
        <w:kinsoku/>
        <w:spacing w:line="286" w:lineRule="auto"/>
        <w:rPr>
          <w:rFonts w:ascii="宋体" w:hAnsi="宋体" w:eastAsia="宋体" w:cs="宋体"/>
          <w:color w:val="auto"/>
          <w:highlight w:val="none"/>
          <w:lang w:eastAsia="zh-CN"/>
        </w:rPr>
      </w:pPr>
    </w:p>
    <w:p w14:paraId="5314F325">
      <w:pPr>
        <w:kinsoku/>
        <w:spacing w:line="286" w:lineRule="auto"/>
        <w:rPr>
          <w:rFonts w:ascii="宋体" w:hAnsi="宋体" w:eastAsia="宋体" w:cs="宋体"/>
          <w:color w:val="auto"/>
          <w:highlight w:val="none"/>
          <w:lang w:eastAsia="zh-CN"/>
        </w:rPr>
      </w:pPr>
    </w:p>
    <w:p w14:paraId="79C601ED">
      <w:pPr>
        <w:kinsoku/>
        <w:spacing w:line="286" w:lineRule="auto"/>
        <w:rPr>
          <w:rFonts w:ascii="宋体" w:hAnsi="宋体" w:eastAsia="宋体" w:cs="宋体"/>
          <w:color w:val="auto"/>
          <w:highlight w:val="none"/>
          <w:lang w:eastAsia="zh-CN"/>
        </w:rPr>
      </w:pPr>
    </w:p>
    <w:p w14:paraId="35CE7717">
      <w:pPr>
        <w:kinsoku/>
        <w:spacing w:line="286" w:lineRule="auto"/>
        <w:rPr>
          <w:rFonts w:ascii="宋体" w:hAnsi="宋体" w:eastAsia="宋体" w:cs="宋体"/>
          <w:color w:val="auto"/>
          <w:highlight w:val="none"/>
          <w:lang w:eastAsia="zh-CN"/>
        </w:rPr>
      </w:pPr>
    </w:p>
    <w:p w14:paraId="3C987F2F">
      <w:pPr>
        <w:kinsoku/>
        <w:spacing w:line="286" w:lineRule="auto"/>
        <w:rPr>
          <w:rFonts w:ascii="宋体" w:hAnsi="宋体" w:eastAsia="宋体" w:cs="宋体"/>
          <w:color w:val="auto"/>
          <w:highlight w:val="none"/>
          <w:lang w:eastAsia="zh-CN"/>
        </w:rPr>
      </w:pPr>
    </w:p>
    <w:p w14:paraId="1887BB6E">
      <w:pPr>
        <w:kinsoku/>
        <w:spacing w:line="286" w:lineRule="auto"/>
        <w:rPr>
          <w:rFonts w:ascii="宋体" w:hAnsi="宋体" w:eastAsia="宋体" w:cs="宋体"/>
          <w:color w:val="auto"/>
          <w:highlight w:val="none"/>
          <w:lang w:eastAsia="zh-CN"/>
        </w:rPr>
      </w:pPr>
    </w:p>
    <w:p w14:paraId="76219C83">
      <w:pPr>
        <w:kinsoku/>
        <w:spacing w:line="286" w:lineRule="auto"/>
        <w:rPr>
          <w:rFonts w:ascii="宋体" w:hAnsi="宋体" w:eastAsia="宋体" w:cs="宋体"/>
          <w:color w:val="auto"/>
          <w:highlight w:val="none"/>
          <w:lang w:eastAsia="zh-CN"/>
        </w:rPr>
      </w:pPr>
    </w:p>
    <w:p w14:paraId="2BD7CD22">
      <w:pPr>
        <w:kinsoku/>
        <w:spacing w:line="286" w:lineRule="auto"/>
        <w:rPr>
          <w:rFonts w:ascii="宋体" w:hAnsi="宋体" w:eastAsia="宋体" w:cs="宋体"/>
          <w:color w:val="auto"/>
          <w:highlight w:val="none"/>
          <w:lang w:eastAsia="zh-CN"/>
        </w:rPr>
      </w:pPr>
    </w:p>
    <w:p w14:paraId="4CF84E3E">
      <w:pPr>
        <w:kinsoku/>
        <w:spacing w:line="286" w:lineRule="auto"/>
        <w:rPr>
          <w:rFonts w:ascii="宋体" w:hAnsi="宋体" w:eastAsia="宋体" w:cs="宋体"/>
          <w:color w:val="auto"/>
          <w:highlight w:val="none"/>
          <w:lang w:eastAsia="zh-CN"/>
        </w:rPr>
      </w:pPr>
    </w:p>
    <w:p w14:paraId="4401CE3F">
      <w:pPr>
        <w:kinsoku/>
        <w:spacing w:line="286" w:lineRule="auto"/>
        <w:rPr>
          <w:rFonts w:ascii="宋体" w:hAnsi="宋体" w:eastAsia="宋体" w:cs="宋体"/>
          <w:color w:val="auto"/>
          <w:highlight w:val="none"/>
          <w:lang w:eastAsia="zh-CN"/>
        </w:rPr>
      </w:pPr>
    </w:p>
    <w:p w14:paraId="0D2DBDA4">
      <w:pPr>
        <w:kinsoku/>
        <w:spacing w:line="286" w:lineRule="auto"/>
        <w:rPr>
          <w:rFonts w:ascii="宋体" w:hAnsi="宋体" w:eastAsia="宋体" w:cs="宋体"/>
          <w:color w:val="auto"/>
          <w:highlight w:val="none"/>
          <w:lang w:eastAsia="zh-CN"/>
        </w:rPr>
      </w:pPr>
    </w:p>
    <w:p w14:paraId="6BEDC71A">
      <w:pPr>
        <w:kinsoku/>
        <w:spacing w:line="286" w:lineRule="auto"/>
        <w:rPr>
          <w:rFonts w:ascii="宋体" w:hAnsi="宋体" w:eastAsia="宋体" w:cs="宋体"/>
          <w:color w:val="auto"/>
          <w:highlight w:val="none"/>
          <w:lang w:eastAsia="zh-CN"/>
        </w:rPr>
      </w:pPr>
    </w:p>
    <w:p w14:paraId="58427F9A">
      <w:pPr>
        <w:kinsoku/>
        <w:spacing w:line="286" w:lineRule="auto"/>
        <w:rPr>
          <w:rFonts w:ascii="宋体" w:hAnsi="宋体" w:eastAsia="宋体" w:cs="宋体"/>
          <w:color w:val="auto"/>
          <w:highlight w:val="none"/>
          <w:lang w:eastAsia="zh-CN"/>
        </w:rPr>
      </w:pPr>
    </w:p>
    <w:p w14:paraId="3352DC55">
      <w:pPr>
        <w:kinsoku/>
        <w:spacing w:line="286" w:lineRule="auto"/>
        <w:rPr>
          <w:rFonts w:ascii="宋体" w:hAnsi="宋体" w:eastAsia="宋体" w:cs="宋体"/>
          <w:color w:val="auto"/>
          <w:highlight w:val="none"/>
          <w:lang w:eastAsia="zh-CN"/>
        </w:rPr>
      </w:pPr>
    </w:p>
    <w:p w14:paraId="59BF8356">
      <w:pPr>
        <w:kinsoku/>
        <w:spacing w:line="286" w:lineRule="auto"/>
        <w:rPr>
          <w:rFonts w:ascii="宋体" w:hAnsi="宋体" w:eastAsia="宋体" w:cs="宋体"/>
          <w:color w:val="auto"/>
          <w:highlight w:val="none"/>
          <w:lang w:eastAsia="zh-CN"/>
        </w:rPr>
      </w:pPr>
    </w:p>
    <w:p w14:paraId="2B603EE0">
      <w:pPr>
        <w:kinsoku/>
        <w:spacing w:line="286" w:lineRule="auto"/>
        <w:rPr>
          <w:rFonts w:ascii="宋体" w:hAnsi="宋体" w:eastAsia="宋体" w:cs="宋体"/>
          <w:color w:val="auto"/>
          <w:highlight w:val="none"/>
          <w:lang w:eastAsia="zh-CN"/>
        </w:rPr>
      </w:pPr>
    </w:p>
    <w:p w14:paraId="10B4B7AB">
      <w:pPr>
        <w:kinsoku/>
        <w:spacing w:line="286" w:lineRule="auto"/>
        <w:rPr>
          <w:rFonts w:ascii="宋体" w:hAnsi="宋体" w:eastAsia="宋体" w:cs="宋体"/>
          <w:color w:val="auto"/>
          <w:highlight w:val="none"/>
          <w:lang w:eastAsia="zh-CN"/>
        </w:rPr>
      </w:pPr>
    </w:p>
    <w:p w14:paraId="6A9E08BF">
      <w:pPr>
        <w:kinsoku/>
        <w:spacing w:line="286" w:lineRule="auto"/>
        <w:rPr>
          <w:rFonts w:ascii="宋体" w:hAnsi="宋体" w:eastAsia="宋体" w:cs="宋体"/>
          <w:color w:val="auto"/>
          <w:highlight w:val="none"/>
          <w:lang w:eastAsia="zh-CN"/>
        </w:rPr>
      </w:pPr>
    </w:p>
    <w:p w14:paraId="13E96364">
      <w:pPr>
        <w:kinsoku/>
        <w:spacing w:line="286" w:lineRule="auto"/>
        <w:rPr>
          <w:rFonts w:ascii="宋体" w:hAnsi="宋体" w:eastAsia="宋体" w:cs="宋体"/>
          <w:color w:val="auto"/>
          <w:highlight w:val="none"/>
          <w:lang w:eastAsia="zh-CN"/>
        </w:rPr>
      </w:pPr>
    </w:p>
    <w:p w14:paraId="57A90F60">
      <w:pPr>
        <w:kinsoku/>
        <w:spacing w:line="286" w:lineRule="auto"/>
        <w:rPr>
          <w:rFonts w:ascii="宋体" w:hAnsi="宋体" w:eastAsia="宋体" w:cs="宋体"/>
          <w:color w:val="auto"/>
          <w:highlight w:val="none"/>
          <w:lang w:eastAsia="zh-CN"/>
        </w:rPr>
      </w:pPr>
    </w:p>
    <w:p w14:paraId="49AE205E">
      <w:pPr>
        <w:kinsoku/>
        <w:spacing w:line="286" w:lineRule="auto"/>
        <w:rPr>
          <w:rFonts w:ascii="宋体" w:hAnsi="宋体" w:eastAsia="宋体" w:cs="宋体"/>
          <w:color w:val="auto"/>
          <w:highlight w:val="none"/>
          <w:lang w:eastAsia="zh-CN"/>
        </w:rPr>
      </w:pPr>
    </w:p>
    <w:p w14:paraId="68BC9BFE">
      <w:pPr>
        <w:kinsoku/>
        <w:spacing w:line="286" w:lineRule="auto"/>
        <w:rPr>
          <w:rFonts w:ascii="宋体" w:hAnsi="宋体" w:eastAsia="宋体" w:cs="宋体"/>
          <w:color w:val="auto"/>
          <w:highlight w:val="none"/>
          <w:lang w:eastAsia="zh-CN"/>
        </w:rPr>
      </w:pPr>
    </w:p>
    <w:p w14:paraId="1ADF2823">
      <w:pPr>
        <w:kinsoku/>
        <w:spacing w:line="286"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br w:type="page"/>
      </w:r>
    </w:p>
    <w:p w14:paraId="6376F484">
      <w:pPr>
        <w:kinsoku/>
        <w:spacing w:before="78" w:line="286"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根据本项目的具体情况，对通用合同条款的内容作如下补充、细化：</w:t>
      </w:r>
    </w:p>
    <w:p w14:paraId="3D36B706">
      <w:pPr>
        <w:kinsoku/>
        <w:spacing w:line="286" w:lineRule="auto"/>
        <w:rPr>
          <w:rFonts w:ascii="宋体" w:hAnsi="宋体" w:eastAsia="宋体" w:cs="宋体"/>
          <w:color w:val="auto"/>
          <w:highlight w:val="none"/>
          <w:lang w:eastAsia="zh-CN"/>
        </w:rPr>
      </w:pPr>
    </w:p>
    <w:p w14:paraId="6150B4F7">
      <w:pPr>
        <w:kinsoku/>
        <w:spacing w:before="91" w:line="286" w:lineRule="auto"/>
        <w:ind w:left="47"/>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1. 一般约定</w:t>
      </w:r>
    </w:p>
    <w:p w14:paraId="7E9614AA">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 词语定义</w:t>
      </w:r>
    </w:p>
    <w:p w14:paraId="1ABF0749">
      <w:pPr>
        <w:kinsoku/>
        <w:spacing w:before="194" w:line="286" w:lineRule="auto"/>
        <w:ind w:left="536"/>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"file:///F:\\2025年项目\\预招标\\机场路\\新建文件夹\\1.1.2.2" </w:instrText>
      </w:r>
      <w:r>
        <w:rPr>
          <w:color w:val="auto"/>
          <w:highlight w:val="none"/>
        </w:rPr>
        <w:fldChar w:fldCharType="separate"/>
      </w:r>
      <w:r>
        <w:rPr>
          <w:rFonts w:hint="eastAsia" w:ascii="宋体" w:hAnsi="宋体" w:eastAsia="宋体" w:cs="宋体"/>
          <w:color w:val="auto"/>
          <w:sz w:val="24"/>
          <w:szCs w:val="24"/>
          <w:highlight w:val="none"/>
          <w:lang w:eastAsia="zh-CN"/>
        </w:rPr>
        <w:t>1.1.2.2</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发包人：</w:t>
      </w:r>
      <w:r>
        <w:rPr>
          <w:rFonts w:hint="eastAsia" w:ascii="宋体" w:hAnsi="宋体" w:eastAsia="宋体" w:cs="宋体"/>
          <w:color w:val="auto"/>
          <w:sz w:val="24"/>
          <w:szCs w:val="24"/>
          <w:highlight w:val="none"/>
          <w:u w:val="single"/>
          <w:lang w:eastAsia="zh-CN"/>
        </w:rPr>
        <w:t xml:space="preserve"> 韶关市粤丹工程管理有限公司 </w:t>
      </w:r>
      <w:r>
        <w:rPr>
          <w:rFonts w:hint="eastAsia" w:ascii="宋体" w:hAnsi="宋体" w:eastAsia="宋体" w:cs="宋体"/>
          <w:color w:val="auto"/>
          <w:sz w:val="24"/>
          <w:szCs w:val="24"/>
          <w:highlight w:val="none"/>
          <w:lang w:eastAsia="zh-CN"/>
        </w:rPr>
        <w:t>。</w:t>
      </w:r>
    </w:p>
    <w:p w14:paraId="413C65F4">
      <w:pPr>
        <w:kinsoku/>
        <w:spacing w:before="194" w:line="286" w:lineRule="auto"/>
        <w:ind w:right="-302" w:rightChars="-144" w:firstLine="539" w:firstLineChars="257"/>
        <w:rPr>
          <w:rFonts w:ascii="宋体" w:hAnsi="宋体" w:eastAsia="宋体" w:cs="宋体"/>
          <w:color w:val="auto"/>
          <w:sz w:val="24"/>
          <w:szCs w:val="24"/>
          <w:highlight w:val="none"/>
          <w:lang w:eastAsia="zh-CN"/>
        </w:rPr>
      </w:pPr>
      <w:r>
        <w:rPr>
          <w:color w:val="auto"/>
          <w:highlight w:val="none"/>
        </w:rPr>
        <w:fldChar w:fldCharType="begin"/>
      </w:r>
      <w:r>
        <w:rPr>
          <w:color w:val="auto"/>
          <w:highlight w:val="none"/>
        </w:rPr>
        <w:instrText xml:space="preserve"> HYPERLINK "file:///F:\\2025年项目\\预招标\\机场路\\新建文件夹\\1.1.3.1" </w:instrText>
      </w:r>
      <w:r>
        <w:rPr>
          <w:color w:val="auto"/>
          <w:highlight w:val="none"/>
        </w:rPr>
        <w:fldChar w:fldCharType="separate"/>
      </w:r>
      <w:r>
        <w:rPr>
          <w:rFonts w:hint="eastAsia" w:ascii="宋体" w:hAnsi="宋体" w:eastAsia="宋体" w:cs="宋体"/>
          <w:color w:val="auto"/>
          <w:sz w:val="24"/>
          <w:szCs w:val="24"/>
          <w:highlight w:val="none"/>
          <w:lang w:eastAsia="zh-CN"/>
        </w:rPr>
        <w:t>1.1.3.1</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 xml:space="preserve"> 本次进行设计招标的项目为</w:t>
      </w:r>
      <w:r>
        <w:rPr>
          <w:rFonts w:hint="eastAsia" w:ascii="宋体" w:hAnsi="宋体" w:eastAsia="宋体" w:cs="宋体"/>
          <w:color w:val="auto"/>
          <w:sz w:val="24"/>
          <w:szCs w:val="24"/>
          <w:highlight w:val="none"/>
          <w:u w:val="single"/>
          <w:lang w:eastAsia="zh-CN"/>
        </w:rPr>
        <w:t xml:space="preserve"> 韶关市S246 线十里亭大桥至糖寮段公路改线工程、乳源县桂头镇至韶关丹霞机场公路新建工程（韶关机场进场道路）</w:t>
      </w:r>
      <w:r>
        <w:rPr>
          <w:rFonts w:hint="eastAsia" w:ascii="宋体" w:hAnsi="宋体" w:eastAsia="宋体" w:cs="宋体"/>
          <w:color w:val="auto"/>
          <w:sz w:val="24"/>
          <w:szCs w:val="24"/>
          <w:highlight w:val="none"/>
          <w:lang w:eastAsia="zh-CN"/>
        </w:rPr>
        <w:t>。</w:t>
      </w:r>
      <w:bookmarkStart w:id="327" w:name="_Toc7358"/>
      <w:bookmarkStart w:id="328" w:name="_Toc28009"/>
    </w:p>
    <w:p w14:paraId="5D169D23">
      <w:pPr>
        <w:kinsoku/>
        <w:spacing w:before="194" w:line="286" w:lineRule="auto"/>
        <w:ind w:left="536"/>
        <w:rPr>
          <w:rFonts w:ascii="宋体" w:hAnsi="宋体" w:eastAsia="宋体"/>
          <w:color w:val="auto"/>
          <w:sz w:val="24"/>
          <w:highlight w:val="none"/>
          <w:lang w:eastAsia="zh-CN"/>
        </w:rPr>
      </w:pPr>
      <w:r>
        <w:rPr>
          <w:rFonts w:ascii="宋体" w:hAnsi="宋体" w:eastAsia="宋体"/>
          <w:color w:val="auto"/>
          <w:sz w:val="24"/>
          <w:highlight w:val="none"/>
          <w:lang w:eastAsia="zh-CN"/>
        </w:rPr>
        <w:t xml:space="preserve">1.1.3.2 </w:t>
      </w:r>
      <w:r>
        <w:rPr>
          <w:rFonts w:hint="eastAsia" w:ascii="宋体" w:hAnsi="宋体" w:eastAsia="宋体"/>
          <w:color w:val="auto"/>
          <w:sz w:val="24"/>
          <w:highlight w:val="none"/>
          <w:lang w:eastAsia="zh-CN"/>
        </w:rPr>
        <w:t>本合同包括的具体设计服务内容：</w:t>
      </w:r>
      <w:r>
        <w:rPr>
          <w:rFonts w:ascii="宋体" w:hAnsi="宋体" w:eastAsia="宋体"/>
          <w:color w:val="auto"/>
          <w:sz w:val="24"/>
          <w:highlight w:val="none"/>
          <w:u w:val="single"/>
          <w:lang w:eastAsia="zh-CN"/>
        </w:rPr>
        <w:t xml:space="preserve"> </w:t>
      </w:r>
      <w:r>
        <w:rPr>
          <w:rFonts w:hint="eastAsia" w:ascii="宋体" w:hAnsi="宋体" w:eastAsia="宋体"/>
          <w:color w:val="auto"/>
          <w:sz w:val="24"/>
          <w:highlight w:val="none"/>
          <w:u w:val="single"/>
          <w:lang w:eastAsia="zh-CN"/>
        </w:rPr>
        <w:t>详见招标公告</w:t>
      </w:r>
      <w:r>
        <w:rPr>
          <w:rFonts w:ascii="宋体" w:hAnsi="宋体" w:eastAsia="宋体"/>
          <w:color w:val="auto"/>
          <w:sz w:val="24"/>
          <w:highlight w:val="none"/>
          <w:u w:val="single"/>
          <w:lang w:eastAsia="zh-CN"/>
        </w:rPr>
        <w:t xml:space="preserve"> </w:t>
      </w:r>
      <w:r>
        <w:rPr>
          <w:rFonts w:hint="eastAsia" w:ascii="宋体" w:hAnsi="宋体" w:eastAsia="宋体"/>
          <w:color w:val="auto"/>
          <w:sz w:val="24"/>
          <w:highlight w:val="none"/>
          <w:lang w:eastAsia="zh-CN"/>
        </w:rPr>
        <w:t>。</w:t>
      </w:r>
      <w:bookmarkEnd w:id="327"/>
      <w:bookmarkEnd w:id="328"/>
      <w:bookmarkStart w:id="329" w:name="_Toc10165"/>
      <w:bookmarkStart w:id="330" w:name="_Toc7157"/>
    </w:p>
    <w:p w14:paraId="1E3B39A2">
      <w:pPr>
        <w:kinsoku/>
        <w:spacing w:before="194" w:line="286" w:lineRule="auto"/>
        <w:ind w:left="536"/>
        <w:rPr>
          <w:rFonts w:ascii="宋体" w:hAnsi="宋体" w:eastAsia="宋体"/>
          <w:color w:val="auto"/>
          <w:sz w:val="24"/>
          <w:highlight w:val="none"/>
          <w:lang w:eastAsia="zh-CN"/>
        </w:rPr>
      </w:pPr>
      <w:r>
        <w:rPr>
          <w:rFonts w:ascii="宋体" w:hAnsi="宋体" w:eastAsia="宋体"/>
          <w:color w:val="auto"/>
          <w:sz w:val="24"/>
          <w:highlight w:val="none"/>
          <w:lang w:eastAsia="zh-CN"/>
        </w:rPr>
        <w:t xml:space="preserve">1.1.3.6 </w:t>
      </w:r>
      <w:r>
        <w:rPr>
          <w:rFonts w:hint="eastAsia" w:ascii="宋体" w:hAnsi="宋体" w:eastAsia="宋体"/>
          <w:color w:val="auto"/>
          <w:sz w:val="24"/>
          <w:highlight w:val="none"/>
          <w:lang w:eastAsia="zh-CN"/>
        </w:rPr>
        <w:t>本合同包括的具体设计文件：</w:t>
      </w:r>
      <w:r>
        <w:rPr>
          <w:rFonts w:ascii="宋体" w:hAnsi="宋体" w:eastAsia="宋体"/>
          <w:color w:val="auto"/>
          <w:sz w:val="24"/>
          <w:highlight w:val="none"/>
          <w:u w:val="single"/>
          <w:lang w:eastAsia="zh-CN"/>
        </w:rPr>
        <w:t xml:space="preserve"> </w:t>
      </w:r>
      <w:r>
        <w:rPr>
          <w:rFonts w:hint="eastAsia" w:ascii="宋体" w:hAnsi="宋体" w:eastAsia="宋体"/>
          <w:color w:val="auto"/>
          <w:sz w:val="24"/>
          <w:highlight w:val="none"/>
          <w:u w:val="single"/>
          <w:lang w:eastAsia="zh-CN"/>
        </w:rPr>
        <w:t>详见招标公告</w:t>
      </w:r>
      <w:r>
        <w:rPr>
          <w:rFonts w:ascii="宋体" w:hAnsi="宋体" w:eastAsia="宋体"/>
          <w:color w:val="auto"/>
          <w:sz w:val="24"/>
          <w:highlight w:val="none"/>
          <w:u w:val="single"/>
          <w:lang w:eastAsia="zh-CN"/>
        </w:rPr>
        <w:t xml:space="preserve"> </w:t>
      </w:r>
      <w:r>
        <w:rPr>
          <w:rFonts w:hint="eastAsia" w:ascii="宋体" w:hAnsi="宋体" w:eastAsia="宋体"/>
          <w:color w:val="auto"/>
          <w:sz w:val="24"/>
          <w:highlight w:val="none"/>
          <w:lang w:eastAsia="zh-CN"/>
        </w:rPr>
        <w:t>。</w:t>
      </w:r>
      <w:bookmarkEnd w:id="329"/>
      <w:bookmarkEnd w:id="330"/>
      <w:bookmarkStart w:id="331" w:name="_Toc7373"/>
      <w:bookmarkStart w:id="332" w:name="_Toc3337"/>
    </w:p>
    <w:p w14:paraId="14400040">
      <w:pPr>
        <w:kinsoku/>
        <w:spacing w:before="194" w:line="286" w:lineRule="auto"/>
        <w:ind w:left="536"/>
        <w:rPr>
          <w:rFonts w:ascii="宋体" w:hAnsi="宋体" w:eastAsia="宋体"/>
          <w:b/>
          <w:bCs/>
          <w:color w:val="auto"/>
          <w:sz w:val="24"/>
          <w:highlight w:val="none"/>
          <w:lang w:eastAsia="zh-CN"/>
        </w:rPr>
      </w:pPr>
      <w:r>
        <w:rPr>
          <w:rFonts w:hint="eastAsia" w:ascii="宋体" w:hAnsi="宋体" w:eastAsia="宋体"/>
          <w:b/>
          <w:bCs/>
          <w:color w:val="auto"/>
          <w:sz w:val="24"/>
          <w:highlight w:val="none"/>
          <w:lang w:eastAsia="zh-CN"/>
        </w:rPr>
        <w:t>增加</w:t>
      </w:r>
      <w:r>
        <w:rPr>
          <w:rFonts w:ascii="宋体" w:hAnsi="宋体" w:eastAsia="宋体"/>
          <w:b/>
          <w:bCs/>
          <w:color w:val="auto"/>
          <w:sz w:val="24"/>
          <w:highlight w:val="none"/>
          <w:lang w:eastAsia="zh-CN"/>
        </w:rPr>
        <w:t>1.1.6.3</w:t>
      </w:r>
      <w:bookmarkEnd w:id="331"/>
      <w:bookmarkEnd w:id="332"/>
      <w:bookmarkStart w:id="333" w:name="_Toc30932"/>
      <w:bookmarkStart w:id="334" w:name="_Toc9787"/>
      <w:r>
        <w:rPr>
          <w:rFonts w:hint="eastAsia" w:ascii="宋体" w:hAnsi="宋体" w:eastAsia="宋体"/>
          <w:b/>
          <w:bCs/>
          <w:color w:val="auto"/>
          <w:sz w:val="24"/>
          <w:highlight w:val="none"/>
          <w:lang w:eastAsia="zh-CN"/>
        </w:rPr>
        <w:t>条款</w:t>
      </w:r>
    </w:p>
    <w:p w14:paraId="5A87A2DB">
      <w:pPr>
        <w:kinsoku/>
        <w:spacing w:before="194" w:line="286" w:lineRule="auto"/>
        <w:ind w:left="536"/>
        <w:rPr>
          <w:color w:val="auto"/>
          <w:highlight w:val="none"/>
          <w:lang w:eastAsia="zh-CN"/>
        </w:rPr>
      </w:pPr>
      <w:r>
        <w:rPr>
          <w:rFonts w:ascii="宋体" w:hAnsi="宋体" w:eastAsia="宋体"/>
          <w:b/>
          <w:bCs/>
          <w:color w:val="auto"/>
          <w:sz w:val="24"/>
          <w:highlight w:val="none"/>
          <w:lang w:eastAsia="zh-CN"/>
        </w:rPr>
        <w:t xml:space="preserve">1.1.6.3 </w:t>
      </w:r>
      <w:r>
        <w:rPr>
          <w:rFonts w:hint="eastAsia" w:ascii="宋体" w:hAnsi="宋体" w:eastAsia="宋体"/>
          <w:b/>
          <w:bCs/>
          <w:color w:val="auto"/>
          <w:sz w:val="24"/>
          <w:highlight w:val="none"/>
          <w:lang w:eastAsia="zh-CN"/>
        </w:rPr>
        <w:t>景观绿化：</w:t>
      </w:r>
      <w:bookmarkEnd w:id="333"/>
      <w:bookmarkStart w:id="335" w:name="_Toc5842"/>
      <w:r>
        <w:rPr>
          <w:rFonts w:hint="eastAsia" w:ascii="宋体" w:hAnsi="宋体" w:eastAsia="宋体"/>
          <w:color w:val="auto"/>
          <w:sz w:val="24"/>
          <w:highlight w:val="none"/>
          <w:lang w:eastAsia="zh-CN"/>
        </w:rPr>
        <w:t>指公路上下边坡碎落台等范围的绿化。</w:t>
      </w:r>
      <w:bookmarkEnd w:id="334"/>
      <w:bookmarkEnd w:id="335"/>
    </w:p>
    <w:p w14:paraId="21CDDDCD">
      <w:pPr>
        <w:kinsoku/>
        <w:spacing w:before="19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1.6 文件的提供和照管</w:t>
      </w:r>
    </w:p>
    <w:p w14:paraId="115DC21A">
      <w:pPr>
        <w:kinsoku/>
        <w:spacing w:before="194" w:line="286" w:lineRule="auto"/>
        <w:ind w:left="39" w:firstLine="49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1.6.2 发包人负责提供的文件包括：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olor w:val="auto"/>
          <w:sz w:val="24"/>
          <w:highlight w:val="none"/>
          <w:u w:val="single"/>
          <w:lang w:eastAsia="zh-CN"/>
        </w:rPr>
        <w:t>前一阶段成果文件</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，提供数量：</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olor w:val="auto"/>
          <w:sz w:val="24"/>
          <w:highlight w:val="none"/>
          <w:u w:val="single"/>
          <w:lang w:eastAsia="zh-CN"/>
        </w:rPr>
        <w:t>一套</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，提供期限：</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w:t>
      </w:r>
    </w:p>
    <w:p w14:paraId="0BEDE410">
      <w:pPr>
        <w:kinsoku/>
        <w:spacing w:before="137" w:line="286" w:lineRule="auto"/>
        <w:ind w:left="33"/>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3. 发包人管理</w:t>
      </w:r>
    </w:p>
    <w:p w14:paraId="4352C2F4">
      <w:pPr>
        <w:kinsoku/>
        <w:spacing w:before="78"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3.2 监理人</w:t>
      </w:r>
    </w:p>
    <w:p w14:paraId="71B83A69">
      <w:pPr>
        <w:kinsoku/>
        <w:spacing w:before="192" w:line="286"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3.2.1 本工程是否委托监理人进行勘察设计监理：</w:t>
      </w:r>
      <w:r>
        <w:rPr>
          <w:rFonts w:hint="eastAsia" w:ascii="宋体" w:hAnsi="宋体" w:eastAsia="宋体" w:cs="宋体"/>
          <w:color w:val="auto"/>
          <w:sz w:val="24"/>
          <w:szCs w:val="24"/>
          <w:highlight w:val="none"/>
          <w:u w:val="single"/>
          <w:lang w:eastAsia="zh-CN"/>
        </w:rPr>
        <w:t xml:space="preserve"> 否 </w:t>
      </w:r>
      <w:r>
        <w:rPr>
          <w:rFonts w:hint="eastAsia" w:ascii="宋体" w:hAnsi="宋体" w:eastAsia="宋体" w:cs="宋体"/>
          <w:color w:val="auto"/>
          <w:sz w:val="24"/>
          <w:szCs w:val="24"/>
          <w:highlight w:val="none"/>
          <w:lang w:eastAsia="zh-CN"/>
        </w:rPr>
        <w:t>。</w:t>
      </w:r>
    </w:p>
    <w:p w14:paraId="6A121146">
      <w:pPr>
        <w:kinsoku/>
        <w:spacing w:before="195" w:line="286" w:lineRule="auto"/>
        <w:ind w:left="37" w:right="188"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如进行勘察设计监理，监理人的监理范围包括：</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；职责权限：</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；总监理工程师：</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w:t>
      </w:r>
    </w:p>
    <w:p w14:paraId="4E3733F3">
      <w:pPr>
        <w:kinsoku/>
        <w:spacing w:before="34" w:line="286" w:lineRule="auto"/>
        <w:ind w:left="514"/>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3.4 决定或答复</w:t>
      </w:r>
    </w:p>
    <w:p w14:paraId="2A85DDE5">
      <w:pPr>
        <w:kinsoku/>
        <w:spacing w:before="194" w:line="286" w:lineRule="auto"/>
        <w:ind w:firstLine="518" w:firstLineChars="21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3.4.1 发包人应在收到设计人书面提出的事项后</w:t>
      </w:r>
      <w:r>
        <w:rPr>
          <w:rFonts w:hint="eastAsia" w:ascii="宋体" w:hAnsi="宋体" w:eastAsia="宋体" w:cs="宋体"/>
          <w:color w:val="auto"/>
          <w:sz w:val="24"/>
          <w:szCs w:val="24"/>
          <w:highlight w:val="none"/>
          <w:u w:val="single"/>
          <w:lang w:eastAsia="zh-CN"/>
        </w:rPr>
        <w:t xml:space="preserve"> 15 </w:t>
      </w:r>
      <w:r>
        <w:rPr>
          <w:rFonts w:hint="eastAsia" w:ascii="宋体" w:hAnsi="宋体" w:eastAsia="宋体" w:cs="宋体"/>
          <w:color w:val="auto"/>
          <w:sz w:val="24"/>
          <w:szCs w:val="24"/>
          <w:highlight w:val="none"/>
          <w:lang w:eastAsia="zh-CN"/>
        </w:rPr>
        <w:t>天内作出书面答复。</w:t>
      </w:r>
    </w:p>
    <w:p w14:paraId="3668056A">
      <w:pPr>
        <w:pStyle w:val="30"/>
        <w:spacing w:line="360" w:lineRule="auto"/>
        <w:jc w:val="left"/>
        <w:outlineLvl w:val="9"/>
        <w:rPr>
          <w:rFonts w:ascii="宋体" w:hAnsi="宋体" w:eastAsia="宋体"/>
          <w:b/>
          <w:bCs/>
          <w:color w:val="auto"/>
          <w:sz w:val="24"/>
          <w:highlight w:val="none"/>
          <w:lang w:eastAsia="zh-CN"/>
        </w:rPr>
      </w:pPr>
      <w:bookmarkStart w:id="336" w:name="_Toc27757"/>
      <w:bookmarkStart w:id="337" w:name="_Toc28962"/>
      <w:r>
        <w:rPr>
          <w:rFonts w:ascii="宋体" w:hAnsi="宋体" w:eastAsia="宋体"/>
          <w:b/>
          <w:bCs/>
          <w:color w:val="auto"/>
          <w:sz w:val="24"/>
          <w:highlight w:val="none"/>
          <w:lang w:eastAsia="zh-CN"/>
        </w:rPr>
        <w:t xml:space="preserve">4. </w:t>
      </w:r>
      <w:r>
        <w:rPr>
          <w:rFonts w:hint="eastAsia" w:ascii="宋体" w:hAnsi="宋体" w:eastAsia="宋体"/>
          <w:b/>
          <w:bCs/>
          <w:color w:val="auto"/>
          <w:sz w:val="24"/>
          <w:highlight w:val="none"/>
          <w:lang w:eastAsia="zh-CN"/>
        </w:rPr>
        <w:t>设计人义务</w:t>
      </w:r>
      <w:bookmarkEnd w:id="336"/>
      <w:bookmarkEnd w:id="337"/>
    </w:p>
    <w:p w14:paraId="01D69854">
      <w:pPr>
        <w:kinsoku/>
        <w:spacing w:before="192" w:line="286" w:lineRule="auto"/>
        <w:ind w:left="518"/>
        <w:rPr>
          <w:rFonts w:ascii="宋体" w:hAnsi="宋体" w:eastAsia="宋体" w:cs="宋体"/>
          <w:color w:val="auto"/>
          <w:sz w:val="24"/>
          <w:szCs w:val="24"/>
          <w:highlight w:val="none"/>
          <w:lang w:eastAsia="zh-CN"/>
        </w:rPr>
      </w:pPr>
      <w:bookmarkStart w:id="338" w:name="_Toc10098"/>
      <w:r>
        <w:rPr>
          <w:rFonts w:hint="eastAsia" w:ascii="宋体" w:hAnsi="宋体" w:eastAsia="宋体" w:cs="宋体"/>
          <w:color w:val="auto"/>
          <w:sz w:val="24"/>
          <w:szCs w:val="24"/>
          <w:highlight w:val="none"/>
          <w:lang w:eastAsia="zh-CN"/>
        </w:rPr>
        <w:t>4.1.6.3 款末增加以下内容：同时不应损害发包人的利益。</w:t>
      </w:r>
      <w:bookmarkEnd w:id="338"/>
      <w:bookmarkStart w:id="339" w:name="_Toc1185"/>
      <w:bookmarkStart w:id="340" w:name="_Toc24981"/>
    </w:p>
    <w:p w14:paraId="68D36BDB">
      <w:pPr>
        <w:kinsoku/>
        <w:spacing w:before="195" w:line="286" w:lineRule="auto"/>
        <w:ind w:left="37" w:right="188" w:firstLine="48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4.1.6.6 款后增加4.1.6.7~4.1.6.21条款</w:t>
      </w:r>
      <w:bookmarkEnd w:id="339"/>
      <w:bookmarkEnd w:id="340"/>
      <w:r>
        <w:rPr>
          <w:rFonts w:hint="eastAsia" w:asciiTheme="majorEastAsia" w:hAnsiTheme="majorEastAsia" w:eastAsiaTheme="majorEastAsia" w:cstheme="majorEastAsia"/>
          <w:color w:val="auto"/>
          <w:sz w:val="24"/>
          <w:szCs w:val="24"/>
          <w:highlight w:val="none"/>
          <w:lang w:eastAsia="zh-CN"/>
        </w:rPr>
        <w:t>，原通用合同条款4.1.6.7款调整为</w:t>
      </w:r>
      <w:r>
        <w:rPr>
          <w:rFonts w:hint="eastAsia" w:asciiTheme="majorEastAsia" w:hAnsiTheme="majorEastAsia" w:eastAsiaTheme="majorEastAsia" w:cstheme="majorEastAsia"/>
          <w:color w:val="auto"/>
          <w:sz w:val="24"/>
          <w:highlight w:val="none"/>
          <w:lang w:eastAsia="zh-CN"/>
        </w:rPr>
        <w:t>4.1.6.24款。</w:t>
      </w:r>
    </w:p>
    <w:p w14:paraId="1F0A3B83">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4.1.6.7 如发包人根据工程需要和政府要求，将本项目中的一部分工点或构造物另行委托设计时，设计人必须向发包人提交已有的原始资料和已完成的设计资料，其费用按已完成的工作量核定。</w:t>
      </w:r>
    </w:p>
    <w:p w14:paraId="18E00AA4">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4.1.6.8 设计人签署合同后每开展一阶段的工作，需将该阶段工作详细内容、进度等上报给发包人，经发包人书面允许后方可开展该阶段工作；且在每个阶段结束后，须由发包人或发包人上级主管单位进行验收。</w:t>
      </w:r>
    </w:p>
    <w:p w14:paraId="53360B5C">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设计人必须按照合同规定进行施工图设计，并进行交叉作业。当设计主管部门对前一段设计进行批复后，其结果影响后一段工作内容时，设计人必须无条件执行批复内容。所有修改的费用，均含入报价中，发包人不另行支付。</w:t>
      </w:r>
    </w:p>
    <w:p w14:paraId="2D4F158F">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4.1.6.9 设计人应充分利用广东省普通干线公路设计标准化既有成果，根据设计标准化的相关文件（含有可能在设计周期内颁布的文件）要求，推行设计标准化在本项目的应用。设计人在使用标准图和参考图时，必须结合具体工程项目特点，认真负责地把握其可靠性、适用性、综合性、科学性，严禁生搬硬套和超范围使用。特别是采用单体构件或部件标准图和参考图时，应对工程结构或构造物进行系统分析、检算，确保整体工程的安全性。</w:t>
      </w:r>
    </w:p>
    <w:p w14:paraId="2A6A3F83">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同时设计人应根据项目特点，科学论证、合理选择桥涵结构物建设方案，树立全寿命设计理念，重视桥涵结构物耐久性设计，延长桥涵结构物使用寿命；推广应用先进可靠的新技术、新工艺和新装备，提高桥梁施工的精细化和标准化水平，以达到缩短工期，节约工程造价的目的。</w:t>
      </w:r>
    </w:p>
    <w:p w14:paraId="18BDA0B1">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4.1.6.10 设计人应结合项目具体情况，贯彻落实广东省普通干线公路设计标准化、造价标准化（含设计工程量编制标准化）编制实施细则。设计人在设计标准化成果使用中发现存在安全质量问题时，应立即采取有效措施，并及时报告，并负责对相关图纸在本项目的修改完善。</w:t>
      </w:r>
    </w:p>
    <w:p w14:paraId="129E99B3">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4.1.6.11 发包人将视情况选择某一段作为先行工程开工（如有），各设计人必须根据发包人的相关要求按时提交先行工程的相关设计文件（图纸、清单、预算等），相关费用已包含在合同报价中，发包人不再另行支付。</w:t>
      </w:r>
    </w:p>
    <w:p w14:paraId="5A0F5EBC">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4.1.6.12 设计人应组成设计项目组驻现场进行设计直至设计文件获得评审通过，设计人员组成需获得发包人同意。设计期间，发包人对项目组人员进行考核，发包人有权对考核不达标设计人进行罚款处罚（累计罚款金额不高于设计费的5%）。在本项目施工各阶段期间派驻设计代表长期驻施工现场。设计代表应满足项目开展要求，及时配合解决有关问题，保障工程顺利进行。</w:t>
      </w:r>
    </w:p>
    <w:p w14:paraId="090A6F4E">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4.1.6.13 广东省交通运输厅已全面推行普通干线公路设计标准化工作，各标段的设计人应按有关规定在本项目设计中充分应用我省公路设计标准化的技术成果。此费用已综合考虑在投标报价中，不另行支付。</w:t>
      </w:r>
    </w:p>
    <w:p w14:paraId="011FC471">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4.1.6.14 对国内设计经验不足或有特殊要求的单位工程或分部工程，若发包人或其上级主管单位认为需要另行单独委托设计，而设计人又尚未开展此项设计工作，发包人将提前通知设计人取消该项设计内容，并合理扣除设计人的设计费，设计人需无条件接受。另行委托的其他设计人承担的设计在提交正式成果前原则上应得到原设计人的同意。设计人为履行上述义务而可能发生的一切费用均视为计入投标报价中，发包人将不另行支付。</w:t>
      </w:r>
    </w:p>
    <w:p w14:paraId="51275028">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4.1.6.15 两阶段设计必须于发包人规定的时段内，在认可的地方进行集中设计。由此而产生的费用已包含在报价中，发包人不另行支付。如果设计人不执行，则视为设计人违约处理。</w:t>
      </w:r>
    </w:p>
    <w:p w14:paraId="2DB5A5A5">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4.1.6.16 为统一全线景观绿化的建设理念，景观绿化专项设计可选择具备相应资质的单位实施，选择的专项设计单位须报发包人批准，否则视设计人违约。</w:t>
      </w:r>
    </w:p>
    <w:p w14:paraId="305C171E">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设计人应在初步设计文件上报阶段引入景观绿化专项设计单位，进行下阶段的景观绿化专项施工图设计，要求与主体施工图设计同步提交，以确保主体工程施工图文件修编过程中，能及时采纳景观设计的相关结论。</w:t>
      </w:r>
    </w:p>
    <w:p w14:paraId="4B30D67B">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设计文件应贯彻落实交通部《关于实施绿色公路建设的指导意见》,此费用已综合考虑在投标报价中，不另行支付。</w:t>
      </w:r>
    </w:p>
    <w:p w14:paraId="30DF821E">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4.1.6.17为统一全线附属区房建工程的建设理念，附属区房建工程专项设计由该合同段中标人选择具有相应资质的单位实施或由其自行设计，选择的专项单位须报发包人批准，否则视设计人违约。</w:t>
      </w:r>
    </w:p>
    <w:p w14:paraId="519CB06B">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设计人应在初步设计阶段引入房建设计单位同步开展初步设计，根据发包人确定的营运管理模式和养护管理方案，编制房建附属设施部分的初步设计方案。初步设计中应充分考虑服务区文化建设、服务区信息化建设等需要，并同步预留交警营房用地、气象服务用地等；在定测阶段设计人应与发包人及房建专项设计单位共同确定沿线房建设施的选址、规模、场区标高、相关设计的接口；施工图设计相互应同步开展工作。中标人需要满足发包人下发的房建设计标准化的专项要求，具体要求待设计人进场后，发包人另行下发。</w:t>
      </w:r>
    </w:p>
    <w:p w14:paraId="743B6659">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val="en-US" w:eastAsia="zh-CN"/>
        </w:rPr>
        <w:t xml:space="preserve">4.1.6.18 </w:t>
      </w:r>
      <w:r>
        <w:rPr>
          <w:rFonts w:hint="eastAsia" w:ascii="宋体" w:hAnsi="宋体" w:cs="宋体"/>
          <w:color w:val="auto"/>
          <w:sz w:val="24"/>
          <w:highlight w:val="none"/>
          <w:lang w:eastAsia="zh-CN"/>
        </w:rPr>
        <w:t>发包人将根据本项目用电需求及沿线供电部门的要求，由交通工程合同段的设计人选择具备相应资质的单位实施或自行设计，如选择专项设计单位必须报发包人批准，否则视设计人违约。</w:t>
      </w:r>
    </w:p>
    <w:p w14:paraId="4ADDF836">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设计人应在初步设计阶段应开展外供电专项设计，并同时征求相关供电部门意见，以便合理确定外供电方案工程规模，包括但不限于完成沿线电力线路铁塔调查、拆迁费用计算等内容，同时将永久用电与施工期间临时用电结合；并应及时将外供电方案报当地供电部门批准。在承包人结合临时用电进行深化设计和外供电报装过程中予以配合。</w:t>
      </w:r>
    </w:p>
    <w:p w14:paraId="441485C3">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w:t>
      </w:r>
      <w:r>
        <w:rPr>
          <w:rFonts w:hint="eastAsia" w:ascii="宋体" w:hAnsi="宋体" w:cs="宋体"/>
          <w:color w:val="auto"/>
          <w:sz w:val="24"/>
          <w:highlight w:val="none"/>
          <w:lang w:val="en-US" w:eastAsia="zh-CN"/>
        </w:rPr>
        <w:t>19</w:t>
      </w:r>
      <w:r>
        <w:rPr>
          <w:rFonts w:hint="eastAsia" w:ascii="宋体" w:hAnsi="宋体" w:cs="宋体"/>
          <w:color w:val="auto"/>
          <w:sz w:val="24"/>
          <w:highlight w:val="none"/>
          <w:lang w:eastAsia="zh-CN"/>
        </w:rPr>
        <w:t xml:space="preserve"> 35kv及以上超高压电力线(如有)迁改工程方案专项设计由交通工程合同段的设计人选择具备相应资质的单位实施,选择的专项设计单位须报发包人批准，否则视设计人违约。</w:t>
      </w:r>
    </w:p>
    <w:p w14:paraId="2CBC0B59">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设计人应在初步设计阶段明确 35kv 及以上超高压电力线(如有)迁改工程方案专项设计单位并同步开展初步设计,以便合理确定超高压电力线迁改工程规模，包括但不限于完成迁改方案设计、迁改方案费用对比等内容;并应及时将超高压电力线迁改工程方案报供电部门批准。</w:t>
      </w:r>
    </w:p>
    <w:p w14:paraId="3C57342C">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4.1.6.2</w:t>
      </w:r>
      <w:r>
        <w:rPr>
          <w:rFonts w:hint="eastAsia" w:ascii="宋体" w:hAnsi="宋体" w:cs="宋体"/>
          <w:color w:val="auto"/>
          <w:sz w:val="24"/>
          <w:highlight w:val="none"/>
          <w:lang w:val="en-US" w:eastAsia="zh-CN"/>
        </w:rPr>
        <w:t>0</w:t>
      </w:r>
      <w:r>
        <w:rPr>
          <w:rFonts w:hint="eastAsia" w:ascii="宋体" w:hAnsi="宋体" w:cs="宋体"/>
          <w:color w:val="auto"/>
          <w:sz w:val="24"/>
          <w:highlight w:val="none"/>
          <w:lang w:eastAsia="zh-CN"/>
        </w:rPr>
        <w:t xml:space="preserve"> 环保水保、声屏障等降噪设施的设计内容设计内容已包含在相应土建标段勘察设计中，相关费用已包含在相应合同总价内，发包人不另行支付。</w:t>
      </w:r>
    </w:p>
    <w:p w14:paraId="61E77B38">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4.1.6.21对于发包人向政府部门申报的前期专项工作，设计人应积极配合发包人和前期专项编制单位，同时，设计人应充分考虑到政府部门审批可能导致的时间延误，合理调配好各阶段的设计工作，努力降低所产生的影响，由此可能产生的费用已包含在投标报价中，发包人不另行支付。</w:t>
      </w:r>
    </w:p>
    <w:p w14:paraId="527FAB80">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4.1.6.22 各设计人应按</w:t>
      </w:r>
      <w:r>
        <w:rPr>
          <w:rFonts w:hint="eastAsia" w:ascii="宋体" w:hAnsi="宋体" w:cs="宋体"/>
          <w:color w:val="auto"/>
          <w:sz w:val="24"/>
          <w:highlight w:val="none"/>
          <w:lang w:val="en-US" w:eastAsia="zh-CN"/>
        </w:rPr>
        <w:t>相关规定</w:t>
      </w:r>
      <w:r>
        <w:rPr>
          <w:rFonts w:hint="eastAsia" w:ascii="宋体" w:hAnsi="宋体" w:cs="宋体"/>
          <w:color w:val="auto"/>
          <w:sz w:val="24"/>
          <w:highlight w:val="none"/>
          <w:lang w:eastAsia="zh-CN"/>
        </w:rPr>
        <w:t>编写安全评价报告和专项安全风险评价报告,并按有关评审意见修改完善,因此发生的费用已包含在投标报价中，发包人不再另行支付。</w:t>
      </w:r>
    </w:p>
    <w:p w14:paraId="5A07759C">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4.1.6.23 按照交通运输部《公路项目安全性评价规范》(JTG BO5-2015)的有关要求，各设计人应选择具备相应资质的第三方单位负责编写全线的公路项目安全评价报告(包括施工图设计阶段和交工阶段)，并按有关评审意见修改完善。选择的第三方单位须报发包人批准，否则视为设计人违约。</w:t>
      </w:r>
    </w:p>
    <w:p w14:paraId="52204FBF">
      <w:pPr>
        <w:kinsoku/>
        <w:spacing w:before="195" w:line="286" w:lineRule="auto"/>
        <w:ind w:left="37" w:right="188" w:firstLine="484"/>
        <w:rPr>
          <w:rFonts w:ascii="宋体" w:hAnsi="宋体" w:cs="宋体"/>
          <w:b/>
          <w:bCs/>
          <w:color w:val="auto"/>
          <w:sz w:val="24"/>
          <w:highlight w:val="none"/>
          <w:lang w:eastAsia="zh-CN"/>
        </w:rPr>
      </w:pPr>
      <w:r>
        <w:rPr>
          <w:rFonts w:hint="eastAsia" w:ascii="宋体" w:hAnsi="宋体" w:cs="宋体"/>
          <w:b/>
          <w:bCs/>
          <w:color w:val="auto"/>
          <w:sz w:val="24"/>
          <w:highlight w:val="none"/>
          <w:lang w:eastAsia="zh-CN"/>
        </w:rPr>
        <w:t>增加以下条款：</w:t>
      </w:r>
      <w:r>
        <w:rPr>
          <w:rFonts w:ascii="宋体" w:hAnsi="宋体" w:cs="宋体"/>
          <w:b/>
          <w:bCs/>
          <w:color w:val="auto"/>
          <w:sz w:val="24"/>
          <w:highlight w:val="none"/>
          <w:lang w:eastAsia="zh-CN"/>
        </w:rPr>
        <w:t>4.1.6.2</w:t>
      </w:r>
      <w:r>
        <w:rPr>
          <w:rFonts w:hint="eastAsia" w:ascii="宋体" w:hAnsi="宋体" w:eastAsia="宋体" w:cs="宋体"/>
          <w:b/>
          <w:bCs/>
          <w:color w:val="auto"/>
          <w:sz w:val="24"/>
          <w:highlight w:val="none"/>
          <w:lang w:eastAsia="zh-CN"/>
        </w:rPr>
        <w:t>5</w:t>
      </w:r>
      <w:r>
        <w:rPr>
          <w:rFonts w:hint="eastAsia" w:ascii="宋体" w:hAnsi="宋体" w:cs="宋体"/>
          <w:b/>
          <w:bCs/>
          <w:color w:val="auto"/>
          <w:sz w:val="24"/>
          <w:highlight w:val="none"/>
          <w:lang w:eastAsia="zh-CN"/>
        </w:rPr>
        <w:t>款</w:t>
      </w:r>
      <w:r>
        <w:rPr>
          <w:rFonts w:ascii="宋体" w:hAnsi="宋体" w:cs="宋体"/>
          <w:b/>
          <w:bCs/>
          <w:color w:val="auto"/>
          <w:sz w:val="24"/>
          <w:highlight w:val="none"/>
          <w:lang w:eastAsia="zh-CN"/>
        </w:rPr>
        <w:t>~4.1.6.</w:t>
      </w:r>
      <w:r>
        <w:rPr>
          <w:rFonts w:hint="eastAsia" w:ascii="宋体" w:hAnsi="宋体" w:eastAsia="宋体" w:cs="宋体"/>
          <w:b/>
          <w:bCs/>
          <w:color w:val="auto"/>
          <w:sz w:val="24"/>
          <w:highlight w:val="none"/>
          <w:lang w:eastAsia="zh-CN"/>
        </w:rPr>
        <w:t>2</w:t>
      </w:r>
      <w:r>
        <w:rPr>
          <w:rFonts w:hint="eastAsia" w:ascii="宋体" w:hAnsi="宋体" w:eastAsia="宋体" w:cs="宋体"/>
          <w:b/>
          <w:bCs/>
          <w:color w:val="auto"/>
          <w:sz w:val="24"/>
          <w:highlight w:val="none"/>
          <w:lang w:val="en-US" w:eastAsia="zh-CN"/>
        </w:rPr>
        <w:t>8</w:t>
      </w:r>
      <w:r>
        <w:rPr>
          <w:rFonts w:hint="eastAsia" w:ascii="宋体" w:hAnsi="宋体" w:cs="宋体"/>
          <w:b/>
          <w:bCs/>
          <w:color w:val="auto"/>
          <w:sz w:val="24"/>
          <w:highlight w:val="none"/>
          <w:lang w:eastAsia="zh-CN"/>
        </w:rPr>
        <w:t>款</w:t>
      </w:r>
    </w:p>
    <w:p w14:paraId="6315A763">
      <w:pPr>
        <w:kinsoku/>
        <w:spacing w:before="195" w:line="286" w:lineRule="auto"/>
        <w:ind w:left="37" w:right="188" w:firstLine="484"/>
        <w:rPr>
          <w:rFonts w:ascii="宋体" w:hAnsi="宋体" w:cs="宋体"/>
          <w:color w:val="auto"/>
          <w:sz w:val="24"/>
          <w:highlight w:val="none"/>
          <w:lang w:eastAsia="zh-CN"/>
        </w:rPr>
      </w:pPr>
      <w:r>
        <w:rPr>
          <w:rFonts w:ascii="宋体" w:hAnsi="宋体" w:cs="宋体"/>
          <w:color w:val="auto"/>
          <w:sz w:val="24"/>
          <w:highlight w:val="none"/>
          <w:lang w:eastAsia="zh-CN"/>
        </w:rPr>
        <w:t>4.1.6.2</w:t>
      </w:r>
      <w:r>
        <w:rPr>
          <w:rFonts w:hint="eastAsia" w:ascii="宋体" w:hAnsi="宋体" w:eastAsia="宋体" w:cs="宋体"/>
          <w:color w:val="auto"/>
          <w:sz w:val="24"/>
          <w:highlight w:val="none"/>
          <w:lang w:eastAsia="zh-CN"/>
        </w:rPr>
        <w:t>5</w:t>
      </w:r>
      <w:r>
        <w:rPr>
          <w:rFonts w:ascii="宋体" w:hAnsi="宋体" w:cs="宋体"/>
          <w:color w:val="auto"/>
          <w:sz w:val="24"/>
          <w:highlight w:val="none"/>
          <w:lang w:eastAsia="zh-CN"/>
        </w:rPr>
        <w:t xml:space="preserve"> </w:t>
      </w:r>
      <w:r>
        <w:rPr>
          <w:rFonts w:hint="eastAsia" w:ascii="宋体" w:hAnsi="宋体" w:cs="宋体"/>
          <w:color w:val="auto"/>
          <w:sz w:val="24"/>
          <w:highlight w:val="none"/>
          <w:lang w:eastAsia="zh-CN"/>
        </w:rPr>
        <w:t>中标人除应按合同规定完成本合同段的勘察设计工作外，还应负责全线的总体勘察设计、统一全线设计风格以及各合同段、各专业设计文件的协调、汇总工作，包括协调、统一文件的编制说明和汇编概（预）算等相关工作，并对全线工程勘察设计的整体性负责，由此可能发生的一切费用均已计入合同价中，发包人不另行支付。所有工作成果均需及时得到发包人的认可同意。</w:t>
      </w:r>
    </w:p>
    <w:p w14:paraId="0DF4A4AF">
      <w:pPr>
        <w:kinsoku/>
        <w:spacing w:before="195" w:line="286" w:lineRule="auto"/>
        <w:ind w:left="37" w:right="188" w:firstLine="484"/>
        <w:rPr>
          <w:rFonts w:ascii="宋体" w:hAnsi="宋体" w:cs="宋体"/>
          <w:color w:val="auto"/>
          <w:sz w:val="24"/>
          <w:highlight w:val="none"/>
          <w:lang w:eastAsia="zh-CN"/>
        </w:rPr>
      </w:pPr>
      <w:r>
        <w:rPr>
          <w:rFonts w:ascii="宋体" w:hAnsi="宋体" w:cs="宋体"/>
          <w:color w:val="auto"/>
          <w:sz w:val="24"/>
          <w:highlight w:val="none"/>
          <w:lang w:eastAsia="zh-CN"/>
        </w:rPr>
        <w:t>4.1.6.2</w:t>
      </w:r>
      <w:r>
        <w:rPr>
          <w:rFonts w:hint="eastAsia" w:ascii="宋体" w:hAnsi="宋体" w:eastAsia="宋体" w:cs="宋体"/>
          <w:color w:val="auto"/>
          <w:sz w:val="24"/>
          <w:highlight w:val="none"/>
          <w:lang w:eastAsia="zh-CN"/>
        </w:rPr>
        <w:t>6</w:t>
      </w:r>
      <w:r>
        <w:rPr>
          <w:rFonts w:ascii="宋体" w:hAnsi="宋体" w:cs="宋体"/>
          <w:color w:val="auto"/>
          <w:sz w:val="24"/>
          <w:highlight w:val="none"/>
          <w:lang w:eastAsia="zh-CN"/>
        </w:rPr>
        <w:t xml:space="preserve"> </w:t>
      </w:r>
      <w:r>
        <w:rPr>
          <w:rFonts w:hint="eastAsia" w:ascii="宋体" w:hAnsi="宋体" w:eastAsia="宋体" w:cs="宋体"/>
          <w:color w:val="auto"/>
          <w:sz w:val="24"/>
          <w:highlight w:val="none"/>
          <w:lang w:eastAsia="zh-CN"/>
        </w:rPr>
        <w:t>中标人</w:t>
      </w:r>
      <w:r>
        <w:rPr>
          <w:rFonts w:hint="eastAsia" w:ascii="宋体" w:hAnsi="宋体" w:cs="宋体"/>
          <w:color w:val="auto"/>
          <w:sz w:val="24"/>
          <w:highlight w:val="none"/>
          <w:lang w:eastAsia="zh-CN"/>
        </w:rPr>
        <w:t>除应按合同规定完成本标段的设计工作外，还应组建</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设计组。派驻现场的专业人员不少于</w:t>
      </w:r>
      <w:r>
        <w:rPr>
          <w:rFonts w:ascii="宋体" w:hAnsi="宋体" w:cs="宋体"/>
          <w:color w:val="auto"/>
          <w:sz w:val="24"/>
          <w:highlight w:val="none"/>
          <w:u w:val="single"/>
          <w:lang w:eastAsia="zh-CN"/>
        </w:rPr>
        <w:t xml:space="preserve"> </w:t>
      </w:r>
      <w:r>
        <w:rPr>
          <w:rFonts w:hint="eastAsia" w:ascii="宋体" w:hAnsi="宋体" w:eastAsia="宋体" w:cs="宋体"/>
          <w:color w:val="auto"/>
          <w:sz w:val="24"/>
          <w:highlight w:val="none"/>
          <w:u w:val="single"/>
          <w:lang w:eastAsia="zh-CN"/>
        </w:rPr>
        <w:t xml:space="preserve">2 </w:t>
      </w:r>
      <w:r>
        <w:rPr>
          <w:rFonts w:hint="eastAsia" w:ascii="宋体" w:hAnsi="宋体" w:cs="宋体"/>
          <w:color w:val="auto"/>
          <w:sz w:val="24"/>
          <w:highlight w:val="none"/>
          <w:lang w:eastAsia="zh-CN"/>
        </w:rPr>
        <w:t>人，其中至少</w:t>
      </w:r>
      <w:r>
        <w:rPr>
          <w:rFonts w:ascii="宋体" w:hAnsi="宋体" w:cs="宋体"/>
          <w:color w:val="auto"/>
          <w:sz w:val="24"/>
          <w:highlight w:val="none"/>
          <w:u w:val="single"/>
          <w:lang w:eastAsia="zh-CN"/>
        </w:rPr>
        <w:t xml:space="preserve"> 1 </w:t>
      </w:r>
      <w:r>
        <w:rPr>
          <w:rFonts w:hint="eastAsia" w:ascii="宋体" w:hAnsi="宋体" w:cs="宋体"/>
          <w:color w:val="auto"/>
          <w:sz w:val="24"/>
          <w:highlight w:val="none"/>
          <w:lang w:eastAsia="zh-CN"/>
        </w:rPr>
        <w:t>人为专职人员</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人员必须经发包人同意，否则视为设计人违约。</w:t>
      </w:r>
    </w:p>
    <w:p w14:paraId="6835148D">
      <w:pPr>
        <w:kinsoku/>
        <w:spacing w:before="195" w:line="286" w:lineRule="auto"/>
        <w:ind w:left="37" w:right="188" w:firstLine="484"/>
        <w:rPr>
          <w:rFonts w:ascii="宋体" w:hAnsi="宋体" w:cs="宋体"/>
          <w:color w:val="auto"/>
          <w:sz w:val="24"/>
          <w:highlight w:val="none"/>
          <w:lang w:eastAsia="zh-CN"/>
        </w:rPr>
      </w:pPr>
      <w:r>
        <w:rPr>
          <w:rFonts w:ascii="宋体" w:hAnsi="宋体" w:cs="宋体"/>
          <w:color w:val="auto"/>
          <w:sz w:val="24"/>
          <w:highlight w:val="none"/>
          <w:lang w:eastAsia="zh-CN"/>
        </w:rPr>
        <w:t>4.1.6.2</w:t>
      </w:r>
      <w:r>
        <w:rPr>
          <w:rFonts w:hint="eastAsia" w:ascii="宋体" w:hAnsi="宋体" w:eastAsia="宋体" w:cs="宋体"/>
          <w:color w:val="auto"/>
          <w:sz w:val="24"/>
          <w:highlight w:val="none"/>
          <w:lang w:eastAsia="zh-CN"/>
        </w:rPr>
        <w:t>7</w:t>
      </w:r>
      <w:r>
        <w:rPr>
          <w:rFonts w:ascii="宋体" w:hAnsi="宋体" w:cs="宋体"/>
          <w:color w:val="auto"/>
          <w:sz w:val="24"/>
          <w:highlight w:val="none"/>
          <w:lang w:eastAsia="zh-CN"/>
        </w:rPr>
        <w:t xml:space="preserve"> </w:t>
      </w:r>
      <w:r>
        <w:rPr>
          <w:rFonts w:hint="eastAsia" w:ascii="宋体" w:hAnsi="宋体" w:eastAsia="宋体" w:cs="宋体"/>
          <w:color w:val="auto"/>
          <w:sz w:val="24"/>
          <w:highlight w:val="none"/>
          <w:lang w:eastAsia="zh-CN"/>
        </w:rPr>
        <w:t>中标人</w:t>
      </w:r>
      <w:r>
        <w:rPr>
          <w:rFonts w:hint="eastAsia" w:ascii="宋体" w:hAnsi="宋体" w:cs="宋体"/>
          <w:color w:val="auto"/>
          <w:sz w:val="24"/>
          <w:highlight w:val="none"/>
          <w:lang w:eastAsia="zh-CN"/>
        </w:rPr>
        <w:t>负责协调</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的设计标准、工作进度，包括协调统一文件图标和格式的编制，编制说明和汇编总</w:t>
      </w:r>
      <w:r>
        <w:rPr>
          <w:rFonts w:hint="eastAsia" w:ascii="宋体" w:hAnsi="宋体" w:cs="宋体" w:eastAsiaTheme="minorEastAsia"/>
          <w:color w:val="auto"/>
          <w:sz w:val="24"/>
          <w:highlight w:val="none"/>
          <w:lang w:eastAsia="zh-CN"/>
        </w:rPr>
        <w:t>预</w:t>
      </w:r>
      <w:r>
        <w:rPr>
          <w:rFonts w:hint="eastAsia" w:ascii="宋体" w:hAnsi="宋体" w:cs="宋体"/>
          <w:color w:val="auto"/>
          <w:sz w:val="24"/>
          <w:highlight w:val="none"/>
          <w:lang w:eastAsia="zh-CN"/>
        </w:rPr>
        <w:t>算等相关工作，对</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工程勘察设计的整体性负责以及提交设计总结工作报告、并配合招标人进行项目报奖工作，负责组勘察设计等会议的组织及会务工作（合同另有规定的除外）。针对下述工作内容，</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各标段设计人提交设计文件评审前，应首先通过</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总体组的审查。</w:t>
      </w:r>
    </w:p>
    <w:p w14:paraId="4207F136">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设计单位应根据相关规定在设计成果审查通过后，除在其设计标段贯彻执行外，还应督促检查其它设计人执行，以达到各设计标段设计原则、标准、指标、材料标准与技术参数、验收标准、主要技术要求与施工工艺一致。</w:t>
      </w:r>
    </w:p>
    <w:p w14:paraId="603F7A85">
      <w:pPr>
        <w:kinsoku/>
        <w:spacing w:before="195" w:line="286" w:lineRule="auto"/>
        <w:ind w:left="37" w:right="188" w:firstLine="484"/>
        <w:rPr>
          <w:rFonts w:ascii="宋体" w:hAnsi="宋体" w:cs="宋体"/>
          <w:color w:val="auto"/>
          <w:sz w:val="24"/>
          <w:highlight w:val="none"/>
          <w:lang w:eastAsia="zh-CN"/>
        </w:rPr>
      </w:pPr>
      <w:r>
        <w:rPr>
          <w:rFonts w:hint="eastAsia" w:ascii="宋体" w:hAnsi="宋体" w:eastAsia="宋体" w:cs="宋体"/>
          <w:color w:val="auto"/>
          <w:sz w:val="24"/>
          <w:highlight w:val="none"/>
          <w:lang w:eastAsia="zh-CN"/>
        </w:rPr>
        <w:t>设计组</w:t>
      </w:r>
      <w:r>
        <w:rPr>
          <w:rFonts w:hint="eastAsia" w:ascii="宋体" w:hAnsi="宋体" w:cs="宋体"/>
          <w:color w:val="auto"/>
          <w:sz w:val="24"/>
          <w:highlight w:val="none"/>
          <w:lang w:eastAsia="zh-CN"/>
        </w:rPr>
        <w:t>的具体工作包括但不限于以下工作：</w:t>
      </w:r>
    </w:p>
    <w:p w14:paraId="6647C549">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（1）自合同签定之日起</w:t>
      </w:r>
      <w:r>
        <w:rPr>
          <w:rFonts w:hint="eastAsia" w:ascii="宋体" w:hAnsi="宋体" w:eastAsia="宋体" w:cs="宋体"/>
          <w:color w:val="auto"/>
          <w:sz w:val="24"/>
          <w:highlight w:val="none"/>
          <w:lang w:eastAsia="zh-CN"/>
        </w:rPr>
        <w:t>15</w:t>
      </w:r>
      <w:r>
        <w:rPr>
          <w:rFonts w:hint="eastAsia" w:ascii="宋体" w:hAnsi="宋体" w:cs="宋体"/>
          <w:color w:val="auto"/>
          <w:sz w:val="24"/>
          <w:highlight w:val="none"/>
          <w:lang w:eastAsia="zh-CN"/>
        </w:rPr>
        <w:t>日内，提交总体设计工作大纲；合同签定之日起</w:t>
      </w:r>
      <w:r>
        <w:rPr>
          <w:rFonts w:hint="eastAsia" w:ascii="宋体" w:hAnsi="宋体" w:eastAsia="宋体" w:cs="宋体"/>
          <w:color w:val="auto"/>
          <w:sz w:val="24"/>
          <w:highlight w:val="none"/>
          <w:lang w:eastAsia="zh-CN"/>
        </w:rPr>
        <w:t>30</w:t>
      </w:r>
      <w:r>
        <w:rPr>
          <w:rFonts w:hint="eastAsia" w:ascii="宋体" w:hAnsi="宋体" w:cs="宋体"/>
          <w:color w:val="auto"/>
          <w:sz w:val="24"/>
          <w:highlight w:val="none"/>
          <w:lang w:eastAsia="zh-CN"/>
        </w:rPr>
        <w:t>日内，提交本项目设计标准化指导原则，用于指导后续勘察设计工作，确保本项目总体设计思路、设计理念、设计原则的统一。</w:t>
      </w:r>
    </w:p>
    <w:p w14:paraId="737D1B35">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2</w:t>
      </w:r>
      <w:r>
        <w:rPr>
          <w:rFonts w:hint="eastAsia" w:ascii="宋体" w:hAnsi="宋体" w:cs="宋体"/>
          <w:color w:val="auto"/>
          <w:sz w:val="24"/>
          <w:highlight w:val="none"/>
          <w:lang w:eastAsia="zh-CN"/>
        </w:rPr>
        <w:t>）制定项目勘察设计总体进度计划，得到发包人批准后，并检查、督促其它标段执行；</w:t>
      </w:r>
    </w:p>
    <w:p w14:paraId="2A61AF00">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3</w:t>
      </w:r>
      <w:r>
        <w:rPr>
          <w:rFonts w:hint="eastAsia" w:ascii="宋体" w:hAnsi="宋体" w:cs="宋体"/>
          <w:color w:val="auto"/>
          <w:sz w:val="24"/>
          <w:highlight w:val="none"/>
          <w:lang w:eastAsia="zh-CN"/>
        </w:rPr>
        <w:t>）编制</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设计文件总目录，各标段分目录代号和序号、规定装订出版质量和相关要求；</w:t>
      </w:r>
    </w:p>
    <w:p w14:paraId="3B83C25B">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4</w:t>
      </w:r>
      <w:r>
        <w:rPr>
          <w:rFonts w:hint="eastAsia" w:ascii="宋体" w:hAnsi="宋体" w:cs="宋体"/>
          <w:color w:val="auto"/>
          <w:sz w:val="24"/>
          <w:highlight w:val="none"/>
          <w:lang w:eastAsia="zh-CN"/>
        </w:rPr>
        <w:t>）编制符合“设计文件组成与内容”要求的项目汇总和</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总册文件；</w:t>
      </w:r>
    </w:p>
    <w:p w14:paraId="7D48F857">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5</w:t>
      </w:r>
      <w:r>
        <w:rPr>
          <w:rFonts w:hint="eastAsia" w:ascii="宋体" w:hAnsi="宋体" w:cs="宋体"/>
          <w:color w:val="auto"/>
          <w:sz w:val="24"/>
          <w:highlight w:val="none"/>
          <w:lang w:eastAsia="zh-CN"/>
        </w:rPr>
        <w:t>）统一全套施工招标图纸的格式、内容、分册，及相关文字要求;统一图纸和基础资料卷的专业名词与术语;</w:t>
      </w:r>
    </w:p>
    <w:p w14:paraId="42CCBB4D">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6</w:t>
      </w:r>
      <w:r>
        <w:rPr>
          <w:rFonts w:hint="eastAsia" w:ascii="宋体" w:hAnsi="宋体" w:cs="宋体"/>
          <w:color w:val="auto"/>
          <w:sz w:val="24"/>
          <w:highlight w:val="none"/>
          <w:lang w:eastAsia="zh-CN"/>
        </w:rPr>
        <w:t>）负责统一汇报和接受上级审查，以及设计修改后的汇总；</w:t>
      </w:r>
    </w:p>
    <w:p w14:paraId="3422B352">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7</w:t>
      </w:r>
      <w:r>
        <w:rPr>
          <w:rFonts w:hint="eastAsia" w:ascii="宋体" w:hAnsi="宋体" w:cs="宋体"/>
          <w:color w:val="auto"/>
          <w:sz w:val="24"/>
          <w:highlight w:val="none"/>
          <w:lang w:eastAsia="zh-CN"/>
        </w:rPr>
        <w:t>）负责汇总</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各标段招标文件工程量清单及图纸文件；</w:t>
      </w:r>
    </w:p>
    <w:p w14:paraId="374D4B0C">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8</w:t>
      </w:r>
      <w:r>
        <w:rPr>
          <w:rFonts w:hint="eastAsia" w:ascii="宋体" w:hAnsi="宋体" w:cs="宋体"/>
          <w:color w:val="auto"/>
          <w:sz w:val="24"/>
          <w:highlight w:val="none"/>
          <w:lang w:eastAsia="zh-CN"/>
        </w:rPr>
        <w:t>）负责审查</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的航测和控制测量的成果资料；</w:t>
      </w:r>
    </w:p>
    <w:p w14:paraId="67836664">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9</w:t>
      </w:r>
      <w:r>
        <w:rPr>
          <w:rFonts w:hint="eastAsia" w:ascii="宋体" w:hAnsi="宋体" w:cs="宋体"/>
          <w:color w:val="auto"/>
          <w:sz w:val="24"/>
          <w:highlight w:val="none"/>
          <w:lang w:eastAsia="zh-CN"/>
        </w:rPr>
        <w:t>）提出本项目地质勘察、测量、外业调查的实施细则、成果要求；</w:t>
      </w:r>
    </w:p>
    <w:p w14:paraId="4F96B61F">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10</w:t>
      </w:r>
      <w:r>
        <w:rPr>
          <w:rFonts w:hint="eastAsia" w:ascii="宋体" w:hAnsi="宋体" w:cs="宋体"/>
          <w:color w:val="auto"/>
          <w:sz w:val="24"/>
          <w:highlight w:val="none"/>
          <w:lang w:eastAsia="zh-CN"/>
        </w:rPr>
        <w:t>）负责</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路面材料料场及试验的统计工作，并提供专业成果资料；</w:t>
      </w:r>
    </w:p>
    <w:p w14:paraId="100C005F">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1</w:t>
      </w:r>
      <w:r>
        <w:rPr>
          <w:rFonts w:hint="eastAsia" w:ascii="宋体" w:hAnsi="宋体" w:cs="宋体"/>
          <w:color w:val="auto"/>
          <w:sz w:val="24"/>
          <w:highlight w:val="none"/>
          <w:lang w:eastAsia="zh-CN"/>
        </w:rPr>
        <w:t>）路线总体设计方面，提出设计原则，拟定平纵面主要指标值的控制范围、超高设置原则；</w:t>
      </w:r>
    </w:p>
    <w:p w14:paraId="2B0829CA">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2</w:t>
      </w:r>
      <w:r>
        <w:rPr>
          <w:rFonts w:hint="eastAsia" w:ascii="宋体" w:hAnsi="宋体" w:cs="宋体"/>
          <w:color w:val="auto"/>
          <w:sz w:val="24"/>
          <w:highlight w:val="none"/>
          <w:lang w:eastAsia="zh-CN"/>
        </w:rPr>
        <w:t>）负责路基、路面及排水设计方面，提供路基标准横断面图、统一路基、防护、排水的设计原则，拟定不良地质处治原则，提出统一路面设计原则方案；</w:t>
      </w:r>
    </w:p>
    <w:p w14:paraId="58CEA7E9">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3</w:t>
      </w:r>
      <w:r>
        <w:rPr>
          <w:rFonts w:hint="eastAsia" w:ascii="宋体" w:hAnsi="宋体" w:cs="宋体"/>
          <w:color w:val="auto"/>
          <w:sz w:val="24"/>
          <w:highlight w:val="none"/>
          <w:lang w:eastAsia="zh-CN"/>
        </w:rPr>
        <w:t>）桥梁和涵洞设计方面，提出总体设计原则，协调统一</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同类型桥梁的桥型原则方案，提出下部结构及基础、上部结构设计原则，正式编制设计标准化指导原则，提供预制结构（空心板、</w:t>
      </w:r>
      <w:r>
        <w:rPr>
          <w:rFonts w:ascii="宋体" w:hAnsi="宋体" w:cs="宋体"/>
          <w:color w:val="auto"/>
          <w:sz w:val="24"/>
          <w:highlight w:val="none"/>
          <w:lang w:eastAsia="zh-CN"/>
        </w:rPr>
        <w:t>T</w:t>
      </w:r>
      <w:r>
        <w:rPr>
          <w:rFonts w:hint="eastAsia" w:ascii="宋体" w:hAnsi="宋体" w:cs="宋体"/>
          <w:color w:val="auto"/>
          <w:sz w:val="24"/>
          <w:highlight w:val="none"/>
          <w:lang w:eastAsia="zh-CN"/>
        </w:rPr>
        <w:t>梁、小箱梁、圆管涵管节等）、防撞栏设计通用图；</w:t>
      </w:r>
    </w:p>
    <w:p w14:paraId="5E30AEE4">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4</w:t>
      </w:r>
      <w:r>
        <w:rPr>
          <w:rFonts w:hint="eastAsia" w:ascii="宋体" w:hAnsi="宋体" w:cs="宋体"/>
          <w:color w:val="auto"/>
          <w:sz w:val="24"/>
          <w:highlight w:val="none"/>
          <w:lang w:eastAsia="zh-CN"/>
        </w:rPr>
        <w:t>）负责隧道总体设计，提出隧道断面布置形式，洞口、防护、排水、通风等设计原则等</w:t>
      </w:r>
      <w:r>
        <w:rPr>
          <w:rFonts w:hint="eastAsia" w:ascii="宋体" w:hAnsi="宋体" w:eastAsia="宋体" w:cs="宋体"/>
          <w:color w:val="auto"/>
          <w:sz w:val="24"/>
          <w:highlight w:val="none"/>
          <w:lang w:eastAsia="zh-CN"/>
        </w:rPr>
        <w:t>（如有）</w:t>
      </w:r>
      <w:r>
        <w:rPr>
          <w:rFonts w:hint="eastAsia" w:ascii="宋体" w:hAnsi="宋体" w:cs="宋体"/>
          <w:color w:val="auto"/>
          <w:sz w:val="24"/>
          <w:highlight w:val="none"/>
          <w:lang w:eastAsia="zh-CN"/>
        </w:rPr>
        <w:t>；</w:t>
      </w:r>
    </w:p>
    <w:p w14:paraId="34889191">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5</w:t>
      </w:r>
      <w:r>
        <w:rPr>
          <w:rFonts w:hint="eastAsia" w:ascii="宋体" w:hAnsi="宋体" w:cs="宋体"/>
          <w:color w:val="auto"/>
          <w:sz w:val="24"/>
          <w:highlight w:val="none"/>
          <w:lang w:eastAsia="zh-CN"/>
        </w:rPr>
        <w:t>）负责交通安全设施方面，提出</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的设计原则；</w:t>
      </w:r>
    </w:p>
    <w:p w14:paraId="3C5C300D">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6</w:t>
      </w:r>
      <w:r>
        <w:rPr>
          <w:rFonts w:hint="eastAsia" w:ascii="宋体" w:hAnsi="宋体" w:cs="宋体"/>
          <w:color w:val="auto"/>
          <w:sz w:val="24"/>
          <w:highlight w:val="none"/>
          <w:lang w:eastAsia="zh-CN"/>
        </w:rPr>
        <w:t>）沿线设施方面，提出</w:t>
      </w:r>
      <w:r>
        <w:rPr>
          <w:rFonts w:hint="eastAsia" w:ascii="宋体" w:hAnsi="宋体" w:eastAsia="宋体" w:cs="宋体"/>
          <w:color w:val="auto"/>
          <w:sz w:val="24"/>
          <w:highlight w:val="none"/>
          <w:lang w:eastAsia="zh-CN"/>
        </w:rPr>
        <w:t>新建路段</w:t>
      </w:r>
      <w:r>
        <w:rPr>
          <w:rFonts w:hint="eastAsia" w:ascii="宋体" w:hAnsi="宋体" w:cs="宋体"/>
          <w:color w:val="auto"/>
          <w:sz w:val="24"/>
          <w:highlight w:val="none"/>
          <w:lang w:eastAsia="zh-CN"/>
        </w:rPr>
        <w:t>的设计原则和标准；</w:t>
      </w:r>
    </w:p>
    <w:p w14:paraId="5A7DE3CB">
      <w:pPr>
        <w:kinsoku/>
        <w:spacing w:before="195" w:line="286" w:lineRule="auto"/>
        <w:ind w:left="37" w:right="188" w:firstLine="484"/>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（17）负责安全性总体评价，指导和汇总各标段安全性评价，在此基础上对全线提出整体安全性评价；</w:t>
      </w:r>
    </w:p>
    <w:p w14:paraId="69FDE321">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ascii="宋体" w:hAnsi="宋体" w:cs="宋体"/>
          <w:color w:val="auto"/>
          <w:sz w:val="24"/>
          <w:highlight w:val="none"/>
          <w:lang w:eastAsia="zh-CN"/>
        </w:rPr>
        <w:t>1</w:t>
      </w:r>
      <w:r>
        <w:rPr>
          <w:rFonts w:hint="eastAsia" w:ascii="宋体" w:hAnsi="宋体" w:eastAsia="宋体" w:cs="宋体"/>
          <w:color w:val="auto"/>
          <w:sz w:val="24"/>
          <w:highlight w:val="none"/>
          <w:lang w:eastAsia="zh-CN"/>
        </w:rPr>
        <w:t>8</w:t>
      </w:r>
      <w:r>
        <w:rPr>
          <w:rFonts w:hint="eastAsia" w:ascii="宋体" w:hAnsi="宋体" w:cs="宋体"/>
          <w:color w:val="auto"/>
          <w:sz w:val="24"/>
          <w:highlight w:val="none"/>
          <w:lang w:eastAsia="zh-CN"/>
        </w:rPr>
        <w:t>）设计</w:t>
      </w:r>
      <w:r>
        <w:rPr>
          <w:rFonts w:hint="eastAsia" w:ascii="宋体" w:hAnsi="宋体" w:cs="宋体" w:eastAsiaTheme="minorEastAsia"/>
          <w:color w:val="auto"/>
          <w:sz w:val="24"/>
          <w:highlight w:val="none"/>
          <w:lang w:eastAsia="zh-CN"/>
        </w:rPr>
        <w:t>预</w:t>
      </w:r>
      <w:r>
        <w:rPr>
          <w:rFonts w:hint="eastAsia" w:ascii="宋体" w:hAnsi="宋体" w:cs="宋体"/>
          <w:color w:val="auto"/>
          <w:sz w:val="24"/>
          <w:highlight w:val="none"/>
          <w:lang w:eastAsia="zh-CN"/>
        </w:rPr>
        <w:t>算编制方面，提出编制原则，统一编制软件；</w:t>
      </w:r>
    </w:p>
    <w:p w14:paraId="2C353437">
      <w:pPr>
        <w:kinsoku/>
        <w:spacing w:before="195" w:line="286" w:lineRule="auto"/>
        <w:ind w:left="37" w:right="188" w:firstLine="484"/>
        <w:rPr>
          <w:rFonts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19</w:t>
      </w:r>
      <w:r>
        <w:rPr>
          <w:rFonts w:hint="eastAsia" w:ascii="宋体" w:hAnsi="宋体" w:cs="宋体"/>
          <w:color w:val="auto"/>
          <w:sz w:val="24"/>
          <w:highlight w:val="none"/>
          <w:lang w:eastAsia="zh-CN"/>
        </w:rPr>
        <w:t>）专题研究方面，负责对专题研究内容、技术要求、研究计划、成果形式等进行审查工作</w:t>
      </w:r>
      <w:r>
        <w:rPr>
          <w:rFonts w:hint="eastAsia" w:ascii="宋体" w:hAnsi="宋体" w:eastAsia="宋体" w:cs="宋体"/>
          <w:color w:val="auto"/>
          <w:sz w:val="24"/>
          <w:highlight w:val="none"/>
          <w:lang w:eastAsia="zh-CN"/>
        </w:rPr>
        <w:t>（如有）</w:t>
      </w:r>
      <w:r>
        <w:rPr>
          <w:rFonts w:hint="eastAsia" w:ascii="宋体" w:hAnsi="宋体" w:cs="宋体"/>
          <w:color w:val="auto"/>
          <w:sz w:val="24"/>
          <w:highlight w:val="none"/>
          <w:lang w:eastAsia="zh-CN"/>
        </w:rPr>
        <w:t>；</w:t>
      </w:r>
    </w:p>
    <w:p w14:paraId="43E01E5A">
      <w:pPr>
        <w:kinsoku/>
        <w:spacing w:before="195" w:line="286" w:lineRule="auto"/>
        <w:ind w:left="37" w:right="188" w:firstLine="484"/>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lang w:eastAsia="zh-CN"/>
        </w:rPr>
        <w:t>4.1.6.28 执行</w:t>
      </w:r>
      <w:r>
        <w:rPr>
          <w:rFonts w:hint="eastAsia" w:ascii="宋体" w:hAnsi="宋体" w:eastAsia="宋体" w:cs="宋体"/>
          <w:color w:val="auto"/>
          <w:sz w:val="24"/>
          <w:highlight w:val="none"/>
          <w:u w:val="single"/>
          <w:lang w:eastAsia="zh-CN"/>
        </w:rPr>
        <w:t>《韶关市公路事务中心关于印发&lt;国省道建设路域环境保护工作指引&gt;的通知》（韶路〔2020〕104号）文要求，具体措施包括：</w:t>
      </w:r>
    </w:p>
    <w:p w14:paraId="1DA3CC66">
      <w:pPr>
        <w:kinsoku/>
        <w:spacing w:before="195" w:line="286" w:lineRule="auto"/>
        <w:ind w:left="37" w:right="188" w:firstLine="484"/>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加强公路路线选取设计。在选取路线方案时要认真贯彻“生态环保选线”的原则，在满足规范标准的前提下，使路线尽量与地形相拟合，路基尽可能避免高填深挖，隧道尽可能实现“零开挖进洞”，以减少对自然生态环境的破坏。路线在经过水源地保护区、风景名胜区、自然保护区、水土保持敏感区等区域时，要做好环境影响、水土保持评价工作，采取避让和保护措施。</w:t>
      </w:r>
    </w:p>
    <w:p w14:paraId="4E71C103">
      <w:pPr>
        <w:kinsoku/>
        <w:spacing w:before="195" w:line="286" w:lineRule="auto"/>
        <w:ind w:left="37" w:right="188" w:firstLine="484"/>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加强对公路路基防护设计。路基防护形式应根据当地的自然条件合理选用，有条件时宜采用植物防护，水土流失严重或边坡稳定条件较差时，宜采用工程防护与植物防护相结合的方法，并加强表面植被防护设计。</w:t>
      </w:r>
    </w:p>
    <w:p w14:paraId="664EE6D6">
      <w:pPr>
        <w:kinsoku/>
        <w:spacing w:before="195" w:line="286" w:lineRule="auto"/>
        <w:ind w:left="37" w:right="188" w:firstLine="484"/>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（3）加强公路工程取、弃土场设计。当取、弃土破坏了原有地表植被或改变了原地表自然坡度而形成裸露坡面时，应进行绿化或复垦设计并编制相应工程预算。</w:t>
      </w:r>
    </w:p>
    <w:p w14:paraId="76F56446">
      <w:pPr>
        <w:kinsoku/>
        <w:spacing w:before="195" w:line="286" w:lineRule="auto"/>
        <w:ind w:left="37" w:right="188" w:firstLine="484"/>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（4）加强对路线交叉工程设计。平面交叉工程设计要规范，平交路口要保证视距良好，标志规范。道路接入国省干线公路的交叉口应进行适当硬化设计。</w:t>
      </w:r>
    </w:p>
    <w:p w14:paraId="51E5A588">
      <w:pPr>
        <w:kinsoku/>
        <w:spacing w:before="195" w:line="286" w:lineRule="auto"/>
        <w:ind w:left="37" w:right="188" w:firstLine="484"/>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（5）加强景观设计。公路景观设计应与周边整体景观相协调，全力打造畅通、安全、舒适、美观的公路交通环境。对公路穿越城区路段绿化带，要因地制宜，突出绿化特色。公路绿化不得遮挡标志。</w:t>
      </w:r>
    </w:p>
    <w:p w14:paraId="3D3BA494">
      <w:pPr>
        <w:kinsoku/>
        <w:spacing w:before="298" w:line="276" w:lineRule="auto"/>
        <w:ind w:left="38"/>
        <w:rPr>
          <w:rFonts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5. 勘察设计要求</w:t>
      </w:r>
    </w:p>
    <w:p w14:paraId="4DA5B5DE">
      <w:pPr>
        <w:kinsoku/>
        <w:spacing w:before="298" w:line="276" w:lineRule="auto"/>
        <w:ind w:left="38" w:firstLine="482" w:firstLineChars="200"/>
        <w:rPr>
          <w:rFonts w:asciiTheme="majorEastAsia" w:hAnsiTheme="majorEastAsia" w:eastAsiaTheme="majorEastAsia" w:cstheme="majorEastAsia"/>
          <w:b/>
          <w:bCs/>
          <w:color w:val="auto"/>
          <w:sz w:val="24"/>
          <w:highlight w:val="none"/>
          <w:lang w:eastAsia="zh-CN"/>
        </w:rPr>
      </w:pPr>
      <w:r>
        <w:rPr>
          <w:rFonts w:hint="eastAsia" w:asciiTheme="majorEastAsia" w:hAnsiTheme="majorEastAsia" w:eastAsiaTheme="majorEastAsia" w:cstheme="majorEastAsia"/>
          <w:b/>
          <w:bCs/>
          <w:color w:val="auto"/>
          <w:sz w:val="24"/>
          <w:highlight w:val="none"/>
          <w:lang w:eastAsia="zh-CN"/>
        </w:rPr>
        <w:t>5.1  一般要求</w:t>
      </w:r>
    </w:p>
    <w:p w14:paraId="22A5C0E5">
      <w:pPr>
        <w:kinsoku/>
        <w:spacing w:before="298" w:line="276" w:lineRule="auto"/>
        <w:ind w:left="38"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5.1.1 款细化如下：</w:t>
      </w:r>
    </w:p>
    <w:p w14:paraId="527C041C">
      <w:pPr>
        <w:kinsoku/>
        <w:spacing w:before="298" w:line="276" w:lineRule="auto"/>
        <w:ind w:left="38"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5.1.1 发包人应遵守法律、规范标准以及发包人颁发的设计实施方案、细则、标准图及通用图等，不得以任何理由要求设计人违反法律和工程质量、安全标准进行设计服务，降低工程质量。</w:t>
      </w:r>
    </w:p>
    <w:p w14:paraId="67ABF1FC">
      <w:pPr>
        <w:kinsoku/>
        <w:spacing w:before="298" w:line="276" w:lineRule="auto"/>
        <w:ind w:left="38"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增加 5.1.6 款~5.1.8 款</w:t>
      </w:r>
    </w:p>
    <w:p w14:paraId="7D46475D">
      <w:pPr>
        <w:kinsoku/>
        <w:spacing w:before="298" w:line="276" w:lineRule="auto"/>
        <w:ind w:left="38"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5.1.6 设计人提供的设计成果必须通过相关主管部门审批，若由于设计人勘察深度不足(包括勘察不准确、地质地形不符等)、设计调查不全面或设计方案欠妥等设计人原因造成需要补勘、完善、修改或变更设计的，设计人在收到发包人的通知后必须2天内到达现场开展补勘或加密勘探，否则发包人有权委托其他有资质的单位完成本项工作而无须设计人同意，其实际发生地质勘察费用与设计合同中相关费用的差额及变更的设计费由设计人承担，并按合同条款课以违约金。</w:t>
      </w:r>
    </w:p>
    <w:p w14:paraId="68BB7A04">
      <w:pPr>
        <w:kinsoku/>
        <w:spacing w:before="298" w:line="276" w:lineRule="auto"/>
        <w:ind w:left="38"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5.1.7 设计人应结合项目是否穿越或邻近水源保护区、森林公园、石油天然气管道、铁路，是否与高速公路交叉互通等特点，在进行相关设计方案时，应充分考虑施工可行性，并对上述工程的临时工程和设施进行专项设计，临时工程和设施包括但不限于跨越或邻近水源保护区、森林公园、石油天然气管道、铁路，并与高速公路交叉互通的防护设计、重要工点的临时措施方案设计，并将费用纳入概、预算和工程量清单中，避免设计施工方案和费用脱节。</w:t>
      </w:r>
    </w:p>
    <w:p w14:paraId="7A9A6940">
      <w:pPr>
        <w:kinsoku/>
        <w:spacing w:before="298" w:line="276" w:lineRule="auto"/>
        <w:ind w:left="38" w:firstLine="480" w:firstLineChars="200"/>
        <w:rPr>
          <w:color w:val="auto"/>
          <w:highlight w:val="none"/>
          <w:lang w:eastAsia="zh-CN"/>
        </w:rPr>
      </w:pPr>
      <w:r>
        <w:rPr>
          <w:rFonts w:hint="eastAsia" w:asciiTheme="majorEastAsia" w:hAnsiTheme="majorEastAsia" w:eastAsiaTheme="majorEastAsia" w:cstheme="majorEastAsia"/>
          <w:color w:val="auto"/>
          <w:sz w:val="24"/>
          <w:highlight w:val="none"/>
          <w:lang w:eastAsia="zh-CN"/>
        </w:rPr>
        <w:t>5.1.8 设计人在编制项目预算时，应对项目建设所需主要材料价格、征地拆迁政策、新技术应用等主要造价影响因素进行调查分析，并充分考虑拆迁的政策性调整、工期延长、方案变更等影响，同时结合“双标管理”就临建标准化、“优质优价”、“优监优酬”、奖金、反击破碎石、借土资源及远运、跨水源安保防护等要求，计算合理的费用。</w:t>
      </w:r>
    </w:p>
    <w:p w14:paraId="4C16F3F8">
      <w:pPr>
        <w:kinsoku/>
        <w:spacing w:before="79"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5.3 勘察设计范围</w:t>
      </w:r>
    </w:p>
    <w:p w14:paraId="320DC553">
      <w:pPr>
        <w:kinsoku/>
        <w:spacing w:before="195" w:line="286" w:lineRule="auto"/>
        <w:ind w:firstLine="499" w:firstLineChars="20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5.3.2 工程范围包括：</w:t>
      </w:r>
      <w:r>
        <w:rPr>
          <w:rFonts w:hint="eastAsia" w:ascii="宋体" w:hAnsi="宋体" w:eastAsia="宋体" w:cs="宋体"/>
          <w:color w:val="auto"/>
          <w:sz w:val="24"/>
          <w:szCs w:val="24"/>
          <w:highlight w:val="none"/>
          <w:u w:val="single"/>
          <w:lang w:eastAsia="zh-CN"/>
        </w:rPr>
        <w:t>详见招标文件。</w:t>
      </w:r>
    </w:p>
    <w:p w14:paraId="4EEB5BCB">
      <w:pPr>
        <w:kinsoku/>
        <w:spacing w:before="194" w:line="286"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5.3.3 阶段范围包括：</w:t>
      </w:r>
      <w:r>
        <w:rPr>
          <w:rFonts w:hint="eastAsia" w:ascii="宋体" w:hAnsi="宋体" w:eastAsia="宋体" w:cs="宋体"/>
          <w:color w:val="auto"/>
          <w:sz w:val="24"/>
          <w:szCs w:val="24"/>
          <w:highlight w:val="none"/>
          <w:u w:val="single"/>
          <w:lang w:eastAsia="zh-CN"/>
        </w:rPr>
        <w:t>详见招标文件。</w:t>
      </w:r>
    </w:p>
    <w:p w14:paraId="6DA46F37">
      <w:pPr>
        <w:kinsoku/>
        <w:spacing w:before="194" w:line="286"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5.3.4 工作范围包括：</w:t>
      </w:r>
      <w:r>
        <w:rPr>
          <w:rFonts w:hint="eastAsia" w:ascii="宋体" w:hAnsi="宋体" w:eastAsia="宋体" w:cs="宋体"/>
          <w:color w:val="auto"/>
          <w:sz w:val="24"/>
          <w:szCs w:val="24"/>
          <w:highlight w:val="none"/>
          <w:u w:val="single"/>
          <w:lang w:eastAsia="zh-CN"/>
        </w:rPr>
        <w:t>详见招标文件。</w:t>
      </w:r>
    </w:p>
    <w:p w14:paraId="21484F64">
      <w:pPr>
        <w:kinsoku/>
        <w:spacing w:before="194"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5.7 安全作业要求</w:t>
      </w:r>
    </w:p>
    <w:p w14:paraId="27F83B2D">
      <w:pPr>
        <w:kinsoku/>
        <w:spacing w:before="193" w:line="286"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5.7.1 设计人编制安全措施计划的期限：</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highlight w:val="none"/>
          <w:u w:val="single"/>
          <w:lang w:eastAsia="zh-CN"/>
        </w:rPr>
        <w:t>签订合同协议书后7天之内</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5940C544">
      <w:pPr>
        <w:kinsoku/>
        <w:spacing w:before="296" w:line="286" w:lineRule="auto"/>
        <w:ind w:left="39"/>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6. 开始设计和完成设计</w:t>
      </w:r>
    </w:p>
    <w:p w14:paraId="2DFB05DB">
      <w:pPr>
        <w:kinsoku/>
        <w:spacing w:before="79" w:line="286" w:lineRule="auto"/>
        <w:ind w:left="520"/>
        <w:rPr>
          <w:rFonts w:ascii="宋体" w:hAnsi="宋体" w:eastAsia="宋体" w:cs="宋体"/>
          <w:color w:val="auto"/>
          <w:highlight w:val="none"/>
          <w:lang w:eastAsia="zh-CN"/>
        </w:rPr>
      </w:pPr>
      <w:r>
        <w:rPr>
          <w:rFonts w:hint="eastAsia" w:ascii="宋体" w:hAnsi="宋体" w:eastAsia="宋体" w:cs="宋体"/>
          <w:b/>
          <w:bCs/>
          <w:color w:val="auto"/>
          <w:sz w:val="24"/>
          <w:szCs w:val="24"/>
          <w:highlight w:val="none"/>
          <w:lang w:eastAsia="zh-CN"/>
        </w:rPr>
        <w:t>6.1 开始设计</w:t>
      </w:r>
    </w:p>
    <w:p w14:paraId="3931BFA8">
      <w:pPr>
        <w:kinsoku/>
        <w:spacing w:before="78" w:line="286" w:lineRule="auto"/>
        <w:ind w:firstLine="540" w:firstLineChars="22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6.1.1 满足以下条件时，发包人应向设计人发出开始设计通知：</w:t>
      </w:r>
      <w:r>
        <w:rPr>
          <w:rFonts w:hint="eastAsia" w:asciiTheme="majorEastAsia" w:hAnsiTheme="majorEastAsia" w:eastAsiaTheme="majorEastAsia" w:cstheme="majorEastAsia"/>
          <w:color w:val="auto"/>
          <w:sz w:val="24"/>
          <w:highlight w:val="none"/>
          <w:u w:val="single"/>
          <w:lang w:eastAsia="zh-CN"/>
        </w:rPr>
        <w:t>签订合同后</w:t>
      </w:r>
      <w:r>
        <w:rPr>
          <w:rFonts w:hint="eastAsia" w:ascii="宋体" w:hAnsi="宋体" w:eastAsia="宋体" w:cs="宋体"/>
          <w:color w:val="auto"/>
          <w:sz w:val="24"/>
          <w:szCs w:val="24"/>
          <w:highlight w:val="none"/>
          <w:lang w:eastAsia="zh-CN"/>
        </w:rPr>
        <w:t>。</w:t>
      </w:r>
    </w:p>
    <w:p w14:paraId="3301D9AF">
      <w:pPr>
        <w:kinsoku/>
        <w:spacing w:before="203" w:line="286" w:lineRule="auto"/>
        <w:ind w:firstLine="480" w:firstLineChars="20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设计服务周期安排：</w:t>
      </w:r>
      <w:r>
        <w:rPr>
          <w:rFonts w:hint="eastAsia" w:asciiTheme="majorEastAsia" w:hAnsiTheme="majorEastAsia" w:eastAsiaTheme="majorEastAsia" w:cstheme="majorEastAsia"/>
          <w:color w:val="auto"/>
          <w:sz w:val="24"/>
          <w:highlight w:val="none"/>
          <w:u w:val="single"/>
          <w:lang w:eastAsia="zh-CN"/>
        </w:rPr>
        <w:t>详见专用合同条款 8.1.3 款的时间要求</w:t>
      </w:r>
      <w:r>
        <w:rPr>
          <w:rFonts w:hint="eastAsia" w:ascii="宋体" w:hAnsi="宋体" w:eastAsia="宋体" w:cs="宋体"/>
          <w:color w:val="auto"/>
          <w:sz w:val="24"/>
          <w:szCs w:val="24"/>
          <w:highlight w:val="none"/>
          <w:lang w:eastAsia="zh-CN"/>
        </w:rPr>
        <w:t>。</w:t>
      </w:r>
    </w:p>
    <w:p w14:paraId="7D0EC63A">
      <w:pPr>
        <w:kinsoku/>
        <w:spacing w:before="195"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6.2 发包人引起的周期延误</w:t>
      </w:r>
    </w:p>
    <w:p w14:paraId="2161F23E">
      <w:pPr>
        <w:kinsoku/>
        <w:spacing w:before="193" w:line="286" w:lineRule="auto"/>
        <w:ind w:left="39" w:right="90" w:firstLine="50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由于发包人原因造成设计服务期限延误的，延长设计服务期限的计算方法：</w:t>
      </w:r>
      <w:r>
        <w:rPr>
          <w:rFonts w:hint="eastAsia" w:asciiTheme="majorEastAsia" w:hAnsiTheme="majorEastAsia" w:eastAsiaTheme="majorEastAsia" w:cstheme="majorEastAsia"/>
          <w:color w:val="auto"/>
          <w:sz w:val="24"/>
          <w:highlight w:val="none"/>
          <w:u w:val="single"/>
          <w:lang w:eastAsia="zh-CN"/>
        </w:rPr>
        <w:t>根据具体的延误原因由发包人与设计人协商确定延长的服务期限</w:t>
      </w:r>
      <w:r>
        <w:rPr>
          <w:rFonts w:hint="eastAsia" w:ascii="宋体" w:hAnsi="宋体" w:eastAsia="宋体" w:cs="宋体"/>
          <w:color w:val="auto"/>
          <w:sz w:val="24"/>
          <w:szCs w:val="24"/>
          <w:highlight w:val="none"/>
          <w:lang w:eastAsia="zh-CN"/>
        </w:rPr>
        <w:t>；增加设计费用的计算方法：</w:t>
      </w:r>
      <w:r>
        <w:rPr>
          <w:rFonts w:hint="eastAsia" w:asciiTheme="majorEastAsia" w:hAnsiTheme="majorEastAsia" w:eastAsiaTheme="majorEastAsia" w:cstheme="majorEastAsia"/>
          <w:color w:val="auto"/>
          <w:sz w:val="24"/>
          <w:highlight w:val="none"/>
          <w:u w:val="single"/>
          <w:lang w:eastAsia="zh-CN"/>
        </w:rPr>
        <w:t>按照对应合同段设计最高投标限价的计算依据和取值参数并结合设计人增加的工作量及投标人中标价下浮率进行计算，或由发包人与设计人协商确定</w:t>
      </w:r>
      <w:r>
        <w:rPr>
          <w:rFonts w:hint="eastAsia" w:ascii="宋体" w:hAnsi="宋体" w:eastAsia="宋体" w:cs="宋体"/>
          <w:color w:val="auto"/>
          <w:sz w:val="24"/>
          <w:szCs w:val="24"/>
          <w:highlight w:val="none"/>
          <w:lang w:eastAsia="zh-CN"/>
        </w:rPr>
        <w:t>。</w:t>
      </w:r>
    </w:p>
    <w:p w14:paraId="63CEB347">
      <w:pPr>
        <w:kinsoku/>
        <w:spacing w:before="36"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6.3 设计人引起的周期延误</w:t>
      </w:r>
    </w:p>
    <w:p w14:paraId="095EE27B">
      <w:pPr>
        <w:kinsoku/>
        <w:spacing w:before="193" w:line="286" w:lineRule="auto"/>
        <w:ind w:left="38" w:right="-27"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逾期违约金的计算方法：</w:t>
      </w:r>
      <w:r>
        <w:rPr>
          <w:rFonts w:ascii="宋体" w:hAnsi="宋体" w:cs="宋体"/>
          <w:color w:val="auto"/>
          <w:sz w:val="24"/>
          <w:highlight w:val="none"/>
          <w:u w:val="single"/>
          <w:lang w:eastAsia="zh-CN"/>
        </w:rPr>
        <w:t>10000</w:t>
      </w:r>
      <w:r>
        <w:rPr>
          <w:rFonts w:hint="eastAsia" w:ascii="宋体" w:hAnsi="宋体" w:cs="宋体"/>
          <w:color w:val="auto"/>
          <w:sz w:val="24"/>
          <w:highlight w:val="none"/>
          <w:lang w:eastAsia="zh-CN"/>
        </w:rPr>
        <w:t>元</w:t>
      </w:r>
      <w:r>
        <w:rPr>
          <w:rFonts w:ascii="宋体" w:hAnsi="宋体" w:cs="宋体"/>
          <w:color w:val="auto"/>
          <w:sz w:val="24"/>
          <w:highlight w:val="none"/>
          <w:lang w:eastAsia="zh-CN"/>
        </w:rPr>
        <w:t>/</w:t>
      </w:r>
      <w:r>
        <w:rPr>
          <w:rFonts w:hint="eastAsia" w:ascii="宋体" w:hAnsi="宋体" w:cs="宋体"/>
          <w:color w:val="auto"/>
          <w:sz w:val="24"/>
          <w:highlight w:val="none"/>
          <w:lang w:eastAsia="zh-CN"/>
        </w:rPr>
        <w:t>天</w:t>
      </w:r>
      <w:r>
        <w:rPr>
          <w:rFonts w:hint="eastAsia" w:ascii="宋体" w:hAnsi="宋体" w:eastAsia="宋体" w:cs="宋体"/>
          <w:color w:val="auto"/>
          <w:sz w:val="24"/>
          <w:szCs w:val="24"/>
          <w:highlight w:val="none"/>
          <w:lang w:eastAsia="zh-CN"/>
        </w:rPr>
        <w:t>；逾期违约金的最高限额：</w:t>
      </w:r>
      <w:r>
        <w:rPr>
          <w:rFonts w:ascii="宋体" w:hAnsi="宋体" w:cs="宋体"/>
          <w:color w:val="auto"/>
          <w:sz w:val="24"/>
          <w:highlight w:val="none"/>
          <w:u w:val="single"/>
          <w:lang w:eastAsia="zh-CN"/>
        </w:rPr>
        <w:t>10%</w:t>
      </w:r>
      <w:r>
        <w:rPr>
          <w:rFonts w:hint="eastAsia" w:ascii="宋体" w:hAnsi="宋体" w:cs="宋体"/>
          <w:color w:val="auto"/>
          <w:sz w:val="24"/>
          <w:highlight w:val="none"/>
          <w:u w:val="single"/>
          <w:lang w:eastAsia="zh-CN"/>
        </w:rPr>
        <w:t>签约合同价</w:t>
      </w:r>
      <w:r>
        <w:rPr>
          <w:rFonts w:hint="eastAsia" w:ascii="宋体" w:hAnsi="宋体" w:eastAsia="宋体" w:cs="宋体"/>
          <w:color w:val="auto"/>
          <w:sz w:val="24"/>
          <w:szCs w:val="24"/>
          <w:highlight w:val="none"/>
          <w:lang w:eastAsia="zh-CN"/>
        </w:rPr>
        <w:t>。</w:t>
      </w:r>
    </w:p>
    <w:p w14:paraId="2679E2C9">
      <w:pPr>
        <w:kinsoku/>
        <w:spacing w:before="34"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6.5 非人为因素引起的周期延误</w:t>
      </w:r>
    </w:p>
    <w:p w14:paraId="7FE560FA">
      <w:pPr>
        <w:kinsoku/>
        <w:spacing w:before="196" w:line="286" w:lineRule="auto"/>
        <w:ind w:left="38" w:right="87"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6.5.1 异常恶劣气候条件包括：</w:t>
      </w:r>
      <w:r>
        <w:rPr>
          <w:rFonts w:hint="eastAsia" w:ascii="宋体" w:hAnsi="宋体" w:cs="宋体"/>
          <w:color w:val="auto"/>
          <w:sz w:val="24"/>
          <w:highlight w:val="none"/>
          <w:u w:val="single"/>
          <w:lang w:eastAsia="zh-CN"/>
        </w:rPr>
        <w:t>六级以上地震、十级以上强风暴、龙卷风或五十年一遇以上洪水造成重大破坏等情况无法施工持续</w:t>
      </w:r>
      <w:r>
        <w:rPr>
          <w:rFonts w:ascii="宋体" w:hAnsi="宋体" w:cs="宋体"/>
          <w:color w:val="auto"/>
          <w:sz w:val="24"/>
          <w:highlight w:val="none"/>
          <w:u w:val="single"/>
          <w:lang w:eastAsia="zh-CN"/>
        </w:rPr>
        <w:t>30</w:t>
      </w:r>
      <w:r>
        <w:rPr>
          <w:rFonts w:hint="eastAsia" w:ascii="宋体" w:hAnsi="宋体" w:cs="宋体"/>
          <w:color w:val="auto"/>
          <w:sz w:val="24"/>
          <w:highlight w:val="none"/>
          <w:u w:val="single"/>
          <w:lang w:eastAsia="zh-CN"/>
        </w:rPr>
        <w:t>天以上者等</w:t>
      </w:r>
      <w:r>
        <w:rPr>
          <w:rFonts w:hint="eastAsia" w:ascii="宋体" w:hAnsi="宋体" w:eastAsia="宋体" w:cs="宋体"/>
          <w:color w:val="auto"/>
          <w:sz w:val="24"/>
          <w:szCs w:val="24"/>
          <w:highlight w:val="none"/>
          <w:lang w:eastAsia="zh-CN"/>
        </w:rPr>
        <w:t>；不利物质条件包括：</w:t>
      </w:r>
      <w:r>
        <w:rPr>
          <w:rFonts w:hint="eastAsia" w:ascii="宋体" w:hAnsi="宋体" w:cs="宋体"/>
          <w:color w:val="auto"/>
          <w:sz w:val="24"/>
          <w:highlight w:val="none"/>
          <w:u w:val="single"/>
          <w:lang w:eastAsia="zh-CN"/>
        </w:rPr>
        <w:t>承包人在施工场地遇到的不可预见的自然物质条件、非自然的物质障碍和污染物，包括地下和水文条件，如遇见废弃的地下管道、隧道掘进遇瓦斯突出等</w:t>
      </w:r>
      <w:r>
        <w:rPr>
          <w:rFonts w:hint="eastAsia" w:ascii="宋体" w:hAnsi="宋体" w:eastAsia="宋体" w:cs="宋体"/>
          <w:color w:val="auto"/>
          <w:sz w:val="24"/>
          <w:szCs w:val="24"/>
          <w:highlight w:val="none"/>
          <w:lang w:eastAsia="zh-CN"/>
        </w:rPr>
        <w:t>。</w:t>
      </w:r>
    </w:p>
    <w:p w14:paraId="7883E31A">
      <w:pPr>
        <w:kinsoku/>
        <w:spacing w:before="30" w:line="286" w:lineRule="auto"/>
        <w:ind w:left="520"/>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6.7 提前完成勘察设计</w:t>
      </w:r>
    </w:p>
    <w:p w14:paraId="7FAFA19A">
      <w:pPr>
        <w:kinsoku/>
        <w:spacing w:before="195" w:line="286" w:lineRule="auto"/>
        <w:ind w:left="38" w:right="85"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6.7.3 由于设计人提前完成勘察设计而给发包人带来经济效益的，发包人给予设计人如下奖励：</w:t>
      </w:r>
      <w:r>
        <w:rPr>
          <w:rFonts w:hint="eastAsia" w:ascii="宋体" w:hAnsi="宋体" w:cs="宋体"/>
          <w:color w:val="auto"/>
          <w:sz w:val="24"/>
          <w:highlight w:val="none"/>
          <w:u w:val="single"/>
          <w:lang w:eastAsia="zh-CN"/>
        </w:rPr>
        <w:t>不予奖励</w:t>
      </w:r>
      <w:r>
        <w:rPr>
          <w:rFonts w:hint="eastAsia" w:ascii="宋体" w:hAnsi="宋体" w:eastAsia="宋体" w:cs="宋体"/>
          <w:color w:val="auto"/>
          <w:sz w:val="24"/>
          <w:szCs w:val="24"/>
          <w:highlight w:val="none"/>
          <w:lang w:eastAsia="zh-CN"/>
        </w:rPr>
        <w:t>。</w:t>
      </w:r>
    </w:p>
    <w:p w14:paraId="2AEC2294">
      <w:pPr>
        <w:kinsoku/>
        <w:spacing w:before="137" w:line="286" w:lineRule="auto"/>
        <w:ind w:left="38"/>
        <w:rPr>
          <w:rFonts w:ascii="宋体" w:hAnsi="宋体" w:eastAsia="宋体" w:cs="宋体"/>
          <w:color w:val="auto"/>
          <w:highlight w:val="none"/>
          <w:lang w:eastAsia="zh-CN"/>
        </w:rPr>
      </w:pPr>
      <w:r>
        <w:rPr>
          <w:rFonts w:hint="eastAsia" w:ascii="宋体" w:hAnsi="宋体" w:eastAsia="宋体" w:cs="宋体"/>
          <w:b/>
          <w:bCs/>
          <w:color w:val="auto"/>
          <w:sz w:val="28"/>
          <w:szCs w:val="28"/>
          <w:highlight w:val="none"/>
          <w:lang w:eastAsia="zh-CN"/>
        </w:rPr>
        <w:t>8. 设计文件</w:t>
      </w:r>
    </w:p>
    <w:p w14:paraId="1FFA33CF">
      <w:pPr>
        <w:kinsoku/>
        <w:spacing w:before="78"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8.1 设计文件接收</w:t>
      </w:r>
    </w:p>
    <w:p w14:paraId="19D262A3">
      <w:pPr>
        <w:kinsoku/>
        <w:spacing w:before="194" w:line="286" w:lineRule="auto"/>
        <w:ind w:left="5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8.1.3 设计文件提交要求：</w:t>
      </w:r>
    </w:p>
    <w:p w14:paraId="33F38A4E">
      <w:pPr>
        <w:kinsoku/>
        <w:spacing w:before="196" w:line="286" w:lineRule="auto"/>
        <w:ind w:left="36" w:right="88" w:firstLine="53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highlight w:val="none"/>
          <w:lang w:eastAsia="zh-CN"/>
        </w:rPr>
        <w:t>合同签订后100个日历天内，提交施工图设计文件送审稿；</w:t>
      </w:r>
    </w:p>
    <w:p w14:paraId="3E6A2823">
      <w:pPr>
        <w:kinsoku/>
        <w:spacing w:before="196" w:line="286" w:lineRule="auto"/>
        <w:ind w:left="36" w:right="88" w:firstLine="53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（2）施工图设计文件审查后80个日历天，完成施工图设计修编工作并提供施工图设计文件和施工图预算最终稿各8份。</w:t>
      </w:r>
    </w:p>
    <w:p w14:paraId="37B0236A">
      <w:pPr>
        <w:kinsoku/>
        <w:spacing w:before="196" w:line="286" w:lineRule="auto"/>
        <w:ind w:left="36" w:right="88" w:firstLine="53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设计人还应向发包人提交最终成果的书面计算书一份，各阶段设计成果文件CAD版本的电子版各一份，应同时提交且数据一致。</w:t>
      </w:r>
    </w:p>
    <w:p w14:paraId="5E63BFE4">
      <w:pPr>
        <w:kinsoku/>
        <w:spacing w:before="35" w:line="286" w:lineRule="auto"/>
        <w:ind w:left="519"/>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8.2 发包人审查勘察设计文件</w:t>
      </w:r>
    </w:p>
    <w:p w14:paraId="524500A7">
      <w:pPr>
        <w:kinsoku/>
        <w:spacing w:before="194" w:line="286" w:lineRule="auto"/>
        <w:ind w:left="51" w:firstLine="47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8.2.1 发包人审查勘察设计文件的具体范围：</w:t>
      </w:r>
      <w:r>
        <w:rPr>
          <w:rFonts w:hint="eastAsia" w:ascii="宋体" w:hAnsi="宋体" w:cs="宋体"/>
          <w:color w:val="auto"/>
          <w:sz w:val="24"/>
          <w:highlight w:val="none"/>
          <w:u w:val="single"/>
          <w:lang w:eastAsia="zh-CN"/>
        </w:rPr>
        <w:t>新建路段里程范围的路线、路基、路面、桥涵、路线交叉的勘察设计；新建路段范围内的景观绿化的勘察设计；沿线设施（含交通安全设施）的勘察设计。上述勘察设计包括、详勘、定测、专题研究报告（如有）、施工图设计、预算和工程量清单（含清单预算）及施工专用技术规范文件编制、交通组织措施方案设计、征地拆迁图编绘、施工配合服务及后续服务工作等。</w:t>
      </w:r>
      <w:r>
        <w:rPr>
          <w:rFonts w:hint="eastAsia" w:ascii="宋体" w:hAnsi="宋体" w:eastAsia="宋体" w:cs="宋体"/>
          <w:color w:val="auto"/>
          <w:sz w:val="24"/>
          <w:szCs w:val="24"/>
          <w:highlight w:val="none"/>
          <w:lang w:eastAsia="zh-CN"/>
        </w:rPr>
        <w:t>费用分担原则：</w:t>
      </w:r>
      <w:r>
        <w:rPr>
          <w:rFonts w:hint="eastAsia" w:ascii="宋体" w:hAnsi="宋体" w:cs="宋体"/>
          <w:color w:val="auto"/>
          <w:sz w:val="24"/>
          <w:highlight w:val="none"/>
          <w:u w:val="single"/>
          <w:lang w:eastAsia="zh-CN"/>
        </w:rPr>
        <w:t>设计范围内的由设计人支付</w:t>
      </w:r>
      <w:r>
        <w:rPr>
          <w:rFonts w:hint="eastAsia" w:ascii="宋体" w:hAnsi="宋体" w:eastAsia="宋体" w:cs="宋体"/>
          <w:color w:val="auto"/>
          <w:sz w:val="24"/>
          <w:szCs w:val="24"/>
          <w:highlight w:val="none"/>
          <w:lang w:eastAsia="zh-CN"/>
        </w:rPr>
        <w:t>。</w:t>
      </w:r>
    </w:p>
    <w:p w14:paraId="6A5002C8">
      <w:pPr>
        <w:kinsoku/>
        <w:spacing w:before="138" w:line="286" w:lineRule="auto"/>
        <w:ind w:left="47"/>
        <w:rPr>
          <w:rFonts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10.招标和施工期间配合</w:t>
      </w:r>
    </w:p>
    <w:p w14:paraId="3DC084D8">
      <w:pPr>
        <w:kinsoku/>
        <w:spacing w:before="138" w:line="286" w:lineRule="auto"/>
        <w:ind w:left="47"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10.1.2 款末增加以下内容：设计人应保证工程量清单的编制质量，发包人将组织对工程量清单进行复核，出现明显差、错、漏的，按设计人违约处理。</w:t>
      </w:r>
    </w:p>
    <w:p w14:paraId="20CFF744">
      <w:pPr>
        <w:kinsoku/>
        <w:spacing w:before="138" w:line="286" w:lineRule="auto"/>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11. 合同变更</w:t>
      </w:r>
    </w:p>
    <w:p w14:paraId="7FEE7586">
      <w:pPr>
        <w:kinsoku/>
        <w:spacing w:before="7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11.1 变更情形</w:t>
      </w:r>
    </w:p>
    <w:p w14:paraId="70AC7883">
      <w:pPr>
        <w:kinsoku/>
        <w:spacing w:before="193" w:line="286" w:lineRule="auto"/>
        <w:ind w:left="40" w:right="181" w:firstLine="49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11.1.1 合同变更时，设计服务期限的调整方法：</w:t>
      </w:r>
      <w:r>
        <w:rPr>
          <w:rFonts w:hint="eastAsia" w:asciiTheme="majorEastAsia" w:hAnsiTheme="majorEastAsia" w:eastAsiaTheme="majorEastAsia" w:cstheme="majorEastAsia"/>
          <w:color w:val="auto"/>
          <w:sz w:val="24"/>
          <w:highlight w:val="none"/>
          <w:u w:val="single"/>
          <w:lang w:eastAsia="zh-CN"/>
        </w:rPr>
        <w:t>根据具体的延误原因由发包人与设计人协商确定延长的服务期限</w:t>
      </w:r>
      <w:r>
        <w:rPr>
          <w:rFonts w:hint="eastAsia" w:ascii="宋体" w:hAnsi="宋体" w:eastAsia="宋体" w:cs="宋体"/>
          <w:color w:val="auto"/>
          <w:sz w:val="24"/>
          <w:szCs w:val="24"/>
          <w:highlight w:val="none"/>
          <w:lang w:eastAsia="zh-CN"/>
        </w:rPr>
        <w:t>；设计费用的调整方法：</w:t>
      </w:r>
      <w:r>
        <w:rPr>
          <w:rFonts w:hint="eastAsia" w:asciiTheme="majorEastAsia" w:hAnsiTheme="majorEastAsia" w:eastAsiaTheme="majorEastAsia" w:cstheme="majorEastAsia"/>
          <w:color w:val="auto"/>
          <w:sz w:val="24"/>
          <w:highlight w:val="none"/>
          <w:u w:val="single"/>
          <w:lang w:eastAsia="zh-CN"/>
        </w:rPr>
        <w:t>由发包人与设计人协商确定</w:t>
      </w:r>
      <w:r>
        <w:rPr>
          <w:rFonts w:hint="eastAsia" w:ascii="宋体" w:hAnsi="宋体" w:eastAsia="宋体" w:cs="宋体"/>
          <w:color w:val="auto"/>
          <w:sz w:val="24"/>
          <w:szCs w:val="24"/>
          <w:highlight w:val="none"/>
          <w:lang w:eastAsia="zh-CN"/>
        </w:rPr>
        <w:t>。</w:t>
      </w:r>
    </w:p>
    <w:p w14:paraId="4EA78ADE">
      <w:pPr>
        <w:spacing w:line="360" w:lineRule="auto"/>
        <w:ind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设计人应按有关合同条款及现行规范的规定，编制相应标段的《地质勘探方案》并提交评审，方案中应估算整个设计过程(含地质补钻)需要的地质钻探工程量，钻探数量等报发包人审批后方可实施，否则不予确认。</w:t>
      </w:r>
    </w:p>
    <w:p w14:paraId="66F2FB6F">
      <w:pPr>
        <w:spacing w:line="360" w:lineRule="auto"/>
        <w:ind w:firstLine="482" w:firstLineChars="200"/>
        <w:rPr>
          <w:rFonts w:asciiTheme="majorEastAsia" w:hAnsiTheme="majorEastAsia" w:eastAsiaTheme="majorEastAsia" w:cstheme="majorEastAsia"/>
          <w:b/>
          <w:bCs/>
          <w:color w:val="auto"/>
          <w:sz w:val="24"/>
          <w:highlight w:val="none"/>
          <w:lang w:eastAsia="zh-CN"/>
        </w:rPr>
      </w:pPr>
      <w:r>
        <w:rPr>
          <w:rFonts w:hint="eastAsia" w:asciiTheme="majorEastAsia" w:hAnsiTheme="majorEastAsia" w:eastAsiaTheme="majorEastAsia" w:cstheme="majorEastAsia"/>
          <w:b/>
          <w:bCs/>
          <w:color w:val="auto"/>
          <w:sz w:val="24"/>
          <w:highlight w:val="none"/>
          <w:lang w:eastAsia="zh-CN"/>
        </w:rPr>
        <w:t>在 11.1.1（4）目后增加（5）</w:t>
      </w:r>
    </w:p>
    <w:p w14:paraId="567FA441">
      <w:pPr>
        <w:spacing w:line="360" w:lineRule="auto"/>
        <w:ind w:firstLine="480" w:firstLineChars="200"/>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（5）发生重大设计变更及较大设计变更，其划分标准参照《公路工程设计变更管理办法》、《广东省交通厅关于公路工程设计变更管理的实施细则》的规定执行。</w:t>
      </w:r>
    </w:p>
    <w:p w14:paraId="7925444E">
      <w:pPr>
        <w:spacing w:line="360" w:lineRule="auto"/>
        <w:ind w:firstLine="482" w:firstLineChars="200"/>
        <w:rPr>
          <w:rFonts w:asciiTheme="majorEastAsia" w:hAnsiTheme="majorEastAsia" w:eastAsiaTheme="majorEastAsia" w:cstheme="majorEastAsia"/>
          <w:b/>
          <w:bCs/>
          <w:color w:val="auto"/>
          <w:sz w:val="24"/>
          <w:highlight w:val="none"/>
          <w:lang w:eastAsia="zh-CN"/>
        </w:rPr>
      </w:pPr>
      <w:r>
        <w:rPr>
          <w:rFonts w:hint="eastAsia" w:asciiTheme="majorEastAsia" w:hAnsiTheme="majorEastAsia" w:eastAsiaTheme="majorEastAsia" w:cstheme="majorEastAsia"/>
          <w:b/>
          <w:bCs/>
          <w:color w:val="auto"/>
          <w:sz w:val="24"/>
          <w:highlight w:val="none"/>
          <w:lang w:eastAsia="zh-CN"/>
        </w:rPr>
        <w:t>11.1.2 项修改为：</w:t>
      </w:r>
    </w:p>
    <w:p w14:paraId="432500AD">
      <w:pPr>
        <w:pStyle w:val="20"/>
        <w:rPr>
          <w:color w:val="auto"/>
          <w:highlight w:val="none"/>
          <w:lang w:eastAsia="zh-CN"/>
        </w:rPr>
      </w:pPr>
      <w:r>
        <w:rPr>
          <w:rFonts w:hint="eastAsia" w:asciiTheme="majorEastAsia" w:hAnsiTheme="majorEastAsia" w:eastAsiaTheme="majorEastAsia" w:cstheme="majorEastAsia"/>
          <w:color w:val="auto"/>
          <w:sz w:val="24"/>
          <w:highlight w:val="none"/>
          <w:lang w:eastAsia="zh-CN"/>
        </w:rPr>
        <w:t>基准日后，因颁布新的或修订原有法律、法规、规范和标准等引发合同变更情形的（即11.1.1（1）目的情形），按照上述约定进行调整，否则不作调整。</w:t>
      </w:r>
    </w:p>
    <w:p w14:paraId="769CD1FC">
      <w:pPr>
        <w:kinsoku/>
        <w:spacing w:before="33"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11.2 合理化建议</w:t>
      </w:r>
    </w:p>
    <w:p w14:paraId="5982037D">
      <w:pPr>
        <w:kinsoku/>
        <w:spacing w:before="194" w:line="286" w:lineRule="auto"/>
        <w:ind w:left="41" w:right="187" w:firstLine="495"/>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11.2.2 设计人提出的合理化建议降低了工程投资、缩短了施工期限或者提高了工程经济效益的，发包人给予设计人如下奖励：</w:t>
      </w:r>
      <w:r>
        <w:rPr>
          <w:rFonts w:hint="eastAsia" w:ascii="宋体" w:hAnsi="宋体" w:eastAsia="宋体" w:cs="宋体"/>
          <w:color w:val="auto"/>
          <w:sz w:val="24"/>
          <w:szCs w:val="24"/>
          <w:highlight w:val="none"/>
          <w:u w:val="single"/>
          <w:lang w:eastAsia="zh-CN"/>
        </w:rPr>
        <w:t xml:space="preserve"> 无 </w:t>
      </w:r>
      <w:r>
        <w:rPr>
          <w:rFonts w:hint="eastAsia" w:ascii="宋体" w:hAnsi="宋体" w:eastAsia="宋体" w:cs="宋体"/>
          <w:color w:val="auto"/>
          <w:sz w:val="24"/>
          <w:szCs w:val="24"/>
          <w:highlight w:val="none"/>
          <w:lang w:eastAsia="zh-CN"/>
        </w:rPr>
        <w:t>。</w:t>
      </w:r>
    </w:p>
    <w:p w14:paraId="464DCF59">
      <w:pPr>
        <w:kinsoku/>
        <w:spacing w:before="91" w:line="286" w:lineRule="auto"/>
        <w:ind w:left="47"/>
        <w:rPr>
          <w:rFonts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12. 合同价格与支付</w:t>
      </w:r>
    </w:p>
    <w:p w14:paraId="6ADE57E1">
      <w:pPr>
        <w:kinsoku/>
        <w:spacing w:before="78" w:line="286" w:lineRule="auto"/>
        <w:ind w:left="526"/>
        <w:rPr>
          <w:rFonts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12.1 合同价格</w:t>
      </w:r>
    </w:p>
    <w:p w14:paraId="2A97A184">
      <w:pPr>
        <w:kinsoku/>
        <w:spacing w:before="196" w:line="286"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12.1.1 本合同的报价方式：</w:t>
      </w:r>
      <w:r>
        <w:rPr>
          <w:rFonts w:hint="eastAsia" w:ascii="宋体" w:hAnsi="宋体" w:eastAsia="宋体" w:cs="宋体"/>
          <w:color w:val="auto"/>
          <w:sz w:val="24"/>
          <w:szCs w:val="24"/>
          <w:highlight w:val="none"/>
          <w:u w:val="single"/>
          <w:lang w:eastAsia="zh-CN"/>
        </w:rPr>
        <w:t xml:space="preserve"> 总价合同 </w:t>
      </w:r>
      <w:r>
        <w:rPr>
          <w:rFonts w:hint="eastAsia" w:ascii="宋体" w:hAnsi="宋体" w:eastAsia="宋体" w:cs="宋体"/>
          <w:color w:val="auto"/>
          <w:sz w:val="24"/>
          <w:szCs w:val="24"/>
          <w:highlight w:val="none"/>
          <w:lang w:eastAsia="zh-CN"/>
        </w:rPr>
        <w:t>。</w:t>
      </w:r>
    </w:p>
    <w:p w14:paraId="26F0C4BC">
      <w:pPr>
        <w:kinsoku/>
        <w:spacing w:before="197" w:line="286" w:lineRule="auto"/>
        <w:ind w:left="41" w:firstLine="47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在合同实施期间，由于人工、材料、设备等因素的市场价格变化导致本项目勘察设计费用变化，合同价格的调整方式和风险范围划分：</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w:t>
      </w:r>
    </w:p>
    <w:p w14:paraId="6407CFFF">
      <w:pPr>
        <w:kinsoku/>
        <w:spacing w:before="187" w:line="286" w:lineRule="auto"/>
        <w:ind w:left="39" w:right="8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（1）合同签署后28天内，发包人向设计人支付勘察设计费用的</w:t>
      </w:r>
      <w:r>
        <w:rPr>
          <w:rFonts w:hint="eastAsia" w:ascii="宋体" w:hAnsi="宋体" w:eastAsia="宋体" w:cs="宋体"/>
          <w:color w:val="auto"/>
          <w:sz w:val="24"/>
          <w:szCs w:val="24"/>
          <w:highlight w:val="none"/>
          <w:u w:val="single"/>
          <w:lang w:eastAsia="zh-CN"/>
        </w:rPr>
        <w:t xml:space="preserve"> 0 %</w:t>
      </w:r>
      <w:r>
        <w:rPr>
          <w:rFonts w:hint="eastAsia" w:ascii="宋体" w:hAnsi="宋体" w:eastAsia="宋体" w:cs="宋体"/>
          <w:color w:val="auto"/>
          <w:sz w:val="24"/>
          <w:szCs w:val="24"/>
          <w:highlight w:val="none"/>
          <w:lang w:eastAsia="zh-CN"/>
        </w:rPr>
        <w:t>作为预付款（本合同履行后，预付款抵作勘察设计费，不再扣回）；</w:t>
      </w:r>
    </w:p>
    <w:p w14:paraId="043C200A">
      <w:pPr>
        <w:kinsoku/>
        <w:spacing w:before="187" w:line="286" w:lineRule="auto"/>
        <w:ind w:left="39" w:right="8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（2）施工图设计送审稿文件按期完成后并送至发包人处，经发包人确认后，支付至勘察设计费用的</w:t>
      </w:r>
      <w:r>
        <w:rPr>
          <w:rFonts w:hint="eastAsia" w:ascii="宋体" w:hAnsi="宋体" w:eastAsia="宋体" w:cs="宋体"/>
          <w:color w:val="auto"/>
          <w:sz w:val="24"/>
          <w:szCs w:val="24"/>
          <w:highlight w:val="none"/>
          <w:u w:val="single"/>
          <w:lang w:eastAsia="zh-CN"/>
        </w:rPr>
        <w:t xml:space="preserve"> 50 %</w:t>
      </w:r>
      <w:r>
        <w:rPr>
          <w:rFonts w:hint="eastAsia" w:ascii="宋体" w:hAnsi="宋体" w:eastAsia="宋体" w:cs="宋体"/>
          <w:color w:val="auto"/>
          <w:sz w:val="24"/>
          <w:szCs w:val="24"/>
          <w:highlight w:val="none"/>
          <w:lang w:eastAsia="zh-CN"/>
        </w:rPr>
        <w:t>；</w:t>
      </w:r>
    </w:p>
    <w:p w14:paraId="23ABCFFB">
      <w:pPr>
        <w:kinsoku/>
        <w:spacing w:before="187" w:line="286" w:lineRule="auto"/>
        <w:ind w:left="39" w:right="8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（3）施工图设计文件按期完成后并送至发包人处，经发包人或上级主管部门审查、修改批准后，支付至勘察设计费用的</w:t>
      </w:r>
      <w:r>
        <w:rPr>
          <w:rFonts w:hint="eastAsia" w:ascii="宋体" w:hAnsi="宋体" w:eastAsia="宋体" w:cs="宋体"/>
          <w:color w:val="auto"/>
          <w:sz w:val="24"/>
          <w:szCs w:val="24"/>
          <w:highlight w:val="none"/>
          <w:u w:val="single"/>
          <w:lang w:eastAsia="zh-CN"/>
        </w:rPr>
        <w:t xml:space="preserve"> 90 %</w:t>
      </w:r>
      <w:r>
        <w:rPr>
          <w:rFonts w:hint="eastAsia" w:ascii="宋体" w:hAnsi="宋体" w:eastAsia="宋体" w:cs="宋体"/>
          <w:color w:val="auto"/>
          <w:sz w:val="24"/>
          <w:szCs w:val="24"/>
          <w:highlight w:val="none"/>
          <w:lang w:eastAsia="zh-CN"/>
        </w:rPr>
        <w:t>。</w:t>
      </w:r>
    </w:p>
    <w:p w14:paraId="4D631F4D">
      <w:pPr>
        <w:kinsoku/>
        <w:spacing w:before="187" w:line="286" w:lineRule="auto"/>
        <w:ind w:left="39" w:right="8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（4）工程交工验收合格后，支付至勘察设计费用的</w:t>
      </w:r>
      <w:r>
        <w:rPr>
          <w:rFonts w:hint="eastAsia" w:ascii="宋体" w:hAnsi="宋体" w:eastAsia="宋体" w:cs="宋体"/>
          <w:color w:val="auto"/>
          <w:sz w:val="24"/>
          <w:szCs w:val="24"/>
          <w:highlight w:val="none"/>
          <w:u w:val="single"/>
          <w:lang w:eastAsia="zh-CN"/>
        </w:rPr>
        <w:t>97%</w:t>
      </w:r>
      <w:r>
        <w:rPr>
          <w:rFonts w:hint="eastAsia" w:ascii="宋体" w:hAnsi="宋体" w:eastAsia="宋体" w:cs="宋体"/>
          <w:color w:val="auto"/>
          <w:sz w:val="24"/>
          <w:szCs w:val="24"/>
          <w:highlight w:val="none"/>
          <w:lang w:eastAsia="zh-CN"/>
        </w:rPr>
        <w:t>。</w:t>
      </w:r>
    </w:p>
    <w:p w14:paraId="5B9F17C4">
      <w:pPr>
        <w:kinsoku/>
        <w:spacing w:before="187" w:line="286" w:lineRule="auto"/>
        <w:ind w:left="39" w:right="82" w:firstLine="48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（5）竣工验收合格后，支付至勘察设计费用的100%。</w:t>
      </w:r>
    </w:p>
    <w:p w14:paraId="1BFC930A">
      <w:pPr>
        <w:kinsoku/>
        <w:spacing w:before="187" w:line="286" w:lineRule="auto"/>
        <w:ind w:left="39" w:right="82" w:firstLine="485"/>
        <w:rPr>
          <w:rFonts w:ascii="宋体" w:hAnsi="宋体" w:cs="宋体"/>
          <w:color w:val="auto"/>
          <w:sz w:val="24"/>
          <w:highlight w:val="none"/>
          <w:lang w:eastAsia="zh-CN"/>
        </w:rPr>
      </w:pPr>
      <w:r>
        <w:rPr>
          <w:rFonts w:hint="eastAsia" w:ascii="宋体" w:hAnsi="宋体" w:eastAsia="宋体" w:cs="宋体"/>
          <w:color w:val="auto"/>
          <w:sz w:val="24"/>
          <w:szCs w:val="24"/>
          <w:highlight w:val="none"/>
          <w:lang w:eastAsia="zh-CN"/>
        </w:rPr>
        <w:t>承包人理解并同意：因本项目由政府投资建设，项目款项的具体支付情况按照广东省财政资金支付规定及国库集中支付等国家相关规定办理。若因财政资金不到位引起合同款不能按合同要求或有关规定拨付的，发包人不承担因合同款延期拨付给乙方造成的各类损失。</w:t>
      </w:r>
    </w:p>
    <w:p w14:paraId="52CFD638">
      <w:pPr>
        <w:kinsoku/>
        <w:spacing w:before="196" w:line="286" w:lineRule="auto"/>
        <w:ind w:left="38" w:right="1" w:firstLine="486"/>
        <w:rPr>
          <w:rFonts w:asciiTheme="majorEastAsia" w:hAnsiTheme="majorEastAsia" w:eastAsiaTheme="majorEastAsia" w:cstheme="majorEastAsia"/>
          <w:b/>
          <w:bCs/>
          <w:color w:val="auto"/>
          <w:sz w:val="24"/>
          <w:highlight w:val="none"/>
          <w:lang w:eastAsia="zh-CN"/>
        </w:rPr>
      </w:pPr>
      <w:r>
        <w:rPr>
          <w:rFonts w:hint="eastAsia" w:asciiTheme="majorEastAsia" w:hAnsiTheme="majorEastAsia" w:eastAsiaTheme="majorEastAsia" w:cstheme="majorEastAsia"/>
          <w:b/>
          <w:bCs/>
          <w:color w:val="auto"/>
          <w:sz w:val="24"/>
          <w:highlight w:val="none"/>
          <w:lang w:eastAsia="zh-CN"/>
        </w:rPr>
        <w:t>增加 12.1.7~12.1.10款</w:t>
      </w:r>
    </w:p>
    <w:p w14:paraId="277C6EFD">
      <w:pPr>
        <w:kinsoku/>
        <w:spacing w:before="196" w:line="286" w:lineRule="auto"/>
        <w:ind w:left="38" w:right="1" w:firstLine="486"/>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12.1.7 绿化环保及管理、养护及服务设施（含房建）设计需要征得发包人同意才能开展，按编制的范围计算支付费用，不发生则不予支付。</w:t>
      </w:r>
    </w:p>
    <w:p w14:paraId="7D586100">
      <w:pPr>
        <w:kinsoku/>
        <w:spacing w:before="196" w:line="286" w:lineRule="auto"/>
        <w:ind w:left="38" w:right="1" w:firstLine="486"/>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12.1.8 如设计人设计的部分项目不符合发包人要求或相关标准时，发包人可根据工程需要，将本部分项目工作通过招标或委托方式，给具备相关资质的单位继续进行设计，设计人除必须按照发包人的要求提供所需的全部文件资料外；由此产生的一切费用（含通过招标的中标价或委托合同价）均由设计人承担，其高于设计人原报价的设计费由设计人补足，低于原报价的设计费发包人将按费用的差额予以扣回。</w:t>
      </w:r>
    </w:p>
    <w:p w14:paraId="14405945">
      <w:pPr>
        <w:kinsoku/>
        <w:spacing w:before="196" w:line="286" w:lineRule="auto"/>
        <w:ind w:left="38" w:right="1" w:firstLine="486"/>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12.1.9 发包人在招标及实施阶段有可能对标段长度做出调整，投标人必须接受，费用相应进行调整。</w:t>
      </w:r>
    </w:p>
    <w:p w14:paraId="4FCD76F6">
      <w:pPr>
        <w:kinsoku/>
        <w:spacing w:before="196" w:line="286" w:lineRule="auto"/>
        <w:ind w:left="38" w:right="1" w:firstLine="486"/>
        <w:rPr>
          <w:rFonts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12.1.10 其他支付方式</w:t>
      </w:r>
    </w:p>
    <w:p w14:paraId="21001BC0">
      <w:pPr>
        <w:kinsoku/>
        <w:spacing w:before="18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12.2 预付款</w:t>
      </w:r>
    </w:p>
    <w:p w14:paraId="7B41BA81">
      <w:pPr>
        <w:kinsoku/>
        <w:spacing w:before="163" w:line="286" w:lineRule="auto"/>
        <w:ind w:firstLine="540" w:firstLineChars="22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12.2.1 预付款的额度、支付方式：</w:t>
      </w:r>
      <w:r>
        <w:rPr>
          <w:rFonts w:hint="eastAsia" w:asciiTheme="majorEastAsia" w:hAnsiTheme="majorEastAsia" w:eastAsiaTheme="majorEastAsia" w:cstheme="majorEastAsia"/>
          <w:color w:val="auto"/>
          <w:sz w:val="24"/>
          <w:highlight w:val="none"/>
          <w:u w:val="single"/>
          <w:lang w:eastAsia="zh-CN"/>
        </w:rPr>
        <w:t>合同签署后28天内，发包人向设计人支付设计费用的0％作为预付款（本合同履行后，预付款抵作设计费，不再扣回）</w:t>
      </w:r>
      <w:r>
        <w:rPr>
          <w:rFonts w:hint="eastAsia" w:ascii="宋体" w:hAnsi="宋体" w:eastAsia="宋体" w:cs="宋体"/>
          <w:color w:val="auto"/>
          <w:sz w:val="24"/>
          <w:szCs w:val="24"/>
          <w:highlight w:val="none"/>
          <w:u w:val="single"/>
          <w:lang w:eastAsia="zh-CN"/>
        </w:rPr>
        <w:t>。</w:t>
      </w:r>
    </w:p>
    <w:p w14:paraId="58D10D9F">
      <w:pPr>
        <w:kinsoku/>
        <w:spacing w:before="18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12.3 中期支付</w:t>
      </w:r>
    </w:p>
    <w:p w14:paraId="73A7D7B3">
      <w:pPr>
        <w:kinsoku/>
        <w:spacing w:before="194" w:line="286"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12.3.1 中期支付申请的格式及份数：</w:t>
      </w:r>
      <w:r>
        <w:rPr>
          <w:rFonts w:hint="eastAsia" w:ascii="宋体" w:hAnsi="宋体" w:cs="宋体"/>
          <w:color w:val="auto"/>
          <w:sz w:val="24"/>
          <w:highlight w:val="none"/>
          <w:u w:val="single"/>
          <w:lang w:eastAsia="zh-CN"/>
        </w:rPr>
        <w:t>发包人批准的格式</w:t>
      </w:r>
      <w:r>
        <w:rPr>
          <w:rFonts w:hint="eastAsia" w:ascii="宋体" w:hAnsi="宋体" w:eastAsia="宋体" w:cs="宋体"/>
          <w:color w:val="auto"/>
          <w:sz w:val="24"/>
          <w:highlight w:val="none"/>
          <w:u w:val="single"/>
          <w:lang w:eastAsia="zh-CN"/>
        </w:rPr>
        <w:t>，</w:t>
      </w:r>
      <w:r>
        <w:rPr>
          <w:rFonts w:ascii="宋体" w:hAnsi="宋体" w:cs="宋体"/>
          <w:color w:val="auto"/>
          <w:sz w:val="24"/>
          <w:highlight w:val="none"/>
          <w:u w:val="single"/>
          <w:lang w:eastAsia="zh-CN"/>
        </w:rPr>
        <w:t>4</w:t>
      </w:r>
      <w:r>
        <w:rPr>
          <w:rFonts w:hint="eastAsia" w:ascii="宋体" w:hAnsi="宋体" w:cs="宋体"/>
          <w:color w:val="auto"/>
          <w:sz w:val="24"/>
          <w:highlight w:val="none"/>
          <w:u w:val="single"/>
          <w:lang w:eastAsia="zh-CN"/>
        </w:rPr>
        <w:t>份</w:t>
      </w:r>
      <w:r>
        <w:rPr>
          <w:rFonts w:hint="eastAsia" w:ascii="宋体" w:hAnsi="宋体" w:eastAsia="宋体" w:cs="宋体"/>
          <w:color w:val="auto"/>
          <w:sz w:val="24"/>
          <w:szCs w:val="24"/>
          <w:highlight w:val="none"/>
          <w:lang w:eastAsia="zh-CN"/>
        </w:rPr>
        <w:t>。</w:t>
      </w:r>
    </w:p>
    <w:p w14:paraId="7C822ADD">
      <w:pPr>
        <w:kinsoku/>
        <w:spacing w:before="163" w:line="286" w:lineRule="auto"/>
        <w:ind w:left="57" w:right="2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12.3.2 逾期付款违约金：每延期支付1天，发包人应付给设计人拖欠金额的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highlight w:val="none"/>
          <w:u w:val="single"/>
          <w:lang w:eastAsia="zh-CN"/>
        </w:rPr>
        <w:t>/</w:t>
      </w:r>
      <w:r>
        <w:rPr>
          <w:rFonts w:hint="eastAsia" w:ascii="宋体" w:hAnsi="宋体" w:eastAsia="宋体" w:cs="宋体"/>
          <w:color w:val="auto"/>
          <w:sz w:val="24"/>
          <w:szCs w:val="24"/>
          <w:highlight w:val="none"/>
          <w:lang w:eastAsia="zh-CN"/>
        </w:rPr>
        <w:t>的违约金。</w:t>
      </w:r>
    </w:p>
    <w:p w14:paraId="227F31BB">
      <w:pPr>
        <w:kinsoku/>
        <w:spacing w:before="163" w:line="286" w:lineRule="auto"/>
        <w:ind w:left="57" w:right="2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理解并同意：本项目由政府投资建设，相关费用的支付按照财政资金支付及国库集中支付等国家、业主单位、发包人相关规定办理。因财政资金安排原因导致费用不能按合同约定时限支付的，不属于发包人及业主单位违约，发包人及业主单位不承担支付延期给承包人造成的各类损失。</w:t>
      </w:r>
    </w:p>
    <w:p w14:paraId="219D7DB3">
      <w:pPr>
        <w:kinsoku/>
        <w:spacing w:before="163" w:line="286" w:lineRule="auto"/>
        <w:ind w:left="57" w:right="2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12.3.3 中期支付涉及政府投资资金的，支付规定如下：</w:t>
      </w:r>
      <w:r>
        <w:rPr>
          <w:rFonts w:hint="eastAsia" w:ascii="宋体" w:hAnsi="宋体" w:cs="宋体"/>
          <w:color w:val="auto"/>
          <w:sz w:val="24"/>
          <w:highlight w:val="none"/>
          <w:u w:val="single"/>
          <w:lang w:eastAsia="zh-CN"/>
        </w:rPr>
        <w:t>按当地政府财政相关支付规定执行</w:t>
      </w:r>
      <w:r>
        <w:rPr>
          <w:rFonts w:hint="eastAsia" w:ascii="宋体" w:hAnsi="宋体" w:eastAsia="宋体" w:cs="宋体"/>
          <w:color w:val="auto"/>
          <w:sz w:val="24"/>
          <w:szCs w:val="24"/>
          <w:highlight w:val="none"/>
          <w:lang w:eastAsia="zh-CN"/>
        </w:rPr>
        <w:t>。</w:t>
      </w:r>
    </w:p>
    <w:p w14:paraId="50655396">
      <w:pPr>
        <w:kinsoku/>
        <w:spacing w:before="185"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12.4 费用结算</w:t>
      </w:r>
    </w:p>
    <w:p w14:paraId="126D39B1">
      <w:pPr>
        <w:kinsoku/>
        <w:spacing w:before="163" w:line="286" w:lineRule="auto"/>
        <w:ind w:firstLine="540" w:firstLineChars="22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12.4.1 勘察设计费用结算申请的份数和提交期限：</w:t>
      </w:r>
      <w:r>
        <w:rPr>
          <w:rFonts w:ascii="宋体" w:hAnsi="宋体" w:cs="宋体"/>
          <w:color w:val="auto"/>
          <w:sz w:val="24"/>
          <w:highlight w:val="none"/>
          <w:u w:val="single"/>
          <w:lang w:eastAsia="zh-CN"/>
        </w:rPr>
        <w:t xml:space="preserve"> 4</w:t>
      </w:r>
      <w:r>
        <w:rPr>
          <w:rFonts w:hint="eastAsia" w:ascii="宋体" w:hAnsi="宋体" w:cs="宋体"/>
          <w:color w:val="auto"/>
          <w:sz w:val="24"/>
          <w:highlight w:val="none"/>
          <w:u w:val="single"/>
          <w:lang w:eastAsia="zh-CN"/>
        </w:rPr>
        <w:t>份；交工证书签发后</w:t>
      </w:r>
      <w:r>
        <w:rPr>
          <w:rFonts w:ascii="宋体" w:hAnsi="宋体" w:cs="宋体"/>
          <w:color w:val="auto"/>
          <w:sz w:val="24"/>
          <w:highlight w:val="none"/>
          <w:u w:val="single"/>
          <w:lang w:eastAsia="zh-CN"/>
        </w:rPr>
        <w:t>28</w:t>
      </w:r>
      <w:r>
        <w:rPr>
          <w:rFonts w:hint="eastAsia" w:ascii="宋体" w:hAnsi="宋体" w:cs="宋体"/>
          <w:color w:val="auto"/>
          <w:sz w:val="24"/>
          <w:highlight w:val="none"/>
          <w:u w:val="single"/>
          <w:lang w:eastAsia="zh-CN"/>
        </w:rPr>
        <w:t>天内</w:t>
      </w:r>
      <w:r>
        <w:rPr>
          <w:rFonts w:hint="eastAsia" w:ascii="宋体" w:hAnsi="宋体" w:eastAsia="宋体" w:cs="宋体"/>
          <w:color w:val="auto"/>
          <w:sz w:val="24"/>
          <w:szCs w:val="24"/>
          <w:highlight w:val="none"/>
          <w:lang w:eastAsia="zh-CN"/>
        </w:rPr>
        <w:t>。</w:t>
      </w:r>
    </w:p>
    <w:p w14:paraId="77057D53">
      <w:pPr>
        <w:kinsoku/>
        <w:spacing w:before="157" w:line="286" w:lineRule="auto"/>
        <w:ind w:left="57" w:right="29"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12.4.2 逾期付款违约金：每延期支付1天，发包人应付给设计人拖欠金额的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highlight w:val="none"/>
          <w:u w:val="single"/>
          <w:lang w:eastAsia="zh-CN"/>
        </w:rPr>
        <w:t xml:space="preserve"> </w:t>
      </w:r>
      <w:r>
        <w:rPr>
          <w:rFonts w:hint="eastAsia" w:ascii="宋体" w:hAnsi="宋体" w:eastAsia="宋体" w:cs="宋体"/>
          <w:color w:val="auto"/>
          <w:sz w:val="24"/>
          <w:szCs w:val="24"/>
          <w:highlight w:val="none"/>
          <w:lang w:eastAsia="zh-CN"/>
        </w:rPr>
        <w:t>的违约金。</w:t>
      </w:r>
    </w:p>
    <w:p w14:paraId="5EC388BF">
      <w:pPr>
        <w:kinsoku/>
        <w:spacing w:before="162"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12.5 暂列金额</w:t>
      </w:r>
    </w:p>
    <w:p w14:paraId="58BC05CD">
      <w:pPr>
        <w:kinsoku/>
        <w:spacing w:before="163" w:line="286"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12.5.1 本合同的暂列金额为工程勘察设计费的</w:t>
      </w:r>
      <w:r>
        <w:rPr>
          <w:rFonts w:hint="eastAsia" w:ascii="宋体" w:hAnsi="宋体" w:eastAsia="宋体" w:cs="宋体"/>
          <w:color w:val="auto"/>
          <w:sz w:val="24"/>
          <w:szCs w:val="24"/>
          <w:highlight w:val="none"/>
          <w:u w:val="single"/>
          <w:lang w:eastAsia="zh-CN"/>
        </w:rPr>
        <w:t xml:space="preserve"> 0 </w:t>
      </w:r>
      <w:r>
        <w:rPr>
          <w:rFonts w:hint="eastAsia" w:ascii="宋体" w:hAnsi="宋体" w:eastAsia="宋体" w:cs="宋体"/>
          <w:color w:val="auto"/>
          <w:sz w:val="24"/>
          <w:szCs w:val="24"/>
          <w:highlight w:val="none"/>
          <w:lang w:eastAsia="zh-CN"/>
        </w:rPr>
        <w:t>%。</w:t>
      </w:r>
    </w:p>
    <w:p w14:paraId="35B176A4">
      <w:pPr>
        <w:kinsoku/>
        <w:spacing w:before="158" w:line="286" w:lineRule="auto"/>
        <w:ind w:left="526"/>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12.6 质量保证金</w:t>
      </w:r>
    </w:p>
    <w:p w14:paraId="79F743E5">
      <w:pPr>
        <w:kinsoku/>
        <w:spacing w:before="146" w:line="286" w:lineRule="auto"/>
        <w:ind w:left="519"/>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lang w:eastAsia="zh-CN"/>
        </w:rPr>
        <w:t>本项目的质量保证金为勘察设计费用总额的</w:t>
      </w:r>
      <w:r>
        <w:rPr>
          <w:rFonts w:hint="eastAsia" w:ascii="宋体" w:hAnsi="宋体" w:eastAsia="宋体" w:cs="宋体"/>
          <w:color w:val="auto"/>
          <w:sz w:val="24"/>
          <w:szCs w:val="24"/>
          <w:highlight w:val="none"/>
          <w:u w:val="single"/>
          <w:lang w:eastAsia="zh-CN"/>
        </w:rPr>
        <w:t xml:space="preserve"> 3 </w:t>
      </w:r>
      <w:r>
        <w:rPr>
          <w:rFonts w:hint="eastAsia" w:ascii="宋体" w:hAnsi="宋体" w:eastAsia="宋体" w:cs="宋体"/>
          <w:color w:val="auto"/>
          <w:sz w:val="24"/>
          <w:szCs w:val="24"/>
          <w:highlight w:val="none"/>
          <w:lang w:eastAsia="zh-CN"/>
        </w:rPr>
        <w:t>%。</w:t>
      </w:r>
    </w:p>
    <w:p w14:paraId="16380785">
      <w:pPr>
        <w:kinsoku/>
        <w:spacing w:before="269"/>
        <w:ind w:left="47"/>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14. 违约</w:t>
      </w:r>
    </w:p>
    <w:p w14:paraId="543761E0">
      <w:pPr>
        <w:kinsoku/>
        <w:spacing w:before="78" w:line="276" w:lineRule="auto"/>
        <w:ind w:left="57" w:right="25" w:firstLine="466"/>
        <w:rPr>
          <w:rFonts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14.1.2 设计人发生违约情况时，发包人有权向设计人课以违约金，具体约定如下：</w:t>
      </w:r>
    </w:p>
    <w:p w14:paraId="6BFCEEFF">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a、发生14.1.1（1）、（2）、（4）条的违约情况，计扣设计人签约合同价的5％作违约金。</w:t>
      </w:r>
    </w:p>
    <w:p w14:paraId="397F4627">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b、发生14.1.1（7）、（8）条的违约情况，计扣设计人签约合同价的3％作违约金。</w:t>
      </w:r>
    </w:p>
    <w:p w14:paraId="62516DA7">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c、发生14.1.1（3）、（5）条的违约情况，则每延期15天(不足15天按15天计)，发包人将分别按相应阶段设计签约合同价的2％计扣设计人违约金。延期超过60天时，发包人可以中止合同。</w:t>
      </w:r>
    </w:p>
    <w:p w14:paraId="6CA06657">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d、发生14.1.1（9）-（10）条的违约情况，除由设计人负责继续完善设计外，招标人将扣除设计人该部份的设计费。</w:t>
      </w:r>
    </w:p>
    <w:p w14:paraId="7B5D9F24">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e、发生14.1.1（11）条的违约情况，设计人除应免收受损失部分的设计费外，设计人还应无偿继续完善设计，并承担相当于直接损失部分设计费的赔偿金。</w:t>
      </w:r>
    </w:p>
    <w:p w14:paraId="1B5B0F52">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f、发生14.1.1（12）条的违约情况，根据责任情况，负责赔偿工程损失费，但最高不超过该项目应收设计费总额，并负责采取补救措施，同时，发包人有权报请有关主管部门视事故造成的损失情况给予其他处罚。</w:t>
      </w:r>
    </w:p>
    <w:p w14:paraId="307F8A17">
      <w:pPr>
        <w:kinsoku/>
        <w:spacing w:before="78" w:line="276" w:lineRule="auto"/>
        <w:ind w:left="57" w:right="25" w:firstLine="466"/>
        <w:rPr>
          <w:rFonts w:ascii="宋体" w:hAnsi="宋体" w:eastAsia="宋体" w:cs="宋体"/>
          <w:color w:val="auto"/>
          <w:sz w:val="24"/>
          <w:highlight w:val="none"/>
          <w:u w:val="single"/>
          <w:lang w:eastAsia="zh-CN"/>
        </w:rPr>
      </w:pPr>
      <w:r>
        <w:rPr>
          <w:rFonts w:hint="eastAsia" w:ascii="宋体" w:hAnsi="宋体" w:eastAsia="宋体" w:cs="宋体"/>
          <w:color w:val="auto"/>
          <w:sz w:val="24"/>
          <w:highlight w:val="none"/>
          <w:u w:val="single"/>
          <w:lang w:eastAsia="zh-CN"/>
        </w:rPr>
        <w:t>g、所有违约金在设计人设计费中扣除。</w:t>
      </w:r>
    </w:p>
    <w:p w14:paraId="2B973C9B">
      <w:pPr>
        <w:kinsoku/>
        <w:spacing w:before="78" w:line="276" w:lineRule="auto"/>
        <w:ind w:left="57" w:right="25" w:firstLine="466"/>
        <w:rPr>
          <w:rFonts w:ascii="宋体" w:hAnsi="宋体" w:eastAsia="宋体" w:cs="宋体"/>
          <w:color w:val="auto"/>
          <w:sz w:val="24"/>
          <w:szCs w:val="24"/>
          <w:highlight w:val="none"/>
          <w:lang w:eastAsia="zh-CN"/>
        </w:rPr>
      </w:pPr>
      <w:r>
        <w:rPr>
          <w:rFonts w:hint="eastAsia" w:ascii="宋体" w:hAnsi="宋体" w:eastAsia="宋体" w:cs="宋体"/>
          <w:color w:val="auto"/>
          <w:sz w:val="24"/>
          <w:highlight w:val="none"/>
          <w:u w:val="single"/>
          <w:lang w:eastAsia="zh-CN"/>
        </w:rPr>
        <w:t>h、设计单位在投标文件中承诺的或按合同文件约定的投入本项目的主要设计单位人员发生变化（因不可抗力引起的人员变动除外）的，处罚条款：未经发包人同意，设计单位不得更换投标文件中承诺的项目负责人及分项负责人，若确实无法到位或需替换，或发包人认为已委派的项目负责人及分项负责人的工作能力和业务水平不称职，需经发包人审批后，用同等资质和经历的人员替换，同时须按以下标准向发包人提交违约金：（1）设计单位签约合同价100万元以下（不含100万元）：项目负责人2万元/人次、分项负责人0.8万元/人次的标准计扣设计单位的违约金；（2）设计单位签约合同价100万元-300万元（含100万元，不含300万元）：项目负责人3万元/人次、分项负责人1.2万元/人次的标准计扣设计单位的违约金；（3）设计单位签约合同价300万元以上（含300万元）：项目负责人8万元/人次、分项负责人2万元/人次的标准计扣设计单位的违约金。</w:t>
      </w:r>
    </w:p>
    <w:p w14:paraId="0F413118">
      <w:pPr>
        <w:kinsoku/>
        <w:spacing w:before="33" w:line="276" w:lineRule="auto"/>
        <w:ind w:left="526"/>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14.2 发包人违约</w:t>
      </w:r>
    </w:p>
    <w:p w14:paraId="4431D388">
      <w:pPr>
        <w:kinsoku/>
        <w:spacing w:before="33" w:line="276" w:lineRule="auto"/>
        <w:ind w:firstLine="540" w:firstLineChars="225"/>
        <w:rPr>
          <w:rFonts w:asciiTheme="majorEastAsia" w:hAnsiTheme="majorEastAsia" w:eastAsiaTheme="majorEastAsia" w:cstheme="majorEastAsia"/>
          <w:color w:val="auto"/>
          <w:sz w:val="24"/>
          <w:highlight w:val="none"/>
          <w:lang w:eastAsia="zh-CN"/>
        </w:rPr>
      </w:pPr>
      <w:r>
        <w:rPr>
          <w:rFonts w:hint="eastAsia" w:ascii="宋体" w:hAnsi="宋体" w:eastAsia="宋体" w:cs="宋体"/>
          <w:color w:val="auto"/>
          <w:sz w:val="24"/>
          <w:szCs w:val="24"/>
          <w:highlight w:val="none"/>
          <w:lang w:eastAsia="zh-CN"/>
        </w:rPr>
        <w:t xml:space="preserve">14.2.2 </w:t>
      </w:r>
      <w:r>
        <w:rPr>
          <w:rFonts w:hint="eastAsia" w:asciiTheme="majorEastAsia" w:hAnsiTheme="majorEastAsia" w:eastAsiaTheme="majorEastAsia" w:cstheme="majorEastAsia"/>
          <w:color w:val="auto"/>
          <w:sz w:val="24"/>
          <w:highlight w:val="none"/>
          <w:lang w:eastAsia="zh-CN"/>
        </w:rPr>
        <w:t>发包人发生违约情况时，设计人有权向发包人课以违约金，具体约定如下：</w:t>
      </w:r>
      <w:r>
        <w:rPr>
          <w:rFonts w:hint="eastAsia" w:asciiTheme="majorEastAsia" w:hAnsiTheme="majorEastAsia" w:eastAsiaTheme="majorEastAsia" w:cstheme="majorEastAsia"/>
          <w:color w:val="auto"/>
          <w:sz w:val="24"/>
          <w:highlight w:val="none"/>
          <w:u w:val="single"/>
          <w:lang w:eastAsia="zh-CN"/>
        </w:rPr>
        <w:t>a、发生14.2.1（1）、（5）条的违约情况，</w:t>
      </w:r>
      <w:r>
        <w:rPr>
          <w:rFonts w:hint="eastAsia" w:asciiTheme="majorEastAsia" w:hAnsiTheme="majorEastAsia" w:eastAsiaTheme="majorEastAsia" w:cstheme="majorEastAsia"/>
          <w:color w:val="auto"/>
          <w:sz w:val="24"/>
          <w:highlight w:val="none"/>
          <w:lang w:eastAsia="zh-CN"/>
        </w:rPr>
        <w:t>发包人应付给设计人拖欠金额的</w:t>
      </w:r>
      <w:r>
        <w:rPr>
          <w:rFonts w:hint="eastAsia" w:asciiTheme="majorEastAsia" w:hAnsiTheme="majorEastAsia" w:eastAsiaTheme="majorEastAsia" w:cstheme="majorEastAsia"/>
          <w:color w:val="auto"/>
          <w:sz w:val="24"/>
          <w:highlight w:val="none"/>
          <w:u w:val="single"/>
          <w:lang w:eastAsia="zh-CN"/>
        </w:rPr>
        <w:t xml:space="preserve"> / </w:t>
      </w:r>
      <w:r>
        <w:rPr>
          <w:rFonts w:hint="eastAsia" w:asciiTheme="majorEastAsia" w:hAnsiTheme="majorEastAsia" w:eastAsiaTheme="majorEastAsia" w:cstheme="majorEastAsia"/>
          <w:color w:val="auto"/>
          <w:sz w:val="24"/>
          <w:highlight w:val="none"/>
          <w:lang w:eastAsia="zh-CN"/>
        </w:rPr>
        <w:t>的违约金。</w:t>
      </w:r>
    </w:p>
    <w:p w14:paraId="2D637E41">
      <w:pPr>
        <w:spacing w:line="276" w:lineRule="auto"/>
        <w:ind w:firstLine="540" w:firstLineChars="225"/>
        <w:rPr>
          <w:rFonts w:asciiTheme="majorEastAsia" w:hAnsiTheme="majorEastAsia" w:eastAsiaTheme="majorEastAsia" w:cstheme="majorEastAsia"/>
          <w:color w:val="auto"/>
          <w:sz w:val="24"/>
          <w:highlight w:val="none"/>
          <w:u w:val="single"/>
          <w:lang w:eastAsia="zh-CN"/>
        </w:rPr>
      </w:pPr>
      <w:r>
        <w:rPr>
          <w:rFonts w:hint="eastAsia" w:asciiTheme="majorEastAsia" w:hAnsiTheme="majorEastAsia" w:eastAsiaTheme="majorEastAsia" w:cstheme="majorEastAsia"/>
          <w:color w:val="auto"/>
          <w:sz w:val="24"/>
          <w:highlight w:val="none"/>
          <w:u w:val="single"/>
          <w:lang w:eastAsia="zh-CN"/>
        </w:rPr>
        <w:t>b、发生 14.2.1（2）、（3）条的违约情况，发包人除应按设计人完成的实际工作量支付费用外，还应按剩余合同价的 / %向设计人支付违约金。</w:t>
      </w:r>
    </w:p>
    <w:p w14:paraId="3207C2E8">
      <w:pPr>
        <w:spacing w:line="276" w:lineRule="auto"/>
        <w:ind w:firstLine="540" w:firstLineChars="225"/>
        <w:rPr>
          <w:rFonts w:ascii="宋体" w:hAnsi="宋体" w:eastAsia="宋体" w:cs="宋体"/>
          <w:color w:val="auto"/>
          <w:sz w:val="24"/>
          <w:szCs w:val="24"/>
          <w:highlight w:val="none"/>
          <w:lang w:eastAsia="zh-CN"/>
        </w:rPr>
      </w:pPr>
      <w:r>
        <w:rPr>
          <w:rFonts w:hint="eastAsia" w:asciiTheme="majorEastAsia" w:hAnsiTheme="majorEastAsia" w:eastAsiaTheme="majorEastAsia" w:cstheme="majorEastAsia"/>
          <w:color w:val="auto"/>
          <w:sz w:val="24"/>
          <w:highlight w:val="none"/>
          <w:u w:val="single"/>
          <w:lang w:eastAsia="zh-CN"/>
        </w:rPr>
        <w:t>c、发生14.2.1（4）条的违约情况，发包人应按设计人实际消耗的工作量增付费用；由于发包人要求提前完成设计工作而导致增加的人员和费用，由投标人在投标报价中综合考虑，发包人不额外支付。</w:t>
      </w:r>
    </w:p>
    <w:p w14:paraId="201494E3">
      <w:pPr>
        <w:kinsoku/>
        <w:spacing w:before="134" w:line="286" w:lineRule="auto"/>
        <w:ind w:left="47"/>
        <w:rPr>
          <w:rFonts w:ascii="宋体" w:hAnsi="宋体" w:eastAsia="宋体" w:cs="宋体"/>
          <w:color w:val="auto"/>
          <w:sz w:val="28"/>
          <w:szCs w:val="28"/>
          <w:highlight w:val="none"/>
          <w:lang w:eastAsia="zh-CN"/>
        </w:rPr>
      </w:pPr>
      <w:r>
        <w:rPr>
          <w:rFonts w:hint="eastAsia" w:ascii="宋体" w:hAnsi="宋体" w:eastAsia="宋体" w:cs="宋体"/>
          <w:b/>
          <w:bCs/>
          <w:color w:val="auto"/>
          <w:sz w:val="28"/>
          <w:szCs w:val="28"/>
          <w:highlight w:val="none"/>
          <w:lang w:eastAsia="zh-CN"/>
        </w:rPr>
        <w:t>15. 争议的解决</w:t>
      </w:r>
    </w:p>
    <w:p w14:paraId="02B87BFC">
      <w:pPr>
        <w:kinsoku/>
        <w:spacing w:before="78"/>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15.1 争议的最终解决方式：</w:t>
      </w:r>
      <w:r>
        <w:rPr>
          <w:rFonts w:hint="eastAsia" w:ascii="宋体" w:hAnsi="宋体" w:eastAsia="宋体" w:cs="宋体"/>
          <w:color w:val="auto"/>
          <w:sz w:val="24"/>
          <w:szCs w:val="24"/>
          <w:highlight w:val="none"/>
          <w:u w:val="single"/>
          <w:lang w:eastAsia="zh-CN"/>
        </w:rPr>
        <w:t xml:space="preserve"> 诉讼 </w:t>
      </w:r>
    </w:p>
    <w:p w14:paraId="5635B246">
      <w:pPr>
        <w:kinsoku/>
        <w:spacing w:before="193"/>
        <w:ind w:left="1061" w:right="1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如采用仲裁，仲裁机构名称：</w:t>
      </w:r>
      <w:r>
        <w:rPr>
          <w:rFonts w:hint="eastAsia" w:ascii="宋体" w:hAnsi="宋体" w:eastAsia="宋体" w:cs="宋体"/>
          <w:color w:val="auto"/>
          <w:sz w:val="24"/>
          <w:szCs w:val="24"/>
          <w:highlight w:val="none"/>
          <w:u w:val="single"/>
          <w:lang w:eastAsia="zh-CN"/>
        </w:rPr>
        <w:t xml:space="preserve"> / </w:t>
      </w:r>
      <w:r>
        <w:rPr>
          <w:rFonts w:hint="eastAsia" w:ascii="宋体" w:hAnsi="宋体" w:eastAsia="宋体" w:cs="宋体"/>
          <w:color w:val="auto"/>
          <w:sz w:val="24"/>
          <w:szCs w:val="24"/>
          <w:highlight w:val="none"/>
          <w:lang w:eastAsia="zh-CN"/>
        </w:rPr>
        <w:t>仲裁委员会。</w:t>
      </w:r>
    </w:p>
    <w:p w14:paraId="39B1094F">
      <w:pPr>
        <w:kinsoku/>
        <w:spacing w:before="193"/>
        <w:ind w:left="1061" w:right="1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如采用诉讼，诉讼机构名称：</w:t>
      </w:r>
      <w:r>
        <w:rPr>
          <w:rFonts w:hint="eastAsia" w:ascii="宋体" w:hAnsi="宋体" w:eastAsia="宋体" w:cs="宋体"/>
          <w:color w:val="auto"/>
          <w:sz w:val="24"/>
          <w:szCs w:val="24"/>
          <w:highlight w:val="none"/>
          <w:u w:val="single"/>
          <w:lang w:eastAsia="zh-CN"/>
        </w:rPr>
        <w:t>项目所在地的地级市以上人民法院</w:t>
      </w:r>
      <w:r>
        <w:rPr>
          <w:rFonts w:hint="eastAsia" w:ascii="宋体" w:hAnsi="宋体" w:eastAsia="宋体" w:cs="宋体"/>
          <w:color w:val="auto"/>
          <w:sz w:val="24"/>
          <w:szCs w:val="24"/>
          <w:highlight w:val="none"/>
          <w:lang w:eastAsia="zh-CN"/>
        </w:rPr>
        <w:t>。</w:t>
      </w:r>
    </w:p>
    <w:p w14:paraId="67F91737">
      <w:pPr>
        <w:kinsoku/>
        <w:rPr>
          <w:rFonts w:ascii="宋体" w:hAnsi="宋体" w:eastAsia="宋体" w:cs="宋体"/>
          <w:color w:val="auto"/>
          <w:sz w:val="24"/>
          <w:szCs w:val="24"/>
          <w:highlight w:val="none"/>
          <w:lang w:eastAsia="zh-CN"/>
        </w:rPr>
        <w:sectPr>
          <w:headerReference r:id="rId30" w:type="default"/>
          <w:footerReference r:id="rId31" w:type="default"/>
          <w:pgSz w:w="11907" w:h="16841"/>
          <w:pgMar w:top="1173" w:right="1555" w:bottom="1254" w:left="1615" w:header="862" w:footer="1093" w:gutter="0"/>
          <w:cols w:space="720" w:num="1"/>
        </w:sectPr>
      </w:pPr>
    </w:p>
    <w:p w14:paraId="45F94DF5">
      <w:pPr>
        <w:kinsoku/>
        <w:spacing w:line="242" w:lineRule="auto"/>
        <w:rPr>
          <w:rFonts w:ascii="宋体" w:hAnsi="宋体" w:eastAsia="宋体" w:cs="宋体"/>
          <w:color w:val="auto"/>
          <w:highlight w:val="none"/>
          <w:lang w:eastAsia="zh-CN"/>
        </w:rPr>
      </w:pPr>
    </w:p>
    <w:p w14:paraId="7EA0803F">
      <w:pPr>
        <w:kinsoku/>
        <w:spacing w:line="242" w:lineRule="auto"/>
        <w:rPr>
          <w:rFonts w:ascii="宋体" w:hAnsi="宋体" w:eastAsia="宋体" w:cs="宋体"/>
          <w:color w:val="auto"/>
          <w:highlight w:val="none"/>
          <w:lang w:eastAsia="zh-CN"/>
        </w:rPr>
      </w:pPr>
    </w:p>
    <w:p w14:paraId="2D51C770">
      <w:pPr>
        <w:kinsoku/>
        <w:spacing w:line="242" w:lineRule="auto"/>
        <w:rPr>
          <w:rFonts w:ascii="宋体" w:hAnsi="宋体" w:eastAsia="宋体" w:cs="宋体"/>
          <w:color w:val="auto"/>
          <w:highlight w:val="none"/>
          <w:lang w:eastAsia="zh-CN"/>
        </w:rPr>
      </w:pPr>
    </w:p>
    <w:p w14:paraId="1EE0F0EB">
      <w:pPr>
        <w:kinsoku/>
        <w:spacing w:line="242" w:lineRule="auto"/>
        <w:rPr>
          <w:rFonts w:ascii="宋体" w:hAnsi="宋体" w:eastAsia="宋体" w:cs="宋体"/>
          <w:color w:val="auto"/>
          <w:highlight w:val="none"/>
          <w:lang w:eastAsia="zh-CN"/>
        </w:rPr>
      </w:pPr>
    </w:p>
    <w:p w14:paraId="085B1E49">
      <w:pPr>
        <w:kinsoku/>
        <w:spacing w:line="242" w:lineRule="auto"/>
        <w:rPr>
          <w:rFonts w:ascii="宋体" w:hAnsi="宋体" w:eastAsia="宋体" w:cs="宋体"/>
          <w:color w:val="auto"/>
          <w:highlight w:val="none"/>
          <w:lang w:eastAsia="zh-CN"/>
        </w:rPr>
      </w:pPr>
    </w:p>
    <w:p w14:paraId="1A80597B">
      <w:pPr>
        <w:kinsoku/>
        <w:spacing w:line="242" w:lineRule="auto"/>
        <w:rPr>
          <w:rFonts w:ascii="宋体" w:hAnsi="宋体" w:eastAsia="宋体" w:cs="宋体"/>
          <w:color w:val="auto"/>
          <w:highlight w:val="none"/>
          <w:lang w:eastAsia="zh-CN"/>
        </w:rPr>
      </w:pPr>
    </w:p>
    <w:p w14:paraId="76B37492">
      <w:pPr>
        <w:kinsoku/>
        <w:spacing w:line="242" w:lineRule="auto"/>
        <w:rPr>
          <w:rFonts w:ascii="宋体" w:hAnsi="宋体" w:eastAsia="宋体" w:cs="宋体"/>
          <w:color w:val="auto"/>
          <w:highlight w:val="none"/>
          <w:lang w:eastAsia="zh-CN"/>
        </w:rPr>
      </w:pPr>
    </w:p>
    <w:p w14:paraId="1C6D17C6">
      <w:pPr>
        <w:kinsoku/>
        <w:spacing w:line="242" w:lineRule="auto"/>
        <w:rPr>
          <w:rFonts w:ascii="宋体" w:hAnsi="宋体" w:eastAsia="宋体" w:cs="宋体"/>
          <w:color w:val="auto"/>
          <w:highlight w:val="none"/>
          <w:lang w:eastAsia="zh-CN"/>
        </w:rPr>
      </w:pPr>
    </w:p>
    <w:p w14:paraId="0F7F2E38">
      <w:pPr>
        <w:kinsoku/>
        <w:spacing w:line="242" w:lineRule="auto"/>
        <w:rPr>
          <w:rFonts w:ascii="宋体" w:hAnsi="宋体" w:eastAsia="宋体" w:cs="宋体"/>
          <w:color w:val="auto"/>
          <w:highlight w:val="none"/>
          <w:lang w:eastAsia="zh-CN"/>
        </w:rPr>
      </w:pPr>
    </w:p>
    <w:p w14:paraId="4C1295EF">
      <w:pPr>
        <w:kinsoku/>
        <w:spacing w:line="242" w:lineRule="auto"/>
        <w:rPr>
          <w:rFonts w:ascii="宋体" w:hAnsi="宋体" w:eastAsia="宋体" w:cs="宋体"/>
          <w:color w:val="auto"/>
          <w:highlight w:val="none"/>
          <w:lang w:eastAsia="zh-CN"/>
        </w:rPr>
      </w:pPr>
    </w:p>
    <w:p w14:paraId="10DF2E2E">
      <w:pPr>
        <w:kinsoku/>
        <w:spacing w:line="242" w:lineRule="auto"/>
        <w:rPr>
          <w:rFonts w:ascii="宋体" w:hAnsi="宋体" w:eastAsia="宋体" w:cs="宋体"/>
          <w:color w:val="auto"/>
          <w:highlight w:val="none"/>
          <w:lang w:eastAsia="zh-CN"/>
        </w:rPr>
      </w:pPr>
    </w:p>
    <w:p w14:paraId="68FC9440">
      <w:pPr>
        <w:kinsoku/>
        <w:spacing w:line="242" w:lineRule="auto"/>
        <w:rPr>
          <w:rFonts w:ascii="宋体" w:hAnsi="宋体" w:eastAsia="宋体" w:cs="宋体"/>
          <w:color w:val="auto"/>
          <w:highlight w:val="none"/>
          <w:lang w:eastAsia="zh-CN"/>
        </w:rPr>
      </w:pPr>
    </w:p>
    <w:p w14:paraId="20D4CDE7">
      <w:pPr>
        <w:kinsoku/>
        <w:spacing w:line="243" w:lineRule="auto"/>
        <w:rPr>
          <w:rFonts w:ascii="宋体" w:hAnsi="宋体" w:eastAsia="宋体" w:cs="宋体"/>
          <w:color w:val="auto"/>
          <w:highlight w:val="none"/>
          <w:lang w:eastAsia="zh-CN"/>
        </w:rPr>
      </w:pPr>
    </w:p>
    <w:p w14:paraId="1D56DAA1">
      <w:pPr>
        <w:kinsoku/>
        <w:spacing w:line="243" w:lineRule="auto"/>
        <w:rPr>
          <w:rFonts w:ascii="宋体" w:hAnsi="宋体" w:eastAsia="宋体" w:cs="宋体"/>
          <w:color w:val="auto"/>
          <w:highlight w:val="none"/>
          <w:lang w:eastAsia="zh-CN"/>
        </w:rPr>
      </w:pPr>
    </w:p>
    <w:p w14:paraId="7DEB0073">
      <w:pPr>
        <w:kinsoku/>
        <w:spacing w:line="243" w:lineRule="auto"/>
        <w:rPr>
          <w:rFonts w:ascii="宋体" w:hAnsi="宋体" w:eastAsia="宋体" w:cs="宋体"/>
          <w:color w:val="auto"/>
          <w:highlight w:val="none"/>
          <w:lang w:eastAsia="zh-CN"/>
        </w:rPr>
      </w:pPr>
    </w:p>
    <w:p w14:paraId="161B8896">
      <w:pPr>
        <w:kinsoku/>
        <w:spacing w:line="243" w:lineRule="auto"/>
        <w:rPr>
          <w:rFonts w:ascii="宋体" w:hAnsi="宋体" w:eastAsia="宋体" w:cs="宋体"/>
          <w:color w:val="auto"/>
          <w:highlight w:val="none"/>
          <w:lang w:eastAsia="zh-CN"/>
        </w:rPr>
      </w:pPr>
    </w:p>
    <w:p w14:paraId="09D8CD6E">
      <w:pPr>
        <w:kinsoku/>
        <w:spacing w:line="243" w:lineRule="auto"/>
        <w:rPr>
          <w:rFonts w:ascii="宋体" w:hAnsi="宋体" w:eastAsia="宋体" w:cs="宋体"/>
          <w:color w:val="auto"/>
          <w:highlight w:val="none"/>
          <w:lang w:eastAsia="zh-CN"/>
        </w:rPr>
      </w:pPr>
    </w:p>
    <w:p w14:paraId="56E42FAD">
      <w:pPr>
        <w:kinsoku/>
        <w:spacing w:line="243" w:lineRule="auto"/>
        <w:rPr>
          <w:rFonts w:ascii="宋体" w:hAnsi="宋体" w:eastAsia="宋体" w:cs="宋体"/>
          <w:color w:val="auto"/>
          <w:highlight w:val="none"/>
          <w:lang w:eastAsia="zh-CN"/>
        </w:rPr>
      </w:pPr>
    </w:p>
    <w:p w14:paraId="3DD9FD69">
      <w:pPr>
        <w:kinsoku/>
        <w:spacing w:line="243" w:lineRule="auto"/>
        <w:rPr>
          <w:rFonts w:ascii="宋体" w:hAnsi="宋体" w:eastAsia="宋体" w:cs="宋体"/>
          <w:color w:val="auto"/>
          <w:highlight w:val="none"/>
          <w:lang w:eastAsia="zh-CN"/>
        </w:rPr>
      </w:pPr>
    </w:p>
    <w:p w14:paraId="48D29912">
      <w:pPr>
        <w:kinsoku/>
        <w:spacing w:line="243" w:lineRule="auto"/>
        <w:rPr>
          <w:rFonts w:ascii="宋体" w:hAnsi="宋体" w:eastAsia="宋体" w:cs="宋体"/>
          <w:color w:val="auto"/>
          <w:highlight w:val="none"/>
          <w:lang w:eastAsia="zh-CN"/>
        </w:rPr>
      </w:pPr>
    </w:p>
    <w:p w14:paraId="47942D28">
      <w:pPr>
        <w:kinsoku/>
        <w:spacing w:before="100" w:line="224" w:lineRule="auto"/>
        <w:ind w:left="2780"/>
        <w:outlineLvl w:val="1"/>
        <w:rPr>
          <w:rFonts w:ascii="宋体" w:hAnsi="宋体" w:eastAsia="宋体" w:cs="宋体"/>
          <w:color w:val="auto"/>
          <w:sz w:val="31"/>
          <w:szCs w:val="31"/>
          <w:highlight w:val="none"/>
          <w:lang w:eastAsia="zh-CN"/>
        </w:rPr>
      </w:pPr>
      <w:bookmarkStart w:id="341" w:name="bookmark250"/>
      <w:bookmarkEnd w:id="341"/>
      <w:bookmarkStart w:id="342" w:name="bookmark251"/>
      <w:bookmarkEnd w:id="342"/>
      <w:bookmarkStart w:id="343" w:name="_Toc11566"/>
      <w:r>
        <w:rPr>
          <w:rFonts w:hint="eastAsia" w:ascii="宋体" w:hAnsi="宋体" w:eastAsia="宋体" w:cs="宋体"/>
          <w:color w:val="auto"/>
          <w:sz w:val="31"/>
          <w:szCs w:val="31"/>
          <w:highlight w:val="none"/>
          <w:lang w:eastAsia="zh-CN"/>
        </w:rPr>
        <w:t>第三节 合同附件格式</w:t>
      </w:r>
      <w:bookmarkEnd w:id="343"/>
    </w:p>
    <w:p w14:paraId="4BC5B50C">
      <w:pPr>
        <w:kinsoku/>
        <w:spacing w:line="224" w:lineRule="auto"/>
        <w:rPr>
          <w:rFonts w:ascii="宋体" w:hAnsi="宋体" w:eastAsia="宋体" w:cs="宋体"/>
          <w:color w:val="auto"/>
          <w:sz w:val="31"/>
          <w:szCs w:val="31"/>
          <w:highlight w:val="none"/>
          <w:lang w:eastAsia="zh-CN"/>
        </w:rPr>
        <w:sectPr>
          <w:footerReference r:id="rId32" w:type="default"/>
          <w:pgSz w:w="11907" w:h="16841"/>
          <w:pgMar w:top="1173" w:right="1555" w:bottom="1254" w:left="1615" w:header="862" w:footer="1093" w:gutter="0"/>
          <w:cols w:space="720" w:num="1"/>
        </w:sectPr>
      </w:pPr>
    </w:p>
    <w:p w14:paraId="59D0838A">
      <w:pPr>
        <w:kinsoku/>
        <w:spacing w:before="78" w:line="219" w:lineRule="auto"/>
        <w:ind w:left="51"/>
        <w:rPr>
          <w:rFonts w:ascii="宋体" w:hAnsi="宋体" w:eastAsia="宋体" w:cs="宋体"/>
          <w:color w:val="auto"/>
          <w:sz w:val="24"/>
          <w:szCs w:val="24"/>
          <w:highlight w:val="none"/>
          <w:lang w:eastAsia="zh-CN"/>
        </w:rPr>
      </w:pPr>
      <w:bookmarkStart w:id="344" w:name="bookmark252"/>
      <w:bookmarkEnd w:id="344"/>
      <w:r>
        <w:rPr>
          <w:rFonts w:hint="eastAsia" w:ascii="宋体" w:hAnsi="宋体" w:eastAsia="宋体" w:cs="宋体"/>
          <w:color w:val="auto"/>
          <w:sz w:val="24"/>
          <w:szCs w:val="24"/>
          <w:highlight w:val="none"/>
          <w:lang w:eastAsia="zh-CN"/>
        </w:rPr>
        <w:t>附件一 合同协议书</w:t>
      </w:r>
    </w:p>
    <w:p w14:paraId="1290D602">
      <w:pPr>
        <w:kinsoku/>
        <w:spacing w:before="103" w:line="219" w:lineRule="auto"/>
        <w:ind w:left="3398"/>
        <w:rPr>
          <w:rFonts w:ascii="宋体" w:hAnsi="宋体" w:eastAsia="宋体" w:cs="宋体"/>
          <w:color w:val="auto"/>
          <w:sz w:val="28"/>
          <w:szCs w:val="28"/>
          <w:highlight w:val="none"/>
          <w:lang w:eastAsia="zh-CN"/>
        </w:rPr>
      </w:pPr>
      <w:bookmarkStart w:id="345" w:name="bookmark253"/>
      <w:bookmarkEnd w:id="345"/>
      <w:r>
        <w:rPr>
          <w:rFonts w:hint="eastAsia" w:ascii="宋体" w:hAnsi="宋体" w:eastAsia="宋体" w:cs="宋体"/>
          <w:color w:val="auto"/>
          <w:sz w:val="28"/>
          <w:szCs w:val="28"/>
          <w:highlight w:val="none"/>
          <w:lang w:eastAsia="zh-CN"/>
        </w:rPr>
        <w:t>合同协议书</w:t>
      </w:r>
    </w:p>
    <w:p w14:paraId="671C7E1E">
      <w:pPr>
        <w:kinsoku/>
        <w:spacing w:line="250" w:lineRule="auto"/>
        <w:rPr>
          <w:rFonts w:ascii="宋体" w:hAnsi="宋体" w:eastAsia="宋体" w:cs="宋体"/>
          <w:color w:val="auto"/>
          <w:highlight w:val="none"/>
          <w:lang w:eastAsia="zh-CN"/>
        </w:rPr>
      </w:pPr>
    </w:p>
    <w:p w14:paraId="6B14B0AD">
      <w:pPr>
        <w:kinsoku/>
        <w:spacing w:line="251" w:lineRule="auto"/>
        <w:rPr>
          <w:rFonts w:ascii="宋体" w:hAnsi="宋体" w:eastAsia="宋体" w:cs="宋体"/>
          <w:color w:val="auto"/>
          <w:highlight w:val="none"/>
          <w:lang w:eastAsia="zh-CN"/>
        </w:rPr>
      </w:pPr>
    </w:p>
    <w:p w14:paraId="0DD61F02">
      <w:pPr>
        <w:tabs>
          <w:tab w:val="left" w:pos="1708"/>
        </w:tabs>
        <w:kinsoku/>
        <w:spacing w:before="78" w:line="329" w:lineRule="auto"/>
        <w:ind w:left="39" w:right="28" w:firstLine="469"/>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（发包人名称，以下简称“发包人”）为实施（项目名称），已接受（设计人名称，以下简称“设计人”）对该项目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标段勘察设计的投标。发包人和设计人共同达成如下协议。</w:t>
      </w:r>
    </w:p>
    <w:p w14:paraId="43AFD274">
      <w:pPr>
        <w:kinsoku/>
        <w:spacing w:before="37" w:line="303" w:lineRule="auto"/>
        <w:ind w:left="38" w:right="42" w:firstLine="63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标段由K</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至K</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，长约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km，公路等级为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，设计速度为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路面，有</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立交</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处；特大桥</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座，计长</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m；大中 桥</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座，计长</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m；隧道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座，计长</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m 以及其他构造物工程等。</w:t>
      </w:r>
    </w:p>
    <w:p w14:paraId="3326A026">
      <w:pPr>
        <w:kinsoku/>
        <w:spacing w:before="137" w:line="220" w:lineRule="auto"/>
        <w:ind w:left="6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2.下列文件应视为构成合同文件的组成部分：</w:t>
      </w:r>
    </w:p>
    <w:p w14:paraId="148BEB65">
      <w:pPr>
        <w:kinsoku/>
        <w:spacing w:before="153" w:line="299" w:lineRule="auto"/>
        <w:ind w:left="37" w:right="66" w:firstLine="6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（1）本合同协议书及各种合同附件（含评标期间和合同谈判过程中的澄清文件和补充资料；设计人提交的经发包人审核通过的勘察设计详细工作大纲及进度计划、专题研究详细工作大纲等）；</w:t>
      </w:r>
    </w:p>
    <w:p w14:paraId="72DD4645">
      <w:pPr>
        <w:kinsoku/>
        <w:spacing w:before="155" w:line="219"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（2）中标通知书；</w:t>
      </w:r>
    </w:p>
    <w:p w14:paraId="66B17CA2">
      <w:pPr>
        <w:kinsoku/>
        <w:spacing w:before="155"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（3）投标函；</w:t>
      </w:r>
    </w:p>
    <w:p w14:paraId="7E3284F7">
      <w:pPr>
        <w:kinsoku/>
        <w:spacing w:before="155"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（4）专用合同条款；</w:t>
      </w:r>
    </w:p>
    <w:p w14:paraId="5F524C40">
      <w:pPr>
        <w:kinsoku/>
        <w:spacing w:before="153"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（5）通用合同条款；</w:t>
      </w:r>
    </w:p>
    <w:p w14:paraId="4DD56C7A">
      <w:pPr>
        <w:kinsoku/>
        <w:spacing w:before="154"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（6）发包人要求；</w:t>
      </w:r>
    </w:p>
    <w:p w14:paraId="2A4EAA41">
      <w:pPr>
        <w:kinsoku/>
        <w:spacing w:before="155"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（7）勘察设计费用清单；</w:t>
      </w:r>
    </w:p>
    <w:p w14:paraId="6F406366">
      <w:pPr>
        <w:kinsoku/>
        <w:spacing w:before="153"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（8）设计人有关人员投入的承诺；</w:t>
      </w:r>
    </w:p>
    <w:p w14:paraId="2974B4E5">
      <w:pPr>
        <w:kinsoku/>
        <w:spacing w:before="153"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（9）其他合同文件。</w:t>
      </w:r>
    </w:p>
    <w:p w14:paraId="05685D65">
      <w:pPr>
        <w:kinsoku/>
        <w:spacing w:before="156" w:line="325" w:lineRule="auto"/>
        <w:ind w:left="65" w:right="127" w:firstLine="59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上述合同文件互相补充和解释。如果合同文件之间存在矛盾或不一致之处，以上述文件的排列顺序在先者为准。</w:t>
      </w:r>
    </w:p>
    <w:p w14:paraId="546E71FC">
      <w:pPr>
        <w:kinsoku/>
        <w:spacing w:before="35" w:line="218" w:lineRule="auto"/>
        <w:ind w:left="65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3.签约合同价：人民币（大写）</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元(¥</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3784F9C7">
      <w:pPr>
        <w:kinsoku/>
        <w:spacing w:before="157" w:line="220" w:lineRule="auto"/>
        <w:ind w:left="64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4.项目负责人：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220AF4B8">
      <w:pPr>
        <w:kinsoku/>
        <w:spacing w:before="154" w:line="325" w:lineRule="auto"/>
        <w:ind w:left="39" w:right="67" w:firstLine="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5.勘察设计工作质量符合的标准和要求：</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；安全目标：</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6ABB7699">
      <w:pPr>
        <w:kinsoku/>
        <w:spacing w:before="37" w:line="280" w:lineRule="auto"/>
        <w:ind w:left="38" w:right="62" w:firstLine="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6.设计人承诺按合同约定承担工程的勘察设计工作，包括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50573F8B">
      <w:pPr>
        <w:kinsoku/>
        <w:spacing w:before="150" w:line="218" w:lineRule="auto"/>
        <w:ind w:left="65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7.发包人承诺按合同约定的条件、时间和方式向设计人支付合同价款。</w:t>
      </w:r>
    </w:p>
    <w:p w14:paraId="57D9ACCB">
      <w:pPr>
        <w:kinsoku/>
        <w:spacing w:before="154" w:line="325" w:lineRule="auto"/>
        <w:ind w:left="39" w:right="67" w:firstLine="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8.设计人计划开始勘察设计日期：</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，实际日期按照发包人在开始勘察设计通知中载明的开始勘察设计日期为准。勘察设计服务期限为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天。</w:t>
      </w:r>
    </w:p>
    <w:p w14:paraId="7E9318BE">
      <w:pPr>
        <w:kinsoku/>
        <w:spacing w:before="154" w:line="325" w:lineRule="auto"/>
        <w:ind w:left="39" w:right="67" w:firstLine="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9.本协议书在设计人提供履约保证金后，由双方法定代表人或其委托代理人签署并加盖单位章后生效。设计人完成全部勘察设计工作且勘察设计费用结清后失效。</w:t>
      </w:r>
    </w:p>
    <w:p w14:paraId="50FA2183">
      <w:pPr>
        <w:kinsoku/>
        <w:spacing w:before="153" w:line="278" w:lineRule="auto"/>
        <w:ind w:left="53" w:firstLine="6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10.本协议书正本二份、副本____份，合同双方各执正本一份，副本____份，当正本与副本的内容不一致时，以正本为准。</w:t>
      </w:r>
    </w:p>
    <w:p w14:paraId="521F8DAA">
      <w:pPr>
        <w:kinsoku/>
        <w:spacing w:before="156" w:line="220" w:lineRule="auto"/>
        <w:ind w:left="6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11.合同未尽事宜，双方另行签订补充协议。补充协议是合同的组成部分。</w:t>
      </w:r>
    </w:p>
    <w:p w14:paraId="1E2BD1A8">
      <w:pPr>
        <w:kinsoku/>
        <w:spacing w:line="256" w:lineRule="auto"/>
        <w:rPr>
          <w:rFonts w:ascii="宋体" w:hAnsi="宋体" w:eastAsia="宋体" w:cs="宋体"/>
          <w:color w:val="auto"/>
          <w:highlight w:val="none"/>
          <w:lang w:eastAsia="zh-CN"/>
        </w:rPr>
      </w:pPr>
    </w:p>
    <w:p w14:paraId="3AD76FB3">
      <w:pPr>
        <w:kinsoku/>
        <w:spacing w:line="256" w:lineRule="auto"/>
        <w:rPr>
          <w:rFonts w:ascii="宋体" w:hAnsi="宋体" w:eastAsia="宋体" w:cs="宋体"/>
          <w:color w:val="auto"/>
          <w:highlight w:val="none"/>
          <w:lang w:eastAsia="zh-CN"/>
        </w:rPr>
      </w:pPr>
    </w:p>
    <w:p w14:paraId="4E52F98A">
      <w:pPr>
        <w:kinsoku/>
        <w:spacing w:before="79" w:line="219" w:lineRule="auto"/>
        <w:ind w:left="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    设计人：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460354F3">
      <w:pPr>
        <w:kinsoku/>
        <w:spacing w:before="156" w:line="220" w:lineRule="auto"/>
        <w:ind w:left="3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 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1CDEFC4B">
      <w:pPr>
        <w:tabs>
          <w:tab w:val="left" w:pos="1468"/>
        </w:tabs>
        <w:kinsoku/>
        <w:spacing w:before="153" w:line="220" w:lineRule="auto"/>
        <w:ind w:left="388"/>
        <w:rPr>
          <w:rFonts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月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日</w:t>
      </w:r>
    </w:p>
    <w:p w14:paraId="422FACD7">
      <w:pPr>
        <w:kinsoku/>
        <w:spacing w:line="220" w:lineRule="auto"/>
        <w:rPr>
          <w:rFonts w:ascii="宋体" w:hAnsi="宋体" w:eastAsia="宋体" w:cs="宋体"/>
          <w:color w:val="auto"/>
          <w:sz w:val="24"/>
          <w:szCs w:val="24"/>
          <w:highlight w:val="none"/>
        </w:rPr>
        <w:sectPr>
          <w:headerReference r:id="rId33" w:type="default"/>
          <w:footerReference r:id="rId34" w:type="default"/>
          <w:pgSz w:w="11907" w:h="16841"/>
          <w:pgMar w:top="1173" w:right="1517" w:bottom="1254" w:left="1615" w:header="862" w:footer="1093" w:gutter="0"/>
          <w:cols w:space="720" w:num="1"/>
        </w:sectPr>
      </w:pPr>
    </w:p>
    <w:p w14:paraId="4FAA1DBC">
      <w:pPr>
        <w:kinsoku/>
        <w:spacing w:before="78" w:line="220" w:lineRule="auto"/>
        <w:ind w:left="51"/>
        <w:rPr>
          <w:rFonts w:ascii="宋体" w:hAnsi="宋体" w:eastAsia="宋体" w:cs="宋体"/>
          <w:color w:val="auto"/>
          <w:sz w:val="24"/>
          <w:szCs w:val="24"/>
          <w:highlight w:val="none"/>
          <w:lang w:eastAsia="zh-CN"/>
        </w:rPr>
      </w:pPr>
      <w:bookmarkStart w:id="346" w:name="bookmark254"/>
      <w:bookmarkEnd w:id="346"/>
      <w:r>
        <w:rPr>
          <w:rFonts w:hint="eastAsia" w:ascii="宋体" w:hAnsi="宋体" w:eastAsia="宋体" w:cs="宋体"/>
          <w:color w:val="auto"/>
          <w:sz w:val="24"/>
          <w:szCs w:val="24"/>
          <w:highlight w:val="none"/>
        </w:rPr>
        <w:t>附件二 廉政合同</w:t>
      </w:r>
    </w:p>
    <w:p w14:paraId="0849BB5F">
      <w:pPr>
        <w:kinsoku/>
        <w:spacing w:before="100" w:line="221" w:lineRule="auto"/>
        <w:ind w:left="3605"/>
        <w:rPr>
          <w:rFonts w:ascii="宋体" w:hAnsi="宋体" w:eastAsia="宋体" w:cs="宋体"/>
          <w:color w:val="auto"/>
          <w:sz w:val="28"/>
          <w:szCs w:val="28"/>
          <w:highlight w:val="none"/>
          <w:lang w:eastAsia="zh-CN"/>
        </w:rPr>
      </w:pPr>
      <w:bookmarkStart w:id="347" w:name="bookmark255"/>
      <w:bookmarkEnd w:id="347"/>
      <w:r>
        <w:rPr>
          <w:rFonts w:hint="eastAsia" w:ascii="宋体" w:hAnsi="宋体" w:eastAsia="宋体" w:cs="宋体"/>
          <w:color w:val="auto"/>
          <w:sz w:val="28"/>
          <w:szCs w:val="28"/>
          <w:highlight w:val="none"/>
          <w:lang w:eastAsia="zh-CN"/>
        </w:rPr>
        <w:t>廉政合同</w:t>
      </w:r>
    </w:p>
    <w:p w14:paraId="03EE2A84">
      <w:pPr>
        <w:kinsoku/>
        <w:spacing w:line="432" w:lineRule="auto"/>
        <w:rPr>
          <w:rFonts w:ascii="宋体" w:hAnsi="宋体" w:eastAsia="宋体" w:cs="宋体"/>
          <w:color w:val="auto"/>
          <w:highlight w:val="none"/>
          <w:lang w:eastAsia="zh-CN"/>
        </w:rPr>
      </w:pPr>
    </w:p>
    <w:p w14:paraId="33D9D851">
      <w:pPr>
        <w:kinsoku/>
        <w:spacing w:before="78" w:line="304" w:lineRule="auto"/>
        <w:ind w:left="39" w:right="26" w:firstLine="61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根据《关于在交通基础设施建设中加强廉政建设的若干意见》以及有关工程建设、廉政建设的规定，为做好工程建设中的党风廉政建设，保证工程建设高效优质，保证建设资金的安全和有效使用以及投资效益，</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（项目名称）的项目法人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（项目法人名称，以下简称“发包人”）与该项目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标段的勘察设计单位</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（勘察设计单位名称，以下简称“设计人”），特订立如下合同。</w:t>
      </w:r>
    </w:p>
    <w:p w14:paraId="2E20F447">
      <w:pPr>
        <w:kinsoku/>
        <w:spacing w:before="32" w:line="218" w:lineRule="auto"/>
        <w:ind w:left="6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1.发包人和设计人双方的权利和义务</w:t>
      </w:r>
    </w:p>
    <w:p w14:paraId="22B89C6B">
      <w:pPr>
        <w:kinsoku/>
        <w:spacing w:before="117" w:line="220" w:lineRule="auto"/>
        <w:ind w:left="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（1）严格遵守党的政策规定和国家有关法律法规及交通运输部的有关规定。</w:t>
      </w:r>
    </w:p>
    <w:p w14:paraId="3F23B215">
      <w:pPr>
        <w:kinsoku/>
        <w:spacing w:before="113" w:line="264" w:lineRule="auto"/>
        <w:ind w:left="39" w:right="42" w:firstLine="62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（2）严格执行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标段勘察设计合同文件，自觉按合同办事。</w:t>
      </w:r>
    </w:p>
    <w:p w14:paraId="4F244E42">
      <w:pPr>
        <w:kinsoku/>
        <w:spacing w:before="115" w:line="278" w:lineRule="auto"/>
        <w:ind w:left="37" w:right="31" w:firstLine="6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（3）双方的业务活动坚持公开、公正、诚信、透明的原则（法律认定的商业秘密和合同文件另有规定除外），不得损害国家和集体利益，不得违反工程建设管理规章制度。</w:t>
      </w:r>
    </w:p>
    <w:p w14:paraId="7FDBFF8B">
      <w:pPr>
        <w:kinsoku/>
        <w:spacing w:before="116" w:line="263" w:lineRule="auto"/>
        <w:ind w:left="39" w:right="90" w:firstLine="62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（4）建立健全廉政制度，开展廉政教育，设立廉政告示牌，公布举报电话，监督并认真查处违法违纪行为。</w:t>
      </w:r>
    </w:p>
    <w:p w14:paraId="4A65C74E">
      <w:pPr>
        <w:kinsoku/>
        <w:spacing w:before="115" w:line="264" w:lineRule="auto"/>
        <w:ind w:left="37" w:right="36" w:firstLine="6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（5）发现对方在业务活动中有违反廉政规定的行为，有及时提醒对方纠正的权利和义务。</w:t>
      </w:r>
    </w:p>
    <w:p w14:paraId="7FC6F72D">
      <w:pPr>
        <w:kinsoku/>
        <w:spacing w:before="114" w:line="263" w:lineRule="auto"/>
        <w:ind w:left="41" w:right="71" w:firstLine="6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（6）发现对方严重违反本合同义务条款的行为，有向其上级有关部门举报、建议给予处理并要求告知处理结果的权利。</w:t>
      </w:r>
    </w:p>
    <w:p w14:paraId="09818504">
      <w:pPr>
        <w:kinsoku/>
        <w:spacing w:before="117" w:line="218" w:lineRule="auto"/>
        <w:ind w:left="6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2.发包人的义务</w:t>
      </w:r>
    </w:p>
    <w:p w14:paraId="0C559DB6">
      <w:pPr>
        <w:kinsoku/>
        <w:spacing w:before="116" w:line="264" w:lineRule="auto"/>
        <w:ind w:left="57" w:right="35" w:firstLine="60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（1）发包人及其工作人员不得索要或接受设计人的礼金、有价证券和贵重物品，不得让设计人报销任何应由发包人或发包人工作人员个人支付的费用等。</w:t>
      </w:r>
    </w:p>
    <w:p w14:paraId="40633B25">
      <w:pPr>
        <w:kinsoku/>
        <w:spacing w:before="114" w:line="263" w:lineRule="auto"/>
        <w:ind w:left="42" w:right="45" w:firstLine="6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（2）发包人工作人员不得参加设计人安排的超标准宴请和娱乐活动；不得接受设计人提供的通信工具、交通工具和高档办公用品等。</w:t>
      </w:r>
    </w:p>
    <w:p w14:paraId="2E2F92F3">
      <w:pPr>
        <w:kinsoku/>
        <w:spacing w:before="115" w:line="264" w:lineRule="auto"/>
        <w:ind w:left="41" w:right="36" w:firstLine="6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（3）发包人及其工作人员不得要求或者接受设计人为其住房装修、婚丧嫁娶活动、配偶子女的工作安排以及出国出境、旅游等提供方便等。</w:t>
      </w:r>
    </w:p>
    <w:p w14:paraId="0772C82F">
      <w:pPr>
        <w:kinsoku/>
        <w:spacing w:before="113" w:line="279" w:lineRule="auto"/>
        <w:ind w:left="38" w:right="34" w:firstLine="6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（4）发包人工作人员及其配偶、子女、亲属不得从事与本勘察设计合同有关的勘察设计业务等活动。不得以任何理由要求设计人和相关单位在设计中使用某种产品、材料和设备。</w:t>
      </w:r>
    </w:p>
    <w:p w14:paraId="0E7EB9F4">
      <w:pPr>
        <w:kinsoku/>
        <w:spacing w:before="112" w:line="264" w:lineRule="auto"/>
        <w:ind w:left="40" w:right="36" w:firstLine="621"/>
        <w:rPr>
          <w:rFonts w:ascii="宋体" w:hAnsi="宋体" w:eastAsia="宋体" w:cs="宋体"/>
          <w:color w:val="auto"/>
          <w:highlight w:val="none"/>
          <w:lang w:eastAsia="zh-CN"/>
        </w:rPr>
      </w:pPr>
      <w:r>
        <w:rPr>
          <w:rFonts w:hint="eastAsia" w:ascii="宋体" w:hAnsi="宋体" w:eastAsia="宋体" w:cs="宋体"/>
          <w:color w:val="auto"/>
          <w:sz w:val="24"/>
          <w:szCs w:val="24"/>
          <w:highlight w:val="none"/>
          <w:lang w:eastAsia="zh-CN"/>
        </w:rPr>
        <w:t>（5）发包人工作人员要秉公办事，不准营私舞弊，不准利用职权从事各种个人有偿中介活动和安排个人勘察设计队伍。</w:t>
      </w:r>
    </w:p>
    <w:p w14:paraId="4ED7475D">
      <w:pPr>
        <w:kinsoku/>
        <w:spacing w:before="78" w:line="218" w:lineRule="auto"/>
        <w:ind w:left="65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3.设计人的义务</w:t>
      </w:r>
    </w:p>
    <w:p w14:paraId="4C3595A7">
      <w:pPr>
        <w:kinsoku/>
        <w:spacing w:before="114" w:line="264" w:lineRule="auto"/>
        <w:ind w:left="37" w:right="101" w:firstLine="6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（1）设计人不得以任何理由向发包人及其工作人员行贿或馈赠礼金、有价证券、贵重礼品。</w:t>
      </w:r>
    </w:p>
    <w:p w14:paraId="0EA017A3">
      <w:pPr>
        <w:kinsoku/>
        <w:spacing w:before="115" w:line="263" w:lineRule="auto"/>
        <w:ind w:left="40" w:right="91" w:firstLine="62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（2）设计人不得以任何名义为发包人及其工作人员报销应由发包人单位或个人支付的任何费用。</w:t>
      </w:r>
    </w:p>
    <w:p w14:paraId="356F4C37">
      <w:pPr>
        <w:kinsoku/>
        <w:spacing w:before="114" w:line="220" w:lineRule="auto"/>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（3）设计人不得以任何理由安排发包人工作人员参加超标准宴请及娱乐活动。</w:t>
      </w:r>
    </w:p>
    <w:p w14:paraId="4C10B52D">
      <w:pPr>
        <w:kinsoku/>
        <w:spacing w:before="116" w:line="263" w:lineRule="auto"/>
        <w:ind w:left="42" w:right="91" w:firstLine="6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（4）设计人不得为发包人单位和个人购置或提供通信工具、交通工具和高档办公用品等。</w:t>
      </w:r>
    </w:p>
    <w:p w14:paraId="06E1912E">
      <w:pPr>
        <w:kinsoku/>
        <w:spacing w:before="116" w:line="218" w:lineRule="auto"/>
        <w:ind w:left="64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4.违约责任</w:t>
      </w:r>
    </w:p>
    <w:p w14:paraId="0791B754">
      <w:pPr>
        <w:kinsoku/>
        <w:spacing w:before="117" w:line="278" w:lineRule="auto"/>
        <w:ind w:left="39" w:right="86" w:firstLine="62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（1）发包人及其工作人员违反本合同第1、2条，按管理权限，依据有关规定给予党纪、政纪或组织处理；涉嫌犯罪的，移交司法机关追究刑事责任；给设计人单位造成经济损失的，应予以赔偿。</w:t>
      </w:r>
    </w:p>
    <w:p w14:paraId="6F589CB8">
      <w:pPr>
        <w:kinsoku/>
        <w:spacing w:before="114" w:line="286" w:lineRule="auto"/>
        <w:ind w:left="39" w:right="86" w:firstLine="62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及其工作人员违反本合同第1、3条，按管理权限，依据有关规定给予党纪、政纪或组织处理；给发包人单位造成经济损失的，应予以赔偿；情节严重的，发包人建议交通运输主管部门给予设计人一至三年内不得进入其主管的公路建设市场的处罚。</w:t>
      </w:r>
    </w:p>
    <w:p w14:paraId="6B8E5E66">
      <w:pPr>
        <w:kinsoku/>
        <w:spacing w:before="115" w:line="278" w:lineRule="auto"/>
        <w:ind w:left="41" w:right="88" w:firstLine="61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双方约定：本合同由双方或双方上级单位的纪检监察部门负责监督执行。由发包人或发包人上级单位的纪检监察部门约请设计人或设计人上级单位纪检监察部门对本合同执行情况进行检查，提出在本合同规定范围内的裁定意见。</w:t>
      </w:r>
    </w:p>
    <w:p w14:paraId="0DFAC535">
      <w:pPr>
        <w:kinsoku/>
        <w:spacing w:before="114" w:line="219" w:lineRule="auto"/>
        <w:ind w:left="65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6.本合同有效期为合同双方签署之日起至勘察设计合同失效日止。</w:t>
      </w:r>
    </w:p>
    <w:p w14:paraId="61C720DA">
      <w:pPr>
        <w:kinsoku/>
        <w:spacing w:before="116" w:line="264" w:lineRule="auto"/>
        <w:ind w:left="41" w:right="83" w:firstLine="61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7.本合同作为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标段勘察设计合同的附件，与勘察设计合同具有同等的法律效力，经合同双方签署后立即生效。</w:t>
      </w:r>
    </w:p>
    <w:p w14:paraId="60B0F832">
      <w:pPr>
        <w:kinsoku/>
        <w:spacing w:before="113" w:line="264" w:lineRule="auto"/>
        <w:ind w:left="42" w:right="87" w:firstLine="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8.本合同一式四份，由发包人和设计人各执一份，送交发包人和设计人的监督单位各一份。</w:t>
      </w:r>
    </w:p>
    <w:p w14:paraId="5117B644">
      <w:pPr>
        <w:kinsoku/>
        <w:spacing w:line="456" w:lineRule="auto"/>
        <w:rPr>
          <w:rFonts w:ascii="宋体" w:hAnsi="宋体" w:eastAsia="宋体" w:cs="宋体"/>
          <w:color w:val="auto"/>
          <w:highlight w:val="none"/>
          <w:lang w:eastAsia="zh-CN"/>
        </w:rPr>
      </w:pPr>
    </w:p>
    <w:p w14:paraId="49E3764D">
      <w:pPr>
        <w:kinsoku/>
        <w:spacing w:before="79" w:line="219" w:lineRule="auto"/>
        <w:ind w:left="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   设计人：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596604AA">
      <w:pPr>
        <w:kinsoku/>
        <w:spacing w:before="157" w:line="220" w:lineRule="auto"/>
        <w:ind w:left="3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 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7450C57E">
      <w:pPr>
        <w:tabs>
          <w:tab w:val="left" w:pos="990"/>
        </w:tabs>
        <w:kinsoku/>
        <w:spacing w:before="153" w:line="220" w:lineRule="auto"/>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593E42A7">
      <w:pPr>
        <w:kinsoku/>
        <w:spacing w:line="245" w:lineRule="auto"/>
        <w:rPr>
          <w:rFonts w:ascii="宋体" w:hAnsi="宋体" w:eastAsia="宋体" w:cs="宋体"/>
          <w:color w:val="auto"/>
          <w:highlight w:val="none"/>
          <w:lang w:eastAsia="zh-CN"/>
        </w:rPr>
      </w:pPr>
    </w:p>
    <w:p w14:paraId="4A55B909">
      <w:pPr>
        <w:kinsoku/>
        <w:spacing w:line="245" w:lineRule="auto"/>
        <w:rPr>
          <w:rFonts w:ascii="宋体" w:hAnsi="宋体" w:eastAsia="宋体" w:cs="宋体"/>
          <w:color w:val="auto"/>
          <w:highlight w:val="none"/>
          <w:lang w:eastAsia="zh-CN"/>
        </w:rPr>
      </w:pPr>
    </w:p>
    <w:p w14:paraId="5D6531EF">
      <w:pPr>
        <w:kinsoku/>
        <w:spacing w:before="78" w:line="219" w:lineRule="auto"/>
        <w:ind w:left="41" w:right="-248" w:rightChars="-1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发包人监督单位：</w:t>
      </w:r>
      <w:r>
        <w:rPr>
          <w:rFonts w:hint="eastAsia" w:ascii="宋体" w:hAnsi="宋体" w:eastAsia="宋体" w:cs="宋体"/>
          <w:color w:val="auto"/>
          <w:sz w:val="24"/>
          <w:szCs w:val="24"/>
          <w:highlight w:val="none"/>
          <w:u w:val="single"/>
          <w:lang w:eastAsia="zh-CN"/>
        </w:rPr>
        <w:t>（全称）（盖单位章）</w:t>
      </w:r>
      <w:r>
        <w:rPr>
          <w:rFonts w:hint="eastAsia" w:ascii="宋体" w:hAnsi="宋体" w:eastAsia="宋体" w:cs="宋体"/>
          <w:color w:val="auto"/>
          <w:sz w:val="24"/>
          <w:szCs w:val="24"/>
          <w:highlight w:val="none"/>
          <w:lang w:eastAsia="zh-CN"/>
        </w:rPr>
        <w:t xml:space="preserve"> 设计人监督单位：</w:t>
      </w:r>
      <w:r>
        <w:rPr>
          <w:rFonts w:hint="eastAsia" w:ascii="宋体" w:hAnsi="宋体" w:eastAsia="宋体" w:cs="宋体"/>
          <w:color w:val="auto"/>
          <w:sz w:val="24"/>
          <w:szCs w:val="24"/>
          <w:highlight w:val="none"/>
          <w:u w:val="single"/>
          <w:lang w:eastAsia="zh-CN"/>
        </w:rPr>
        <w:t>（全称）（盖单位章）</w:t>
      </w:r>
    </w:p>
    <w:p w14:paraId="441759FC">
      <w:pPr>
        <w:kinsoku/>
        <w:spacing w:line="219" w:lineRule="auto"/>
        <w:rPr>
          <w:rFonts w:ascii="宋体" w:hAnsi="宋体" w:eastAsia="宋体" w:cs="宋体"/>
          <w:color w:val="auto"/>
          <w:sz w:val="24"/>
          <w:szCs w:val="24"/>
          <w:highlight w:val="none"/>
          <w:lang w:eastAsia="zh-CN"/>
        </w:rPr>
        <w:sectPr>
          <w:headerReference r:id="rId35" w:type="default"/>
          <w:footerReference r:id="rId36" w:type="default"/>
          <w:pgSz w:w="11907" w:h="16841"/>
          <w:pgMar w:top="1173" w:right="1252" w:bottom="1254" w:left="1615" w:header="862" w:footer="1093" w:gutter="0"/>
          <w:cols w:space="720" w:num="1"/>
        </w:sectPr>
      </w:pPr>
    </w:p>
    <w:p w14:paraId="0D65730F">
      <w:pPr>
        <w:kinsoku/>
        <w:spacing w:before="78" w:line="224" w:lineRule="auto"/>
        <w:rPr>
          <w:rFonts w:ascii="宋体" w:hAnsi="宋体" w:eastAsia="宋体" w:cs="宋体"/>
          <w:color w:val="auto"/>
          <w:sz w:val="24"/>
          <w:szCs w:val="24"/>
          <w:highlight w:val="none"/>
          <w:lang w:eastAsia="zh-CN"/>
        </w:rPr>
      </w:pPr>
      <w:bookmarkStart w:id="348" w:name="bookmark256"/>
      <w:bookmarkEnd w:id="348"/>
      <w:bookmarkStart w:id="349" w:name="bookmark257"/>
      <w:bookmarkEnd w:id="349"/>
      <w:r>
        <w:rPr>
          <w:rFonts w:hint="eastAsia" w:ascii="宋体" w:hAnsi="宋体" w:eastAsia="宋体" w:cs="宋体"/>
          <w:color w:val="auto"/>
          <w:sz w:val="24"/>
          <w:szCs w:val="24"/>
          <w:highlight w:val="none"/>
          <w:lang w:eastAsia="zh-CN"/>
        </w:rPr>
        <w:t>附件三 安全生产合同</w:t>
      </w:r>
    </w:p>
    <w:p w14:paraId="48970354">
      <w:pPr>
        <w:kinsoku/>
        <w:spacing w:before="78" w:line="224" w:lineRule="auto"/>
        <w:ind w:left="135"/>
        <w:jc w:val="center"/>
        <w:rPr>
          <w:rFonts w:ascii="宋体" w:hAnsi="宋体" w:eastAsia="宋体" w:cs="宋体"/>
          <w:color w:val="auto"/>
          <w:sz w:val="28"/>
          <w:szCs w:val="28"/>
          <w:highlight w:val="none"/>
          <w:lang w:eastAsia="zh-CN"/>
        </w:rPr>
      </w:pPr>
      <w:r>
        <w:rPr>
          <w:rFonts w:ascii="宋体" w:hAnsi="宋体" w:eastAsia="宋体" w:cs="宋体"/>
          <w:color w:val="auto"/>
          <w:sz w:val="28"/>
          <w:szCs w:val="28"/>
          <w:highlight w:val="none"/>
          <w:lang w:eastAsia="zh-CN"/>
        </w:rPr>
        <w:t>安全生产合同</w:t>
      </w:r>
    </w:p>
    <w:p w14:paraId="3BCD28B2">
      <w:pPr>
        <w:kinsoku/>
        <w:spacing w:before="78" w:line="224" w:lineRule="auto"/>
        <w:ind w:left="135"/>
        <w:jc w:val="center"/>
        <w:rPr>
          <w:rFonts w:ascii="宋体" w:hAnsi="宋体" w:eastAsia="宋体" w:cs="宋体"/>
          <w:color w:val="auto"/>
          <w:sz w:val="28"/>
          <w:szCs w:val="28"/>
          <w:highlight w:val="none"/>
          <w:lang w:eastAsia="zh-CN"/>
        </w:rPr>
      </w:pPr>
    </w:p>
    <w:p w14:paraId="6DFD712F">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根据</w:t>
      </w:r>
      <w:r>
        <w:rPr>
          <w:rFonts w:hint="eastAsia" w:ascii="宋体" w:hAnsi="宋体" w:eastAsia="宋体" w:cs="宋体"/>
          <w:color w:val="auto"/>
          <w:sz w:val="24"/>
          <w:szCs w:val="24"/>
          <w:highlight w:val="none"/>
          <w:lang w:eastAsia="zh-CN"/>
        </w:rPr>
        <w:t>《中华人民共和国民法典》、</w:t>
      </w:r>
      <w:r>
        <w:rPr>
          <w:rFonts w:ascii="宋体" w:hAnsi="宋体" w:eastAsia="宋体" w:cs="宋体"/>
          <w:color w:val="auto"/>
          <w:sz w:val="24"/>
          <w:szCs w:val="24"/>
          <w:highlight w:val="none"/>
          <w:lang w:eastAsia="zh-CN"/>
        </w:rPr>
        <w:t>《中华人民共和国安全生产法》</w:t>
      </w:r>
      <w:r>
        <w:rPr>
          <w:rFonts w:hint="eastAsia" w:ascii="宋体" w:hAnsi="宋体" w:eastAsia="宋体" w:cs="宋体"/>
          <w:color w:val="auto"/>
          <w:sz w:val="24"/>
          <w:szCs w:val="24"/>
          <w:highlight w:val="none"/>
          <w:lang w:eastAsia="zh-CN"/>
        </w:rPr>
        <w:t>、</w:t>
      </w:r>
      <w:r>
        <w:rPr>
          <w:rFonts w:ascii="宋体" w:hAnsi="宋体" w:eastAsia="宋体" w:cs="宋体"/>
          <w:color w:val="auto"/>
          <w:sz w:val="24"/>
          <w:szCs w:val="24"/>
          <w:highlight w:val="none"/>
          <w:lang w:eastAsia="zh-CN"/>
        </w:rPr>
        <w:t>国务院《建设工程安全生产管理条例》</w:t>
      </w:r>
      <w:r>
        <w:rPr>
          <w:rFonts w:hint="eastAsia" w:ascii="宋体" w:hAnsi="宋体" w:eastAsia="宋体" w:cs="宋体"/>
          <w:color w:val="auto"/>
          <w:sz w:val="24"/>
          <w:szCs w:val="24"/>
          <w:highlight w:val="none"/>
          <w:lang w:eastAsia="zh-CN"/>
        </w:rPr>
        <w:t>、</w:t>
      </w:r>
      <w:r>
        <w:rPr>
          <w:rFonts w:ascii="宋体" w:hAnsi="宋体" w:eastAsia="宋体" w:cs="宋体"/>
          <w:color w:val="auto"/>
          <w:sz w:val="24"/>
          <w:szCs w:val="24"/>
          <w:highlight w:val="none"/>
          <w:lang w:eastAsia="zh-CN"/>
        </w:rPr>
        <w:t>交通运输部《公路水运工程安全生产监督管理办法》</w:t>
      </w:r>
      <w:r>
        <w:rPr>
          <w:rFonts w:hint="eastAsia" w:ascii="宋体" w:hAnsi="宋体" w:eastAsia="宋体" w:cs="宋体"/>
          <w:color w:val="auto"/>
          <w:sz w:val="24"/>
          <w:szCs w:val="24"/>
          <w:highlight w:val="none"/>
          <w:lang w:eastAsia="zh-CN"/>
        </w:rPr>
        <w:t>、《建设工程勘察设计合同》</w:t>
      </w:r>
      <w:r>
        <w:rPr>
          <w:rFonts w:ascii="宋体" w:hAnsi="宋体" w:eastAsia="宋体" w:cs="宋体"/>
          <w:color w:val="auto"/>
          <w:sz w:val="24"/>
          <w:szCs w:val="24"/>
          <w:highlight w:val="none"/>
          <w:lang w:eastAsia="zh-CN"/>
        </w:rPr>
        <w:t>有关规定，为切实做好</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u w:val="single"/>
          <w:lang w:eastAsia="zh-CN"/>
        </w:rPr>
        <w:t>(项目名称)</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u w:val="single"/>
          <w:lang w:eastAsia="zh-CN"/>
        </w:rPr>
        <w:t>标类（或标段）</w:t>
      </w:r>
      <w:r>
        <w:rPr>
          <w:rFonts w:ascii="宋体" w:hAnsi="宋体" w:eastAsia="宋体" w:cs="宋体"/>
          <w:color w:val="auto"/>
          <w:sz w:val="24"/>
          <w:szCs w:val="24"/>
          <w:highlight w:val="none"/>
          <w:lang w:eastAsia="zh-CN"/>
        </w:rPr>
        <w:t>工程安全生产管理工作，明确项目参建各方的安全生产责任，促进实现工程项目安全管理目标，建设单位全称（以下简称“发包人”）与</w:t>
      </w:r>
      <w:r>
        <w:rPr>
          <w:rFonts w:hint="eastAsia" w:ascii="宋体" w:hAnsi="宋体" w:eastAsia="宋体" w:cs="宋体"/>
          <w:color w:val="auto"/>
          <w:sz w:val="24"/>
          <w:szCs w:val="24"/>
          <w:highlight w:val="none"/>
          <w:lang w:eastAsia="zh-CN"/>
        </w:rPr>
        <w:t>设计</w:t>
      </w:r>
      <w:r>
        <w:rPr>
          <w:rFonts w:ascii="宋体" w:hAnsi="宋体" w:eastAsia="宋体" w:cs="宋体"/>
          <w:color w:val="auto"/>
          <w:sz w:val="24"/>
          <w:szCs w:val="24"/>
          <w:highlight w:val="none"/>
          <w:lang w:eastAsia="zh-CN"/>
        </w:rPr>
        <w:t>单位全称（以下简称“</w:t>
      </w:r>
      <w:r>
        <w:rPr>
          <w:rFonts w:hint="eastAsia" w:ascii="宋体" w:hAnsi="宋体" w:eastAsia="宋体" w:cs="宋体"/>
          <w:color w:val="auto"/>
          <w:sz w:val="24"/>
          <w:szCs w:val="24"/>
          <w:highlight w:val="none"/>
          <w:lang w:eastAsia="zh-CN"/>
        </w:rPr>
        <w:t>设计</w:t>
      </w:r>
      <w:r>
        <w:rPr>
          <w:rFonts w:ascii="宋体" w:hAnsi="宋体" w:eastAsia="宋体" w:cs="宋体"/>
          <w:color w:val="auto"/>
          <w:sz w:val="24"/>
          <w:szCs w:val="24"/>
          <w:highlight w:val="none"/>
          <w:lang w:eastAsia="zh-CN"/>
        </w:rPr>
        <w:t>人”）特此签订安全生产合同：</w:t>
      </w:r>
    </w:p>
    <w:p w14:paraId="36311E4B">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1.发包人职责</w:t>
      </w:r>
    </w:p>
    <w:p w14:paraId="63A67625">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1</w:t>
      </w:r>
      <w:r>
        <w:rPr>
          <w:rFonts w:ascii="宋体" w:hAnsi="宋体" w:eastAsia="宋体" w:cs="宋体"/>
          <w:color w:val="auto"/>
          <w:sz w:val="24"/>
          <w:szCs w:val="24"/>
          <w:highlight w:val="none"/>
          <w:lang w:eastAsia="zh-CN"/>
        </w:rPr>
        <w:t>)按照有关规定对</w:t>
      </w:r>
      <w:r>
        <w:rPr>
          <w:rFonts w:hint="eastAsia" w:ascii="宋体" w:hAnsi="宋体" w:eastAsia="宋体" w:cs="宋体"/>
          <w:color w:val="auto"/>
          <w:sz w:val="24"/>
          <w:szCs w:val="24"/>
          <w:highlight w:val="none"/>
          <w:lang w:eastAsia="zh-CN"/>
        </w:rPr>
        <w:t>设计人</w:t>
      </w:r>
      <w:r>
        <w:rPr>
          <w:rFonts w:ascii="宋体" w:hAnsi="宋体" w:eastAsia="宋体" w:cs="宋体"/>
          <w:color w:val="auto"/>
          <w:sz w:val="24"/>
          <w:szCs w:val="24"/>
          <w:highlight w:val="none"/>
          <w:lang w:eastAsia="zh-CN"/>
        </w:rPr>
        <w:t>的安全生产条件、安全生产信用情况、安全生产管理体系及保障措施等提出明确要求。</w:t>
      </w:r>
    </w:p>
    <w:p w14:paraId="408A8928">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w:t>
      </w:r>
      <w:r>
        <w:rPr>
          <w:rFonts w:ascii="宋体" w:hAnsi="宋体" w:eastAsia="宋体" w:cs="宋体"/>
          <w:color w:val="auto"/>
          <w:sz w:val="24"/>
          <w:szCs w:val="24"/>
          <w:highlight w:val="none"/>
          <w:lang w:eastAsia="zh-CN"/>
        </w:rPr>
        <w:t>)按照法律法规及合同文件约定督促</w:t>
      </w:r>
      <w:r>
        <w:rPr>
          <w:rFonts w:hint="eastAsia" w:ascii="宋体" w:hAnsi="宋体" w:eastAsia="宋体" w:cs="宋体"/>
          <w:color w:val="auto"/>
          <w:sz w:val="24"/>
          <w:szCs w:val="24"/>
          <w:highlight w:val="none"/>
          <w:lang w:eastAsia="zh-CN"/>
        </w:rPr>
        <w:t>设计人</w:t>
      </w:r>
      <w:r>
        <w:rPr>
          <w:rFonts w:ascii="宋体" w:hAnsi="宋体" w:eastAsia="宋体" w:cs="宋体"/>
          <w:color w:val="auto"/>
          <w:sz w:val="24"/>
          <w:szCs w:val="24"/>
          <w:highlight w:val="none"/>
          <w:lang w:eastAsia="zh-CN"/>
        </w:rPr>
        <w:t>落实安全生产责任，对</w:t>
      </w:r>
      <w:r>
        <w:rPr>
          <w:rFonts w:hint="eastAsia" w:ascii="宋体" w:hAnsi="宋体" w:eastAsia="宋体" w:cs="宋体"/>
          <w:color w:val="auto"/>
          <w:sz w:val="24"/>
          <w:szCs w:val="24"/>
          <w:highlight w:val="none"/>
          <w:lang w:eastAsia="zh-CN"/>
        </w:rPr>
        <w:t>设计人</w:t>
      </w:r>
      <w:r>
        <w:rPr>
          <w:rFonts w:ascii="宋体" w:hAnsi="宋体" w:eastAsia="宋体" w:cs="宋体"/>
          <w:color w:val="auto"/>
          <w:sz w:val="24"/>
          <w:szCs w:val="24"/>
          <w:highlight w:val="none"/>
          <w:lang w:eastAsia="zh-CN"/>
        </w:rPr>
        <w:t>的安全生产工作统一协调、管理，定期进行安全检查，发现安全问题的，应当及时督促整改。</w:t>
      </w:r>
    </w:p>
    <w:p w14:paraId="64B1FE6A">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lang w:eastAsia="zh-CN"/>
        </w:rPr>
        <w:t>设计人</w:t>
      </w:r>
      <w:r>
        <w:rPr>
          <w:rFonts w:ascii="宋体" w:hAnsi="宋体" w:eastAsia="宋体" w:cs="宋体"/>
          <w:color w:val="auto"/>
          <w:sz w:val="24"/>
          <w:szCs w:val="24"/>
          <w:highlight w:val="none"/>
          <w:lang w:eastAsia="zh-CN"/>
        </w:rPr>
        <w:t>职责</w:t>
      </w:r>
    </w:p>
    <w:p w14:paraId="2337E328">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(1)编制工程项目概算时，应确定保障建设工程安全作业环境及安全施工措施所需的安全生产费用，并不低于国家规定的标准。</w:t>
      </w:r>
    </w:p>
    <w:p w14:paraId="79AB6F34">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2</w:t>
      </w:r>
      <w:r>
        <w:rPr>
          <w:rFonts w:ascii="宋体" w:hAnsi="宋体" w:eastAsia="宋体" w:cs="宋体"/>
          <w:color w:val="auto"/>
          <w:sz w:val="24"/>
          <w:szCs w:val="24"/>
          <w:highlight w:val="none"/>
          <w:lang w:eastAsia="zh-CN"/>
        </w:rPr>
        <w:t>)严格执行安全生产有关法律法规、规章及标准规范，落实合同以及其他有关安全生产方面的规定和要求。</w:t>
      </w:r>
    </w:p>
    <w:p w14:paraId="435A0CF5">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3</w:t>
      </w:r>
      <w:r>
        <w:rPr>
          <w:rFonts w:ascii="宋体" w:hAnsi="宋体" w:eastAsia="宋体" w:cs="宋体"/>
          <w:color w:val="auto"/>
          <w:sz w:val="24"/>
          <w:szCs w:val="24"/>
          <w:highlight w:val="none"/>
          <w:lang w:eastAsia="zh-CN"/>
        </w:rPr>
        <w:t>)应具备相应的安全生产条件，对安全生产负主体责任，主要负责人依法对项目安全生产工作全面负责。</w:t>
      </w:r>
    </w:p>
    <w:p w14:paraId="446E9414">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4</w:t>
      </w:r>
      <w:r>
        <w:rPr>
          <w:rFonts w:ascii="宋体" w:hAnsi="宋体" w:eastAsia="宋体" w:cs="宋体"/>
          <w:color w:val="auto"/>
          <w:sz w:val="24"/>
          <w:szCs w:val="24"/>
          <w:highlight w:val="none"/>
          <w:lang w:eastAsia="zh-CN"/>
        </w:rPr>
        <w:t>)坚持国家安全生产方针、政策及原则，建立健全并落实项目安全生产管理制度、责任、组织机构等管理体系。</w:t>
      </w:r>
    </w:p>
    <w:p w14:paraId="2F23AA20">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5</w:t>
      </w:r>
      <w:r>
        <w:rPr>
          <w:rFonts w:ascii="宋体" w:hAnsi="宋体" w:eastAsia="宋体" w:cs="宋体"/>
          <w:color w:val="auto"/>
          <w:sz w:val="24"/>
          <w:szCs w:val="24"/>
          <w:highlight w:val="none"/>
          <w:lang w:eastAsia="zh-CN"/>
        </w:rPr>
        <w:t>)及时、如实报告生产安全事故。发生事故时，应立即组织抢救，并积极配合事故调查处理。</w:t>
      </w:r>
    </w:p>
    <w:p w14:paraId="0CF37F30">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6</w:t>
      </w:r>
      <w:r>
        <w:rPr>
          <w:rFonts w:ascii="宋体" w:hAnsi="宋体" w:eastAsia="宋体" w:cs="宋体"/>
          <w:color w:val="auto"/>
          <w:sz w:val="24"/>
          <w:szCs w:val="24"/>
          <w:highlight w:val="none"/>
          <w:lang w:eastAsia="zh-CN"/>
        </w:rPr>
        <w:t>)安全生产法律法规、政策等规定的其他职责。</w:t>
      </w:r>
    </w:p>
    <w:p w14:paraId="08AABCE2">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3.违约责任如因发包人或</w:t>
      </w:r>
      <w:r>
        <w:rPr>
          <w:rFonts w:hint="eastAsia" w:ascii="宋体" w:hAnsi="宋体" w:eastAsia="宋体" w:cs="宋体"/>
          <w:color w:val="auto"/>
          <w:sz w:val="24"/>
          <w:szCs w:val="24"/>
          <w:highlight w:val="none"/>
          <w:lang w:eastAsia="zh-CN"/>
        </w:rPr>
        <w:t>设计人</w:t>
      </w:r>
      <w:r>
        <w:rPr>
          <w:rFonts w:ascii="宋体" w:hAnsi="宋体" w:eastAsia="宋体" w:cs="宋体"/>
          <w:color w:val="auto"/>
          <w:sz w:val="24"/>
          <w:szCs w:val="24"/>
          <w:highlight w:val="none"/>
          <w:lang w:eastAsia="zh-CN"/>
        </w:rPr>
        <w:t>违约造成安全事故，将依法追究责任。</w:t>
      </w:r>
    </w:p>
    <w:p w14:paraId="16FBAB49">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4.本合同由双方法定代表人或其授权的代理人签署并加盖单位章后生效，全部工程竣工验收后失效。</w:t>
      </w:r>
    </w:p>
    <w:p w14:paraId="154E7AF2">
      <w:pPr>
        <w:kinsoku/>
        <w:spacing w:before="78" w:line="360" w:lineRule="auto"/>
        <w:ind w:firstLine="480" w:firstLineChars="2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5.本合同正本二份、副本</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份，合同双方各执正本一份，副本</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份，当正本与副本的内容不一致时，以正本为准。</w:t>
      </w:r>
    </w:p>
    <w:p w14:paraId="362940E6">
      <w:pPr>
        <w:kinsoku/>
        <w:spacing w:before="78" w:line="360" w:lineRule="auto"/>
        <w:rPr>
          <w:rFonts w:ascii="宋体" w:hAnsi="宋体" w:eastAsia="宋体" w:cs="宋体"/>
          <w:color w:val="auto"/>
          <w:sz w:val="24"/>
          <w:szCs w:val="24"/>
          <w:highlight w:val="none"/>
          <w:lang w:eastAsia="zh-CN"/>
        </w:rPr>
      </w:pPr>
    </w:p>
    <w:p w14:paraId="7BF9E315">
      <w:pPr>
        <w:kinsoku/>
        <w:spacing w:before="78" w:line="360" w:lineRule="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发包人：</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 xml:space="preserve">(盖单位章) </w:t>
      </w:r>
      <w:r>
        <w:rPr>
          <w:rFonts w:hint="eastAsia" w:ascii="宋体" w:hAnsi="宋体" w:eastAsia="宋体" w:cs="宋体"/>
          <w:color w:val="auto"/>
          <w:sz w:val="24"/>
          <w:szCs w:val="24"/>
          <w:highlight w:val="none"/>
          <w:lang w:eastAsia="zh-CN"/>
        </w:rPr>
        <w:t xml:space="preserve">      设计人</w:t>
      </w: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(盖单位章)</w:t>
      </w:r>
    </w:p>
    <w:p w14:paraId="4E22FD16">
      <w:pPr>
        <w:kinsoku/>
        <w:spacing w:before="78" w:line="360" w:lineRule="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 xml:space="preserve">(签字) </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ascii="宋体" w:hAnsi="宋体" w:eastAsia="宋体" w:cs="宋体"/>
          <w:color w:val="auto"/>
          <w:sz w:val="24"/>
          <w:szCs w:val="24"/>
          <w:highlight w:val="none"/>
          <w:lang w:eastAsia="zh-CN"/>
        </w:rPr>
        <w:t>(签字)</w:t>
      </w:r>
    </w:p>
    <w:p w14:paraId="535EAC34">
      <w:pPr>
        <w:kinsoku/>
        <w:spacing w:before="78" w:line="360" w:lineRule="auto"/>
        <w:ind w:firstLine="960" w:firstLineChars="400"/>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 xml:space="preserve">年 </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 xml:space="preserve">月 </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 xml:space="preserve">日 </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eastAsia="zh-CN"/>
        </w:rPr>
        <w:t xml:space="preserve">   </w:t>
      </w:r>
      <w:r>
        <w:rPr>
          <w:rFonts w:ascii="宋体" w:hAnsi="宋体" w:eastAsia="宋体" w:cs="宋体"/>
          <w:color w:val="auto"/>
          <w:sz w:val="24"/>
          <w:szCs w:val="24"/>
          <w:highlight w:val="none"/>
          <w:lang w:eastAsia="zh-CN"/>
        </w:rPr>
        <w:t>日</w:t>
      </w:r>
    </w:p>
    <w:p w14:paraId="5712459F">
      <w:pPr>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br w:type="page"/>
      </w:r>
    </w:p>
    <w:p w14:paraId="724F9C34">
      <w:pPr>
        <w:kinsoku/>
        <w:spacing w:before="78" w:line="224" w:lineRule="auto"/>
        <w:ind w:left="135"/>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lang w:eastAsia="zh-CN"/>
        </w:rPr>
        <w:t>附件四 分项负责人最低要求</w:t>
      </w:r>
    </w:p>
    <w:p w14:paraId="0954EF56">
      <w:pPr>
        <w:kinsoku/>
        <w:spacing w:before="151"/>
        <w:rPr>
          <w:rFonts w:ascii="宋体" w:hAnsi="宋体" w:eastAsia="宋体" w:cs="宋体"/>
          <w:color w:val="auto"/>
          <w:highlight w:val="none"/>
          <w:lang w:eastAsia="zh-CN"/>
        </w:rPr>
      </w:pPr>
    </w:p>
    <w:tbl>
      <w:tblPr>
        <w:tblStyle w:val="21"/>
        <w:tblW w:w="88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452"/>
        <w:gridCol w:w="2159"/>
        <w:gridCol w:w="4287"/>
      </w:tblGrid>
      <w:tr w14:paraId="33BF7C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9" w:hRule="atLeast"/>
        </w:trPr>
        <w:tc>
          <w:tcPr>
            <w:tcW w:w="2452" w:type="dxa"/>
            <w:vAlign w:val="center"/>
          </w:tcPr>
          <w:p w14:paraId="07E1091B">
            <w:pPr>
              <w:kinsoku/>
              <w:spacing w:before="78" w:line="221"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人员</w:t>
            </w:r>
          </w:p>
        </w:tc>
        <w:tc>
          <w:tcPr>
            <w:tcW w:w="2159" w:type="dxa"/>
            <w:vAlign w:val="center"/>
          </w:tcPr>
          <w:p w14:paraId="11732118">
            <w:pPr>
              <w:kinsoku/>
              <w:spacing w:before="78" w:line="22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4287" w:type="dxa"/>
            <w:vAlign w:val="center"/>
          </w:tcPr>
          <w:p w14:paraId="5FA7FCAD">
            <w:pPr>
              <w:kinsoku/>
              <w:spacing w:before="78" w:line="220" w:lineRule="auto"/>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资格要求</w:t>
            </w:r>
          </w:p>
        </w:tc>
      </w:tr>
      <w:tr w14:paraId="79F4A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452" w:type="dxa"/>
            <w:vAlign w:val="center"/>
          </w:tcPr>
          <w:p w14:paraId="7BADF487">
            <w:pPr>
              <w:jc w:val="center"/>
              <w:rPr>
                <w:rFonts w:ascii="宋体" w:hAnsi="宋体" w:eastAsia="宋体" w:cs="宋体"/>
                <w:color w:val="auto"/>
                <w:highlight w:val="none"/>
              </w:rPr>
            </w:pPr>
          </w:p>
        </w:tc>
        <w:tc>
          <w:tcPr>
            <w:tcW w:w="2159" w:type="dxa"/>
            <w:vAlign w:val="center"/>
          </w:tcPr>
          <w:p w14:paraId="0B476468">
            <w:pPr>
              <w:jc w:val="center"/>
              <w:rPr>
                <w:rFonts w:ascii="宋体" w:hAnsi="宋体" w:eastAsia="宋体" w:cs="宋体"/>
                <w:color w:val="auto"/>
                <w:highlight w:val="none"/>
              </w:rPr>
            </w:pPr>
          </w:p>
        </w:tc>
        <w:tc>
          <w:tcPr>
            <w:tcW w:w="4287" w:type="dxa"/>
            <w:vAlign w:val="center"/>
          </w:tcPr>
          <w:p w14:paraId="34589CFA">
            <w:pPr>
              <w:rPr>
                <w:rFonts w:ascii="宋体" w:hAnsi="宋体" w:eastAsia="宋体" w:cs="宋体"/>
                <w:color w:val="auto"/>
                <w:highlight w:val="none"/>
                <w:lang w:eastAsia="zh-CN"/>
              </w:rPr>
            </w:pPr>
          </w:p>
        </w:tc>
      </w:tr>
      <w:tr w14:paraId="5DB1C1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52" w:type="dxa"/>
            <w:vAlign w:val="center"/>
          </w:tcPr>
          <w:p w14:paraId="10C3FEFC">
            <w:pPr>
              <w:jc w:val="center"/>
              <w:rPr>
                <w:rFonts w:ascii="宋体" w:hAnsi="宋体" w:eastAsia="宋体" w:cs="宋体"/>
                <w:color w:val="auto"/>
                <w:highlight w:val="none"/>
              </w:rPr>
            </w:pPr>
          </w:p>
        </w:tc>
        <w:tc>
          <w:tcPr>
            <w:tcW w:w="2159" w:type="dxa"/>
            <w:vAlign w:val="center"/>
          </w:tcPr>
          <w:p w14:paraId="209A5441">
            <w:pPr>
              <w:jc w:val="center"/>
              <w:rPr>
                <w:rFonts w:ascii="宋体" w:hAnsi="宋体" w:eastAsia="宋体" w:cs="宋体"/>
                <w:color w:val="auto"/>
                <w:highlight w:val="none"/>
              </w:rPr>
            </w:pPr>
          </w:p>
        </w:tc>
        <w:tc>
          <w:tcPr>
            <w:tcW w:w="4287" w:type="dxa"/>
            <w:vAlign w:val="center"/>
          </w:tcPr>
          <w:p w14:paraId="328CFB58">
            <w:pPr>
              <w:rPr>
                <w:rFonts w:ascii="宋体" w:hAnsi="宋体" w:eastAsia="宋体" w:cs="宋体"/>
                <w:color w:val="auto"/>
                <w:highlight w:val="none"/>
                <w:lang w:eastAsia="zh-CN"/>
              </w:rPr>
            </w:pPr>
          </w:p>
        </w:tc>
      </w:tr>
      <w:tr w14:paraId="32BE1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452" w:type="dxa"/>
            <w:vAlign w:val="center"/>
          </w:tcPr>
          <w:p w14:paraId="1A673FB7">
            <w:pPr>
              <w:jc w:val="center"/>
              <w:rPr>
                <w:rFonts w:ascii="宋体" w:hAnsi="宋体" w:eastAsia="宋体" w:cs="宋体"/>
                <w:color w:val="auto"/>
                <w:highlight w:val="none"/>
              </w:rPr>
            </w:pPr>
          </w:p>
        </w:tc>
        <w:tc>
          <w:tcPr>
            <w:tcW w:w="2159" w:type="dxa"/>
            <w:vAlign w:val="center"/>
          </w:tcPr>
          <w:p w14:paraId="20D4F871">
            <w:pPr>
              <w:jc w:val="center"/>
              <w:rPr>
                <w:rFonts w:ascii="宋体" w:hAnsi="宋体" w:eastAsia="宋体" w:cs="宋体"/>
                <w:color w:val="auto"/>
                <w:highlight w:val="none"/>
              </w:rPr>
            </w:pPr>
          </w:p>
        </w:tc>
        <w:tc>
          <w:tcPr>
            <w:tcW w:w="4287" w:type="dxa"/>
            <w:vAlign w:val="center"/>
          </w:tcPr>
          <w:p w14:paraId="51FC7EB4">
            <w:pPr>
              <w:rPr>
                <w:rFonts w:ascii="宋体" w:hAnsi="宋体" w:eastAsia="宋体" w:cs="宋体"/>
                <w:color w:val="auto"/>
                <w:highlight w:val="none"/>
                <w:lang w:eastAsia="zh-CN"/>
              </w:rPr>
            </w:pPr>
          </w:p>
        </w:tc>
      </w:tr>
      <w:tr w14:paraId="09EBF0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52" w:type="dxa"/>
            <w:vAlign w:val="center"/>
          </w:tcPr>
          <w:p w14:paraId="6519F3C5">
            <w:pPr>
              <w:jc w:val="center"/>
              <w:rPr>
                <w:rFonts w:ascii="宋体" w:hAnsi="宋体" w:eastAsia="宋体" w:cs="宋体"/>
                <w:color w:val="auto"/>
                <w:highlight w:val="none"/>
                <w:lang w:eastAsia="zh-CN"/>
              </w:rPr>
            </w:pPr>
          </w:p>
        </w:tc>
        <w:tc>
          <w:tcPr>
            <w:tcW w:w="2159" w:type="dxa"/>
            <w:vAlign w:val="center"/>
          </w:tcPr>
          <w:p w14:paraId="0CD5C2E4">
            <w:pPr>
              <w:jc w:val="center"/>
              <w:rPr>
                <w:rFonts w:ascii="宋体" w:hAnsi="宋体" w:eastAsia="宋体" w:cs="宋体"/>
                <w:color w:val="auto"/>
                <w:highlight w:val="none"/>
              </w:rPr>
            </w:pPr>
          </w:p>
        </w:tc>
        <w:tc>
          <w:tcPr>
            <w:tcW w:w="4287" w:type="dxa"/>
            <w:vAlign w:val="center"/>
          </w:tcPr>
          <w:p w14:paraId="6F1674B8">
            <w:pPr>
              <w:rPr>
                <w:rFonts w:ascii="宋体" w:hAnsi="宋体" w:eastAsia="宋体" w:cs="宋体"/>
                <w:color w:val="auto"/>
                <w:highlight w:val="none"/>
                <w:lang w:eastAsia="zh-CN"/>
              </w:rPr>
            </w:pPr>
          </w:p>
        </w:tc>
      </w:tr>
      <w:tr w14:paraId="6C78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52" w:type="dxa"/>
            <w:vAlign w:val="center"/>
          </w:tcPr>
          <w:p w14:paraId="35E64BEF">
            <w:pPr>
              <w:jc w:val="center"/>
              <w:rPr>
                <w:rFonts w:ascii="宋体" w:hAnsi="宋体" w:eastAsia="宋体" w:cs="宋体"/>
                <w:color w:val="auto"/>
                <w:highlight w:val="none"/>
              </w:rPr>
            </w:pPr>
          </w:p>
        </w:tc>
        <w:tc>
          <w:tcPr>
            <w:tcW w:w="2159" w:type="dxa"/>
            <w:vAlign w:val="center"/>
          </w:tcPr>
          <w:p w14:paraId="144176A7">
            <w:pPr>
              <w:jc w:val="center"/>
              <w:rPr>
                <w:rFonts w:ascii="宋体" w:hAnsi="宋体" w:eastAsia="宋体" w:cs="宋体"/>
                <w:color w:val="auto"/>
                <w:highlight w:val="none"/>
              </w:rPr>
            </w:pPr>
          </w:p>
        </w:tc>
        <w:tc>
          <w:tcPr>
            <w:tcW w:w="4287" w:type="dxa"/>
            <w:vAlign w:val="center"/>
          </w:tcPr>
          <w:p w14:paraId="1053BB5A">
            <w:pPr>
              <w:rPr>
                <w:rFonts w:ascii="宋体" w:hAnsi="宋体" w:eastAsia="宋体" w:cs="宋体"/>
                <w:color w:val="auto"/>
                <w:highlight w:val="none"/>
                <w:lang w:eastAsia="zh-CN"/>
              </w:rPr>
            </w:pPr>
          </w:p>
        </w:tc>
      </w:tr>
      <w:tr w14:paraId="7227C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452" w:type="dxa"/>
            <w:vAlign w:val="center"/>
          </w:tcPr>
          <w:p w14:paraId="79575847">
            <w:pPr>
              <w:jc w:val="center"/>
              <w:rPr>
                <w:rFonts w:ascii="宋体" w:hAnsi="宋体" w:eastAsia="宋体" w:cs="宋体"/>
                <w:color w:val="auto"/>
                <w:highlight w:val="none"/>
              </w:rPr>
            </w:pPr>
          </w:p>
        </w:tc>
        <w:tc>
          <w:tcPr>
            <w:tcW w:w="2159" w:type="dxa"/>
            <w:vAlign w:val="center"/>
          </w:tcPr>
          <w:p w14:paraId="6E494C1F">
            <w:pPr>
              <w:jc w:val="center"/>
              <w:rPr>
                <w:rFonts w:ascii="宋体" w:hAnsi="宋体" w:eastAsia="宋体" w:cs="宋体"/>
                <w:color w:val="auto"/>
                <w:highlight w:val="none"/>
              </w:rPr>
            </w:pPr>
          </w:p>
        </w:tc>
        <w:tc>
          <w:tcPr>
            <w:tcW w:w="4287" w:type="dxa"/>
            <w:vAlign w:val="center"/>
          </w:tcPr>
          <w:p w14:paraId="0B81B6E0">
            <w:pPr>
              <w:rPr>
                <w:rFonts w:ascii="宋体" w:hAnsi="宋体" w:eastAsia="宋体" w:cs="宋体"/>
                <w:color w:val="auto"/>
                <w:highlight w:val="none"/>
                <w:lang w:eastAsia="zh-CN"/>
              </w:rPr>
            </w:pPr>
          </w:p>
        </w:tc>
      </w:tr>
      <w:tr w14:paraId="3B9D0D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452" w:type="dxa"/>
            <w:vAlign w:val="center"/>
          </w:tcPr>
          <w:p w14:paraId="70189721">
            <w:pPr>
              <w:jc w:val="center"/>
              <w:rPr>
                <w:rFonts w:ascii="宋体" w:hAnsi="宋体" w:eastAsia="宋体" w:cs="宋体"/>
                <w:color w:val="auto"/>
                <w:highlight w:val="none"/>
                <w:lang w:eastAsia="zh-CN"/>
              </w:rPr>
            </w:pPr>
          </w:p>
        </w:tc>
        <w:tc>
          <w:tcPr>
            <w:tcW w:w="2159" w:type="dxa"/>
            <w:vAlign w:val="center"/>
          </w:tcPr>
          <w:p w14:paraId="57152BB1">
            <w:pPr>
              <w:jc w:val="center"/>
              <w:rPr>
                <w:rFonts w:ascii="宋体" w:hAnsi="宋体" w:eastAsia="宋体" w:cs="宋体"/>
                <w:color w:val="auto"/>
                <w:highlight w:val="none"/>
              </w:rPr>
            </w:pPr>
          </w:p>
        </w:tc>
        <w:tc>
          <w:tcPr>
            <w:tcW w:w="4287" w:type="dxa"/>
            <w:vAlign w:val="center"/>
          </w:tcPr>
          <w:p w14:paraId="795CF1E1">
            <w:pPr>
              <w:rPr>
                <w:rFonts w:ascii="宋体" w:hAnsi="宋体" w:eastAsia="宋体" w:cs="宋体"/>
                <w:color w:val="auto"/>
                <w:highlight w:val="none"/>
                <w:lang w:eastAsia="zh-CN"/>
              </w:rPr>
            </w:pPr>
          </w:p>
        </w:tc>
      </w:tr>
    </w:tbl>
    <w:p w14:paraId="26D7A721">
      <w:pPr>
        <w:kinsoku/>
        <w:spacing w:line="282" w:lineRule="auto"/>
        <w:rPr>
          <w:rFonts w:ascii="宋体" w:hAnsi="宋体" w:eastAsia="宋体" w:cs="宋体"/>
          <w:color w:val="auto"/>
          <w:highlight w:val="none"/>
          <w:lang w:eastAsia="zh-CN"/>
        </w:rPr>
      </w:pPr>
    </w:p>
    <w:p w14:paraId="1F7063AD">
      <w:pPr>
        <w:kinsoku/>
        <w:spacing w:line="282" w:lineRule="auto"/>
        <w:rPr>
          <w:rFonts w:ascii="宋体" w:hAnsi="宋体" w:eastAsia="宋体" w:cs="宋体"/>
          <w:color w:val="auto"/>
          <w:highlight w:val="none"/>
          <w:lang w:eastAsia="zh-CN"/>
        </w:rPr>
      </w:pPr>
    </w:p>
    <w:p w14:paraId="0512715C">
      <w:pPr>
        <w:kinsoku/>
        <w:spacing w:line="282" w:lineRule="auto"/>
        <w:rPr>
          <w:rFonts w:ascii="宋体" w:hAnsi="宋体" w:eastAsia="宋体" w:cs="宋体"/>
          <w:color w:val="auto"/>
          <w:highlight w:val="none"/>
          <w:lang w:eastAsia="zh-CN"/>
        </w:rPr>
      </w:pPr>
    </w:p>
    <w:p w14:paraId="0D1BB666">
      <w:pPr>
        <w:kinsoku/>
        <w:spacing w:line="283" w:lineRule="auto"/>
        <w:rPr>
          <w:rFonts w:ascii="宋体" w:hAnsi="宋体" w:eastAsia="宋体" w:cs="宋体"/>
          <w:color w:val="auto"/>
          <w:highlight w:val="none"/>
          <w:lang w:eastAsia="zh-CN"/>
        </w:rPr>
      </w:pPr>
    </w:p>
    <w:p w14:paraId="61FB51B1">
      <w:pPr>
        <w:kinsoku/>
        <w:spacing w:line="438" w:lineRule="auto"/>
        <w:rPr>
          <w:rFonts w:ascii="宋体" w:hAnsi="宋体" w:eastAsia="宋体" w:cs="宋体"/>
          <w:color w:val="auto"/>
          <w:highlight w:val="none"/>
          <w:lang w:eastAsia="zh-CN"/>
        </w:rPr>
      </w:pPr>
    </w:p>
    <w:p w14:paraId="028F6962">
      <w:pPr>
        <w:kinsoku/>
        <w:rPr>
          <w:rFonts w:ascii="宋体" w:hAnsi="宋体" w:eastAsia="宋体" w:cs="宋体"/>
          <w:b/>
          <w:bCs/>
          <w:color w:val="auto"/>
          <w:sz w:val="24"/>
          <w:szCs w:val="24"/>
          <w:highlight w:val="none"/>
          <w:lang w:eastAsia="zh-CN"/>
        </w:rPr>
      </w:pPr>
      <w:bookmarkStart w:id="350" w:name="bookmark259"/>
      <w:bookmarkEnd w:id="350"/>
      <w:bookmarkStart w:id="351" w:name="bookmark258"/>
      <w:bookmarkEnd w:id="351"/>
      <w:r>
        <w:rPr>
          <w:rFonts w:hint="eastAsia" w:ascii="宋体" w:hAnsi="宋体" w:eastAsia="宋体" w:cs="宋体"/>
          <w:b/>
          <w:bCs/>
          <w:color w:val="auto"/>
          <w:sz w:val="24"/>
          <w:szCs w:val="24"/>
          <w:highlight w:val="none"/>
          <w:lang w:eastAsia="zh-CN"/>
        </w:rPr>
        <w:br w:type="page"/>
      </w:r>
    </w:p>
    <w:p w14:paraId="38D7116D">
      <w:pPr>
        <w:kinsoku/>
        <w:spacing w:before="78" w:line="219" w:lineRule="auto"/>
        <w:ind w:left="5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附件五 履约保证金格式</w:t>
      </w:r>
    </w:p>
    <w:p w14:paraId="34B26DEE">
      <w:pPr>
        <w:kinsoku/>
        <w:spacing w:before="113" w:line="219" w:lineRule="auto"/>
        <w:ind w:left="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如采用银行保函，格式如下。</w:t>
      </w:r>
    </w:p>
    <w:p w14:paraId="5705F7F3">
      <w:pPr>
        <w:kinsoku/>
        <w:spacing w:line="374" w:lineRule="auto"/>
        <w:rPr>
          <w:rFonts w:ascii="宋体" w:hAnsi="宋体" w:eastAsia="宋体" w:cs="宋体"/>
          <w:color w:val="auto"/>
          <w:highlight w:val="none"/>
          <w:lang w:eastAsia="zh-CN"/>
        </w:rPr>
      </w:pPr>
    </w:p>
    <w:p w14:paraId="5C93F48A">
      <w:pPr>
        <w:tabs>
          <w:tab w:val="left" w:pos="2368"/>
          <w:tab w:val="left" w:pos="6300"/>
        </w:tabs>
        <w:kinsoku/>
        <w:spacing w:before="91" w:line="549" w:lineRule="auto"/>
        <w:ind w:right="-83"/>
        <w:jc w:val="center"/>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履约保证金</w:t>
      </w:r>
    </w:p>
    <w:p w14:paraId="5BA8D53F">
      <w:pPr>
        <w:tabs>
          <w:tab w:val="left" w:pos="2368"/>
          <w:tab w:val="left" w:pos="6300"/>
        </w:tabs>
        <w:kinsoku/>
        <w:spacing w:before="91" w:line="549" w:lineRule="auto"/>
        <w:ind w:right="37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（发包人名称）：</w:t>
      </w:r>
    </w:p>
    <w:p w14:paraId="79A6B713">
      <w:pPr>
        <w:kinsoku/>
        <w:spacing w:before="101" w:line="301" w:lineRule="auto"/>
        <w:ind w:left="38" w:right="101" w:firstLine="60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鉴于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（发包人名称， 以下简称“发包人”）接受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（设 计人名称，以下简称“设计人”）于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日参加</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（项目名称）标段勘察设计的投标。我方愿意无条件地、不可撤销地就设计人履行与你方订立的合同，向你方提供担保。</w:t>
      </w:r>
    </w:p>
    <w:p w14:paraId="7A658FC7">
      <w:pPr>
        <w:kinsoku/>
        <w:spacing w:before="35"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1.担保金额人民币（大写）</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元(¥</w:t>
      </w:r>
      <w:r>
        <w:rPr>
          <w:rFonts w:hint="eastAsia" w:ascii="宋体" w:hAnsi="宋体" w:eastAsia="宋体" w:cs="宋体"/>
          <w:color w:val="auto"/>
          <w:sz w:val="24"/>
          <w:szCs w:val="24"/>
          <w:highlight w:val="none"/>
          <w:lang w:eastAsia="zh-CN"/>
        </w:rPr>
        <w:drawing>
          <wp:inline distT="0" distB="0" distL="0" distR="0">
            <wp:extent cx="948055"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66" cstate="print"/>
                    <a:stretch>
                      <a:fillRect/>
                    </a:stretch>
                  </pic:blipFill>
                  <pic:spPr>
                    <a:xfrm>
                      <a:off x="0" y="0"/>
                      <a:ext cx="948537" cy="7619"/>
                    </a:xfrm>
                    <a:prstGeom prst="rect">
                      <a:avLst/>
                    </a:prstGeom>
                  </pic:spPr>
                </pic:pic>
              </a:graphicData>
            </a:graphic>
          </wp:inline>
        </w:drawing>
      </w:r>
      <w:r>
        <w:rPr>
          <w:rFonts w:hint="eastAsia" w:ascii="宋体" w:hAnsi="宋体" w:eastAsia="宋体" w:cs="宋体"/>
          <w:color w:val="auto"/>
          <w:sz w:val="24"/>
          <w:szCs w:val="24"/>
          <w:highlight w:val="none"/>
          <w:lang w:eastAsia="zh-CN"/>
        </w:rPr>
        <w:t>)。</w:t>
      </w:r>
    </w:p>
    <w:p w14:paraId="4844B57B">
      <w:pPr>
        <w:kinsoku/>
        <w:spacing w:before="115" w:line="260" w:lineRule="auto"/>
        <w:ind w:left="37" w:right="101" w:firstLine="476"/>
        <w:rPr>
          <w:rFonts w:ascii="宋体" w:hAnsi="宋体" w:eastAsia="宋体" w:cs="宋体"/>
          <w:color w:val="auto"/>
          <w:sz w:val="13"/>
          <w:szCs w:val="13"/>
          <w:highlight w:val="none"/>
          <w:lang w:eastAsia="zh-CN"/>
        </w:rPr>
      </w:pPr>
      <w:r>
        <w:rPr>
          <w:rFonts w:hint="eastAsia" w:ascii="宋体" w:hAnsi="宋体" w:eastAsia="宋体" w:cs="宋体"/>
          <w:color w:val="auto"/>
          <w:sz w:val="24"/>
          <w:szCs w:val="24"/>
          <w:highlight w:val="none"/>
          <w:lang w:eastAsia="zh-CN"/>
        </w:rPr>
        <w:t>2.担保有效期自发包人与设计人签订的合同生效之日起至发包人签收最后一批勘察设计成果文件且设计人按照合同约定缴纳质量保证金之日止。</w:t>
      </w:r>
    </w:p>
    <w:p w14:paraId="30F40D9A">
      <w:pPr>
        <w:kinsoku/>
        <w:spacing w:before="115" w:line="263" w:lineRule="auto"/>
        <w:ind w:left="57" w:right="102" w:firstLine="46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3.在本担保有效期内，如果设计人不履行合同约定的义务或其履行不符合合同的约定，我方在收到你方以书面形式提出的在担保金额内的赔偿要求后，在7日内无条件支付，无须你方出具证明或陈述理由。</w:t>
      </w:r>
    </w:p>
    <w:p w14:paraId="203DC4FF">
      <w:pPr>
        <w:kinsoku/>
        <w:spacing w:before="117" w:line="293" w:lineRule="auto"/>
        <w:ind w:left="43" w:right="102" w:firstLine="46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4.发包人和设计人变更合同时，无论我方是否收到该变更，我方承担本担保规定的义务不变。</w:t>
      </w:r>
    </w:p>
    <w:p w14:paraId="0ACCD5B7">
      <w:pPr>
        <w:kinsoku/>
        <w:spacing w:line="250" w:lineRule="auto"/>
        <w:rPr>
          <w:rFonts w:ascii="宋体" w:hAnsi="宋体" w:eastAsia="宋体" w:cs="宋体"/>
          <w:color w:val="auto"/>
          <w:highlight w:val="none"/>
          <w:lang w:eastAsia="zh-CN"/>
        </w:rPr>
      </w:pPr>
    </w:p>
    <w:p w14:paraId="23B511B4">
      <w:pPr>
        <w:kinsoku/>
        <w:spacing w:line="251" w:lineRule="auto"/>
        <w:rPr>
          <w:rFonts w:ascii="宋体" w:hAnsi="宋体" w:eastAsia="宋体" w:cs="宋体"/>
          <w:color w:val="auto"/>
          <w:highlight w:val="none"/>
          <w:lang w:eastAsia="zh-CN"/>
        </w:rPr>
      </w:pPr>
    </w:p>
    <w:p w14:paraId="0E28159F">
      <w:pPr>
        <w:kinsoku/>
        <w:spacing w:line="251" w:lineRule="auto"/>
        <w:rPr>
          <w:rFonts w:ascii="宋体" w:hAnsi="宋体" w:eastAsia="宋体" w:cs="宋体"/>
          <w:color w:val="auto"/>
          <w:highlight w:val="none"/>
          <w:lang w:eastAsia="zh-CN"/>
        </w:rPr>
      </w:pPr>
    </w:p>
    <w:p w14:paraId="3B940E6E">
      <w:pPr>
        <w:kinsoku/>
        <w:spacing w:before="79" w:line="303" w:lineRule="auto"/>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担 保 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631A119">
      <w:pPr>
        <w:kinsoku/>
        <w:spacing w:before="79" w:line="303" w:lineRule="auto"/>
        <w:ind w:left="3480" w:leftChars="165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21CAB276">
      <w:pPr>
        <w:kinsoku/>
        <w:spacing w:before="79" w:line="303" w:lineRule="auto"/>
        <w:ind w:left="3480" w:leftChars="165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eastAsia="zh-CN"/>
        </w:rPr>
        <w:t xml:space="preserve">                               </w:t>
      </w:r>
    </w:p>
    <w:p w14:paraId="04644F05">
      <w:pPr>
        <w:kinsoku/>
        <w:spacing w:before="20" w:line="296" w:lineRule="auto"/>
        <w:ind w:left="3480" w:leftChars="1657" w:right="2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邮政编码：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电    话：</w:t>
      </w:r>
      <w:r>
        <w:rPr>
          <w:rFonts w:hint="eastAsia" w:ascii="宋体" w:hAnsi="宋体" w:eastAsia="宋体" w:cs="宋体"/>
          <w:color w:val="auto"/>
          <w:sz w:val="24"/>
          <w:szCs w:val="24"/>
          <w:highlight w:val="none"/>
          <w:u w:val="single"/>
          <w:lang w:eastAsia="zh-CN"/>
        </w:rPr>
        <w:t xml:space="preserve">                                 </w:t>
      </w:r>
    </w:p>
    <w:p w14:paraId="0510E629">
      <w:pPr>
        <w:tabs>
          <w:tab w:val="left" w:pos="6425"/>
        </w:tabs>
        <w:kinsoku/>
        <w:spacing w:before="32" w:line="293" w:lineRule="auto"/>
        <w:ind w:left="3480" w:leftChars="1657" w:right="101"/>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传    真：</w:t>
      </w:r>
      <w:r>
        <w:rPr>
          <w:rFonts w:hint="eastAsia" w:ascii="宋体" w:hAnsi="宋体" w:eastAsia="宋体" w:cs="宋体"/>
          <w:color w:val="auto"/>
          <w:sz w:val="24"/>
          <w:szCs w:val="24"/>
          <w:highlight w:val="none"/>
          <w:u w:val="single"/>
          <w:lang w:eastAsia="zh-CN"/>
        </w:rPr>
        <w:t xml:space="preserve">                                </w:t>
      </w:r>
    </w:p>
    <w:p w14:paraId="5D2962C7">
      <w:pPr>
        <w:tabs>
          <w:tab w:val="left" w:pos="6425"/>
        </w:tabs>
        <w:kinsoku/>
        <w:spacing w:before="32" w:line="293" w:lineRule="auto"/>
        <w:ind w:left="3480" w:leftChars="1657" w:right="10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6BC7553C">
      <w:pPr>
        <w:kinsoku/>
        <w:spacing w:line="242" w:lineRule="auto"/>
        <w:rPr>
          <w:rFonts w:ascii="宋体" w:hAnsi="宋体" w:eastAsia="宋体" w:cs="宋体"/>
          <w:color w:val="auto"/>
          <w:highlight w:val="none"/>
          <w:lang w:eastAsia="zh-CN"/>
        </w:rPr>
      </w:pPr>
    </w:p>
    <w:p w14:paraId="27785714">
      <w:pPr>
        <w:kinsoku/>
        <w:spacing w:line="243" w:lineRule="auto"/>
        <w:rPr>
          <w:rFonts w:ascii="宋体" w:hAnsi="宋体" w:eastAsia="宋体" w:cs="宋体"/>
          <w:color w:val="auto"/>
          <w:highlight w:val="none"/>
          <w:lang w:eastAsia="zh-CN"/>
        </w:rPr>
      </w:pPr>
    </w:p>
    <w:p w14:paraId="34ECF287">
      <w:pPr>
        <w:kinsoku/>
        <w:spacing w:line="243" w:lineRule="auto"/>
        <w:rPr>
          <w:rFonts w:ascii="宋体" w:hAnsi="宋体" w:eastAsia="宋体" w:cs="宋体"/>
          <w:color w:val="auto"/>
          <w:highlight w:val="none"/>
          <w:lang w:eastAsia="zh-CN"/>
        </w:rPr>
      </w:pPr>
    </w:p>
    <w:p w14:paraId="36EB79C3">
      <w:pPr>
        <w:kinsoku/>
        <w:spacing w:line="243" w:lineRule="auto"/>
        <w:rPr>
          <w:rFonts w:ascii="宋体" w:hAnsi="宋体" w:eastAsia="宋体" w:cs="宋体"/>
          <w:color w:val="auto"/>
          <w:highlight w:val="none"/>
          <w:lang w:eastAsia="zh-CN"/>
        </w:rPr>
      </w:pPr>
    </w:p>
    <w:p w14:paraId="633A7BAC">
      <w:pPr>
        <w:kinsoku/>
        <w:spacing w:line="243" w:lineRule="auto"/>
        <w:rPr>
          <w:rFonts w:ascii="宋体" w:hAnsi="宋体" w:eastAsia="宋体" w:cs="宋体"/>
          <w:color w:val="auto"/>
          <w:highlight w:val="none"/>
          <w:lang w:eastAsia="zh-CN"/>
        </w:rPr>
      </w:pPr>
    </w:p>
    <w:p w14:paraId="6637AD5F">
      <w:pPr>
        <w:kinsoku/>
        <w:rPr>
          <w:rFonts w:ascii="宋体" w:hAnsi="宋体" w:eastAsia="宋体" w:cs="宋体"/>
          <w:color w:val="auto"/>
          <w:highlight w:val="none"/>
          <w:lang w:eastAsia="zh-CN"/>
        </w:rPr>
      </w:pPr>
    </w:p>
    <w:p w14:paraId="64866F00">
      <w:pPr>
        <w:kinsoku/>
        <w:rPr>
          <w:rFonts w:ascii="宋体" w:hAnsi="宋体" w:eastAsia="宋体" w:cs="宋体"/>
          <w:color w:val="auto"/>
          <w:highlight w:val="none"/>
          <w:lang w:eastAsia="zh-CN"/>
        </w:rPr>
      </w:pPr>
    </w:p>
    <w:p w14:paraId="6A98D661">
      <w:pPr>
        <w:kinsoku/>
        <w:rPr>
          <w:rFonts w:ascii="宋体" w:hAnsi="宋体" w:eastAsia="宋体" w:cs="宋体"/>
          <w:color w:val="auto"/>
          <w:highlight w:val="none"/>
          <w:lang w:eastAsia="zh-CN"/>
        </w:rPr>
      </w:pPr>
    </w:p>
    <w:p w14:paraId="32902F9A">
      <w:pPr>
        <w:kinsoku/>
        <w:rPr>
          <w:rFonts w:ascii="宋体" w:hAnsi="宋体" w:eastAsia="宋体" w:cs="宋体"/>
          <w:color w:val="auto"/>
          <w:highlight w:val="none"/>
          <w:lang w:eastAsia="zh-CN"/>
        </w:rPr>
      </w:pPr>
    </w:p>
    <w:p w14:paraId="4B8D6605">
      <w:pPr>
        <w:kinsoku/>
        <w:rPr>
          <w:rFonts w:ascii="宋体" w:hAnsi="宋体" w:eastAsia="宋体" w:cs="宋体"/>
          <w:color w:val="auto"/>
          <w:highlight w:val="none"/>
          <w:lang w:eastAsia="zh-CN"/>
        </w:rPr>
      </w:pPr>
    </w:p>
    <w:p w14:paraId="1EC9D9BB">
      <w:pPr>
        <w:kinsoku/>
        <w:rPr>
          <w:rFonts w:ascii="宋体" w:hAnsi="宋体" w:eastAsia="宋体" w:cs="宋体"/>
          <w:color w:val="auto"/>
          <w:highlight w:val="none"/>
          <w:lang w:eastAsia="zh-CN"/>
        </w:rPr>
      </w:pPr>
    </w:p>
    <w:p w14:paraId="1580FC0D">
      <w:pPr>
        <w:kinsoku/>
        <w:rPr>
          <w:rFonts w:ascii="宋体" w:hAnsi="宋体" w:eastAsia="宋体" w:cs="宋体"/>
          <w:color w:val="auto"/>
          <w:highlight w:val="none"/>
          <w:lang w:eastAsia="zh-CN"/>
        </w:rPr>
      </w:pPr>
    </w:p>
    <w:p w14:paraId="3A0FBEE4">
      <w:pPr>
        <w:kinsoku/>
        <w:rPr>
          <w:rFonts w:ascii="宋体" w:hAnsi="宋体" w:eastAsia="宋体" w:cs="宋体"/>
          <w:color w:val="auto"/>
          <w:highlight w:val="none"/>
          <w:lang w:eastAsia="zh-CN"/>
        </w:rPr>
      </w:pPr>
    </w:p>
    <w:p w14:paraId="2A517C63">
      <w:pPr>
        <w:kinsoku/>
        <w:rPr>
          <w:rFonts w:ascii="宋体" w:hAnsi="宋体" w:eastAsia="宋体" w:cs="宋体"/>
          <w:color w:val="auto"/>
          <w:highlight w:val="none"/>
          <w:lang w:eastAsia="zh-CN"/>
        </w:rPr>
      </w:pPr>
    </w:p>
    <w:p w14:paraId="73A7BE72">
      <w:pPr>
        <w:kinsoku/>
        <w:rPr>
          <w:rFonts w:ascii="宋体" w:hAnsi="宋体" w:eastAsia="宋体" w:cs="宋体"/>
          <w:color w:val="auto"/>
          <w:highlight w:val="none"/>
          <w:lang w:eastAsia="zh-CN"/>
        </w:rPr>
      </w:pPr>
    </w:p>
    <w:p w14:paraId="57554450">
      <w:pPr>
        <w:kinsoku/>
        <w:rPr>
          <w:rFonts w:ascii="宋体" w:hAnsi="宋体" w:eastAsia="宋体" w:cs="宋体"/>
          <w:color w:val="auto"/>
          <w:highlight w:val="none"/>
          <w:lang w:eastAsia="zh-CN"/>
        </w:rPr>
      </w:pPr>
    </w:p>
    <w:p w14:paraId="37B2B1F0">
      <w:pPr>
        <w:kinsoku/>
        <w:rPr>
          <w:rFonts w:ascii="宋体" w:hAnsi="宋体" w:eastAsia="宋体" w:cs="宋体"/>
          <w:color w:val="auto"/>
          <w:highlight w:val="none"/>
          <w:lang w:eastAsia="zh-CN"/>
        </w:rPr>
      </w:pPr>
    </w:p>
    <w:p w14:paraId="66E18F0C">
      <w:pPr>
        <w:kinsoku/>
        <w:rPr>
          <w:rFonts w:ascii="宋体" w:hAnsi="宋体" w:eastAsia="宋体" w:cs="宋体"/>
          <w:color w:val="auto"/>
          <w:highlight w:val="none"/>
          <w:lang w:eastAsia="zh-CN"/>
        </w:rPr>
      </w:pPr>
    </w:p>
    <w:p w14:paraId="3162B13F">
      <w:pPr>
        <w:kinsoku/>
        <w:spacing w:line="241" w:lineRule="auto"/>
        <w:rPr>
          <w:rFonts w:ascii="宋体" w:hAnsi="宋体" w:eastAsia="宋体" w:cs="宋体"/>
          <w:color w:val="auto"/>
          <w:highlight w:val="none"/>
          <w:lang w:eastAsia="zh-CN"/>
        </w:rPr>
      </w:pPr>
    </w:p>
    <w:p w14:paraId="29AE29F8">
      <w:pPr>
        <w:kinsoku/>
        <w:spacing w:line="241" w:lineRule="auto"/>
        <w:rPr>
          <w:rFonts w:ascii="宋体" w:hAnsi="宋体" w:eastAsia="宋体" w:cs="宋体"/>
          <w:color w:val="auto"/>
          <w:highlight w:val="none"/>
          <w:lang w:eastAsia="zh-CN"/>
        </w:rPr>
      </w:pPr>
    </w:p>
    <w:p w14:paraId="64C057D9">
      <w:pPr>
        <w:kinsoku/>
        <w:spacing w:line="241" w:lineRule="auto"/>
        <w:rPr>
          <w:rFonts w:ascii="宋体" w:hAnsi="宋体" w:eastAsia="宋体" w:cs="宋体"/>
          <w:color w:val="auto"/>
          <w:highlight w:val="none"/>
          <w:lang w:eastAsia="zh-CN"/>
        </w:rPr>
      </w:pPr>
    </w:p>
    <w:p w14:paraId="0A31A391">
      <w:pPr>
        <w:kinsoku/>
        <w:spacing w:line="241" w:lineRule="auto"/>
        <w:rPr>
          <w:rFonts w:ascii="宋体" w:hAnsi="宋体" w:eastAsia="宋体" w:cs="宋体"/>
          <w:color w:val="auto"/>
          <w:highlight w:val="none"/>
          <w:lang w:eastAsia="zh-CN"/>
        </w:rPr>
      </w:pPr>
    </w:p>
    <w:p w14:paraId="6FF7F245">
      <w:pPr>
        <w:kinsoku/>
        <w:spacing w:line="241" w:lineRule="auto"/>
        <w:rPr>
          <w:rFonts w:ascii="宋体" w:hAnsi="宋体" w:eastAsia="宋体" w:cs="宋体"/>
          <w:color w:val="auto"/>
          <w:highlight w:val="none"/>
          <w:lang w:eastAsia="zh-CN"/>
        </w:rPr>
      </w:pPr>
    </w:p>
    <w:p w14:paraId="2CC6A1D5">
      <w:pPr>
        <w:kinsoku/>
        <w:spacing w:line="241" w:lineRule="auto"/>
        <w:rPr>
          <w:rFonts w:ascii="宋体" w:hAnsi="宋体" w:eastAsia="宋体" w:cs="宋体"/>
          <w:color w:val="auto"/>
          <w:highlight w:val="none"/>
          <w:lang w:eastAsia="zh-CN"/>
        </w:rPr>
      </w:pPr>
    </w:p>
    <w:p w14:paraId="4ED9E5FF">
      <w:pPr>
        <w:kinsoku/>
        <w:spacing w:line="241" w:lineRule="auto"/>
        <w:rPr>
          <w:rFonts w:ascii="宋体" w:hAnsi="宋体" w:eastAsia="宋体" w:cs="宋体"/>
          <w:color w:val="auto"/>
          <w:highlight w:val="none"/>
          <w:lang w:eastAsia="zh-CN"/>
        </w:rPr>
      </w:pPr>
    </w:p>
    <w:p w14:paraId="5766454B">
      <w:pPr>
        <w:kinsoku/>
        <w:spacing w:line="241" w:lineRule="auto"/>
        <w:rPr>
          <w:rFonts w:ascii="宋体" w:hAnsi="宋体" w:eastAsia="宋体" w:cs="宋体"/>
          <w:color w:val="auto"/>
          <w:highlight w:val="none"/>
          <w:lang w:eastAsia="zh-CN"/>
        </w:rPr>
      </w:pPr>
    </w:p>
    <w:p w14:paraId="362534AB">
      <w:pPr>
        <w:kinsoku/>
        <w:spacing w:line="241" w:lineRule="auto"/>
        <w:rPr>
          <w:rFonts w:ascii="宋体" w:hAnsi="宋体" w:eastAsia="宋体" w:cs="宋体"/>
          <w:color w:val="auto"/>
          <w:highlight w:val="none"/>
          <w:lang w:eastAsia="zh-CN"/>
        </w:rPr>
      </w:pPr>
    </w:p>
    <w:p w14:paraId="217D7297">
      <w:pPr>
        <w:kinsoku/>
        <w:spacing w:line="241" w:lineRule="auto"/>
        <w:rPr>
          <w:rFonts w:ascii="宋体" w:hAnsi="宋体" w:eastAsia="宋体" w:cs="宋体"/>
          <w:color w:val="auto"/>
          <w:highlight w:val="none"/>
          <w:lang w:eastAsia="zh-CN"/>
        </w:rPr>
      </w:pPr>
    </w:p>
    <w:p w14:paraId="1DC5CD3F">
      <w:pPr>
        <w:kinsoku/>
        <w:spacing w:before="179" w:line="222" w:lineRule="auto"/>
        <w:ind w:left="3547"/>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第二卷</w:t>
      </w:r>
    </w:p>
    <w:p w14:paraId="44DEEA49">
      <w:pPr>
        <w:kinsoku/>
        <w:spacing w:line="222" w:lineRule="auto"/>
        <w:rPr>
          <w:rFonts w:ascii="宋体" w:hAnsi="宋体" w:eastAsia="宋体" w:cs="宋体"/>
          <w:color w:val="auto"/>
          <w:sz w:val="55"/>
          <w:szCs w:val="55"/>
          <w:highlight w:val="none"/>
          <w:lang w:eastAsia="zh-CN"/>
        </w:rPr>
        <w:sectPr>
          <w:headerReference r:id="rId37" w:type="default"/>
          <w:footerReference r:id="rId38" w:type="default"/>
          <w:pgSz w:w="11907" w:h="16841"/>
          <w:pgMar w:top="1173" w:right="1252" w:bottom="1254" w:left="1615" w:header="862" w:footer="1093" w:gutter="0"/>
          <w:cols w:space="720" w:num="1"/>
        </w:sectPr>
      </w:pPr>
    </w:p>
    <w:p w14:paraId="0C4697E9">
      <w:pPr>
        <w:kinsoku/>
        <w:spacing w:line="243" w:lineRule="auto"/>
        <w:rPr>
          <w:rFonts w:ascii="宋体" w:hAnsi="宋体" w:eastAsia="宋体" w:cs="宋体"/>
          <w:color w:val="auto"/>
          <w:highlight w:val="none"/>
          <w:lang w:eastAsia="zh-CN"/>
        </w:rPr>
      </w:pPr>
    </w:p>
    <w:p w14:paraId="3F1A2AC1">
      <w:pPr>
        <w:kinsoku/>
        <w:spacing w:line="243" w:lineRule="auto"/>
        <w:rPr>
          <w:rFonts w:ascii="宋体" w:hAnsi="宋体" w:eastAsia="宋体" w:cs="宋体"/>
          <w:color w:val="auto"/>
          <w:highlight w:val="none"/>
          <w:lang w:eastAsia="zh-CN"/>
        </w:rPr>
      </w:pPr>
    </w:p>
    <w:p w14:paraId="6004F2C5">
      <w:pPr>
        <w:kinsoku/>
        <w:spacing w:line="243" w:lineRule="auto"/>
        <w:rPr>
          <w:rFonts w:ascii="宋体" w:hAnsi="宋体" w:eastAsia="宋体" w:cs="宋体"/>
          <w:color w:val="auto"/>
          <w:highlight w:val="none"/>
          <w:lang w:eastAsia="zh-CN"/>
        </w:rPr>
      </w:pPr>
    </w:p>
    <w:p w14:paraId="78F07B4B">
      <w:pPr>
        <w:kinsoku/>
        <w:spacing w:line="243" w:lineRule="auto"/>
        <w:rPr>
          <w:rFonts w:ascii="宋体" w:hAnsi="宋体" w:eastAsia="宋体" w:cs="宋体"/>
          <w:color w:val="auto"/>
          <w:highlight w:val="none"/>
          <w:lang w:eastAsia="zh-CN"/>
        </w:rPr>
      </w:pPr>
    </w:p>
    <w:p w14:paraId="281D9960">
      <w:pPr>
        <w:kinsoku/>
        <w:spacing w:line="243" w:lineRule="auto"/>
        <w:rPr>
          <w:rFonts w:ascii="宋体" w:hAnsi="宋体" w:eastAsia="宋体" w:cs="宋体"/>
          <w:color w:val="auto"/>
          <w:highlight w:val="none"/>
          <w:lang w:eastAsia="zh-CN"/>
        </w:rPr>
      </w:pPr>
    </w:p>
    <w:p w14:paraId="692469C7">
      <w:pPr>
        <w:kinsoku/>
        <w:spacing w:line="243" w:lineRule="auto"/>
        <w:rPr>
          <w:rFonts w:ascii="宋体" w:hAnsi="宋体" w:eastAsia="宋体" w:cs="宋体"/>
          <w:color w:val="auto"/>
          <w:highlight w:val="none"/>
          <w:lang w:eastAsia="zh-CN"/>
        </w:rPr>
      </w:pPr>
    </w:p>
    <w:p w14:paraId="59B86152">
      <w:pPr>
        <w:kinsoku/>
        <w:spacing w:line="243" w:lineRule="auto"/>
        <w:rPr>
          <w:rFonts w:ascii="宋体" w:hAnsi="宋体" w:eastAsia="宋体" w:cs="宋体"/>
          <w:color w:val="auto"/>
          <w:highlight w:val="none"/>
          <w:lang w:eastAsia="zh-CN"/>
        </w:rPr>
      </w:pPr>
    </w:p>
    <w:p w14:paraId="2C54708F">
      <w:pPr>
        <w:kinsoku/>
        <w:spacing w:line="243" w:lineRule="auto"/>
        <w:rPr>
          <w:rFonts w:ascii="宋体" w:hAnsi="宋体" w:eastAsia="宋体" w:cs="宋体"/>
          <w:color w:val="auto"/>
          <w:highlight w:val="none"/>
          <w:lang w:eastAsia="zh-CN"/>
        </w:rPr>
      </w:pPr>
    </w:p>
    <w:p w14:paraId="2F4E573B">
      <w:pPr>
        <w:kinsoku/>
        <w:spacing w:line="243" w:lineRule="auto"/>
        <w:rPr>
          <w:rFonts w:ascii="宋体" w:hAnsi="宋体" w:eastAsia="宋体" w:cs="宋体"/>
          <w:color w:val="auto"/>
          <w:highlight w:val="none"/>
          <w:lang w:eastAsia="zh-CN"/>
        </w:rPr>
      </w:pPr>
    </w:p>
    <w:p w14:paraId="5B62A7EA">
      <w:pPr>
        <w:kinsoku/>
        <w:spacing w:line="243" w:lineRule="auto"/>
        <w:rPr>
          <w:rFonts w:ascii="宋体" w:hAnsi="宋体" w:eastAsia="宋体" w:cs="宋体"/>
          <w:color w:val="auto"/>
          <w:highlight w:val="none"/>
          <w:lang w:eastAsia="zh-CN"/>
        </w:rPr>
      </w:pPr>
    </w:p>
    <w:p w14:paraId="662C3886">
      <w:pPr>
        <w:kinsoku/>
        <w:spacing w:line="243" w:lineRule="auto"/>
        <w:rPr>
          <w:rFonts w:ascii="宋体" w:hAnsi="宋体" w:eastAsia="宋体" w:cs="宋体"/>
          <w:color w:val="auto"/>
          <w:highlight w:val="none"/>
          <w:lang w:eastAsia="zh-CN"/>
        </w:rPr>
      </w:pPr>
    </w:p>
    <w:p w14:paraId="750FE08C">
      <w:pPr>
        <w:kinsoku/>
        <w:spacing w:line="243" w:lineRule="auto"/>
        <w:rPr>
          <w:rFonts w:ascii="宋体" w:hAnsi="宋体" w:eastAsia="宋体" w:cs="宋体"/>
          <w:color w:val="auto"/>
          <w:highlight w:val="none"/>
          <w:lang w:eastAsia="zh-CN"/>
        </w:rPr>
      </w:pPr>
    </w:p>
    <w:p w14:paraId="121236FB">
      <w:pPr>
        <w:kinsoku/>
        <w:spacing w:line="244" w:lineRule="auto"/>
        <w:rPr>
          <w:rFonts w:ascii="宋体" w:hAnsi="宋体" w:eastAsia="宋体" w:cs="宋体"/>
          <w:color w:val="auto"/>
          <w:highlight w:val="none"/>
          <w:lang w:eastAsia="zh-CN"/>
        </w:rPr>
      </w:pPr>
    </w:p>
    <w:p w14:paraId="513A6FFB">
      <w:pPr>
        <w:kinsoku/>
        <w:spacing w:line="244" w:lineRule="auto"/>
        <w:rPr>
          <w:rFonts w:ascii="宋体" w:hAnsi="宋体" w:eastAsia="宋体" w:cs="宋体"/>
          <w:color w:val="auto"/>
          <w:highlight w:val="none"/>
          <w:lang w:eastAsia="zh-CN"/>
        </w:rPr>
      </w:pPr>
    </w:p>
    <w:p w14:paraId="69B2AEF4">
      <w:pPr>
        <w:kinsoku/>
        <w:spacing w:line="244" w:lineRule="auto"/>
        <w:rPr>
          <w:rFonts w:ascii="宋体" w:hAnsi="宋体" w:eastAsia="宋体" w:cs="宋体"/>
          <w:color w:val="auto"/>
          <w:highlight w:val="none"/>
          <w:lang w:eastAsia="zh-CN"/>
        </w:rPr>
      </w:pPr>
    </w:p>
    <w:p w14:paraId="11484C2D">
      <w:pPr>
        <w:kinsoku/>
        <w:spacing w:line="244" w:lineRule="auto"/>
        <w:rPr>
          <w:rFonts w:ascii="宋体" w:hAnsi="宋体" w:eastAsia="宋体" w:cs="宋体"/>
          <w:color w:val="auto"/>
          <w:highlight w:val="none"/>
          <w:lang w:eastAsia="zh-CN"/>
        </w:rPr>
      </w:pPr>
    </w:p>
    <w:p w14:paraId="1641343F">
      <w:pPr>
        <w:kinsoku/>
        <w:spacing w:line="244" w:lineRule="auto"/>
        <w:rPr>
          <w:rFonts w:ascii="宋体" w:hAnsi="宋体" w:eastAsia="宋体" w:cs="宋体"/>
          <w:color w:val="auto"/>
          <w:highlight w:val="none"/>
          <w:lang w:eastAsia="zh-CN"/>
        </w:rPr>
      </w:pPr>
    </w:p>
    <w:p w14:paraId="1CFF5729">
      <w:pPr>
        <w:kinsoku/>
        <w:spacing w:line="244" w:lineRule="auto"/>
        <w:rPr>
          <w:rFonts w:ascii="宋体" w:hAnsi="宋体" w:eastAsia="宋体" w:cs="宋体"/>
          <w:color w:val="auto"/>
          <w:highlight w:val="none"/>
          <w:lang w:eastAsia="zh-CN"/>
        </w:rPr>
      </w:pPr>
    </w:p>
    <w:p w14:paraId="310B47D1">
      <w:pPr>
        <w:kinsoku/>
        <w:spacing w:line="244" w:lineRule="auto"/>
        <w:rPr>
          <w:rFonts w:ascii="宋体" w:hAnsi="宋体" w:eastAsia="宋体" w:cs="宋体"/>
          <w:color w:val="auto"/>
          <w:highlight w:val="none"/>
          <w:lang w:eastAsia="zh-CN"/>
        </w:rPr>
      </w:pPr>
    </w:p>
    <w:p w14:paraId="02710FC4">
      <w:pPr>
        <w:kinsoku/>
        <w:spacing w:line="244" w:lineRule="auto"/>
        <w:rPr>
          <w:rFonts w:ascii="宋体" w:hAnsi="宋体" w:eastAsia="宋体" w:cs="宋体"/>
          <w:color w:val="auto"/>
          <w:highlight w:val="none"/>
          <w:lang w:eastAsia="zh-CN"/>
        </w:rPr>
      </w:pPr>
    </w:p>
    <w:p w14:paraId="59A44945">
      <w:pPr>
        <w:kinsoku/>
        <w:spacing w:line="244" w:lineRule="auto"/>
        <w:rPr>
          <w:rFonts w:ascii="宋体" w:hAnsi="宋体" w:eastAsia="宋体" w:cs="宋体"/>
          <w:color w:val="auto"/>
          <w:highlight w:val="none"/>
          <w:lang w:eastAsia="zh-CN"/>
        </w:rPr>
      </w:pPr>
    </w:p>
    <w:p w14:paraId="7A05DCBA">
      <w:pPr>
        <w:kinsoku/>
        <w:spacing w:line="244" w:lineRule="auto"/>
        <w:rPr>
          <w:rFonts w:ascii="宋体" w:hAnsi="宋体" w:eastAsia="宋体" w:cs="宋体"/>
          <w:color w:val="auto"/>
          <w:highlight w:val="none"/>
          <w:lang w:eastAsia="zh-CN"/>
        </w:rPr>
      </w:pPr>
    </w:p>
    <w:p w14:paraId="781F5C1D">
      <w:pPr>
        <w:kinsoku/>
        <w:spacing w:before="117"/>
        <w:ind w:left="2652"/>
        <w:outlineLvl w:val="0"/>
        <w:rPr>
          <w:rFonts w:ascii="宋体" w:hAnsi="宋体" w:eastAsia="宋体" w:cs="宋体"/>
          <w:color w:val="auto"/>
          <w:sz w:val="19"/>
          <w:szCs w:val="19"/>
          <w:highlight w:val="none"/>
          <w:lang w:eastAsia="zh-CN"/>
        </w:rPr>
      </w:pPr>
      <w:bookmarkStart w:id="352" w:name="bookmark261"/>
      <w:bookmarkEnd w:id="352"/>
      <w:bookmarkStart w:id="353" w:name="bookmark260"/>
      <w:bookmarkEnd w:id="353"/>
      <w:bookmarkStart w:id="354" w:name="_Toc22819"/>
      <w:r>
        <w:rPr>
          <w:rFonts w:hint="eastAsia" w:ascii="宋体" w:hAnsi="宋体" w:eastAsia="宋体" w:cs="宋体"/>
          <w:b/>
          <w:bCs/>
          <w:color w:val="auto"/>
          <w:sz w:val="36"/>
          <w:szCs w:val="36"/>
          <w:highlight w:val="none"/>
          <w:lang w:eastAsia="zh-CN"/>
        </w:rPr>
        <w:t>第五章</w:t>
      </w:r>
      <w:r>
        <w:rPr>
          <w:rFonts w:hint="eastAsia" w:ascii="宋体" w:hAnsi="宋体" w:eastAsia="宋体" w:cs="宋体"/>
          <w:color w:val="auto"/>
          <w:sz w:val="36"/>
          <w:szCs w:val="36"/>
          <w:highlight w:val="none"/>
          <w:lang w:eastAsia="zh-CN"/>
        </w:rPr>
        <w:t xml:space="preserve">  </w:t>
      </w:r>
      <w:r>
        <w:rPr>
          <w:rFonts w:hint="eastAsia" w:ascii="宋体" w:hAnsi="宋体" w:eastAsia="宋体" w:cs="宋体"/>
          <w:b/>
          <w:bCs/>
          <w:color w:val="auto"/>
          <w:sz w:val="36"/>
          <w:szCs w:val="36"/>
          <w:highlight w:val="none"/>
          <w:lang w:eastAsia="zh-CN"/>
        </w:rPr>
        <w:t>发包人要求</w:t>
      </w:r>
      <w:bookmarkEnd w:id="354"/>
    </w:p>
    <w:p w14:paraId="31ECB690">
      <w:pPr>
        <w:kinsoku/>
        <w:spacing w:line="246" w:lineRule="auto"/>
        <w:rPr>
          <w:rFonts w:ascii="宋体" w:hAnsi="宋体" w:eastAsia="宋体" w:cs="宋体"/>
          <w:color w:val="auto"/>
          <w:highlight w:val="none"/>
          <w:lang w:eastAsia="zh-CN"/>
        </w:rPr>
      </w:pPr>
    </w:p>
    <w:p w14:paraId="40D741BA">
      <w:pPr>
        <w:kinsoku/>
        <w:spacing w:line="246" w:lineRule="auto"/>
        <w:rPr>
          <w:rFonts w:ascii="宋体" w:hAnsi="宋体" w:eastAsia="宋体" w:cs="宋体"/>
          <w:color w:val="auto"/>
          <w:highlight w:val="none"/>
          <w:lang w:eastAsia="zh-CN"/>
        </w:rPr>
      </w:pPr>
    </w:p>
    <w:p w14:paraId="10BA0B6C">
      <w:pPr>
        <w:kinsoku/>
        <w:spacing w:line="246" w:lineRule="auto"/>
        <w:rPr>
          <w:rFonts w:ascii="宋体" w:hAnsi="宋体" w:eastAsia="宋体" w:cs="宋体"/>
          <w:color w:val="auto"/>
          <w:highlight w:val="none"/>
          <w:lang w:eastAsia="zh-CN"/>
        </w:rPr>
      </w:pPr>
    </w:p>
    <w:p w14:paraId="707E59E8">
      <w:pPr>
        <w:kinsoku/>
        <w:spacing w:line="246" w:lineRule="auto"/>
        <w:rPr>
          <w:rFonts w:ascii="宋体" w:hAnsi="宋体" w:eastAsia="宋体" w:cs="宋体"/>
          <w:color w:val="auto"/>
          <w:highlight w:val="none"/>
          <w:lang w:eastAsia="zh-CN"/>
        </w:rPr>
      </w:pPr>
    </w:p>
    <w:p w14:paraId="435151B3">
      <w:pPr>
        <w:kinsoku/>
        <w:spacing w:line="246" w:lineRule="auto"/>
        <w:rPr>
          <w:rFonts w:ascii="宋体" w:hAnsi="宋体" w:eastAsia="宋体" w:cs="宋体"/>
          <w:color w:val="auto"/>
          <w:highlight w:val="none"/>
          <w:lang w:eastAsia="zh-CN"/>
        </w:rPr>
      </w:pPr>
    </w:p>
    <w:p w14:paraId="44227303">
      <w:pPr>
        <w:kinsoku/>
        <w:spacing w:line="246" w:lineRule="auto"/>
        <w:rPr>
          <w:rFonts w:ascii="宋体" w:hAnsi="宋体" w:eastAsia="宋体" w:cs="宋体"/>
          <w:color w:val="auto"/>
          <w:highlight w:val="none"/>
          <w:lang w:eastAsia="zh-CN"/>
        </w:rPr>
      </w:pPr>
    </w:p>
    <w:p w14:paraId="6545D524">
      <w:pPr>
        <w:kinsoku/>
        <w:spacing w:line="246" w:lineRule="auto"/>
        <w:rPr>
          <w:rFonts w:ascii="宋体" w:hAnsi="宋体" w:eastAsia="宋体" w:cs="宋体"/>
          <w:color w:val="auto"/>
          <w:highlight w:val="none"/>
          <w:lang w:eastAsia="zh-CN"/>
        </w:rPr>
      </w:pPr>
    </w:p>
    <w:p w14:paraId="19451198">
      <w:pPr>
        <w:kinsoku/>
        <w:spacing w:line="246" w:lineRule="auto"/>
        <w:rPr>
          <w:rFonts w:ascii="宋体" w:hAnsi="宋体" w:eastAsia="宋体" w:cs="宋体"/>
          <w:color w:val="auto"/>
          <w:highlight w:val="none"/>
          <w:lang w:eastAsia="zh-CN"/>
        </w:rPr>
      </w:pPr>
    </w:p>
    <w:p w14:paraId="2CA81D86">
      <w:pPr>
        <w:kinsoku/>
        <w:spacing w:line="246" w:lineRule="auto"/>
        <w:rPr>
          <w:rFonts w:ascii="宋体" w:hAnsi="宋体" w:eastAsia="宋体" w:cs="宋体"/>
          <w:color w:val="auto"/>
          <w:highlight w:val="none"/>
          <w:lang w:eastAsia="zh-CN"/>
        </w:rPr>
      </w:pPr>
    </w:p>
    <w:p w14:paraId="33CA9726">
      <w:pPr>
        <w:kinsoku/>
        <w:spacing w:line="247" w:lineRule="auto"/>
        <w:rPr>
          <w:rFonts w:ascii="宋体" w:hAnsi="宋体" w:eastAsia="宋体" w:cs="宋体"/>
          <w:color w:val="auto"/>
          <w:highlight w:val="none"/>
          <w:lang w:eastAsia="zh-CN"/>
        </w:rPr>
      </w:pPr>
    </w:p>
    <w:p w14:paraId="6D44D532">
      <w:pPr>
        <w:kinsoku/>
        <w:spacing w:line="247" w:lineRule="auto"/>
        <w:rPr>
          <w:rFonts w:ascii="宋体" w:hAnsi="宋体" w:eastAsia="宋体" w:cs="宋体"/>
          <w:color w:val="auto"/>
          <w:highlight w:val="none"/>
          <w:lang w:eastAsia="zh-CN"/>
        </w:rPr>
      </w:pPr>
    </w:p>
    <w:p w14:paraId="7CC7067E">
      <w:pPr>
        <w:kinsoku/>
        <w:spacing w:line="247" w:lineRule="auto"/>
        <w:rPr>
          <w:rFonts w:ascii="宋体" w:hAnsi="宋体" w:eastAsia="宋体" w:cs="宋体"/>
          <w:color w:val="auto"/>
          <w:highlight w:val="none"/>
          <w:lang w:eastAsia="zh-CN"/>
        </w:rPr>
      </w:pPr>
    </w:p>
    <w:p w14:paraId="0394448C">
      <w:pPr>
        <w:kinsoku/>
        <w:spacing w:line="247" w:lineRule="auto"/>
        <w:rPr>
          <w:rFonts w:ascii="宋体" w:hAnsi="宋体" w:eastAsia="宋体" w:cs="宋体"/>
          <w:color w:val="auto"/>
          <w:highlight w:val="none"/>
          <w:lang w:eastAsia="zh-CN"/>
        </w:rPr>
      </w:pPr>
    </w:p>
    <w:p w14:paraId="19AF0FE3">
      <w:pPr>
        <w:kinsoku/>
        <w:spacing w:line="247" w:lineRule="auto"/>
        <w:rPr>
          <w:rFonts w:ascii="宋体" w:hAnsi="宋体" w:eastAsia="宋体" w:cs="宋体"/>
          <w:color w:val="auto"/>
          <w:highlight w:val="none"/>
          <w:lang w:eastAsia="zh-CN"/>
        </w:rPr>
      </w:pPr>
    </w:p>
    <w:p w14:paraId="251D3B1E">
      <w:pPr>
        <w:kinsoku/>
        <w:spacing w:line="247" w:lineRule="auto"/>
        <w:rPr>
          <w:rFonts w:ascii="宋体" w:hAnsi="宋体" w:eastAsia="宋体" w:cs="宋体"/>
          <w:color w:val="auto"/>
          <w:highlight w:val="none"/>
          <w:lang w:eastAsia="zh-CN"/>
        </w:rPr>
      </w:pPr>
    </w:p>
    <w:p w14:paraId="2DA74EE6">
      <w:pPr>
        <w:kinsoku/>
        <w:spacing w:line="247" w:lineRule="auto"/>
        <w:rPr>
          <w:rFonts w:ascii="宋体" w:hAnsi="宋体" w:eastAsia="宋体" w:cs="宋体"/>
          <w:color w:val="auto"/>
          <w:highlight w:val="none"/>
          <w:lang w:eastAsia="zh-CN"/>
        </w:rPr>
      </w:pPr>
    </w:p>
    <w:p w14:paraId="22BB6AE0">
      <w:pPr>
        <w:kinsoku/>
        <w:spacing w:line="247" w:lineRule="auto"/>
        <w:rPr>
          <w:rFonts w:ascii="宋体" w:hAnsi="宋体" w:eastAsia="宋体" w:cs="宋体"/>
          <w:color w:val="auto"/>
          <w:highlight w:val="none"/>
          <w:lang w:eastAsia="zh-CN"/>
        </w:rPr>
      </w:pPr>
    </w:p>
    <w:p w14:paraId="35E91907">
      <w:pPr>
        <w:kinsoku/>
        <w:spacing w:line="247" w:lineRule="auto"/>
        <w:rPr>
          <w:rFonts w:ascii="宋体" w:hAnsi="宋体" w:eastAsia="宋体" w:cs="宋体"/>
          <w:color w:val="auto"/>
          <w:highlight w:val="none"/>
          <w:lang w:eastAsia="zh-CN"/>
        </w:rPr>
      </w:pPr>
    </w:p>
    <w:p w14:paraId="45213184">
      <w:pPr>
        <w:kinsoku/>
        <w:spacing w:line="247" w:lineRule="auto"/>
        <w:rPr>
          <w:rFonts w:ascii="宋体" w:hAnsi="宋体" w:eastAsia="宋体" w:cs="宋体"/>
          <w:color w:val="auto"/>
          <w:highlight w:val="none"/>
          <w:lang w:eastAsia="zh-CN"/>
        </w:rPr>
      </w:pPr>
    </w:p>
    <w:p w14:paraId="06C6D60F">
      <w:pPr>
        <w:kinsoku/>
        <w:spacing w:line="247" w:lineRule="auto"/>
        <w:rPr>
          <w:rFonts w:ascii="宋体" w:hAnsi="宋体" w:eastAsia="宋体" w:cs="宋体"/>
          <w:color w:val="auto"/>
          <w:highlight w:val="none"/>
          <w:lang w:eastAsia="zh-CN"/>
        </w:rPr>
      </w:pPr>
    </w:p>
    <w:p w14:paraId="77884ABA">
      <w:pPr>
        <w:kinsoku/>
        <w:spacing w:line="247" w:lineRule="auto"/>
        <w:rPr>
          <w:rFonts w:ascii="宋体" w:hAnsi="宋体" w:eastAsia="宋体" w:cs="宋体"/>
          <w:color w:val="auto"/>
          <w:highlight w:val="none"/>
          <w:lang w:eastAsia="zh-CN"/>
        </w:rPr>
      </w:pPr>
    </w:p>
    <w:p w14:paraId="19F4BECD">
      <w:pPr>
        <w:kinsoku/>
        <w:spacing w:line="247" w:lineRule="auto"/>
        <w:rPr>
          <w:rFonts w:ascii="宋体" w:hAnsi="宋体" w:eastAsia="宋体" w:cs="宋体"/>
          <w:color w:val="auto"/>
          <w:highlight w:val="none"/>
          <w:lang w:eastAsia="zh-CN"/>
        </w:rPr>
      </w:pPr>
    </w:p>
    <w:p w14:paraId="781613B9">
      <w:pPr>
        <w:kinsoku/>
        <w:spacing w:line="247" w:lineRule="auto"/>
        <w:rPr>
          <w:rFonts w:ascii="宋体" w:hAnsi="宋体" w:eastAsia="宋体" w:cs="宋体"/>
          <w:color w:val="auto"/>
          <w:highlight w:val="none"/>
          <w:lang w:eastAsia="zh-CN"/>
        </w:rPr>
      </w:pPr>
    </w:p>
    <w:p w14:paraId="6AD5BFDD">
      <w:pPr>
        <w:kinsoku/>
        <w:spacing w:line="247" w:lineRule="auto"/>
        <w:rPr>
          <w:rFonts w:ascii="宋体" w:hAnsi="宋体" w:eastAsia="宋体" w:cs="宋体"/>
          <w:color w:val="auto"/>
          <w:highlight w:val="none"/>
          <w:lang w:eastAsia="zh-CN"/>
        </w:rPr>
      </w:pPr>
    </w:p>
    <w:p w14:paraId="18A2A992">
      <w:pPr>
        <w:kinsoku/>
        <w:spacing w:line="247" w:lineRule="auto"/>
        <w:rPr>
          <w:rFonts w:ascii="宋体" w:hAnsi="宋体" w:eastAsia="宋体" w:cs="宋体"/>
          <w:color w:val="auto"/>
          <w:highlight w:val="none"/>
          <w:lang w:eastAsia="zh-CN"/>
        </w:rPr>
      </w:pPr>
    </w:p>
    <w:p w14:paraId="4CD3FE2C">
      <w:pPr>
        <w:kinsoku/>
        <w:spacing w:line="247" w:lineRule="auto"/>
        <w:rPr>
          <w:rFonts w:ascii="宋体" w:hAnsi="宋体" w:eastAsia="宋体" w:cs="宋体"/>
          <w:color w:val="auto"/>
          <w:highlight w:val="none"/>
          <w:lang w:eastAsia="zh-CN"/>
        </w:rPr>
      </w:pPr>
    </w:p>
    <w:p w14:paraId="0666C1E3">
      <w:pPr>
        <w:kinsoku/>
        <w:spacing w:line="247" w:lineRule="auto"/>
        <w:rPr>
          <w:rFonts w:ascii="宋体" w:hAnsi="宋体" w:eastAsia="宋体" w:cs="宋体"/>
          <w:color w:val="auto"/>
          <w:highlight w:val="none"/>
          <w:lang w:eastAsia="zh-CN"/>
        </w:rPr>
      </w:pPr>
    </w:p>
    <w:p w14:paraId="1DEBB45C">
      <w:pPr>
        <w:kinsoku/>
        <w:spacing w:before="98" w:line="218" w:lineRule="auto"/>
        <w:ind w:left="3631"/>
        <w:rPr>
          <w:rFonts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lang w:eastAsia="zh-CN"/>
        </w:rPr>
        <w:t>发包人要求</w:t>
      </w:r>
    </w:p>
    <w:p w14:paraId="5BDCA1E8">
      <w:pPr>
        <w:kinsoku/>
        <w:spacing w:line="268" w:lineRule="auto"/>
        <w:rPr>
          <w:rFonts w:ascii="宋体" w:hAnsi="宋体" w:eastAsia="宋体" w:cs="宋体"/>
          <w:color w:val="auto"/>
          <w:highlight w:val="none"/>
          <w:lang w:eastAsia="zh-CN"/>
        </w:rPr>
      </w:pPr>
    </w:p>
    <w:p w14:paraId="7993465C">
      <w:pPr>
        <w:kinsoku/>
        <w:spacing w:line="269" w:lineRule="auto"/>
        <w:rPr>
          <w:rFonts w:ascii="宋体" w:hAnsi="宋体" w:eastAsia="宋体" w:cs="宋体"/>
          <w:color w:val="auto"/>
          <w:highlight w:val="none"/>
          <w:lang w:eastAsia="zh-CN"/>
        </w:rPr>
      </w:pPr>
    </w:p>
    <w:p w14:paraId="559DDE56">
      <w:pPr>
        <w:kinsoku/>
        <w:spacing w:before="32" w:line="286" w:lineRule="auto"/>
        <w:ind w:left="52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发包人要求通常包括但不限于以下内容。</w:t>
      </w:r>
    </w:p>
    <w:p w14:paraId="3727F3A2">
      <w:pPr>
        <w:kinsoku/>
        <w:spacing w:before="274" w:line="286" w:lineRule="auto"/>
        <w:ind w:left="41"/>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一、勘察设计要求</w:t>
      </w:r>
    </w:p>
    <w:p w14:paraId="29387EFB">
      <w:pPr>
        <w:kinsoku/>
        <w:spacing w:before="33" w:line="286"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1.项目概况</w:t>
      </w:r>
    </w:p>
    <w:p w14:paraId="1F3EB639">
      <w:pPr>
        <w:kinsoku/>
        <w:spacing w:before="156" w:line="286" w:lineRule="auto"/>
        <w:ind w:left="38" w:right="112" w:firstLine="479"/>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建设地点及规模：项目总长约11.442公里，共分两段。具体为：</w:t>
      </w:r>
    </w:p>
    <w:p w14:paraId="1278A723">
      <w:pPr>
        <w:kinsoku/>
        <w:spacing w:before="156" w:line="286" w:lineRule="auto"/>
        <w:ind w:left="38" w:right="112" w:firstLine="479"/>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（1）本项目位于韶关市武江区东北角，起于西河镇的国道G323(朝阳路)与移山路、</w:t>
      </w:r>
      <w:r>
        <w:rPr>
          <w:rFonts w:hint="eastAsia" w:ascii="宋体" w:hAnsi="宋体" w:cs="宋体"/>
          <w:color w:val="auto"/>
          <w:sz w:val="24"/>
          <w:highlight w:val="none"/>
          <w:lang w:val="en-US" w:eastAsia="zh-CN"/>
        </w:rPr>
        <w:t>十里亭桥</w:t>
      </w:r>
      <w:r>
        <w:rPr>
          <w:rFonts w:hint="eastAsia" w:ascii="宋体" w:hAnsi="宋体" w:cs="宋体"/>
          <w:color w:val="auto"/>
          <w:sz w:val="24"/>
          <w:highlight w:val="none"/>
          <w:lang w:eastAsia="zh-CN"/>
        </w:rPr>
        <w:t>交叉口，沿现状县道X313走廊往西北方向前进(武广高铁东侧，武江西侧)，先后经过西河镇石坑村、下坑村、田心村、山蕉村、南华纪念园公墓，终于韶关北环高速糖察出口匝道，对接其现状收费站，路线全长7.19km。采用双向四车道一级公路标准建设，设计速度为80km/h，路基宽度为26.5m，沥青混凝土路面。全线共设大桥720m/2座，中桥150m/2座，桥梁长度共计870m，结构均为预应力钢筋混凝土小箱梁。涵洞（含通道）14道。全线共设置平面交叉口6处，其中灯控平交口两处(起终点各一处)，其余均为右进右出+加铺转角。</w:t>
      </w:r>
    </w:p>
    <w:p w14:paraId="06DC56CF">
      <w:pPr>
        <w:kinsoku/>
        <w:spacing w:before="156" w:line="286" w:lineRule="auto"/>
        <w:ind w:left="38" w:right="112" w:firstLine="479"/>
        <w:rPr>
          <w:rFonts w:ascii="宋体" w:hAnsi="宋体" w:cs="宋体"/>
          <w:color w:val="auto"/>
          <w:sz w:val="24"/>
          <w:highlight w:val="none"/>
          <w:lang w:eastAsia="zh-CN"/>
        </w:rPr>
      </w:pPr>
      <w:r>
        <w:rPr>
          <w:rFonts w:hint="eastAsia" w:ascii="宋体" w:hAnsi="宋体" w:cs="宋体"/>
          <w:color w:val="auto"/>
          <w:sz w:val="24"/>
          <w:highlight w:val="none"/>
          <w:lang w:eastAsia="zh-CN"/>
        </w:rPr>
        <w:t>（2）本项目位于韶关市乳源县桂头镇，路线起自省道S248与省道S250平交口，先东西走向，后南北走向，先后经过小江村、大坝村、凰村、红岭村，终点沿现状进场路，止于丹霞机场门口。路线全长4.252km。采用双向四车道一级公路标准建设，设计速度为60km/h，路基宽度为21.5m，沥青混凝土路面。共设置涵洞9道。全线共设平交8处，灯控平面交叉口6处，其余均为右进右出加铺转角的小路口。</w:t>
      </w:r>
    </w:p>
    <w:p w14:paraId="6CEB895A">
      <w:pPr>
        <w:kinsoku/>
        <w:spacing w:before="156" w:line="286" w:lineRule="auto"/>
        <w:ind w:left="38" w:right="112"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2.勘察设计范围及内容</w:t>
      </w:r>
    </w:p>
    <w:p w14:paraId="6EC96765">
      <w:pPr>
        <w:kinsoku/>
        <w:spacing w:before="156" w:line="286" w:lineRule="auto"/>
        <w:ind w:left="38" w:right="112" w:firstLine="479"/>
        <w:rPr>
          <w:rFonts w:hint="eastAsia"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w:t>
      </w:r>
      <w:r>
        <w:rPr>
          <w:rFonts w:hint="eastAsia" w:asciiTheme="majorEastAsia" w:hAnsiTheme="majorEastAsia" w:eastAsiaTheme="majorEastAsia" w:cstheme="majorEastAsia"/>
          <w:color w:val="auto"/>
          <w:sz w:val="24"/>
          <w:highlight w:val="none"/>
          <w:lang w:val="en-US" w:eastAsia="zh-CN"/>
        </w:rPr>
        <w:t>1</w:t>
      </w:r>
      <w:r>
        <w:rPr>
          <w:rFonts w:hint="eastAsia" w:asciiTheme="majorEastAsia" w:hAnsiTheme="majorEastAsia" w:eastAsiaTheme="majorEastAsia" w:cstheme="majorEastAsia"/>
          <w:color w:val="auto"/>
          <w:sz w:val="24"/>
          <w:highlight w:val="none"/>
          <w:lang w:eastAsia="zh-CN"/>
        </w:rPr>
        <w:t>）新建路段里程范围的路线、路基、路面、桥涵、路线交叉的勘察设计；</w:t>
      </w:r>
    </w:p>
    <w:p w14:paraId="4AFE05F6">
      <w:pPr>
        <w:kinsoku/>
        <w:spacing w:before="156" w:line="286" w:lineRule="auto"/>
        <w:ind w:left="38" w:right="112" w:firstLine="479"/>
        <w:rPr>
          <w:rFonts w:hint="eastAsia"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w:t>
      </w:r>
      <w:r>
        <w:rPr>
          <w:rFonts w:hint="eastAsia" w:asciiTheme="majorEastAsia" w:hAnsiTheme="majorEastAsia" w:eastAsiaTheme="majorEastAsia" w:cstheme="majorEastAsia"/>
          <w:color w:val="auto"/>
          <w:sz w:val="24"/>
          <w:highlight w:val="none"/>
          <w:lang w:val="en-US" w:eastAsia="zh-CN"/>
        </w:rPr>
        <w:t>2</w:t>
      </w:r>
      <w:r>
        <w:rPr>
          <w:rFonts w:hint="eastAsia" w:asciiTheme="majorEastAsia" w:hAnsiTheme="majorEastAsia" w:eastAsiaTheme="majorEastAsia" w:cstheme="majorEastAsia"/>
          <w:color w:val="auto"/>
          <w:sz w:val="24"/>
          <w:highlight w:val="none"/>
          <w:lang w:eastAsia="zh-CN"/>
        </w:rPr>
        <w:t>）新建路段范围内的景观绿化的勘察设计；</w:t>
      </w:r>
    </w:p>
    <w:p w14:paraId="60587171">
      <w:pPr>
        <w:kinsoku/>
        <w:spacing w:before="156" w:line="286" w:lineRule="auto"/>
        <w:ind w:left="38" w:right="112" w:firstLine="479"/>
        <w:rPr>
          <w:rFonts w:hint="eastAsia" w:asciiTheme="majorEastAsia" w:hAnsiTheme="majorEastAsia" w:eastAsiaTheme="majorEastAsia" w:cstheme="majorEastAsia"/>
          <w:color w:val="auto"/>
          <w:sz w:val="24"/>
          <w:highlight w:val="none"/>
          <w:lang w:eastAsia="zh-CN"/>
        </w:rPr>
      </w:pPr>
      <w:r>
        <w:rPr>
          <w:rFonts w:hint="eastAsia" w:asciiTheme="majorEastAsia" w:hAnsiTheme="majorEastAsia" w:eastAsiaTheme="majorEastAsia" w:cstheme="majorEastAsia"/>
          <w:color w:val="auto"/>
          <w:sz w:val="24"/>
          <w:highlight w:val="none"/>
          <w:lang w:eastAsia="zh-CN"/>
        </w:rPr>
        <w:t>（</w:t>
      </w:r>
      <w:r>
        <w:rPr>
          <w:rFonts w:hint="eastAsia" w:asciiTheme="majorEastAsia" w:hAnsiTheme="majorEastAsia" w:eastAsiaTheme="majorEastAsia" w:cstheme="majorEastAsia"/>
          <w:color w:val="auto"/>
          <w:sz w:val="24"/>
          <w:highlight w:val="none"/>
          <w:lang w:val="en-US" w:eastAsia="zh-CN"/>
        </w:rPr>
        <w:t>3</w:t>
      </w:r>
      <w:r>
        <w:rPr>
          <w:rFonts w:hint="eastAsia" w:asciiTheme="majorEastAsia" w:hAnsiTheme="majorEastAsia" w:eastAsiaTheme="majorEastAsia" w:cstheme="majorEastAsia"/>
          <w:color w:val="auto"/>
          <w:sz w:val="24"/>
          <w:highlight w:val="none"/>
          <w:lang w:eastAsia="zh-CN"/>
        </w:rPr>
        <w:t>）沿线设施（含交通安全设施）的勘察设计；</w:t>
      </w:r>
    </w:p>
    <w:p w14:paraId="6441501A">
      <w:pPr>
        <w:kinsoku/>
        <w:spacing w:before="156" w:line="286" w:lineRule="auto"/>
        <w:ind w:left="38" w:right="112" w:firstLine="479"/>
        <w:rPr>
          <w:rFonts w:ascii="宋体" w:hAnsi="宋体" w:eastAsia="宋体" w:cs="宋体"/>
          <w:color w:val="auto"/>
          <w:sz w:val="24"/>
          <w:szCs w:val="24"/>
          <w:highlight w:val="none"/>
          <w:lang w:eastAsia="zh-CN"/>
        </w:rPr>
      </w:pPr>
      <w:r>
        <w:rPr>
          <w:rFonts w:hint="eastAsia" w:asciiTheme="majorEastAsia" w:hAnsiTheme="majorEastAsia" w:eastAsiaTheme="majorEastAsia" w:cstheme="majorEastAsia"/>
          <w:color w:val="auto"/>
          <w:sz w:val="24"/>
          <w:highlight w:val="none"/>
          <w:lang w:eastAsia="zh-CN"/>
        </w:rPr>
        <w:t>上述勘察设计包括详勘、定测、专题报告研究（如有）、施工图设计、预算、工程量清单（含清单预算）及施工专用技术规范文件编制、交通组织措施方案设计、征地拆迁图编绘、施工配合服务工作及后续服务工作等。</w:t>
      </w:r>
    </w:p>
    <w:p w14:paraId="6625C46E">
      <w:pPr>
        <w:kinsoku/>
        <w:spacing w:before="156" w:line="286" w:lineRule="auto"/>
        <w:ind w:left="38" w:right="112" w:firstLine="47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其他要求</w:t>
      </w:r>
    </w:p>
    <w:p w14:paraId="39455720">
      <w:pPr>
        <w:kinsoku/>
        <w:spacing w:before="154" w:line="286"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详见招标文件。</w:t>
      </w:r>
    </w:p>
    <w:p w14:paraId="7D906D4D">
      <w:pPr>
        <w:kinsoku/>
        <w:spacing w:before="273" w:line="286" w:lineRule="auto"/>
        <w:ind w:left="41"/>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二、适用规范标准</w:t>
      </w:r>
    </w:p>
    <w:p w14:paraId="1571C391">
      <w:pPr>
        <w:kinsoku/>
        <w:spacing w:before="276" w:line="286" w:lineRule="auto"/>
        <w:ind w:left="38" w:right="119" w:firstLine="48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工程的勘察设计过程和成果必须符合国家有关工程建设标准强制性条文和交通运输部关于公路勘察设计方面现行的标准、规范、规程、定额、办法、示例以及招标项目所在地关于公路工程勘察设计方面的文件、规定。</w:t>
      </w:r>
    </w:p>
    <w:p w14:paraId="5A1E73BA">
      <w:pPr>
        <w:kinsoku/>
        <w:spacing w:before="35" w:line="286" w:lineRule="auto"/>
        <w:ind w:left="38" w:right="165"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设计人在勘察设计工作中使用或参考上述标准、规范以外的技术标准、规范时，应征得发包人或发包人指定代表人的同意。</w:t>
      </w:r>
    </w:p>
    <w:p w14:paraId="7B8478A0">
      <w:pPr>
        <w:kinsoku/>
        <w:spacing w:before="35" w:line="286" w:lineRule="auto"/>
        <w:ind w:left="37" w:right="119"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在设计过程中，如果国家或有关部门颁布了新的技术标准或规范，则设计人应采用新的标准或规范进行勘察设计。</w:t>
      </w:r>
    </w:p>
    <w:p w14:paraId="1574D4B1">
      <w:pPr>
        <w:kinsoku/>
        <w:spacing w:before="35" w:line="286" w:lineRule="auto"/>
        <w:ind w:left="37" w:right="119" w:firstLine="47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设计人在勘察设计工作中必须使用中华人民共和国《工程建设标准强制性条文》（公路工程部分）和下述标准、规范（不限于）：</w:t>
      </w:r>
    </w:p>
    <w:p w14:paraId="1E8A6045">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1.（JTG B01-2014）        《公路工程技术标准》</w:t>
      </w:r>
    </w:p>
    <w:p w14:paraId="5DC178FA">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2.（JTJ 002-87）           《公路工程名词术语》</w:t>
      </w:r>
    </w:p>
    <w:p w14:paraId="19F3BB8B">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3.（JTJ 003-86）           《公路自然区划标准》</w:t>
      </w:r>
    </w:p>
    <w:p w14:paraId="10CBD5DF">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4.（JTG/T B02-01-2008）   《公路桥梁抗震设计细则》</w:t>
      </w:r>
    </w:p>
    <w:p w14:paraId="5BDC3DDD">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5.（JTG B03-2006）        《公路建设项目环境影响评价规范》</w:t>
      </w:r>
    </w:p>
    <w:p w14:paraId="270C3AE2">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6.（JTG B04-2010）        《公路环境保护设计规范》</w:t>
      </w:r>
    </w:p>
    <w:p w14:paraId="0CD6D36F">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7.（JTG C10-2007）        《公路勘测规范》</w:t>
      </w:r>
    </w:p>
    <w:p w14:paraId="5EAA2EE8">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8.（JTG C20-2011）        《公路工程地质勘察规范》</w:t>
      </w:r>
    </w:p>
    <w:p w14:paraId="71C80EFB">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9.（JTG C30-2015）        《公路工程水文勘测设计规范》</w:t>
      </w:r>
    </w:p>
    <w:p w14:paraId="648C71E6">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10.（JTG E40-2007）       《公路土工试验规程》</w:t>
      </w:r>
    </w:p>
    <w:p w14:paraId="474C2767">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11.（JTG D20-2017）       《公路路线设计规范》</w:t>
      </w:r>
    </w:p>
    <w:p w14:paraId="50B6A120">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12．（JTG/T D21-2014）    《公路立体交叉设计细则》</w:t>
      </w:r>
    </w:p>
    <w:p w14:paraId="68CAE4D4">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13.（JTG D30-2015）       《公路路基设计规范》</w:t>
      </w:r>
    </w:p>
    <w:p w14:paraId="23538B41">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14.（JTG D50-2017）       《公路沥青路面设计规范》</w:t>
      </w:r>
    </w:p>
    <w:p w14:paraId="2879E324">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15.（JTG D40-2011）       《公路水泥混凝土路面设计规范》</w:t>
      </w:r>
    </w:p>
    <w:p w14:paraId="7B49FC0E">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16．（JTG/T D33-2012）    《公路排水设计规范》</w:t>
      </w:r>
    </w:p>
    <w:p w14:paraId="54DF37FC">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17.（JTG D60-2015）       《公路桥涵设计通用规范》</w:t>
      </w:r>
    </w:p>
    <w:p w14:paraId="6519DB08">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18.（JTG D61-2005）       《公路圬工桥涵设计规范》</w:t>
      </w:r>
    </w:p>
    <w:p w14:paraId="6A6CDD1D">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19.（JTG D62-2004）       《公路钢筋混凝土及预应力混凝土桥涵设计规范》</w:t>
      </w:r>
    </w:p>
    <w:p w14:paraId="087924B6">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20.（JTG D63-2007）       《公路桥涵地基与基础设计规范》</w:t>
      </w:r>
    </w:p>
    <w:p w14:paraId="22128B3F">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21.（JTG D64-2015）       《公路钢结构桥梁设计规范》</w:t>
      </w:r>
    </w:p>
    <w:p w14:paraId="03CA2E9D">
      <w:pPr>
        <w:kinsoku/>
        <w:spacing w:before="35" w:line="286" w:lineRule="auto"/>
        <w:ind w:right="1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22.（JTG D70-2014）       《公路隧道设计规范》</w:t>
      </w:r>
    </w:p>
    <w:p w14:paraId="580BC512">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23.（JTG D70/2-2014）     《公路隧道设计规范 第二册 交通工程与附属设施》</w:t>
      </w:r>
    </w:p>
    <w:p w14:paraId="505E7924">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24.（JTG/TD70/2-01-2014） 《公路隧道照明设计细则》</w:t>
      </w:r>
    </w:p>
    <w:p w14:paraId="393E7A72">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25.（JTG/TD70/2-02-2014） 《公路隧道通风设计细则》</w:t>
      </w:r>
    </w:p>
    <w:p w14:paraId="3EE06CC3">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26.（JTG D81-2017）       《公路交通安全设施设计规范》</w:t>
      </w:r>
    </w:p>
    <w:p w14:paraId="21E8EBCB">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27.（JTG/T D81-2017）     《公路交通安全设施设计细则》</w:t>
      </w:r>
    </w:p>
    <w:p w14:paraId="21B06D8D">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28.（JTG/T B07-01-2006）  《公路工程混凝土结构防腐蚀技术规范》</w:t>
      </w:r>
    </w:p>
    <w:p w14:paraId="7D14AFA3">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29.（JTG B05-2015）       《公路项目安全性评价规范》</w:t>
      </w:r>
    </w:p>
    <w:p w14:paraId="3CAE7C58">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30.（GB/T 50283-99）      《公路工程结构可靠度设计统一标准》</w:t>
      </w:r>
    </w:p>
    <w:p w14:paraId="073C528F">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31.（GB 50162-92）        《道路工程制图标准》</w:t>
      </w:r>
    </w:p>
    <w:p w14:paraId="07ED10C7">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32.（交公路发[2007]358 号） 《公路工程基本建设项目设计文件编制办法》</w:t>
      </w:r>
    </w:p>
    <w:p w14:paraId="5FC136D0">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33.（JTG B06-2007）        《公路工程基本建设项目概算预算编制办法》</w:t>
      </w:r>
    </w:p>
    <w:p w14:paraId="632B94AB">
      <w:pPr>
        <w:kinsoku/>
        <w:spacing w:before="35" w:line="286" w:lineRule="auto"/>
        <w:ind w:right="-83"/>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34.（JTG/T B06-01-2007）  《公路工程概算定额》</w:t>
      </w:r>
    </w:p>
    <w:p w14:paraId="6267664C">
      <w:pPr>
        <w:kinsoku/>
        <w:spacing w:before="35" w:line="286" w:lineRule="auto"/>
        <w:ind w:right="-83"/>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35.（JTG/T B06-02-2007）  《公路工程预算定额》</w:t>
      </w:r>
    </w:p>
    <w:p w14:paraId="204F74C9">
      <w:pPr>
        <w:kinsoku/>
        <w:spacing w:before="35" w:line="286" w:lineRule="auto"/>
        <w:ind w:right="-83"/>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36.（JTG/T B06-03-2007）</w:t>
      </w: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rPr>
        <w:t>《公路工程机械台班费用定额》</w:t>
      </w:r>
    </w:p>
    <w:p w14:paraId="2889D241">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37.（建标[1999]278号）     《公路建设项目用地指标》</w:t>
      </w:r>
    </w:p>
    <w:p w14:paraId="6249B756">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38.（YD 2002-92）          《长途通信干线电缆线路工程设计规范》</w:t>
      </w:r>
    </w:p>
    <w:p w14:paraId="22E113AB">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39.（YD 5102-2010）        《通信线路工程设计规范》</w:t>
      </w:r>
    </w:p>
    <w:p w14:paraId="48CE02F0">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40.（YDJ 44-89）     《电信网光纤数字传输系统工程施工及验收暂行技术规定》</w:t>
      </w:r>
    </w:p>
    <w:p w14:paraId="6E52B0BE">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41.（GB 50689-2011）       《通信局（站）防雷与接地设计工程技术规定》</w:t>
      </w:r>
    </w:p>
    <w:p w14:paraId="2D640541">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42.（GB 50374-2006）       《通信管道工程施工及验收技术规范》</w:t>
      </w:r>
    </w:p>
    <w:p w14:paraId="7245EBD7">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43.（GB 50198-2011）       《民用闭路监视电视系统工程技术规范》</w:t>
      </w:r>
    </w:p>
    <w:p w14:paraId="7086A041">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44.（GB 50174-2008）       《电子信息系统机房设计规范》</w:t>
      </w:r>
    </w:p>
    <w:p w14:paraId="42545DC8">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45.（ITU-T）               《国际电工协会系列标准》</w:t>
      </w:r>
    </w:p>
    <w:p w14:paraId="1102BE1B">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46.（GB 50057-2010）       《建筑物防雷设计规范》</w:t>
      </w:r>
    </w:p>
    <w:p w14:paraId="1121A463">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47.（JGJ 16-2008）         《民用建筑电气设计规范》</w:t>
      </w:r>
    </w:p>
    <w:p w14:paraId="573D05DF">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48.（YDJ 9-90）            《市内通信全塑电缆线路工程设计规范》</w:t>
      </w:r>
    </w:p>
    <w:p w14:paraId="7B450153">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49.（YD 5121-2010）        《通信线路工程验收规范》</w:t>
      </w:r>
    </w:p>
    <w:p w14:paraId="4944BA0A">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50.（GB 50168-2006）       《电气装置安装工程电缆线路施工及验收规范》</w:t>
      </w:r>
    </w:p>
    <w:p w14:paraId="4FD7852C">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51.（JTG/T C10-2007）      《公路勘测细则》</w:t>
      </w:r>
    </w:p>
    <w:p w14:paraId="79C24D8E">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52.（GB/T 20257.1-2007）   《1:500    1:1000     1:2000地形图图式》</w:t>
      </w:r>
    </w:p>
    <w:p w14:paraId="1AE6436B">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53.（GB/T 13923-2006）     《基础地理信息要素分类与代码》</w:t>
      </w:r>
    </w:p>
    <w:p w14:paraId="39EFBFD7">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54.（CH 1003-95）          《测绘产品质量评定标准》</w:t>
      </w:r>
    </w:p>
    <w:p w14:paraId="56A96AE0">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55.（CH 1002-95）          《测绘产品检查验收规定》</w:t>
      </w:r>
    </w:p>
    <w:p w14:paraId="5AFD2B29">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56.（GB/T 18316-2008）     《数字测绘成果质量检查与验收》</w:t>
      </w:r>
    </w:p>
    <w:p w14:paraId="23EBC5AE">
      <w:pPr>
        <w:kinsoku/>
        <w:spacing w:before="35" w:line="286" w:lineRule="auto"/>
        <w:ind w:right="-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57.（建质函</w:t>
      </w:r>
      <w:r>
        <w:rPr>
          <w:rFonts w:ascii="宋体" w:hAnsi="宋体" w:eastAsia="宋体" w:cs="宋体"/>
          <w:color w:val="auto"/>
          <w:sz w:val="24"/>
          <w:szCs w:val="24"/>
          <w:highlight w:val="none"/>
          <w:lang w:eastAsia="zh-CN"/>
        </w:rPr>
        <w:t>[2016]247</w:t>
      </w:r>
      <w:r>
        <w:rPr>
          <w:rFonts w:hint="eastAsia" w:ascii="宋体" w:hAnsi="宋体" w:eastAsia="宋体" w:cs="宋体"/>
          <w:color w:val="auto"/>
          <w:sz w:val="24"/>
          <w:szCs w:val="24"/>
          <w:highlight w:val="none"/>
          <w:lang w:eastAsia="zh-CN"/>
        </w:rPr>
        <w:t>号）   《建筑工程设计文件编制深度规定》</w:t>
      </w:r>
    </w:p>
    <w:p w14:paraId="2964D814">
      <w:pPr>
        <w:pStyle w:val="20"/>
        <w:ind w:firstLine="0"/>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三、成果文件要求</w:t>
      </w:r>
    </w:p>
    <w:p w14:paraId="1EFD909B">
      <w:pPr>
        <w:kinsoku/>
        <w:spacing w:before="154" w:line="276" w:lineRule="auto"/>
        <w:ind w:firstLine="420" w:firstLineChars="1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highlight w:val="none"/>
          <w:lang w:eastAsia="zh-CN"/>
        </w:rPr>
        <w:t>合同签订后</w:t>
      </w:r>
      <w:r>
        <w:rPr>
          <w:rFonts w:ascii="宋体" w:hAnsi="宋体" w:eastAsia="宋体" w:cs="宋体"/>
          <w:color w:val="auto"/>
          <w:sz w:val="24"/>
          <w:highlight w:val="none"/>
          <w:lang w:eastAsia="zh-CN"/>
        </w:rPr>
        <w:t>100</w:t>
      </w:r>
      <w:r>
        <w:rPr>
          <w:rFonts w:hint="eastAsia" w:ascii="宋体" w:hAnsi="宋体" w:eastAsia="宋体" w:cs="宋体"/>
          <w:color w:val="auto"/>
          <w:sz w:val="24"/>
          <w:highlight w:val="none"/>
          <w:lang w:eastAsia="zh-CN"/>
        </w:rPr>
        <w:t>个日历天内，提交施工图设计文件送审稿；</w:t>
      </w:r>
    </w:p>
    <w:p w14:paraId="21EEF723">
      <w:pPr>
        <w:kinsoku/>
        <w:spacing w:before="154" w:line="276" w:lineRule="auto"/>
        <w:ind w:firstLine="420" w:firstLineChars="1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2.施工图设计文件审查后</w:t>
      </w:r>
      <w:r>
        <w:rPr>
          <w:rFonts w:ascii="宋体" w:hAnsi="宋体" w:eastAsia="宋体" w:cs="宋体"/>
          <w:color w:val="auto"/>
          <w:sz w:val="24"/>
          <w:szCs w:val="24"/>
          <w:highlight w:val="none"/>
          <w:lang w:eastAsia="zh-CN"/>
        </w:rPr>
        <w:t>80</w:t>
      </w:r>
      <w:r>
        <w:rPr>
          <w:rFonts w:hint="eastAsia" w:ascii="宋体" w:hAnsi="宋体" w:eastAsia="宋体" w:cs="宋体"/>
          <w:color w:val="auto"/>
          <w:sz w:val="24"/>
          <w:szCs w:val="24"/>
          <w:highlight w:val="none"/>
          <w:lang w:eastAsia="zh-CN"/>
        </w:rPr>
        <w:t>个日历天，完成施工图设计修编工作并提供施工图设计文件和施工图预算最终稿各8份。</w:t>
      </w:r>
    </w:p>
    <w:p w14:paraId="53F4EA3B">
      <w:pPr>
        <w:kinsoku/>
        <w:spacing w:before="154" w:line="276" w:lineRule="auto"/>
        <w:ind w:firstLine="420" w:firstLineChars="1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设计人还应向发包人提交最终成果的书面计算书一份，各阶段设计成果文件CAD版本的电子版各一份，应同时提交且数据一致。</w:t>
      </w:r>
    </w:p>
    <w:p w14:paraId="1FF73814">
      <w:pPr>
        <w:kinsoku/>
        <w:spacing w:before="273" w:line="218" w:lineRule="auto"/>
        <w:ind w:left="52"/>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四、发包人财产清单</w:t>
      </w:r>
    </w:p>
    <w:p w14:paraId="62B56F49">
      <w:pPr>
        <w:kinsoku/>
        <w:spacing w:before="154" w:line="276" w:lineRule="auto"/>
        <w:ind w:firstLine="420" w:firstLineChars="1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发包人提供的资料：前一阶段研究或设计的成果文件及相应的批件(复印件)各一份。</w:t>
      </w:r>
    </w:p>
    <w:p w14:paraId="2B40F8B8">
      <w:pPr>
        <w:kinsoku/>
        <w:spacing w:before="301" w:line="218" w:lineRule="auto"/>
        <w:ind w:left="44"/>
        <w:rPr>
          <w:rFonts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五、发包人提供的便利条件</w:t>
      </w:r>
    </w:p>
    <w:p w14:paraId="4ABAB243">
      <w:pPr>
        <w:kinsoku/>
        <w:spacing w:before="301" w:line="218" w:lineRule="auto"/>
        <w:ind w:left="44" w:firstLine="480" w:firstLineChars="20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无</w:t>
      </w:r>
    </w:p>
    <w:p w14:paraId="6BDE6E4E">
      <w:pPr>
        <w:kinsoku/>
        <w:spacing w:before="301" w:line="219" w:lineRule="auto"/>
        <w:ind w:left="45"/>
        <w:rPr>
          <w:rFonts w:ascii="宋体" w:hAnsi="宋体" w:eastAsia="宋体" w:cs="宋体"/>
          <w:color w:val="auto"/>
          <w:highlight w:val="none"/>
          <w:lang w:eastAsia="zh-CN"/>
        </w:rPr>
      </w:pPr>
      <w:r>
        <w:rPr>
          <w:rFonts w:hint="eastAsia" w:ascii="宋体" w:hAnsi="宋体" w:eastAsia="宋体" w:cs="宋体"/>
          <w:b/>
          <w:bCs/>
          <w:color w:val="auto"/>
          <w:sz w:val="24"/>
          <w:szCs w:val="24"/>
          <w:highlight w:val="none"/>
          <w:lang w:eastAsia="zh-CN"/>
        </w:rPr>
        <w:t>六、设计人需要自备的工作条件</w:t>
      </w:r>
    </w:p>
    <w:p w14:paraId="5E814217">
      <w:pPr>
        <w:kinsoku/>
        <w:spacing w:before="78" w:line="219" w:lineRule="auto"/>
        <w:ind w:left="53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1.设计人自备的工作手册：如本项目必备的规范标准、图集等</w:t>
      </w:r>
    </w:p>
    <w:p w14:paraId="20A9B643">
      <w:pPr>
        <w:kinsoku/>
        <w:spacing w:before="153" w:line="279" w:lineRule="auto"/>
        <w:ind w:left="40" w:right="39" w:firstLine="47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2.设计人自备的办公设备：如计算机、软件、投影、打印机、复印机、照相机等</w:t>
      </w:r>
    </w:p>
    <w:p w14:paraId="6DF2355B">
      <w:pPr>
        <w:kinsoku/>
        <w:spacing w:before="155"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3.设计人自备的交通工具：如出行车辆等</w:t>
      </w:r>
    </w:p>
    <w:p w14:paraId="7F4B1220">
      <w:pPr>
        <w:kinsoku/>
        <w:spacing w:before="153" w:line="220" w:lineRule="auto"/>
        <w:ind w:left="51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4.设计人自备的现场办公设施：如办公桌椅、文件柜等</w:t>
      </w:r>
    </w:p>
    <w:p w14:paraId="21D97262">
      <w:pPr>
        <w:kinsoku/>
        <w:spacing w:before="153" w:line="219"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5.设计人自备的安全设施：如安全帽、安全鞋、手电筒等</w:t>
      </w:r>
    </w:p>
    <w:p w14:paraId="110B6A16">
      <w:pPr>
        <w:kinsoku/>
        <w:spacing w:before="157" w:line="220" w:lineRule="auto"/>
        <w:ind w:left="51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6.设计人自备的勘察检测仪器、设备、工具</w:t>
      </w:r>
    </w:p>
    <w:p w14:paraId="5D22DAEB">
      <w:pPr>
        <w:kinsoku/>
        <w:spacing w:before="153" w:line="220" w:lineRule="auto"/>
        <w:ind w:left="5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7.设计人应根据勘察设计实际需要：</w:t>
      </w:r>
    </w:p>
    <w:p w14:paraId="0EFCB3A1">
      <w:pPr>
        <w:kinsoku/>
        <w:spacing w:before="154" w:line="299" w:lineRule="auto"/>
        <w:ind w:left="37" w:right="32" w:firstLine="4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（1）自行搜集或购买全部地形图、地质图、规划图及所涉及的其他图纸或资料，自费进行工程测量、工程勘察、研究试验及有关协调（包括签订协议）、调查和资料搜集等工作；</w:t>
      </w:r>
    </w:p>
    <w:p w14:paraId="6C9D6CEC">
      <w:pPr>
        <w:kinsoku/>
        <w:spacing w:before="154" w:line="309" w:lineRule="auto"/>
        <w:ind w:left="38" w:right="29" w:firstLine="48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自行搜集或购买相关路网交通工程设施的配置资料（包括通信、监控、收费、供配电、照明等设施）；沿线供电资料；沿线管线资料；沿线气象、环境、人文景观的有关资料；相关路网的管理运营体制资料；相关路网服务设施设置情况的资料；与交通工程相关的规划资料。</w:t>
      </w:r>
    </w:p>
    <w:p w14:paraId="117CC772">
      <w:pPr>
        <w:kinsoku/>
        <w:spacing w:before="301" w:line="218" w:lineRule="auto"/>
        <w:ind w:left="37"/>
        <w:rPr>
          <w:rFonts w:ascii="宋体" w:hAnsi="宋体" w:eastAsia="宋体" w:cs="宋体"/>
          <w:color w:val="auto"/>
          <w:sz w:val="24"/>
          <w:szCs w:val="24"/>
          <w:highlight w:val="none"/>
          <w:lang w:eastAsia="zh-CN"/>
        </w:rPr>
      </w:pPr>
      <w:r>
        <w:rPr>
          <w:rFonts w:hint="eastAsia" w:ascii="宋体" w:hAnsi="宋体" w:eastAsia="宋体" w:cs="宋体"/>
          <w:b/>
          <w:bCs/>
          <w:color w:val="auto"/>
          <w:sz w:val="24"/>
          <w:szCs w:val="24"/>
          <w:highlight w:val="none"/>
          <w:lang w:eastAsia="zh-CN"/>
        </w:rPr>
        <w:t>七、发包人的其他要求</w:t>
      </w:r>
    </w:p>
    <w:p w14:paraId="40C644F9">
      <w:pPr>
        <w:kinsoku/>
        <w:spacing w:before="154" w:line="309" w:lineRule="auto"/>
        <w:ind w:left="38" w:right="29" w:firstLine="486"/>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eastAsia="zh-CN"/>
        </w:rPr>
        <w:t>本标段签约的合同总价包括</w:t>
      </w:r>
      <w:r>
        <w:rPr>
          <w:rFonts w:hint="eastAsia" w:ascii="宋体" w:hAnsi="宋体" w:eastAsia="宋体" w:cs="宋体"/>
          <w:color w:val="auto"/>
          <w:sz w:val="24"/>
          <w:szCs w:val="24"/>
          <w:highlight w:val="none"/>
          <w:lang w:val="en-US" w:eastAsia="zh-CN"/>
        </w:rPr>
        <w:t>设计人</w:t>
      </w:r>
      <w:r>
        <w:rPr>
          <w:rFonts w:hint="eastAsia" w:ascii="宋体" w:hAnsi="宋体" w:eastAsia="宋体" w:cs="宋体"/>
          <w:color w:val="auto"/>
          <w:sz w:val="24"/>
          <w:szCs w:val="24"/>
          <w:highlight w:val="none"/>
          <w:lang w:eastAsia="zh-CN"/>
        </w:rPr>
        <w:t>服务所需的准备费、人工费、材料费、设备使用费、管理费用、财务费用、利润、税金、交通费、差旅费、基于签订本协议委托人所产生的印花税、规费等，以及完成上述工作所发生的配套费用和考虑风险因素（不可抗力因素除外）等所有费用。因此，</w:t>
      </w:r>
      <w:r>
        <w:rPr>
          <w:rFonts w:hint="eastAsia" w:ascii="宋体" w:hAnsi="宋体" w:eastAsia="宋体" w:cs="宋体"/>
          <w:color w:val="auto"/>
          <w:sz w:val="24"/>
          <w:szCs w:val="24"/>
          <w:highlight w:val="none"/>
          <w:lang w:val="en-US" w:eastAsia="zh-CN"/>
        </w:rPr>
        <w:t>设计人</w:t>
      </w:r>
      <w:r>
        <w:rPr>
          <w:rFonts w:hint="eastAsia" w:ascii="宋体" w:hAnsi="宋体" w:eastAsia="宋体" w:cs="宋体"/>
          <w:color w:val="auto"/>
          <w:sz w:val="24"/>
          <w:szCs w:val="24"/>
          <w:highlight w:val="none"/>
          <w:lang w:eastAsia="zh-CN"/>
        </w:rPr>
        <w:t>应承担合同签订后，对发包人产生的各项税费、规费以及由此产生的附加费用。同时，</w:t>
      </w:r>
      <w:r>
        <w:rPr>
          <w:rFonts w:hint="eastAsia" w:ascii="宋体" w:hAnsi="宋体" w:eastAsia="宋体" w:cs="宋体"/>
          <w:color w:val="auto"/>
          <w:sz w:val="24"/>
          <w:szCs w:val="24"/>
          <w:highlight w:val="none"/>
          <w:lang w:val="en-US" w:eastAsia="zh-CN"/>
        </w:rPr>
        <w:t>设计人</w:t>
      </w:r>
      <w:r>
        <w:rPr>
          <w:rFonts w:hint="eastAsia" w:ascii="宋体" w:hAnsi="宋体" w:eastAsia="宋体" w:cs="宋体"/>
          <w:color w:val="auto"/>
          <w:sz w:val="24"/>
          <w:szCs w:val="24"/>
          <w:highlight w:val="none"/>
          <w:lang w:eastAsia="zh-CN"/>
        </w:rPr>
        <w:t>还应积极配合发包人工作要求，依法依规做好在韶纳统纳税工作。</w:t>
      </w:r>
    </w:p>
    <w:p w14:paraId="38E83189">
      <w:pPr>
        <w:pStyle w:val="2"/>
        <w:rPr>
          <w:color w:val="auto"/>
          <w:highlight w:val="none"/>
          <w:lang w:eastAsia="zh-CN"/>
        </w:rPr>
        <w:sectPr>
          <w:headerReference r:id="rId39" w:type="default"/>
          <w:footerReference r:id="rId40" w:type="default"/>
          <w:pgSz w:w="11907" w:h="16841"/>
          <w:pgMar w:top="1173" w:right="1555" w:bottom="1254" w:left="1615" w:header="862" w:footer="1093" w:gutter="0"/>
          <w:cols w:space="720" w:num="1"/>
        </w:sectPr>
      </w:pPr>
    </w:p>
    <w:p w14:paraId="680F17F8">
      <w:pPr>
        <w:kinsoku/>
        <w:rPr>
          <w:rFonts w:ascii="宋体" w:hAnsi="宋体" w:eastAsia="宋体" w:cs="宋体"/>
          <w:color w:val="auto"/>
          <w:highlight w:val="none"/>
          <w:lang w:eastAsia="zh-CN"/>
        </w:rPr>
      </w:pPr>
    </w:p>
    <w:p w14:paraId="5CE939BF">
      <w:pPr>
        <w:kinsoku/>
        <w:rPr>
          <w:rFonts w:ascii="宋体" w:hAnsi="宋体" w:eastAsia="宋体" w:cs="宋体"/>
          <w:color w:val="auto"/>
          <w:highlight w:val="none"/>
          <w:lang w:eastAsia="zh-CN"/>
        </w:rPr>
      </w:pPr>
    </w:p>
    <w:p w14:paraId="2E4EC4E4">
      <w:pPr>
        <w:kinsoku/>
        <w:rPr>
          <w:rFonts w:ascii="宋体" w:hAnsi="宋体" w:eastAsia="宋体" w:cs="宋体"/>
          <w:color w:val="auto"/>
          <w:highlight w:val="none"/>
          <w:lang w:eastAsia="zh-CN"/>
        </w:rPr>
      </w:pPr>
    </w:p>
    <w:p w14:paraId="54502537">
      <w:pPr>
        <w:kinsoku/>
        <w:rPr>
          <w:rFonts w:ascii="宋体" w:hAnsi="宋体" w:eastAsia="宋体" w:cs="宋体"/>
          <w:color w:val="auto"/>
          <w:highlight w:val="none"/>
          <w:lang w:eastAsia="zh-CN"/>
        </w:rPr>
      </w:pPr>
    </w:p>
    <w:p w14:paraId="0BC4C37B">
      <w:pPr>
        <w:kinsoku/>
        <w:rPr>
          <w:rFonts w:ascii="宋体" w:hAnsi="宋体" w:eastAsia="宋体" w:cs="宋体"/>
          <w:color w:val="auto"/>
          <w:highlight w:val="none"/>
          <w:lang w:eastAsia="zh-CN"/>
        </w:rPr>
      </w:pPr>
    </w:p>
    <w:p w14:paraId="5C57313B">
      <w:pPr>
        <w:kinsoku/>
        <w:rPr>
          <w:rFonts w:ascii="宋体" w:hAnsi="宋体" w:eastAsia="宋体" w:cs="宋体"/>
          <w:color w:val="auto"/>
          <w:highlight w:val="none"/>
          <w:lang w:eastAsia="zh-CN"/>
        </w:rPr>
      </w:pPr>
    </w:p>
    <w:p w14:paraId="12AB8E2E">
      <w:pPr>
        <w:kinsoku/>
        <w:rPr>
          <w:rFonts w:ascii="宋体" w:hAnsi="宋体" w:eastAsia="宋体" w:cs="宋体"/>
          <w:color w:val="auto"/>
          <w:highlight w:val="none"/>
          <w:lang w:eastAsia="zh-CN"/>
        </w:rPr>
      </w:pPr>
    </w:p>
    <w:p w14:paraId="4DA9FF25">
      <w:pPr>
        <w:kinsoku/>
        <w:rPr>
          <w:rFonts w:ascii="宋体" w:hAnsi="宋体" w:eastAsia="宋体" w:cs="宋体"/>
          <w:color w:val="auto"/>
          <w:highlight w:val="none"/>
          <w:lang w:eastAsia="zh-CN"/>
        </w:rPr>
      </w:pPr>
    </w:p>
    <w:p w14:paraId="781B449F">
      <w:pPr>
        <w:kinsoku/>
        <w:rPr>
          <w:rFonts w:ascii="宋体" w:hAnsi="宋体" w:eastAsia="宋体" w:cs="宋体"/>
          <w:color w:val="auto"/>
          <w:highlight w:val="none"/>
          <w:lang w:eastAsia="zh-CN"/>
        </w:rPr>
      </w:pPr>
    </w:p>
    <w:p w14:paraId="1CEC1040">
      <w:pPr>
        <w:kinsoku/>
        <w:rPr>
          <w:rFonts w:ascii="宋体" w:hAnsi="宋体" w:eastAsia="宋体" w:cs="宋体"/>
          <w:color w:val="auto"/>
          <w:highlight w:val="none"/>
          <w:lang w:eastAsia="zh-CN"/>
        </w:rPr>
      </w:pPr>
    </w:p>
    <w:p w14:paraId="6817932D">
      <w:pPr>
        <w:kinsoku/>
        <w:rPr>
          <w:rFonts w:ascii="宋体" w:hAnsi="宋体" w:eastAsia="宋体" w:cs="宋体"/>
          <w:color w:val="auto"/>
          <w:highlight w:val="none"/>
          <w:lang w:eastAsia="zh-CN"/>
        </w:rPr>
      </w:pPr>
    </w:p>
    <w:p w14:paraId="41D4D4F2">
      <w:pPr>
        <w:kinsoku/>
        <w:rPr>
          <w:rFonts w:ascii="宋体" w:hAnsi="宋体" w:eastAsia="宋体" w:cs="宋体"/>
          <w:color w:val="auto"/>
          <w:highlight w:val="none"/>
          <w:lang w:eastAsia="zh-CN"/>
        </w:rPr>
      </w:pPr>
    </w:p>
    <w:p w14:paraId="343B9121">
      <w:pPr>
        <w:kinsoku/>
        <w:rPr>
          <w:rFonts w:ascii="宋体" w:hAnsi="宋体" w:eastAsia="宋体" w:cs="宋体"/>
          <w:color w:val="auto"/>
          <w:highlight w:val="none"/>
          <w:lang w:eastAsia="zh-CN"/>
        </w:rPr>
      </w:pPr>
    </w:p>
    <w:p w14:paraId="497F977A">
      <w:pPr>
        <w:kinsoku/>
        <w:spacing w:line="241" w:lineRule="auto"/>
        <w:rPr>
          <w:rFonts w:ascii="宋体" w:hAnsi="宋体" w:eastAsia="宋体" w:cs="宋体"/>
          <w:color w:val="auto"/>
          <w:highlight w:val="none"/>
          <w:lang w:eastAsia="zh-CN"/>
        </w:rPr>
      </w:pPr>
    </w:p>
    <w:p w14:paraId="332F7628">
      <w:pPr>
        <w:kinsoku/>
        <w:spacing w:line="241" w:lineRule="auto"/>
        <w:rPr>
          <w:rFonts w:ascii="宋体" w:hAnsi="宋体" w:eastAsia="宋体" w:cs="宋体"/>
          <w:color w:val="auto"/>
          <w:highlight w:val="none"/>
          <w:lang w:eastAsia="zh-CN"/>
        </w:rPr>
      </w:pPr>
    </w:p>
    <w:p w14:paraId="775AED30">
      <w:pPr>
        <w:kinsoku/>
        <w:spacing w:line="241" w:lineRule="auto"/>
        <w:rPr>
          <w:rFonts w:ascii="宋体" w:hAnsi="宋体" w:eastAsia="宋体" w:cs="宋体"/>
          <w:color w:val="auto"/>
          <w:highlight w:val="none"/>
          <w:lang w:eastAsia="zh-CN"/>
        </w:rPr>
      </w:pPr>
    </w:p>
    <w:p w14:paraId="67FEA57F">
      <w:pPr>
        <w:kinsoku/>
        <w:spacing w:line="241" w:lineRule="auto"/>
        <w:rPr>
          <w:rFonts w:ascii="宋体" w:hAnsi="宋体" w:eastAsia="宋体" w:cs="宋体"/>
          <w:color w:val="auto"/>
          <w:highlight w:val="none"/>
          <w:lang w:eastAsia="zh-CN"/>
        </w:rPr>
      </w:pPr>
    </w:p>
    <w:p w14:paraId="635982C2">
      <w:pPr>
        <w:kinsoku/>
        <w:spacing w:line="241" w:lineRule="auto"/>
        <w:rPr>
          <w:rFonts w:ascii="宋体" w:hAnsi="宋体" w:eastAsia="宋体" w:cs="宋体"/>
          <w:color w:val="auto"/>
          <w:highlight w:val="none"/>
          <w:lang w:eastAsia="zh-CN"/>
        </w:rPr>
      </w:pPr>
    </w:p>
    <w:p w14:paraId="686A9EC5">
      <w:pPr>
        <w:kinsoku/>
        <w:spacing w:line="241" w:lineRule="auto"/>
        <w:rPr>
          <w:rFonts w:ascii="宋体" w:hAnsi="宋体" w:eastAsia="宋体" w:cs="宋体"/>
          <w:color w:val="auto"/>
          <w:highlight w:val="none"/>
          <w:lang w:eastAsia="zh-CN"/>
        </w:rPr>
      </w:pPr>
    </w:p>
    <w:p w14:paraId="16C62D03">
      <w:pPr>
        <w:kinsoku/>
        <w:spacing w:line="241" w:lineRule="auto"/>
        <w:rPr>
          <w:rFonts w:ascii="宋体" w:hAnsi="宋体" w:eastAsia="宋体" w:cs="宋体"/>
          <w:color w:val="auto"/>
          <w:highlight w:val="none"/>
          <w:lang w:eastAsia="zh-CN"/>
        </w:rPr>
      </w:pPr>
    </w:p>
    <w:p w14:paraId="4AADCB51">
      <w:pPr>
        <w:kinsoku/>
        <w:spacing w:line="241" w:lineRule="auto"/>
        <w:rPr>
          <w:rFonts w:ascii="宋体" w:hAnsi="宋体" w:eastAsia="宋体" w:cs="宋体"/>
          <w:color w:val="auto"/>
          <w:highlight w:val="none"/>
          <w:lang w:eastAsia="zh-CN"/>
        </w:rPr>
      </w:pPr>
    </w:p>
    <w:p w14:paraId="20C798DA">
      <w:pPr>
        <w:kinsoku/>
        <w:spacing w:line="241" w:lineRule="auto"/>
        <w:rPr>
          <w:rFonts w:ascii="宋体" w:hAnsi="宋体" w:eastAsia="宋体" w:cs="宋体"/>
          <w:color w:val="auto"/>
          <w:highlight w:val="none"/>
          <w:lang w:eastAsia="zh-CN"/>
        </w:rPr>
      </w:pPr>
    </w:p>
    <w:p w14:paraId="0AF670DB">
      <w:pPr>
        <w:kinsoku/>
        <w:spacing w:line="241" w:lineRule="auto"/>
        <w:rPr>
          <w:rFonts w:ascii="宋体" w:hAnsi="宋体" w:eastAsia="宋体" w:cs="宋体"/>
          <w:color w:val="auto"/>
          <w:highlight w:val="none"/>
          <w:lang w:eastAsia="zh-CN"/>
        </w:rPr>
      </w:pPr>
    </w:p>
    <w:p w14:paraId="09502235">
      <w:pPr>
        <w:kinsoku/>
        <w:spacing w:before="179" w:line="222" w:lineRule="auto"/>
        <w:ind w:left="3547"/>
        <w:rPr>
          <w:rFonts w:ascii="宋体" w:hAnsi="宋体" w:eastAsia="宋体" w:cs="宋体"/>
          <w:color w:val="auto"/>
          <w:sz w:val="55"/>
          <w:szCs w:val="55"/>
          <w:highlight w:val="none"/>
          <w:lang w:eastAsia="zh-CN"/>
        </w:rPr>
      </w:pPr>
      <w:r>
        <w:rPr>
          <w:rFonts w:hint="eastAsia" w:ascii="宋体" w:hAnsi="宋体" w:eastAsia="宋体" w:cs="宋体"/>
          <w:color w:val="auto"/>
          <w:sz w:val="55"/>
          <w:szCs w:val="55"/>
          <w:highlight w:val="none"/>
          <w:lang w:eastAsia="zh-CN"/>
        </w:rPr>
        <w:t>第三卷</w:t>
      </w:r>
    </w:p>
    <w:p w14:paraId="24C9F335">
      <w:pPr>
        <w:kinsoku/>
        <w:spacing w:line="222" w:lineRule="auto"/>
        <w:rPr>
          <w:rFonts w:ascii="宋体" w:hAnsi="宋体" w:eastAsia="宋体" w:cs="宋体"/>
          <w:color w:val="auto"/>
          <w:sz w:val="55"/>
          <w:szCs w:val="55"/>
          <w:highlight w:val="none"/>
          <w:lang w:eastAsia="zh-CN"/>
        </w:rPr>
        <w:sectPr>
          <w:footerReference r:id="rId41" w:type="default"/>
          <w:pgSz w:w="11907" w:h="16841"/>
          <w:pgMar w:top="1173" w:right="1555" w:bottom="1254" w:left="1615" w:header="862" w:footer="1093" w:gutter="0"/>
          <w:cols w:space="720" w:num="1"/>
        </w:sectPr>
      </w:pPr>
    </w:p>
    <w:p w14:paraId="6A7C8C7E">
      <w:pPr>
        <w:kinsoku/>
        <w:spacing w:line="248" w:lineRule="auto"/>
        <w:rPr>
          <w:rFonts w:ascii="宋体" w:hAnsi="宋体" w:eastAsia="宋体" w:cs="宋体"/>
          <w:color w:val="auto"/>
          <w:highlight w:val="none"/>
          <w:lang w:eastAsia="zh-CN"/>
        </w:rPr>
      </w:pPr>
    </w:p>
    <w:p w14:paraId="4B4A5E23">
      <w:pPr>
        <w:kinsoku/>
        <w:spacing w:line="248" w:lineRule="auto"/>
        <w:rPr>
          <w:rFonts w:ascii="宋体" w:hAnsi="宋体" w:eastAsia="宋体" w:cs="宋体"/>
          <w:color w:val="auto"/>
          <w:highlight w:val="none"/>
          <w:lang w:eastAsia="zh-CN"/>
        </w:rPr>
      </w:pPr>
    </w:p>
    <w:p w14:paraId="10EA7B87">
      <w:pPr>
        <w:kinsoku/>
        <w:spacing w:line="248" w:lineRule="auto"/>
        <w:rPr>
          <w:rFonts w:ascii="宋体" w:hAnsi="宋体" w:eastAsia="宋体" w:cs="宋体"/>
          <w:color w:val="auto"/>
          <w:highlight w:val="none"/>
          <w:lang w:eastAsia="zh-CN"/>
        </w:rPr>
      </w:pPr>
    </w:p>
    <w:p w14:paraId="6F22896A">
      <w:pPr>
        <w:kinsoku/>
        <w:spacing w:line="248" w:lineRule="auto"/>
        <w:rPr>
          <w:rFonts w:ascii="宋体" w:hAnsi="宋体" w:eastAsia="宋体" w:cs="宋体"/>
          <w:color w:val="auto"/>
          <w:highlight w:val="none"/>
          <w:lang w:eastAsia="zh-CN"/>
        </w:rPr>
      </w:pPr>
    </w:p>
    <w:p w14:paraId="346FCAB7">
      <w:pPr>
        <w:kinsoku/>
        <w:spacing w:line="249" w:lineRule="auto"/>
        <w:rPr>
          <w:rFonts w:ascii="宋体" w:hAnsi="宋体" w:eastAsia="宋体" w:cs="宋体"/>
          <w:color w:val="auto"/>
          <w:highlight w:val="none"/>
          <w:lang w:eastAsia="zh-CN"/>
        </w:rPr>
      </w:pPr>
    </w:p>
    <w:p w14:paraId="36A98B3A">
      <w:pPr>
        <w:kinsoku/>
        <w:spacing w:line="249" w:lineRule="auto"/>
        <w:rPr>
          <w:rFonts w:ascii="宋体" w:hAnsi="宋体" w:eastAsia="宋体" w:cs="宋体"/>
          <w:color w:val="auto"/>
          <w:highlight w:val="none"/>
          <w:lang w:eastAsia="zh-CN"/>
        </w:rPr>
      </w:pPr>
    </w:p>
    <w:p w14:paraId="53F78791">
      <w:pPr>
        <w:kinsoku/>
        <w:spacing w:line="249" w:lineRule="auto"/>
        <w:rPr>
          <w:rFonts w:ascii="宋体" w:hAnsi="宋体" w:eastAsia="宋体" w:cs="宋体"/>
          <w:color w:val="auto"/>
          <w:highlight w:val="none"/>
          <w:lang w:eastAsia="zh-CN"/>
        </w:rPr>
      </w:pPr>
    </w:p>
    <w:p w14:paraId="4D0C74AD">
      <w:pPr>
        <w:kinsoku/>
        <w:spacing w:line="249" w:lineRule="auto"/>
        <w:rPr>
          <w:rFonts w:ascii="宋体" w:hAnsi="宋体" w:eastAsia="宋体" w:cs="宋体"/>
          <w:color w:val="auto"/>
          <w:highlight w:val="none"/>
          <w:lang w:eastAsia="zh-CN"/>
        </w:rPr>
      </w:pPr>
    </w:p>
    <w:p w14:paraId="05A6236F">
      <w:pPr>
        <w:kinsoku/>
        <w:spacing w:line="249" w:lineRule="auto"/>
        <w:rPr>
          <w:rFonts w:ascii="宋体" w:hAnsi="宋体" w:eastAsia="宋体" w:cs="宋体"/>
          <w:color w:val="auto"/>
          <w:highlight w:val="none"/>
          <w:lang w:eastAsia="zh-CN"/>
        </w:rPr>
      </w:pPr>
    </w:p>
    <w:p w14:paraId="743ED0E3">
      <w:pPr>
        <w:kinsoku/>
        <w:spacing w:line="249" w:lineRule="auto"/>
        <w:rPr>
          <w:rFonts w:ascii="宋体" w:hAnsi="宋体" w:eastAsia="宋体" w:cs="宋体"/>
          <w:color w:val="auto"/>
          <w:highlight w:val="none"/>
          <w:lang w:eastAsia="zh-CN"/>
        </w:rPr>
      </w:pPr>
    </w:p>
    <w:p w14:paraId="17BA8562">
      <w:pPr>
        <w:kinsoku/>
        <w:spacing w:line="249" w:lineRule="auto"/>
        <w:rPr>
          <w:rFonts w:ascii="宋体" w:hAnsi="宋体" w:eastAsia="宋体" w:cs="宋体"/>
          <w:color w:val="auto"/>
          <w:highlight w:val="none"/>
          <w:lang w:eastAsia="zh-CN"/>
        </w:rPr>
      </w:pPr>
    </w:p>
    <w:p w14:paraId="498A6656">
      <w:pPr>
        <w:kinsoku/>
        <w:spacing w:line="249" w:lineRule="auto"/>
        <w:rPr>
          <w:rFonts w:ascii="宋体" w:hAnsi="宋体" w:eastAsia="宋体" w:cs="宋体"/>
          <w:color w:val="auto"/>
          <w:highlight w:val="none"/>
          <w:lang w:eastAsia="zh-CN"/>
        </w:rPr>
      </w:pPr>
    </w:p>
    <w:p w14:paraId="00745EF9">
      <w:pPr>
        <w:kinsoku/>
        <w:spacing w:line="249" w:lineRule="auto"/>
        <w:rPr>
          <w:rFonts w:ascii="宋体" w:hAnsi="宋体" w:eastAsia="宋体" w:cs="宋体"/>
          <w:color w:val="auto"/>
          <w:highlight w:val="none"/>
          <w:lang w:eastAsia="zh-CN"/>
        </w:rPr>
      </w:pPr>
    </w:p>
    <w:p w14:paraId="3AA8E46B">
      <w:pPr>
        <w:kinsoku/>
        <w:spacing w:line="249" w:lineRule="auto"/>
        <w:rPr>
          <w:rFonts w:ascii="宋体" w:hAnsi="宋体" w:eastAsia="宋体" w:cs="宋体"/>
          <w:color w:val="auto"/>
          <w:highlight w:val="none"/>
          <w:lang w:eastAsia="zh-CN"/>
        </w:rPr>
      </w:pPr>
    </w:p>
    <w:p w14:paraId="4DFDA238">
      <w:pPr>
        <w:kinsoku/>
        <w:spacing w:line="249" w:lineRule="auto"/>
        <w:rPr>
          <w:rFonts w:ascii="宋体" w:hAnsi="宋体" w:eastAsia="宋体" w:cs="宋体"/>
          <w:color w:val="auto"/>
          <w:highlight w:val="none"/>
          <w:lang w:eastAsia="zh-CN"/>
        </w:rPr>
      </w:pPr>
    </w:p>
    <w:p w14:paraId="28A23C86">
      <w:pPr>
        <w:kinsoku/>
        <w:spacing w:line="249" w:lineRule="auto"/>
        <w:rPr>
          <w:rFonts w:ascii="宋体" w:hAnsi="宋体" w:eastAsia="宋体" w:cs="宋体"/>
          <w:color w:val="auto"/>
          <w:highlight w:val="none"/>
          <w:lang w:eastAsia="zh-CN"/>
        </w:rPr>
      </w:pPr>
    </w:p>
    <w:p w14:paraId="188FB197">
      <w:pPr>
        <w:kinsoku/>
        <w:spacing w:line="249" w:lineRule="auto"/>
        <w:rPr>
          <w:rFonts w:ascii="宋体" w:hAnsi="宋体" w:eastAsia="宋体" w:cs="宋体"/>
          <w:color w:val="auto"/>
          <w:highlight w:val="none"/>
          <w:lang w:eastAsia="zh-CN"/>
        </w:rPr>
      </w:pPr>
    </w:p>
    <w:p w14:paraId="05CA1393">
      <w:pPr>
        <w:kinsoku/>
        <w:spacing w:line="249" w:lineRule="auto"/>
        <w:rPr>
          <w:rFonts w:ascii="宋体" w:hAnsi="宋体" w:eastAsia="宋体" w:cs="宋体"/>
          <w:color w:val="auto"/>
          <w:highlight w:val="none"/>
          <w:lang w:eastAsia="zh-CN"/>
        </w:rPr>
      </w:pPr>
    </w:p>
    <w:p w14:paraId="0EDADDDB">
      <w:pPr>
        <w:kinsoku/>
        <w:spacing w:line="249" w:lineRule="auto"/>
        <w:rPr>
          <w:rFonts w:ascii="宋体" w:hAnsi="宋体" w:eastAsia="宋体" w:cs="宋体"/>
          <w:color w:val="auto"/>
          <w:highlight w:val="none"/>
          <w:lang w:eastAsia="zh-CN"/>
        </w:rPr>
      </w:pPr>
    </w:p>
    <w:p w14:paraId="6308591C">
      <w:pPr>
        <w:kinsoku/>
        <w:spacing w:line="249" w:lineRule="auto"/>
        <w:rPr>
          <w:rFonts w:ascii="宋体" w:hAnsi="宋体" w:eastAsia="宋体" w:cs="宋体"/>
          <w:color w:val="auto"/>
          <w:highlight w:val="none"/>
          <w:lang w:eastAsia="zh-CN"/>
        </w:rPr>
      </w:pPr>
    </w:p>
    <w:p w14:paraId="77CCC4B2">
      <w:pPr>
        <w:kinsoku/>
        <w:spacing w:line="249" w:lineRule="auto"/>
        <w:rPr>
          <w:rFonts w:ascii="宋体" w:hAnsi="宋体" w:eastAsia="宋体" w:cs="宋体"/>
          <w:color w:val="auto"/>
          <w:highlight w:val="none"/>
          <w:lang w:eastAsia="zh-CN"/>
        </w:rPr>
      </w:pPr>
    </w:p>
    <w:p w14:paraId="59A8A881">
      <w:pPr>
        <w:kinsoku/>
        <w:spacing w:line="249" w:lineRule="auto"/>
        <w:rPr>
          <w:rFonts w:ascii="宋体" w:hAnsi="宋体" w:eastAsia="宋体" w:cs="宋体"/>
          <w:color w:val="auto"/>
          <w:highlight w:val="none"/>
          <w:lang w:eastAsia="zh-CN"/>
        </w:rPr>
      </w:pPr>
    </w:p>
    <w:p w14:paraId="6B626D79">
      <w:pPr>
        <w:kinsoku/>
        <w:spacing w:before="179" w:line="225" w:lineRule="auto"/>
        <w:ind w:left="1444"/>
        <w:outlineLvl w:val="0"/>
        <w:rPr>
          <w:rFonts w:ascii="宋体" w:hAnsi="宋体" w:eastAsia="宋体" w:cs="宋体"/>
          <w:color w:val="auto"/>
          <w:sz w:val="28"/>
          <w:szCs w:val="28"/>
          <w:highlight w:val="none"/>
          <w:lang w:eastAsia="zh-CN"/>
        </w:rPr>
      </w:pPr>
      <w:bookmarkStart w:id="355" w:name="bookmark263"/>
      <w:bookmarkEnd w:id="355"/>
      <w:bookmarkStart w:id="356" w:name="bookmark262"/>
      <w:bookmarkEnd w:id="356"/>
      <w:bookmarkStart w:id="357" w:name="bookmark264"/>
      <w:bookmarkEnd w:id="357"/>
      <w:bookmarkStart w:id="358" w:name="_Toc29228"/>
      <w:r>
        <w:rPr>
          <w:rFonts w:hint="eastAsia" w:ascii="宋体" w:hAnsi="宋体" w:eastAsia="宋体" w:cs="宋体"/>
          <w:color w:val="auto"/>
          <w:sz w:val="55"/>
          <w:szCs w:val="55"/>
          <w:highlight w:val="none"/>
          <w:lang w:eastAsia="zh-CN"/>
        </w:rPr>
        <w:t>第六章  投标文件格式</w:t>
      </w:r>
      <w:bookmarkEnd w:id="358"/>
    </w:p>
    <w:p w14:paraId="3E66152B">
      <w:pPr>
        <w:kinsoku/>
        <w:spacing w:line="242" w:lineRule="auto"/>
        <w:rPr>
          <w:rFonts w:ascii="宋体" w:hAnsi="宋体" w:eastAsia="宋体" w:cs="宋体"/>
          <w:color w:val="auto"/>
          <w:highlight w:val="none"/>
          <w:lang w:eastAsia="zh-CN"/>
        </w:rPr>
      </w:pPr>
    </w:p>
    <w:p w14:paraId="59FD0EFD">
      <w:pPr>
        <w:kinsoku/>
        <w:spacing w:line="242" w:lineRule="auto"/>
        <w:rPr>
          <w:rFonts w:ascii="宋体" w:hAnsi="宋体" w:eastAsia="宋体" w:cs="宋体"/>
          <w:color w:val="auto"/>
          <w:highlight w:val="none"/>
          <w:lang w:eastAsia="zh-CN"/>
        </w:rPr>
      </w:pPr>
    </w:p>
    <w:p w14:paraId="1399BA1E">
      <w:pPr>
        <w:kinsoku/>
        <w:spacing w:line="242" w:lineRule="auto"/>
        <w:rPr>
          <w:rFonts w:ascii="宋体" w:hAnsi="宋体" w:eastAsia="宋体" w:cs="宋体"/>
          <w:color w:val="auto"/>
          <w:highlight w:val="none"/>
          <w:lang w:eastAsia="zh-CN"/>
        </w:rPr>
      </w:pPr>
    </w:p>
    <w:p w14:paraId="0467BB71">
      <w:pPr>
        <w:kinsoku/>
        <w:spacing w:line="242" w:lineRule="auto"/>
        <w:rPr>
          <w:rFonts w:ascii="宋体" w:hAnsi="宋体" w:eastAsia="宋体" w:cs="宋体"/>
          <w:color w:val="auto"/>
          <w:highlight w:val="none"/>
          <w:lang w:eastAsia="zh-CN"/>
        </w:rPr>
      </w:pPr>
    </w:p>
    <w:p w14:paraId="3D02C6DB">
      <w:pPr>
        <w:kinsoku/>
        <w:spacing w:line="242" w:lineRule="auto"/>
        <w:rPr>
          <w:rFonts w:ascii="宋体" w:hAnsi="宋体" w:eastAsia="宋体" w:cs="宋体"/>
          <w:color w:val="auto"/>
          <w:highlight w:val="none"/>
          <w:lang w:eastAsia="zh-CN"/>
        </w:rPr>
      </w:pPr>
    </w:p>
    <w:p w14:paraId="2FE5E942">
      <w:pPr>
        <w:kinsoku/>
        <w:spacing w:line="242" w:lineRule="auto"/>
        <w:rPr>
          <w:rFonts w:ascii="宋体" w:hAnsi="宋体" w:eastAsia="宋体" w:cs="宋体"/>
          <w:color w:val="auto"/>
          <w:highlight w:val="none"/>
          <w:lang w:eastAsia="zh-CN"/>
        </w:rPr>
      </w:pPr>
    </w:p>
    <w:p w14:paraId="424C9E0C">
      <w:pPr>
        <w:kinsoku/>
        <w:spacing w:line="242" w:lineRule="auto"/>
        <w:rPr>
          <w:rFonts w:ascii="宋体" w:hAnsi="宋体" w:eastAsia="宋体" w:cs="宋体"/>
          <w:color w:val="auto"/>
          <w:highlight w:val="none"/>
          <w:lang w:eastAsia="zh-CN"/>
        </w:rPr>
      </w:pPr>
    </w:p>
    <w:p w14:paraId="0E4C31C6">
      <w:pPr>
        <w:kinsoku/>
        <w:spacing w:line="242" w:lineRule="auto"/>
        <w:rPr>
          <w:rFonts w:ascii="宋体" w:hAnsi="宋体" w:eastAsia="宋体" w:cs="宋体"/>
          <w:color w:val="auto"/>
          <w:highlight w:val="none"/>
          <w:lang w:eastAsia="zh-CN"/>
        </w:rPr>
      </w:pPr>
    </w:p>
    <w:p w14:paraId="00019A69">
      <w:pPr>
        <w:kinsoku/>
        <w:spacing w:line="242" w:lineRule="auto"/>
        <w:rPr>
          <w:rFonts w:ascii="宋体" w:hAnsi="宋体" w:eastAsia="宋体" w:cs="宋体"/>
          <w:color w:val="auto"/>
          <w:highlight w:val="none"/>
          <w:lang w:eastAsia="zh-CN"/>
        </w:rPr>
      </w:pPr>
    </w:p>
    <w:p w14:paraId="35C23E41">
      <w:pPr>
        <w:kinsoku/>
        <w:spacing w:line="242" w:lineRule="auto"/>
        <w:rPr>
          <w:rFonts w:ascii="宋体" w:hAnsi="宋体" w:eastAsia="宋体" w:cs="宋体"/>
          <w:color w:val="auto"/>
          <w:highlight w:val="none"/>
          <w:lang w:eastAsia="zh-CN"/>
        </w:rPr>
      </w:pPr>
    </w:p>
    <w:p w14:paraId="70B7126C">
      <w:pPr>
        <w:kinsoku/>
        <w:spacing w:line="243" w:lineRule="auto"/>
        <w:rPr>
          <w:rFonts w:ascii="宋体" w:hAnsi="宋体" w:eastAsia="宋体" w:cs="宋体"/>
          <w:color w:val="auto"/>
          <w:highlight w:val="none"/>
          <w:lang w:eastAsia="zh-CN"/>
        </w:rPr>
      </w:pPr>
    </w:p>
    <w:p w14:paraId="7325BF2A">
      <w:pPr>
        <w:kinsoku/>
        <w:spacing w:line="243" w:lineRule="auto"/>
        <w:rPr>
          <w:rFonts w:ascii="宋体" w:hAnsi="宋体" w:eastAsia="宋体" w:cs="宋体"/>
          <w:color w:val="auto"/>
          <w:highlight w:val="none"/>
          <w:lang w:eastAsia="zh-CN"/>
        </w:rPr>
      </w:pPr>
    </w:p>
    <w:p w14:paraId="3D22FBA7">
      <w:pPr>
        <w:kinsoku/>
        <w:spacing w:line="243" w:lineRule="auto"/>
        <w:rPr>
          <w:rFonts w:ascii="宋体" w:hAnsi="宋体" w:eastAsia="宋体" w:cs="宋体"/>
          <w:color w:val="auto"/>
          <w:highlight w:val="none"/>
          <w:lang w:eastAsia="zh-CN"/>
        </w:rPr>
      </w:pPr>
    </w:p>
    <w:p w14:paraId="2BA24607">
      <w:pPr>
        <w:kinsoku/>
        <w:spacing w:line="243" w:lineRule="auto"/>
        <w:rPr>
          <w:rFonts w:ascii="宋体" w:hAnsi="宋体" w:eastAsia="宋体" w:cs="宋体"/>
          <w:color w:val="auto"/>
          <w:highlight w:val="none"/>
          <w:lang w:eastAsia="zh-CN"/>
        </w:rPr>
      </w:pPr>
    </w:p>
    <w:p w14:paraId="3A0BA1A4">
      <w:pPr>
        <w:kinsoku/>
        <w:spacing w:line="243" w:lineRule="auto"/>
        <w:rPr>
          <w:rFonts w:ascii="宋体" w:hAnsi="宋体" w:eastAsia="宋体" w:cs="宋体"/>
          <w:color w:val="auto"/>
          <w:highlight w:val="none"/>
          <w:lang w:eastAsia="zh-CN"/>
        </w:rPr>
      </w:pPr>
    </w:p>
    <w:p w14:paraId="7C3AB085">
      <w:pPr>
        <w:kinsoku/>
        <w:spacing w:line="243" w:lineRule="auto"/>
        <w:rPr>
          <w:rFonts w:ascii="宋体" w:hAnsi="宋体" w:eastAsia="宋体" w:cs="宋体"/>
          <w:color w:val="auto"/>
          <w:highlight w:val="none"/>
          <w:lang w:eastAsia="zh-CN"/>
        </w:rPr>
      </w:pPr>
    </w:p>
    <w:p w14:paraId="7511D2CA">
      <w:pPr>
        <w:kinsoku/>
        <w:spacing w:line="243" w:lineRule="auto"/>
        <w:rPr>
          <w:rFonts w:ascii="宋体" w:hAnsi="宋体" w:eastAsia="宋体" w:cs="宋体"/>
          <w:color w:val="auto"/>
          <w:highlight w:val="none"/>
          <w:lang w:eastAsia="zh-CN"/>
        </w:rPr>
      </w:pPr>
    </w:p>
    <w:p w14:paraId="492971F8">
      <w:pPr>
        <w:kinsoku/>
        <w:spacing w:line="243" w:lineRule="auto"/>
        <w:rPr>
          <w:rFonts w:ascii="宋体" w:hAnsi="宋体" w:eastAsia="宋体" w:cs="宋体"/>
          <w:color w:val="auto"/>
          <w:highlight w:val="none"/>
          <w:lang w:eastAsia="zh-CN"/>
        </w:rPr>
      </w:pPr>
    </w:p>
    <w:p w14:paraId="490CADAB">
      <w:pPr>
        <w:kinsoku/>
        <w:spacing w:line="243" w:lineRule="auto"/>
        <w:rPr>
          <w:rFonts w:ascii="宋体" w:hAnsi="宋体" w:eastAsia="宋体" w:cs="宋体"/>
          <w:color w:val="auto"/>
          <w:highlight w:val="none"/>
          <w:lang w:eastAsia="zh-CN"/>
        </w:rPr>
      </w:pPr>
    </w:p>
    <w:p w14:paraId="675C278E">
      <w:pPr>
        <w:kinsoku/>
        <w:spacing w:line="243" w:lineRule="auto"/>
        <w:rPr>
          <w:rFonts w:ascii="宋体" w:hAnsi="宋体" w:eastAsia="宋体" w:cs="宋体"/>
          <w:color w:val="auto"/>
          <w:highlight w:val="none"/>
          <w:lang w:eastAsia="zh-CN"/>
        </w:rPr>
      </w:pPr>
    </w:p>
    <w:p w14:paraId="315B41AA">
      <w:pPr>
        <w:kinsoku/>
        <w:spacing w:line="243" w:lineRule="auto"/>
        <w:rPr>
          <w:rFonts w:ascii="宋体" w:hAnsi="宋体" w:eastAsia="宋体" w:cs="宋体"/>
          <w:color w:val="auto"/>
          <w:highlight w:val="none"/>
          <w:lang w:eastAsia="zh-CN"/>
        </w:rPr>
      </w:pPr>
    </w:p>
    <w:p w14:paraId="1C77453D">
      <w:pPr>
        <w:kinsoku/>
        <w:spacing w:line="243" w:lineRule="auto"/>
        <w:rPr>
          <w:rFonts w:ascii="宋体" w:hAnsi="宋体" w:eastAsia="宋体" w:cs="宋体"/>
          <w:color w:val="auto"/>
          <w:highlight w:val="none"/>
          <w:lang w:eastAsia="zh-CN"/>
        </w:rPr>
      </w:pPr>
    </w:p>
    <w:p w14:paraId="688B054B">
      <w:pPr>
        <w:kinsoku/>
        <w:spacing w:line="243" w:lineRule="auto"/>
        <w:rPr>
          <w:rFonts w:ascii="宋体" w:hAnsi="宋体" w:eastAsia="宋体" w:cs="宋体"/>
          <w:color w:val="auto"/>
          <w:highlight w:val="none"/>
          <w:lang w:eastAsia="zh-CN"/>
        </w:rPr>
      </w:pPr>
    </w:p>
    <w:p w14:paraId="02FBB583">
      <w:pPr>
        <w:kinsoku/>
        <w:spacing w:line="243" w:lineRule="auto"/>
        <w:rPr>
          <w:rFonts w:ascii="宋体" w:hAnsi="宋体" w:eastAsia="宋体" w:cs="宋体"/>
          <w:color w:val="auto"/>
          <w:highlight w:val="none"/>
          <w:lang w:eastAsia="zh-CN"/>
        </w:rPr>
      </w:pPr>
    </w:p>
    <w:p w14:paraId="225F0273">
      <w:pPr>
        <w:kinsoku/>
        <w:spacing w:line="243" w:lineRule="auto"/>
        <w:rPr>
          <w:rFonts w:ascii="宋体" w:hAnsi="宋体" w:eastAsia="宋体" w:cs="宋体"/>
          <w:color w:val="auto"/>
          <w:highlight w:val="none"/>
          <w:lang w:eastAsia="zh-CN"/>
        </w:rPr>
      </w:pPr>
    </w:p>
    <w:p w14:paraId="50E52E3F">
      <w:pPr>
        <w:kinsoku/>
        <w:spacing w:line="243" w:lineRule="auto"/>
        <w:rPr>
          <w:rFonts w:ascii="宋体" w:hAnsi="宋体" w:eastAsia="宋体" w:cs="宋体"/>
          <w:color w:val="auto"/>
          <w:highlight w:val="none"/>
          <w:lang w:eastAsia="zh-CN"/>
        </w:rPr>
      </w:pPr>
    </w:p>
    <w:p w14:paraId="6879E501">
      <w:pPr>
        <w:kinsoku/>
        <w:spacing w:line="243" w:lineRule="auto"/>
        <w:rPr>
          <w:rFonts w:ascii="宋体" w:hAnsi="宋体" w:eastAsia="宋体" w:cs="宋体"/>
          <w:color w:val="auto"/>
          <w:highlight w:val="none"/>
          <w:lang w:eastAsia="zh-CN"/>
        </w:rPr>
      </w:pPr>
    </w:p>
    <w:p w14:paraId="70C66FDA">
      <w:pPr>
        <w:kinsoku/>
        <w:spacing w:line="243" w:lineRule="auto"/>
        <w:rPr>
          <w:rFonts w:ascii="宋体" w:hAnsi="宋体" w:eastAsia="宋体" w:cs="宋体"/>
          <w:color w:val="auto"/>
          <w:highlight w:val="none"/>
          <w:lang w:eastAsia="zh-CN"/>
        </w:rPr>
      </w:pPr>
    </w:p>
    <w:p w14:paraId="7D73438A">
      <w:pPr>
        <w:kinsoku/>
        <w:spacing w:line="243" w:lineRule="auto"/>
        <w:rPr>
          <w:rFonts w:ascii="宋体" w:hAnsi="宋体" w:eastAsia="宋体" w:cs="宋体"/>
          <w:color w:val="auto"/>
          <w:highlight w:val="none"/>
          <w:lang w:eastAsia="zh-CN"/>
        </w:rPr>
      </w:pPr>
    </w:p>
    <w:p w14:paraId="0CDD3AE6">
      <w:pPr>
        <w:kinsoku/>
        <w:spacing w:line="243" w:lineRule="auto"/>
        <w:rPr>
          <w:rFonts w:ascii="宋体" w:hAnsi="宋体" w:eastAsia="宋体" w:cs="宋体"/>
          <w:color w:val="auto"/>
          <w:highlight w:val="none"/>
          <w:lang w:eastAsia="zh-CN"/>
        </w:rPr>
      </w:pPr>
    </w:p>
    <w:p w14:paraId="6F9EFCFE">
      <w:pPr>
        <w:kinsoku/>
        <w:spacing w:line="243" w:lineRule="auto"/>
        <w:rPr>
          <w:rFonts w:ascii="宋体" w:hAnsi="宋体" w:eastAsia="宋体" w:cs="宋体"/>
          <w:color w:val="auto"/>
          <w:highlight w:val="none"/>
          <w:lang w:eastAsia="zh-CN"/>
        </w:rPr>
      </w:pPr>
    </w:p>
    <w:p w14:paraId="10F312B9">
      <w:pPr>
        <w:kinsoku/>
        <w:spacing w:line="244" w:lineRule="auto"/>
        <w:rPr>
          <w:rFonts w:ascii="宋体" w:hAnsi="宋体" w:eastAsia="宋体" w:cs="宋体"/>
          <w:color w:val="auto"/>
          <w:highlight w:val="none"/>
          <w:lang w:eastAsia="zh-CN"/>
        </w:rPr>
      </w:pPr>
    </w:p>
    <w:p w14:paraId="1757DB15">
      <w:pPr>
        <w:kinsoku/>
        <w:spacing w:line="244" w:lineRule="auto"/>
        <w:rPr>
          <w:rFonts w:ascii="宋体" w:hAnsi="宋体" w:eastAsia="宋体" w:cs="宋体"/>
          <w:color w:val="auto"/>
          <w:highlight w:val="none"/>
          <w:lang w:eastAsia="zh-CN"/>
        </w:rPr>
      </w:pPr>
    </w:p>
    <w:p w14:paraId="3D52F3E0">
      <w:pPr>
        <w:kinsoku/>
        <w:spacing w:line="244" w:lineRule="auto"/>
        <w:rPr>
          <w:rFonts w:ascii="宋体" w:hAnsi="宋体" w:eastAsia="宋体" w:cs="宋体"/>
          <w:color w:val="auto"/>
          <w:highlight w:val="none"/>
          <w:lang w:eastAsia="zh-CN"/>
        </w:rPr>
      </w:pPr>
    </w:p>
    <w:p w14:paraId="42AD64C3">
      <w:pPr>
        <w:kinsoku/>
        <w:spacing w:line="244" w:lineRule="auto"/>
        <w:rPr>
          <w:rFonts w:ascii="宋体" w:hAnsi="宋体" w:eastAsia="宋体" w:cs="宋体"/>
          <w:color w:val="auto"/>
          <w:highlight w:val="none"/>
          <w:lang w:eastAsia="zh-CN"/>
        </w:rPr>
      </w:pPr>
    </w:p>
    <w:p w14:paraId="7C70B24C">
      <w:pPr>
        <w:kinsoku/>
        <w:spacing w:line="244" w:lineRule="auto"/>
        <w:rPr>
          <w:rFonts w:ascii="宋体" w:hAnsi="宋体" w:eastAsia="宋体" w:cs="宋体"/>
          <w:color w:val="auto"/>
          <w:highlight w:val="none"/>
          <w:lang w:eastAsia="zh-CN"/>
        </w:rPr>
      </w:pPr>
    </w:p>
    <w:p w14:paraId="24988DEC">
      <w:pPr>
        <w:tabs>
          <w:tab w:val="left" w:pos="3281"/>
        </w:tabs>
        <w:kinsoku/>
        <w:spacing w:before="97" w:line="225" w:lineRule="auto"/>
        <w:ind w:left="1732"/>
        <w:rPr>
          <w:rFonts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u w:val="single"/>
          <w:lang w:eastAsia="zh-CN"/>
        </w:rPr>
        <w:tab/>
      </w:r>
      <w:r>
        <w:rPr>
          <w:rFonts w:hint="eastAsia" w:ascii="宋体" w:hAnsi="宋体" w:eastAsia="宋体" w:cs="宋体"/>
          <w:color w:val="auto"/>
          <w:sz w:val="30"/>
          <w:szCs w:val="30"/>
          <w:highlight w:val="none"/>
          <w:lang w:eastAsia="zh-CN"/>
        </w:rPr>
        <w:t xml:space="preserve"> 省（自治区、直辖市）</w:t>
      </w:r>
    </w:p>
    <w:p w14:paraId="3DCD9D08">
      <w:pPr>
        <w:kinsoku/>
        <w:spacing w:line="256" w:lineRule="auto"/>
        <w:rPr>
          <w:rFonts w:ascii="宋体" w:hAnsi="宋体" w:eastAsia="宋体" w:cs="宋体"/>
          <w:color w:val="auto"/>
          <w:highlight w:val="none"/>
          <w:lang w:eastAsia="zh-CN"/>
        </w:rPr>
      </w:pPr>
    </w:p>
    <w:p w14:paraId="234A3F20">
      <w:pPr>
        <w:kinsoku/>
        <w:spacing w:line="256" w:lineRule="auto"/>
        <w:rPr>
          <w:rFonts w:ascii="宋体" w:hAnsi="宋体" w:eastAsia="宋体" w:cs="宋体"/>
          <w:color w:val="auto"/>
          <w:highlight w:val="none"/>
          <w:lang w:eastAsia="zh-CN"/>
        </w:rPr>
      </w:pPr>
    </w:p>
    <w:p w14:paraId="7D07B481">
      <w:pPr>
        <w:kinsoku/>
        <w:spacing w:line="257" w:lineRule="auto"/>
        <w:rPr>
          <w:rFonts w:ascii="宋体" w:hAnsi="宋体" w:eastAsia="宋体" w:cs="宋体"/>
          <w:color w:val="auto"/>
          <w:highlight w:val="none"/>
          <w:lang w:eastAsia="zh-CN"/>
        </w:rPr>
      </w:pPr>
    </w:p>
    <w:p w14:paraId="68A20E77">
      <w:pPr>
        <w:kinsoku/>
        <w:spacing w:line="257" w:lineRule="auto"/>
        <w:rPr>
          <w:rFonts w:ascii="宋体" w:hAnsi="宋体" w:eastAsia="宋体" w:cs="宋体"/>
          <w:color w:val="auto"/>
          <w:highlight w:val="none"/>
          <w:lang w:eastAsia="zh-CN"/>
        </w:rPr>
      </w:pPr>
    </w:p>
    <w:p w14:paraId="586A1786">
      <w:pPr>
        <w:tabs>
          <w:tab w:val="left" w:pos="3287"/>
        </w:tabs>
        <w:kinsoku/>
        <w:spacing w:before="78" w:line="219" w:lineRule="auto"/>
        <w:ind w:left="0" w:leftChars="0" w:firstLine="0" w:firstLineChars="0"/>
        <w:jc w:val="center"/>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韶关市</w:t>
      </w:r>
      <w:r>
        <w:rPr>
          <w:rFonts w:ascii="宋体" w:hAnsi="宋体" w:eastAsia="宋体" w:cs="宋体"/>
          <w:color w:val="auto"/>
          <w:sz w:val="24"/>
          <w:szCs w:val="24"/>
          <w:highlight w:val="none"/>
          <w:u w:val="single"/>
          <w:lang w:eastAsia="zh-CN"/>
        </w:rPr>
        <w:t>S246</w:t>
      </w:r>
      <w:r>
        <w:rPr>
          <w:rFonts w:hint="eastAsia" w:ascii="宋体" w:hAnsi="宋体" w:eastAsia="宋体" w:cs="宋体"/>
          <w:color w:val="auto"/>
          <w:sz w:val="24"/>
          <w:szCs w:val="24"/>
          <w:highlight w:val="none"/>
          <w:u w:val="single"/>
          <w:lang w:eastAsia="zh-CN"/>
        </w:rPr>
        <w:t>线十里亭大桥至糖寮段公路改线工程、乳源县桂头镇至韶关丹霞机场公路新建工程（韶关机场进场道路）施工图设计</w:t>
      </w:r>
      <w:r>
        <w:rPr>
          <w:rFonts w:hint="eastAsia" w:ascii="宋体" w:hAnsi="宋体" w:eastAsia="宋体" w:cs="宋体"/>
          <w:color w:val="auto"/>
          <w:sz w:val="24"/>
          <w:szCs w:val="24"/>
          <w:highlight w:val="none"/>
          <w:lang w:eastAsia="zh-CN"/>
        </w:rPr>
        <w:t>招标</w:t>
      </w:r>
    </w:p>
    <w:p w14:paraId="5FCCB884">
      <w:pPr>
        <w:kinsoku/>
        <w:spacing w:line="264" w:lineRule="auto"/>
        <w:rPr>
          <w:rFonts w:ascii="宋体" w:hAnsi="宋体" w:eastAsia="宋体" w:cs="宋体"/>
          <w:color w:val="auto"/>
          <w:highlight w:val="none"/>
          <w:lang w:eastAsia="zh-CN"/>
        </w:rPr>
      </w:pPr>
    </w:p>
    <w:p w14:paraId="3D9B812A">
      <w:pPr>
        <w:kinsoku/>
        <w:spacing w:line="264" w:lineRule="auto"/>
        <w:rPr>
          <w:rFonts w:ascii="宋体" w:hAnsi="宋体" w:eastAsia="宋体" w:cs="宋体"/>
          <w:color w:val="auto"/>
          <w:highlight w:val="none"/>
          <w:lang w:eastAsia="zh-CN"/>
        </w:rPr>
      </w:pPr>
    </w:p>
    <w:p w14:paraId="123F9985">
      <w:pPr>
        <w:kinsoku/>
        <w:spacing w:line="264" w:lineRule="auto"/>
        <w:rPr>
          <w:rFonts w:ascii="宋体" w:hAnsi="宋体" w:eastAsia="宋体" w:cs="宋体"/>
          <w:color w:val="auto"/>
          <w:highlight w:val="none"/>
          <w:lang w:eastAsia="zh-CN"/>
        </w:rPr>
      </w:pPr>
    </w:p>
    <w:p w14:paraId="00C869C8">
      <w:pPr>
        <w:kinsoku/>
        <w:spacing w:line="264" w:lineRule="auto"/>
        <w:rPr>
          <w:rFonts w:ascii="宋体" w:hAnsi="宋体" w:eastAsia="宋体" w:cs="宋体"/>
          <w:color w:val="auto"/>
          <w:highlight w:val="none"/>
          <w:lang w:eastAsia="zh-CN"/>
        </w:rPr>
      </w:pPr>
    </w:p>
    <w:p w14:paraId="5BCF5302">
      <w:pPr>
        <w:kinsoku/>
        <w:spacing w:line="264" w:lineRule="auto"/>
        <w:rPr>
          <w:rFonts w:ascii="宋体" w:hAnsi="宋体" w:eastAsia="宋体" w:cs="宋体"/>
          <w:color w:val="auto"/>
          <w:highlight w:val="none"/>
          <w:lang w:eastAsia="zh-CN"/>
        </w:rPr>
      </w:pPr>
    </w:p>
    <w:p w14:paraId="4D1AD89B">
      <w:pPr>
        <w:kinsoku/>
        <w:spacing w:line="264" w:lineRule="auto"/>
        <w:rPr>
          <w:rFonts w:ascii="宋体" w:hAnsi="宋体" w:eastAsia="宋体" w:cs="宋体"/>
          <w:color w:val="auto"/>
          <w:highlight w:val="none"/>
          <w:lang w:eastAsia="zh-CN"/>
        </w:rPr>
      </w:pPr>
    </w:p>
    <w:p w14:paraId="20726995">
      <w:pPr>
        <w:kinsoku/>
        <w:spacing w:line="264" w:lineRule="auto"/>
        <w:rPr>
          <w:rFonts w:ascii="宋体" w:hAnsi="宋体" w:eastAsia="宋体" w:cs="宋体"/>
          <w:color w:val="auto"/>
          <w:highlight w:val="none"/>
          <w:lang w:eastAsia="zh-CN"/>
        </w:rPr>
      </w:pPr>
    </w:p>
    <w:p w14:paraId="4AE689D6">
      <w:pPr>
        <w:kinsoku/>
        <w:spacing w:line="265" w:lineRule="auto"/>
        <w:rPr>
          <w:rFonts w:ascii="宋体" w:hAnsi="宋体" w:eastAsia="宋体" w:cs="宋体"/>
          <w:color w:val="auto"/>
          <w:highlight w:val="none"/>
          <w:lang w:eastAsia="zh-CN"/>
        </w:rPr>
      </w:pPr>
    </w:p>
    <w:p w14:paraId="17525F7B">
      <w:pPr>
        <w:kinsoku/>
        <w:spacing w:before="159" w:line="332" w:lineRule="auto"/>
        <w:ind w:left="3322" w:right="2621" w:hanging="691"/>
        <w:rPr>
          <w:rFonts w:ascii="宋体" w:hAnsi="宋体" w:eastAsia="宋体" w:cs="宋体"/>
          <w:color w:val="auto"/>
          <w:sz w:val="36"/>
          <w:szCs w:val="36"/>
          <w:highlight w:val="none"/>
          <w:lang w:eastAsia="zh-CN"/>
        </w:rPr>
      </w:pPr>
      <w:bookmarkStart w:id="359" w:name="bookmark266"/>
      <w:bookmarkEnd w:id="359"/>
      <w:r>
        <w:rPr>
          <w:rFonts w:hint="eastAsia" w:ascii="宋体" w:hAnsi="宋体" w:eastAsia="宋体" w:cs="宋体"/>
          <w:color w:val="auto"/>
          <w:sz w:val="49"/>
          <w:szCs w:val="49"/>
          <w:highlight w:val="none"/>
          <w:lang w:eastAsia="zh-CN"/>
        </w:rPr>
        <w:t xml:space="preserve">投  标  文  件 </w:t>
      </w:r>
      <w:bookmarkStart w:id="360" w:name="bookmark265"/>
      <w:bookmarkEnd w:id="360"/>
      <w:r>
        <w:rPr>
          <w:rFonts w:hint="eastAsia" w:ascii="宋体" w:hAnsi="宋体" w:eastAsia="宋体" w:cs="宋体"/>
          <w:color w:val="auto"/>
          <w:sz w:val="36"/>
          <w:szCs w:val="36"/>
          <w:highlight w:val="none"/>
          <w:lang w:eastAsia="zh-CN"/>
        </w:rPr>
        <w:t>（商务文件）</w:t>
      </w:r>
    </w:p>
    <w:p w14:paraId="3529D88B">
      <w:pPr>
        <w:kinsoku/>
        <w:spacing w:line="250" w:lineRule="auto"/>
        <w:rPr>
          <w:rFonts w:ascii="宋体" w:hAnsi="宋体" w:eastAsia="宋体" w:cs="宋体"/>
          <w:color w:val="auto"/>
          <w:highlight w:val="none"/>
          <w:lang w:eastAsia="zh-CN"/>
        </w:rPr>
      </w:pPr>
    </w:p>
    <w:p w14:paraId="54EF3349">
      <w:pPr>
        <w:kinsoku/>
        <w:spacing w:line="250" w:lineRule="auto"/>
        <w:rPr>
          <w:rFonts w:ascii="宋体" w:hAnsi="宋体" w:eastAsia="宋体" w:cs="宋体"/>
          <w:color w:val="auto"/>
          <w:highlight w:val="none"/>
          <w:lang w:eastAsia="zh-CN"/>
        </w:rPr>
      </w:pPr>
    </w:p>
    <w:p w14:paraId="53D20ADF">
      <w:pPr>
        <w:kinsoku/>
        <w:spacing w:line="250" w:lineRule="auto"/>
        <w:rPr>
          <w:rFonts w:ascii="宋体" w:hAnsi="宋体" w:eastAsia="宋体" w:cs="宋体"/>
          <w:color w:val="auto"/>
          <w:highlight w:val="none"/>
          <w:lang w:eastAsia="zh-CN"/>
        </w:rPr>
      </w:pPr>
    </w:p>
    <w:p w14:paraId="62017659">
      <w:pPr>
        <w:kinsoku/>
        <w:spacing w:line="250" w:lineRule="auto"/>
        <w:rPr>
          <w:rFonts w:ascii="宋体" w:hAnsi="宋体" w:eastAsia="宋体" w:cs="宋体"/>
          <w:color w:val="auto"/>
          <w:highlight w:val="none"/>
          <w:lang w:eastAsia="zh-CN"/>
        </w:rPr>
      </w:pPr>
    </w:p>
    <w:p w14:paraId="1BCAC446">
      <w:pPr>
        <w:kinsoku/>
        <w:spacing w:line="250" w:lineRule="auto"/>
        <w:rPr>
          <w:rFonts w:ascii="宋体" w:hAnsi="宋体" w:eastAsia="宋体" w:cs="宋体"/>
          <w:color w:val="auto"/>
          <w:highlight w:val="none"/>
          <w:lang w:eastAsia="zh-CN"/>
        </w:rPr>
      </w:pPr>
    </w:p>
    <w:p w14:paraId="57420783">
      <w:pPr>
        <w:kinsoku/>
        <w:spacing w:line="251" w:lineRule="auto"/>
        <w:rPr>
          <w:rFonts w:ascii="宋体" w:hAnsi="宋体" w:eastAsia="宋体" w:cs="宋体"/>
          <w:color w:val="auto"/>
          <w:highlight w:val="none"/>
          <w:lang w:eastAsia="zh-CN"/>
        </w:rPr>
      </w:pPr>
    </w:p>
    <w:p w14:paraId="5C2236E9">
      <w:pPr>
        <w:kinsoku/>
        <w:spacing w:line="251" w:lineRule="auto"/>
        <w:rPr>
          <w:rFonts w:ascii="宋体" w:hAnsi="宋体" w:eastAsia="宋体" w:cs="宋体"/>
          <w:color w:val="auto"/>
          <w:highlight w:val="none"/>
          <w:lang w:eastAsia="zh-CN"/>
        </w:rPr>
      </w:pPr>
    </w:p>
    <w:p w14:paraId="05983CBF">
      <w:pPr>
        <w:kinsoku/>
        <w:spacing w:line="251" w:lineRule="auto"/>
        <w:rPr>
          <w:rFonts w:ascii="宋体" w:hAnsi="宋体" w:eastAsia="宋体" w:cs="宋体"/>
          <w:color w:val="auto"/>
          <w:highlight w:val="none"/>
          <w:lang w:eastAsia="zh-CN"/>
        </w:rPr>
      </w:pPr>
    </w:p>
    <w:p w14:paraId="1456A249">
      <w:pPr>
        <w:kinsoku/>
        <w:spacing w:line="251" w:lineRule="auto"/>
        <w:rPr>
          <w:rFonts w:ascii="宋体" w:hAnsi="宋体" w:eastAsia="宋体" w:cs="宋体"/>
          <w:color w:val="auto"/>
          <w:highlight w:val="none"/>
          <w:lang w:eastAsia="zh-CN"/>
        </w:rPr>
      </w:pPr>
    </w:p>
    <w:p w14:paraId="2ABEA0C8">
      <w:pPr>
        <w:kinsoku/>
        <w:spacing w:line="251" w:lineRule="auto"/>
        <w:rPr>
          <w:rFonts w:ascii="宋体" w:hAnsi="宋体" w:eastAsia="宋体" w:cs="宋体"/>
          <w:color w:val="auto"/>
          <w:highlight w:val="none"/>
          <w:lang w:eastAsia="zh-CN"/>
        </w:rPr>
      </w:pPr>
    </w:p>
    <w:p w14:paraId="0972BD42">
      <w:pPr>
        <w:kinsoku/>
        <w:spacing w:line="251" w:lineRule="auto"/>
        <w:rPr>
          <w:rFonts w:ascii="宋体" w:hAnsi="宋体" w:eastAsia="宋体" w:cs="宋体"/>
          <w:color w:val="auto"/>
          <w:highlight w:val="none"/>
          <w:lang w:eastAsia="zh-CN"/>
        </w:rPr>
      </w:pPr>
    </w:p>
    <w:p w14:paraId="60016D80">
      <w:pPr>
        <w:kinsoku/>
        <w:spacing w:line="251" w:lineRule="auto"/>
        <w:rPr>
          <w:rFonts w:ascii="宋体" w:hAnsi="宋体" w:eastAsia="宋体" w:cs="宋体"/>
          <w:color w:val="auto"/>
          <w:highlight w:val="none"/>
          <w:lang w:eastAsia="zh-CN"/>
        </w:rPr>
      </w:pPr>
    </w:p>
    <w:p w14:paraId="35BC82C9">
      <w:pPr>
        <w:kinsoku/>
        <w:spacing w:line="251" w:lineRule="auto"/>
        <w:rPr>
          <w:rFonts w:ascii="宋体" w:hAnsi="宋体" w:eastAsia="宋体" w:cs="宋体"/>
          <w:color w:val="auto"/>
          <w:highlight w:val="none"/>
          <w:lang w:eastAsia="zh-CN"/>
        </w:rPr>
      </w:pPr>
    </w:p>
    <w:p w14:paraId="0E37D453">
      <w:pPr>
        <w:kinsoku/>
        <w:spacing w:line="251" w:lineRule="auto"/>
        <w:rPr>
          <w:rFonts w:ascii="宋体" w:hAnsi="宋体" w:eastAsia="宋体" w:cs="宋体"/>
          <w:color w:val="auto"/>
          <w:highlight w:val="none"/>
          <w:lang w:eastAsia="zh-CN"/>
        </w:rPr>
      </w:pPr>
    </w:p>
    <w:p w14:paraId="1E244971">
      <w:pPr>
        <w:tabs>
          <w:tab w:val="left" w:pos="3313"/>
        </w:tabs>
        <w:kinsoku/>
        <w:spacing w:before="91" w:line="568" w:lineRule="auto"/>
        <w:ind w:left="2196" w:right="614" w:hanging="1602"/>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投标人：</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（盖单位章） </w:t>
      </w:r>
      <w:r>
        <w:rPr>
          <w:rFonts w:hint="eastAsia" w:ascii="宋体" w:hAnsi="宋体" w:eastAsia="宋体" w:cs="宋体"/>
          <w:color w:val="auto"/>
          <w:sz w:val="28"/>
          <w:szCs w:val="28"/>
          <w:highlight w:val="none"/>
          <w:u w:val="single"/>
          <w:lang w:eastAsia="zh-CN"/>
        </w:rPr>
        <w:tab/>
      </w:r>
      <w:r>
        <w:rPr>
          <w:rFonts w:hint="eastAsia" w:ascii="宋体" w:hAnsi="宋体" w:eastAsia="宋体" w:cs="宋体"/>
          <w:color w:val="auto"/>
          <w:sz w:val="28"/>
          <w:szCs w:val="28"/>
          <w:highlight w:val="none"/>
          <w:lang w:eastAsia="zh-CN"/>
        </w:rPr>
        <w:t xml:space="preserve"> 年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月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日</w:t>
      </w:r>
    </w:p>
    <w:p w14:paraId="7D5A0EB3">
      <w:pPr>
        <w:kinsoku/>
        <w:spacing w:line="568" w:lineRule="auto"/>
        <w:rPr>
          <w:rFonts w:ascii="宋体" w:hAnsi="宋体" w:eastAsia="宋体" w:cs="宋体"/>
          <w:color w:val="auto"/>
          <w:sz w:val="28"/>
          <w:szCs w:val="28"/>
          <w:highlight w:val="none"/>
          <w:lang w:eastAsia="zh-CN"/>
        </w:rPr>
        <w:sectPr>
          <w:footerReference r:id="rId42" w:type="default"/>
          <w:pgSz w:w="11907" w:h="16841"/>
          <w:pgMar w:top="1173" w:right="1555" w:bottom="1254" w:left="1615" w:header="862" w:footer="1093" w:gutter="0"/>
          <w:cols w:space="720" w:num="1"/>
        </w:sectPr>
      </w:pPr>
    </w:p>
    <w:p w14:paraId="0B39F739">
      <w:pPr>
        <w:kinsoku/>
        <w:spacing w:line="357" w:lineRule="auto"/>
        <w:rPr>
          <w:rFonts w:ascii="宋体" w:hAnsi="宋体" w:eastAsia="宋体" w:cs="宋体"/>
          <w:color w:val="auto"/>
          <w:highlight w:val="none"/>
          <w:lang w:eastAsia="zh-CN"/>
        </w:rPr>
      </w:pPr>
    </w:p>
    <w:p w14:paraId="23D8A8E3">
      <w:pPr>
        <w:kinsoku/>
        <w:spacing w:line="358" w:lineRule="auto"/>
        <w:rPr>
          <w:rFonts w:ascii="宋体" w:hAnsi="宋体" w:eastAsia="宋体" w:cs="宋体"/>
          <w:color w:val="auto"/>
          <w:highlight w:val="none"/>
          <w:lang w:eastAsia="zh-CN"/>
        </w:rPr>
      </w:pPr>
    </w:p>
    <w:p w14:paraId="616FED64">
      <w:pPr>
        <w:kinsoku/>
        <w:spacing w:before="98" w:line="219" w:lineRule="auto"/>
        <w:ind w:left="3740"/>
        <w:rPr>
          <w:rFonts w:ascii="宋体" w:hAnsi="宋体" w:eastAsia="宋体" w:cs="宋体"/>
          <w:color w:val="auto"/>
          <w:sz w:val="30"/>
          <w:szCs w:val="30"/>
          <w:highlight w:val="none"/>
          <w:lang w:eastAsia="zh-CN"/>
        </w:rPr>
      </w:pPr>
      <w:bookmarkStart w:id="361" w:name="bookmark268"/>
      <w:bookmarkEnd w:id="361"/>
      <w:bookmarkStart w:id="362" w:name="bookmark267"/>
      <w:bookmarkEnd w:id="362"/>
      <w:r>
        <w:rPr>
          <w:rFonts w:hint="eastAsia" w:ascii="宋体" w:hAnsi="宋体" w:eastAsia="宋体" w:cs="宋体"/>
          <w:color w:val="auto"/>
          <w:sz w:val="30"/>
          <w:szCs w:val="30"/>
          <w:highlight w:val="none"/>
          <w:lang w:eastAsia="zh-CN"/>
        </w:rPr>
        <w:t>目     录</w:t>
      </w:r>
    </w:p>
    <w:p w14:paraId="5EEA3406">
      <w:pPr>
        <w:kinsoku/>
        <w:spacing w:line="244" w:lineRule="auto"/>
        <w:rPr>
          <w:rFonts w:ascii="宋体" w:hAnsi="宋体" w:eastAsia="宋体" w:cs="宋体"/>
          <w:color w:val="auto"/>
          <w:highlight w:val="none"/>
          <w:lang w:eastAsia="zh-CN"/>
        </w:rPr>
      </w:pPr>
    </w:p>
    <w:p w14:paraId="367D1FFF">
      <w:pPr>
        <w:kinsoku/>
        <w:spacing w:line="245" w:lineRule="auto"/>
        <w:rPr>
          <w:rFonts w:ascii="宋体" w:hAnsi="宋体" w:eastAsia="宋体" w:cs="宋体"/>
          <w:color w:val="auto"/>
          <w:highlight w:val="none"/>
          <w:lang w:eastAsia="zh-CN"/>
        </w:rPr>
      </w:pPr>
    </w:p>
    <w:p w14:paraId="617F6420">
      <w:pPr>
        <w:kinsoku/>
        <w:spacing w:line="245" w:lineRule="auto"/>
        <w:rPr>
          <w:rFonts w:ascii="宋体" w:hAnsi="宋体" w:eastAsia="宋体" w:cs="宋体"/>
          <w:color w:val="auto"/>
          <w:highlight w:val="none"/>
          <w:lang w:eastAsia="zh-CN"/>
        </w:rPr>
      </w:pPr>
    </w:p>
    <w:p w14:paraId="43E239A1">
      <w:pPr>
        <w:kinsoku/>
        <w:spacing w:before="78" w:line="220" w:lineRule="auto"/>
        <w:ind w:left="1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一、投标函</w:t>
      </w:r>
    </w:p>
    <w:p w14:paraId="69DA0E5F">
      <w:pPr>
        <w:kinsoku/>
        <w:spacing w:before="152" w:line="219" w:lineRule="auto"/>
        <w:ind w:left="1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二、授权委托书或法定代表人身份证明</w:t>
      </w:r>
    </w:p>
    <w:p w14:paraId="49EEEECA">
      <w:pPr>
        <w:kinsoku/>
        <w:spacing w:before="156" w:line="219" w:lineRule="auto"/>
        <w:ind w:left="165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三、联合体协议书（如有）</w:t>
      </w:r>
    </w:p>
    <w:p w14:paraId="07ABF578">
      <w:pPr>
        <w:kinsoku/>
        <w:spacing w:before="156" w:line="219" w:lineRule="auto"/>
        <w:ind w:left="165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四、投标保证金</w:t>
      </w:r>
    </w:p>
    <w:p w14:paraId="568D6379">
      <w:pPr>
        <w:kinsoku/>
        <w:spacing w:before="152" w:line="219" w:lineRule="auto"/>
        <w:ind w:left="16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五、拟分包项目情况表</w:t>
      </w:r>
    </w:p>
    <w:p w14:paraId="0159F022">
      <w:pPr>
        <w:kinsoku/>
        <w:spacing w:before="157" w:line="220" w:lineRule="auto"/>
        <w:ind w:left="166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六、资格审查资料</w:t>
      </w:r>
    </w:p>
    <w:p w14:paraId="2EBD5476">
      <w:pPr>
        <w:kinsoku/>
        <w:spacing w:before="154" w:line="220" w:lineRule="auto"/>
        <w:ind w:left="165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七、其他资料</w:t>
      </w:r>
    </w:p>
    <w:p w14:paraId="195F9E4E">
      <w:pPr>
        <w:kinsoku/>
        <w:spacing w:line="220" w:lineRule="auto"/>
        <w:rPr>
          <w:rFonts w:ascii="宋体" w:hAnsi="宋体" w:eastAsia="宋体" w:cs="宋体"/>
          <w:color w:val="auto"/>
          <w:sz w:val="24"/>
          <w:szCs w:val="24"/>
          <w:highlight w:val="none"/>
          <w:lang w:eastAsia="zh-CN"/>
        </w:rPr>
        <w:sectPr>
          <w:footerReference r:id="rId43" w:type="default"/>
          <w:pgSz w:w="11907" w:h="16841"/>
          <w:pgMar w:top="1173" w:right="1555" w:bottom="1254" w:left="1615" w:header="862" w:footer="1093" w:gutter="0"/>
          <w:cols w:space="720" w:num="1"/>
        </w:sectPr>
      </w:pPr>
    </w:p>
    <w:p w14:paraId="0EA2D8CF">
      <w:pPr>
        <w:kinsoku/>
        <w:spacing w:before="97" w:line="220" w:lineRule="auto"/>
        <w:ind w:left="3576"/>
        <w:rPr>
          <w:rFonts w:ascii="宋体" w:hAnsi="宋体" w:eastAsia="宋体" w:cs="宋体"/>
          <w:color w:val="auto"/>
          <w:sz w:val="30"/>
          <w:szCs w:val="30"/>
          <w:highlight w:val="none"/>
          <w:lang w:eastAsia="zh-CN"/>
        </w:rPr>
      </w:pPr>
      <w:bookmarkStart w:id="363" w:name="bookmark269"/>
      <w:bookmarkEnd w:id="363"/>
      <w:bookmarkStart w:id="364" w:name="bookmark270"/>
      <w:bookmarkEnd w:id="364"/>
      <w:r>
        <w:rPr>
          <w:rFonts w:hint="eastAsia" w:ascii="宋体" w:hAnsi="宋体" w:eastAsia="宋体" w:cs="宋体"/>
          <w:color w:val="auto"/>
          <w:sz w:val="30"/>
          <w:szCs w:val="30"/>
          <w:highlight w:val="none"/>
          <w:lang w:eastAsia="zh-CN"/>
        </w:rPr>
        <w:t>一、投标函</w:t>
      </w:r>
    </w:p>
    <w:p w14:paraId="399FAF3B">
      <w:pPr>
        <w:kinsoku/>
        <w:rPr>
          <w:rFonts w:ascii="宋体" w:hAnsi="宋体" w:eastAsia="宋体" w:cs="宋体"/>
          <w:color w:val="auto"/>
          <w:highlight w:val="none"/>
          <w:lang w:eastAsia="zh-CN"/>
        </w:rPr>
      </w:pPr>
    </w:p>
    <w:p w14:paraId="706E61ED">
      <w:pPr>
        <w:tabs>
          <w:tab w:val="left" w:pos="2908"/>
        </w:tabs>
        <w:kinsoku/>
        <w:spacing w:before="78" w:line="220" w:lineRule="auto"/>
        <w:ind w:left="2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（招标人名称）：</w:t>
      </w:r>
    </w:p>
    <w:p w14:paraId="71C3E4F2">
      <w:pPr>
        <w:kinsoku/>
        <w:spacing w:before="232" w:line="286" w:lineRule="auto"/>
        <w:ind w:left="38" w:right="104" w:firstLine="49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1.我方已仔细研究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施工图设计招标文件的全部内容（含补遗书第___号至第___号），在考察工程现场后，愿意以第二个信封（报价文件）中的投标总报价（或根据招标文件规定修正核实后确定的另一金额），按合同约定完成勘察设计工作。</w:t>
      </w:r>
    </w:p>
    <w:p w14:paraId="1DA99EA0">
      <w:pPr>
        <w:kinsoku/>
        <w:spacing w:before="114" w:line="220" w:lineRule="auto"/>
        <w:ind w:left="51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2.我方承诺在招标文件规定的投标有效期内不撤销投标文件。</w:t>
      </w:r>
    </w:p>
    <w:p w14:paraId="202F9E34">
      <w:pPr>
        <w:kinsoku/>
        <w:spacing w:before="113"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3.项目负责人姓名：</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，职称：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25CB45FD">
      <w:pPr>
        <w:kinsoku/>
        <w:spacing w:before="116" w:line="264" w:lineRule="auto"/>
        <w:ind w:left="54" w:right="103" w:firstLine="45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4.质量要求：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，安全目标：</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，设计服务期限：</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p>
    <w:p w14:paraId="51805BFD">
      <w:pPr>
        <w:kinsoku/>
        <w:spacing w:before="111" w:line="220" w:lineRule="auto"/>
        <w:ind w:left="52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5.如我方中标，我方承诺：</w:t>
      </w:r>
    </w:p>
    <w:p w14:paraId="67B833E6">
      <w:pPr>
        <w:kinsoku/>
        <w:spacing w:before="115"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（1）在收到中标通知书后，在中标通知书规定的期限内与你方签订合同；</w:t>
      </w:r>
    </w:p>
    <w:p w14:paraId="2414C24A">
      <w:pPr>
        <w:kinsoku/>
        <w:spacing w:before="117" w:line="219"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（2）在签订合同时不向你方提出附加条件；</w:t>
      </w:r>
    </w:p>
    <w:p w14:paraId="3209383B">
      <w:pPr>
        <w:kinsoku/>
        <w:spacing w:before="113"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（3）按照招标文件要求提交履约保证金；</w:t>
      </w:r>
    </w:p>
    <w:p w14:paraId="61472783">
      <w:pPr>
        <w:kinsoku/>
        <w:spacing w:before="115" w:line="220" w:lineRule="auto"/>
        <w:ind w:left="52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（4）在合同约定的期限内完成合同规定的全部义务；</w:t>
      </w:r>
    </w:p>
    <w:p w14:paraId="2BA84450">
      <w:pPr>
        <w:kinsoku/>
        <w:spacing w:before="114" w:line="286" w:lineRule="auto"/>
        <w:ind w:left="38" w:right="-72" w:firstLine="486"/>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lang w:eastAsia="zh-CN"/>
        </w:rPr>
        <w:t>（5）在你方和我方进行合同谈判之前，我方将按照合同附件提出的最低要求填报派驻本标段的分项负责人，经你方审批后作为派驻本标段的勘察设计主要人员且不进行更换。如我方拟派驻的人员不满足合同附件要求，你方有权取消我方中标资格。</w:t>
      </w:r>
    </w:p>
    <w:p w14:paraId="0556363D">
      <w:pPr>
        <w:kinsoku/>
        <w:spacing w:before="112" w:line="264" w:lineRule="auto"/>
        <w:ind w:left="42" w:right="-72"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6.我方在此声明，所递交的投标文件及有关资料内容完整、真实和准确，且不存在招标文件第二章“投标人须知”第1.4.3项和第1.4.4项规定的任何一种情形。</w:t>
      </w:r>
    </w:p>
    <w:p w14:paraId="34BE2DB9">
      <w:pPr>
        <w:kinsoku/>
        <w:spacing w:before="116" w:line="263" w:lineRule="auto"/>
        <w:ind w:left="40" w:right="-72" w:firstLine="477"/>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t>7.</w:t>
      </w:r>
      <w:r>
        <w:rPr>
          <w:rFonts w:hint="eastAsia" w:ascii="宋体" w:hAnsi="宋体" w:eastAsia="宋体" w:cs="宋体"/>
          <w:color w:val="auto"/>
          <w:sz w:val="24"/>
          <w:szCs w:val="24"/>
          <w:highlight w:val="none"/>
          <w:lang w:eastAsia="zh-CN"/>
        </w:rPr>
        <w:t>我方在此承诺</w:t>
      </w:r>
      <w:r>
        <w:rPr>
          <w:rFonts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权利义务满足招标文件规定。</w:t>
      </w:r>
    </w:p>
    <w:p w14:paraId="30305FEF">
      <w:pPr>
        <w:kinsoku/>
        <w:spacing w:before="116" w:line="263" w:lineRule="auto"/>
        <w:ind w:left="40" w:right="-72" w:firstLine="47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8.在合同协议书正式签署生效之前，本投标函连同你方的中标通知书将构成我们双方之间共同遵守的文件，对双方具有约束力。</w:t>
      </w:r>
    </w:p>
    <w:p w14:paraId="2BEE6521">
      <w:pPr>
        <w:kinsoku/>
        <w:spacing w:before="115" w:line="220" w:lineRule="auto"/>
        <w:ind w:left="52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9.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（其他补充说明）。</w:t>
      </w:r>
    </w:p>
    <w:p w14:paraId="36797223">
      <w:pPr>
        <w:tabs>
          <w:tab w:val="left" w:pos="8620"/>
        </w:tabs>
        <w:kinsoku/>
        <w:spacing w:before="79" w:line="304" w:lineRule="auto"/>
        <w:ind w:left="3160" w:right="1" w:firstLine="4"/>
        <w:jc w:val="both"/>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lang w:eastAsia="zh-CN"/>
        </w:rPr>
        <w:t>投 标 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A7B6208">
      <w:pPr>
        <w:tabs>
          <w:tab w:val="left" w:pos="8620"/>
        </w:tabs>
        <w:kinsoku/>
        <w:spacing w:before="79" w:line="304" w:lineRule="auto"/>
        <w:ind w:left="3160" w:right="1" w:firstLine="4"/>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0D32530D">
      <w:pPr>
        <w:tabs>
          <w:tab w:val="left" w:pos="8620"/>
        </w:tabs>
        <w:kinsoku/>
        <w:spacing w:before="79" w:line="304" w:lineRule="auto"/>
        <w:ind w:left="3160" w:right="1" w:firstLine="4"/>
        <w:jc w:val="both"/>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eastAsia="zh-CN"/>
        </w:rPr>
        <w:tab/>
      </w:r>
    </w:p>
    <w:p w14:paraId="02D8A97E">
      <w:pPr>
        <w:tabs>
          <w:tab w:val="left" w:pos="8620"/>
        </w:tabs>
        <w:kinsoku/>
        <w:spacing w:before="79" w:line="304" w:lineRule="auto"/>
        <w:ind w:left="3160" w:right="1" w:firstLine="4"/>
        <w:jc w:val="both"/>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网    址：</w:t>
      </w:r>
      <w:r>
        <w:rPr>
          <w:rFonts w:hint="eastAsia" w:ascii="宋体" w:hAnsi="宋体" w:eastAsia="宋体" w:cs="宋体"/>
          <w:color w:val="auto"/>
          <w:sz w:val="24"/>
          <w:szCs w:val="24"/>
          <w:highlight w:val="none"/>
          <w:u w:val="single"/>
          <w:lang w:eastAsia="zh-CN"/>
        </w:rPr>
        <w:tab/>
      </w:r>
    </w:p>
    <w:p w14:paraId="7CA0EFA6">
      <w:pPr>
        <w:tabs>
          <w:tab w:val="left" w:pos="8620"/>
        </w:tabs>
        <w:kinsoku/>
        <w:spacing w:before="79" w:line="304" w:lineRule="auto"/>
        <w:ind w:left="3160" w:right="1" w:firstLine="4"/>
        <w:jc w:val="both"/>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电    话：</w:t>
      </w:r>
      <w:r>
        <w:rPr>
          <w:rFonts w:hint="eastAsia" w:ascii="宋体" w:hAnsi="宋体" w:eastAsia="宋体" w:cs="宋体"/>
          <w:color w:val="auto"/>
          <w:sz w:val="24"/>
          <w:szCs w:val="24"/>
          <w:highlight w:val="none"/>
          <w:u w:val="single"/>
          <w:lang w:eastAsia="zh-CN"/>
        </w:rPr>
        <w:tab/>
      </w:r>
    </w:p>
    <w:p w14:paraId="18EF523E">
      <w:pPr>
        <w:tabs>
          <w:tab w:val="left" w:pos="8620"/>
        </w:tabs>
        <w:kinsoku/>
        <w:spacing w:before="79" w:line="304" w:lineRule="auto"/>
        <w:ind w:left="3160" w:right="1" w:firstLine="4"/>
        <w:jc w:val="both"/>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传    真：</w:t>
      </w:r>
      <w:r>
        <w:rPr>
          <w:rFonts w:hint="eastAsia" w:ascii="宋体" w:hAnsi="宋体" w:eastAsia="宋体" w:cs="宋体"/>
          <w:color w:val="auto"/>
          <w:sz w:val="24"/>
          <w:szCs w:val="24"/>
          <w:highlight w:val="none"/>
          <w:u w:val="single"/>
          <w:lang w:eastAsia="zh-CN"/>
        </w:rPr>
        <w:t xml:space="preserve">                                    </w:t>
      </w:r>
    </w:p>
    <w:p w14:paraId="39960C24">
      <w:pPr>
        <w:tabs>
          <w:tab w:val="left" w:pos="8620"/>
        </w:tabs>
        <w:kinsoku/>
        <w:spacing w:before="79" w:line="304" w:lineRule="auto"/>
        <w:ind w:left="3160" w:right="1" w:firstLine="4"/>
        <w:jc w:val="both"/>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邮政编码：</w:t>
      </w:r>
      <w:r>
        <w:rPr>
          <w:rFonts w:hint="eastAsia" w:ascii="宋体" w:hAnsi="宋体" w:eastAsia="宋体" w:cs="宋体"/>
          <w:color w:val="auto"/>
          <w:sz w:val="24"/>
          <w:szCs w:val="24"/>
          <w:highlight w:val="none"/>
          <w:u w:val="single"/>
          <w:lang w:eastAsia="zh-CN"/>
        </w:rPr>
        <w:t xml:space="preserve">                                    </w:t>
      </w:r>
    </w:p>
    <w:p w14:paraId="6AEA9AFE">
      <w:pPr>
        <w:tabs>
          <w:tab w:val="left" w:pos="8620"/>
        </w:tabs>
        <w:kinsoku/>
        <w:spacing w:before="79" w:line="304" w:lineRule="auto"/>
        <w:ind w:right="1" w:firstLine="4080" w:firstLineChars="170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19388B65">
      <w:pPr>
        <w:kinsoku/>
        <w:spacing w:line="220" w:lineRule="auto"/>
        <w:rPr>
          <w:rFonts w:ascii="宋体" w:hAnsi="宋体" w:eastAsia="宋体" w:cs="宋体"/>
          <w:color w:val="auto"/>
          <w:sz w:val="24"/>
          <w:szCs w:val="24"/>
          <w:highlight w:val="none"/>
          <w:lang w:eastAsia="zh-CN"/>
        </w:rPr>
        <w:sectPr>
          <w:footerReference r:id="rId44" w:type="default"/>
          <w:pgSz w:w="11907" w:h="16839"/>
          <w:pgMar w:top="1173" w:right="1613" w:bottom="1254" w:left="1673" w:header="862" w:footer="1093" w:gutter="0"/>
          <w:cols w:space="720" w:num="1"/>
        </w:sectPr>
      </w:pPr>
    </w:p>
    <w:p w14:paraId="2C7A73D3">
      <w:pPr>
        <w:kinsoku/>
        <w:spacing w:before="98" w:line="218" w:lineRule="auto"/>
        <w:ind w:left="1775"/>
        <w:rPr>
          <w:rFonts w:ascii="宋体" w:hAnsi="宋体" w:eastAsia="宋体" w:cs="宋体"/>
          <w:color w:val="auto"/>
          <w:sz w:val="30"/>
          <w:szCs w:val="30"/>
          <w:highlight w:val="none"/>
          <w:lang w:eastAsia="zh-CN"/>
        </w:rPr>
      </w:pPr>
      <w:bookmarkStart w:id="365" w:name="bookmark271"/>
      <w:bookmarkEnd w:id="365"/>
      <w:bookmarkStart w:id="366" w:name="bookmark272"/>
      <w:bookmarkEnd w:id="366"/>
      <w:bookmarkStart w:id="367" w:name="bookmark274"/>
      <w:bookmarkEnd w:id="367"/>
      <w:r>
        <w:rPr>
          <w:rFonts w:hint="eastAsia" w:ascii="宋体" w:hAnsi="宋体" w:eastAsia="宋体" w:cs="宋体"/>
          <w:color w:val="auto"/>
          <w:sz w:val="30"/>
          <w:szCs w:val="30"/>
          <w:highlight w:val="none"/>
          <w:lang w:eastAsia="zh-CN"/>
        </w:rPr>
        <w:t>二、授权委托书或法定代表人身份证明</w:t>
      </w:r>
    </w:p>
    <w:p w14:paraId="547EFBAC">
      <w:pPr>
        <w:kinsoku/>
        <w:spacing w:line="308" w:lineRule="auto"/>
        <w:rPr>
          <w:rFonts w:ascii="宋体" w:hAnsi="宋体" w:eastAsia="宋体" w:cs="宋体"/>
          <w:color w:val="auto"/>
          <w:highlight w:val="none"/>
          <w:lang w:eastAsia="zh-CN"/>
        </w:rPr>
      </w:pPr>
    </w:p>
    <w:p w14:paraId="40CEAB33">
      <w:pPr>
        <w:kinsoku/>
        <w:spacing w:before="91" w:line="225" w:lineRule="auto"/>
        <w:ind w:left="3145"/>
        <w:rPr>
          <w:rFonts w:ascii="宋体" w:hAnsi="宋体" w:eastAsia="宋体" w:cs="宋体"/>
          <w:color w:val="auto"/>
          <w:sz w:val="13"/>
          <w:szCs w:val="13"/>
          <w:highlight w:val="none"/>
          <w:lang w:eastAsia="zh-CN"/>
        </w:rPr>
      </w:pPr>
      <w:bookmarkStart w:id="368" w:name="bookmark273"/>
      <w:bookmarkEnd w:id="368"/>
      <w:r>
        <w:rPr>
          <w:rFonts w:hint="eastAsia" w:ascii="宋体" w:hAnsi="宋体" w:eastAsia="宋体" w:cs="宋体"/>
          <w:color w:val="auto"/>
          <w:sz w:val="28"/>
          <w:szCs w:val="28"/>
          <w:highlight w:val="none"/>
          <w:lang w:eastAsia="zh-CN"/>
        </w:rPr>
        <w:t>（一）授权委托书</w:t>
      </w:r>
    </w:p>
    <w:p w14:paraId="6E9F0EED">
      <w:pPr>
        <w:kinsoku/>
        <w:spacing w:line="244" w:lineRule="auto"/>
        <w:rPr>
          <w:rFonts w:ascii="宋体" w:hAnsi="宋体" w:eastAsia="宋体" w:cs="宋体"/>
          <w:color w:val="auto"/>
          <w:highlight w:val="none"/>
          <w:lang w:eastAsia="zh-CN"/>
        </w:rPr>
      </w:pPr>
    </w:p>
    <w:p w14:paraId="7AD02F35">
      <w:pPr>
        <w:spacing w:line="480" w:lineRule="auto"/>
        <w:ind w:firstLine="480" w:firstLineChars="200"/>
        <w:rPr>
          <w:rFonts w:ascii="宋体" w:hAnsi="宋体" w:eastAsia="宋体" w:cs="宋体"/>
          <w:color w:val="auto"/>
          <w:highlight w:val="none"/>
          <w:lang w:eastAsia="zh-CN"/>
        </w:rPr>
      </w:pPr>
      <w:r>
        <w:rPr>
          <w:rFonts w:hint="eastAsia" w:ascii="宋体" w:hAnsi="宋体" w:cs="宋体"/>
          <w:color w:val="auto"/>
          <w:sz w:val="24"/>
          <w:highlight w:val="none"/>
          <w:u w:val="single"/>
          <w:lang w:eastAsia="zh-CN"/>
        </w:rPr>
        <w:t xml:space="preserve">            </w:t>
      </w:r>
      <w:r>
        <w:rPr>
          <w:rFonts w:hint="eastAsia" w:ascii="宋体" w:hAnsi="宋体" w:cs="宋体"/>
          <w:color w:val="auto"/>
          <w:sz w:val="24"/>
          <w:highlight w:val="none"/>
          <w:lang w:eastAsia="zh-CN"/>
        </w:rPr>
        <w:t>（招标人全称）：</w:t>
      </w:r>
    </w:p>
    <w:p w14:paraId="17E703F0">
      <w:pPr>
        <w:kinsoku/>
        <w:spacing w:before="78" w:line="332" w:lineRule="auto"/>
        <w:ind w:left="38" w:right="16" w:firstLine="48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（姓名）系</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（投标人名称）的法定代表人，现委托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（姓名）为我方代理人。代理人根据授权，以我方名义签署、澄清确认、递交、撤回、修改</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（项目名称）施工图设计投标文件、签订合同和处理有关事宜，其法律后果由我方承担。</w:t>
      </w:r>
    </w:p>
    <w:p w14:paraId="791E2482">
      <w:pPr>
        <w:kinsoku/>
        <w:spacing w:before="34" w:line="325" w:lineRule="auto"/>
        <w:ind w:left="517" w:right="245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委托期限：自本委托书签署之日起至投标有效期期满代理人无转委托权。</w:t>
      </w:r>
    </w:p>
    <w:p w14:paraId="4AB0D4EB">
      <w:pPr>
        <w:kinsoku/>
        <w:spacing w:line="429" w:lineRule="auto"/>
        <w:rPr>
          <w:rFonts w:ascii="宋体" w:hAnsi="宋体" w:eastAsia="宋体" w:cs="宋体"/>
          <w:color w:val="auto"/>
          <w:highlight w:val="none"/>
          <w:lang w:eastAsia="zh-CN"/>
        </w:rPr>
      </w:pPr>
    </w:p>
    <w:p w14:paraId="2231C5E7">
      <w:pPr>
        <w:kinsoku/>
        <w:spacing w:before="69" w:line="220" w:lineRule="auto"/>
        <w:ind w:left="53"/>
        <w:rPr>
          <w:rFonts w:ascii="宋体" w:hAnsi="宋体" w:eastAsia="宋体" w:cs="宋体"/>
          <w:color w:val="auto"/>
          <w:highlight w:val="none"/>
          <w:lang w:eastAsia="zh-CN"/>
        </w:rPr>
      </w:pPr>
      <w:r>
        <w:rPr>
          <w:rFonts w:hint="eastAsia" w:ascii="宋体" w:hAnsi="宋体" w:eastAsia="宋体" w:cs="宋体"/>
          <w:color w:val="auto"/>
          <w:highlight w:val="none"/>
          <w:lang w:eastAsia="zh-CN"/>
        </w:rPr>
        <w:t>附：法定代表人身份证复印件及委托代理人身份证复印件。</w:t>
      </w:r>
    </w:p>
    <w:p w14:paraId="0E4F5A31">
      <w:pPr>
        <w:kinsoku/>
        <w:spacing w:line="249" w:lineRule="auto"/>
        <w:rPr>
          <w:rFonts w:ascii="宋体" w:hAnsi="宋体" w:eastAsia="宋体" w:cs="宋体"/>
          <w:color w:val="auto"/>
          <w:highlight w:val="none"/>
          <w:lang w:eastAsia="zh-CN"/>
        </w:rPr>
      </w:pPr>
    </w:p>
    <w:p w14:paraId="6B056631">
      <w:pPr>
        <w:kinsoku/>
        <w:spacing w:line="249" w:lineRule="auto"/>
        <w:rPr>
          <w:rFonts w:ascii="宋体" w:hAnsi="宋体" w:eastAsia="宋体" w:cs="宋体"/>
          <w:color w:val="auto"/>
          <w:highlight w:val="none"/>
          <w:lang w:eastAsia="zh-CN"/>
        </w:rPr>
      </w:pPr>
    </w:p>
    <w:p w14:paraId="306616B6">
      <w:pPr>
        <w:kinsoku/>
        <w:spacing w:before="78" w:line="219" w:lineRule="auto"/>
        <w:ind w:left="333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0ACF7FF0">
      <w:pPr>
        <w:kinsoku/>
        <w:spacing w:line="436" w:lineRule="auto"/>
        <w:rPr>
          <w:rFonts w:ascii="宋体" w:hAnsi="宋体" w:eastAsia="宋体" w:cs="宋体"/>
          <w:color w:val="auto"/>
          <w:highlight w:val="none"/>
          <w:lang w:eastAsia="zh-CN"/>
        </w:rPr>
      </w:pPr>
    </w:p>
    <w:p w14:paraId="6D71809C">
      <w:pPr>
        <w:kinsoku/>
        <w:spacing w:before="78" w:line="220" w:lineRule="auto"/>
        <w:ind w:left="333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5A5A0251">
      <w:pPr>
        <w:kinsoku/>
        <w:spacing w:line="432" w:lineRule="auto"/>
        <w:rPr>
          <w:rFonts w:ascii="宋体" w:hAnsi="宋体" w:eastAsia="宋体" w:cs="宋体"/>
          <w:color w:val="auto"/>
          <w:highlight w:val="none"/>
          <w:lang w:eastAsia="zh-CN"/>
        </w:rPr>
      </w:pPr>
    </w:p>
    <w:p w14:paraId="1F3C470F">
      <w:pPr>
        <w:kinsoku/>
        <w:spacing w:before="78" w:line="220" w:lineRule="auto"/>
        <w:ind w:left="333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p>
    <w:p w14:paraId="7E205A1D">
      <w:pPr>
        <w:kinsoku/>
        <w:spacing w:line="432" w:lineRule="auto"/>
        <w:rPr>
          <w:rFonts w:ascii="宋体" w:hAnsi="宋体" w:eastAsia="宋体" w:cs="宋体"/>
          <w:color w:val="auto"/>
          <w:highlight w:val="none"/>
          <w:lang w:eastAsia="zh-CN"/>
        </w:rPr>
      </w:pPr>
    </w:p>
    <w:p w14:paraId="4535F084">
      <w:pPr>
        <w:kinsoku/>
        <w:spacing w:before="78" w:line="220" w:lineRule="auto"/>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78E3D042">
      <w:pPr>
        <w:kinsoku/>
        <w:spacing w:line="434" w:lineRule="auto"/>
        <w:rPr>
          <w:rFonts w:ascii="宋体" w:hAnsi="宋体" w:eastAsia="宋体" w:cs="宋体"/>
          <w:color w:val="auto"/>
          <w:highlight w:val="none"/>
          <w:lang w:eastAsia="zh-CN"/>
        </w:rPr>
      </w:pPr>
    </w:p>
    <w:p w14:paraId="48FA8363">
      <w:pPr>
        <w:kinsoku/>
        <w:spacing w:before="79" w:line="220" w:lineRule="auto"/>
        <w:ind w:left="333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p>
    <w:p w14:paraId="03FC2541">
      <w:pPr>
        <w:kinsoku/>
        <w:spacing w:line="433" w:lineRule="auto"/>
        <w:rPr>
          <w:rFonts w:ascii="宋体" w:hAnsi="宋体" w:eastAsia="宋体" w:cs="宋体"/>
          <w:color w:val="auto"/>
          <w:highlight w:val="none"/>
          <w:lang w:eastAsia="zh-CN"/>
        </w:rPr>
      </w:pPr>
    </w:p>
    <w:p w14:paraId="51579BC0">
      <w:pPr>
        <w:tabs>
          <w:tab w:val="left" w:pos="5487"/>
        </w:tabs>
        <w:kinsoku/>
        <w:spacing w:before="78" w:line="220" w:lineRule="auto"/>
        <w:ind w:left="4646"/>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08A87014">
      <w:pPr>
        <w:kinsoku/>
        <w:spacing w:line="390" w:lineRule="auto"/>
        <w:rPr>
          <w:rFonts w:ascii="宋体" w:hAnsi="宋体" w:eastAsia="宋体" w:cs="宋体"/>
          <w:color w:val="auto"/>
          <w:highlight w:val="none"/>
          <w:lang w:eastAsia="zh-CN"/>
        </w:rPr>
      </w:pPr>
    </w:p>
    <w:p w14:paraId="396A4CB7">
      <w:pPr>
        <w:kinsoku/>
        <w:spacing w:before="70" w:line="360" w:lineRule="auto"/>
        <w:ind w:left="37"/>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注：法定代表人和委托代理人必须在授权委托书上亲笔签名，不得使用印章、签名章或其他电子制版签名代替；</w:t>
      </w:r>
      <w:r>
        <w:rPr>
          <w:rFonts w:hint="eastAsia" w:ascii="宋体" w:hAnsi="宋体" w:cs="宋体"/>
          <w:color w:val="auto"/>
          <w:highlight w:val="none"/>
          <w:lang w:eastAsia="zh-CN"/>
        </w:rPr>
        <w:t>（如果由投标人的法定代表人签署投标文件，则不需提交授权委托书。）</w:t>
      </w:r>
    </w:p>
    <w:p w14:paraId="16C1C8B4">
      <w:pPr>
        <w:kinsoku/>
        <w:autoSpaceDE/>
        <w:autoSpaceDN/>
        <w:adjustRightInd/>
        <w:snapToGrid/>
        <w:textAlignment w:val="auto"/>
        <w:rPr>
          <w:rFonts w:ascii="宋体" w:hAnsi="宋体" w:eastAsia="宋体" w:cs="宋体"/>
          <w:color w:val="auto"/>
          <w:highlight w:val="none"/>
          <w:lang w:eastAsia="zh-CN"/>
        </w:rPr>
      </w:pPr>
      <w:r>
        <w:rPr>
          <w:rFonts w:ascii="宋体" w:hAnsi="宋体" w:eastAsia="宋体" w:cs="宋体"/>
          <w:color w:val="auto"/>
          <w:highlight w:val="none"/>
          <w:lang w:eastAsia="zh-CN"/>
        </w:rPr>
        <w:br w:type="page"/>
      </w:r>
    </w:p>
    <w:p w14:paraId="33636C43">
      <w:pPr>
        <w:kinsoku/>
        <w:spacing w:before="91" w:line="219" w:lineRule="auto"/>
        <w:ind w:left="2658"/>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（二）法定代表人身份证明</w:t>
      </w:r>
    </w:p>
    <w:p w14:paraId="3B430203">
      <w:pPr>
        <w:kinsoku/>
        <w:spacing w:line="244" w:lineRule="auto"/>
        <w:rPr>
          <w:rFonts w:ascii="宋体" w:hAnsi="宋体" w:eastAsia="宋体" w:cs="宋体"/>
          <w:color w:val="auto"/>
          <w:highlight w:val="none"/>
          <w:lang w:eastAsia="zh-CN"/>
        </w:rPr>
      </w:pPr>
    </w:p>
    <w:p w14:paraId="76B3CFFB">
      <w:pPr>
        <w:kinsoku/>
        <w:spacing w:line="245" w:lineRule="auto"/>
        <w:rPr>
          <w:rFonts w:ascii="宋体" w:hAnsi="宋体" w:eastAsia="宋体" w:cs="宋体"/>
          <w:color w:val="auto"/>
          <w:highlight w:val="none"/>
          <w:lang w:eastAsia="zh-CN"/>
        </w:rPr>
      </w:pPr>
    </w:p>
    <w:p w14:paraId="4A3C053C">
      <w:pPr>
        <w:kinsoku/>
        <w:spacing w:line="245" w:lineRule="auto"/>
        <w:rPr>
          <w:rFonts w:ascii="宋体" w:hAnsi="宋体" w:eastAsia="宋体" w:cs="宋体"/>
          <w:color w:val="auto"/>
          <w:highlight w:val="none"/>
          <w:lang w:eastAsia="zh-CN"/>
        </w:rPr>
      </w:pPr>
    </w:p>
    <w:p w14:paraId="46CDF209">
      <w:pPr>
        <w:kinsoku/>
        <w:spacing w:before="78" w:line="220" w:lineRule="auto"/>
        <w:ind w:left="4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投标人名称：</w:t>
      </w:r>
      <w:r>
        <w:rPr>
          <w:rFonts w:hint="eastAsia" w:ascii="宋体" w:hAnsi="宋体" w:eastAsia="宋体" w:cs="宋体"/>
          <w:color w:val="auto"/>
          <w:sz w:val="24"/>
          <w:szCs w:val="24"/>
          <w:highlight w:val="none"/>
          <w:u w:val="single"/>
          <w:lang w:eastAsia="zh-CN"/>
        </w:rPr>
        <w:t xml:space="preserve">                             </w:t>
      </w:r>
    </w:p>
    <w:p w14:paraId="0FAFE435">
      <w:pPr>
        <w:kinsoku/>
        <w:spacing w:before="154" w:line="325" w:lineRule="auto"/>
        <w:ind w:left="42" w:right="28" w:hanging="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姓名：</w:t>
      </w:r>
      <w:r>
        <w:rPr>
          <w:rFonts w:hint="eastAsia" w:ascii="宋体" w:hAnsi="宋体" w:eastAsia="宋体" w:cs="宋体"/>
          <w:color w:val="auto"/>
          <w:sz w:val="24"/>
          <w:szCs w:val="24"/>
          <w:highlight w:val="none"/>
          <w:u w:val="single"/>
          <w:lang w:eastAsia="zh-CN"/>
        </w:rPr>
        <w:t xml:space="preserve"> （法定代表人亲笔签字） </w:t>
      </w:r>
      <w:r>
        <w:rPr>
          <w:rFonts w:hint="eastAsia" w:ascii="宋体" w:hAnsi="宋体" w:eastAsia="宋体" w:cs="宋体"/>
          <w:color w:val="auto"/>
          <w:sz w:val="24"/>
          <w:szCs w:val="24"/>
          <w:highlight w:val="none"/>
          <w:lang w:eastAsia="zh-CN"/>
        </w:rPr>
        <w:t xml:space="preserve"> 性别：</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职务：</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系</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（投标人名称）的法定代表人。</w:t>
      </w:r>
    </w:p>
    <w:p w14:paraId="6D48A9D7">
      <w:pPr>
        <w:kinsoku/>
        <w:spacing w:before="33"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特此证明。</w:t>
      </w:r>
    </w:p>
    <w:p w14:paraId="0C3BE407">
      <w:pPr>
        <w:kinsoku/>
        <w:spacing w:line="274" w:lineRule="auto"/>
        <w:rPr>
          <w:rFonts w:ascii="宋体" w:hAnsi="宋体" w:eastAsia="宋体" w:cs="宋体"/>
          <w:color w:val="auto"/>
          <w:highlight w:val="none"/>
          <w:lang w:eastAsia="zh-CN"/>
        </w:rPr>
      </w:pPr>
    </w:p>
    <w:p w14:paraId="5E53154F">
      <w:pPr>
        <w:kinsoku/>
        <w:spacing w:line="274" w:lineRule="auto"/>
        <w:rPr>
          <w:rFonts w:ascii="宋体" w:hAnsi="宋体" w:eastAsia="宋体" w:cs="宋体"/>
          <w:color w:val="auto"/>
          <w:highlight w:val="none"/>
          <w:lang w:eastAsia="zh-CN"/>
        </w:rPr>
      </w:pPr>
    </w:p>
    <w:p w14:paraId="4EAFD0A7">
      <w:pPr>
        <w:kinsoku/>
        <w:spacing w:before="69" w:line="220" w:lineRule="auto"/>
        <w:ind w:left="53"/>
        <w:rPr>
          <w:rFonts w:ascii="宋体" w:hAnsi="宋体" w:eastAsia="宋体" w:cs="宋体"/>
          <w:color w:val="auto"/>
          <w:highlight w:val="none"/>
          <w:lang w:eastAsia="zh-CN"/>
        </w:rPr>
      </w:pPr>
      <w:r>
        <w:rPr>
          <w:rFonts w:hint="eastAsia" w:ascii="宋体" w:hAnsi="宋体" w:eastAsia="宋体" w:cs="宋体"/>
          <w:color w:val="auto"/>
          <w:highlight w:val="none"/>
          <w:lang w:eastAsia="zh-CN"/>
        </w:rPr>
        <w:t>附：法定代表人身份证复印件。</w:t>
      </w:r>
    </w:p>
    <w:p w14:paraId="73A0238F">
      <w:pPr>
        <w:kinsoku/>
        <w:spacing w:line="279" w:lineRule="auto"/>
        <w:rPr>
          <w:rFonts w:ascii="宋体" w:hAnsi="宋体" w:eastAsia="宋体" w:cs="宋体"/>
          <w:color w:val="auto"/>
          <w:highlight w:val="none"/>
          <w:lang w:eastAsia="zh-CN"/>
        </w:rPr>
      </w:pPr>
    </w:p>
    <w:p w14:paraId="34F4157F">
      <w:pPr>
        <w:kinsoku/>
        <w:spacing w:line="279" w:lineRule="auto"/>
        <w:rPr>
          <w:rFonts w:ascii="宋体" w:hAnsi="宋体" w:eastAsia="宋体" w:cs="宋体"/>
          <w:color w:val="auto"/>
          <w:highlight w:val="none"/>
          <w:lang w:eastAsia="zh-CN"/>
        </w:rPr>
      </w:pPr>
    </w:p>
    <w:p w14:paraId="19342166">
      <w:pPr>
        <w:kinsoku/>
        <w:spacing w:line="280" w:lineRule="auto"/>
        <w:rPr>
          <w:rFonts w:ascii="宋体" w:hAnsi="宋体" w:eastAsia="宋体" w:cs="宋体"/>
          <w:color w:val="auto"/>
          <w:highlight w:val="none"/>
          <w:lang w:eastAsia="zh-CN"/>
        </w:rPr>
      </w:pPr>
    </w:p>
    <w:p w14:paraId="520EA3E8">
      <w:pPr>
        <w:kinsoku/>
        <w:spacing w:line="280" w:lineRule="auto"/>
        <w:rPr>
          <w:rFonts w:ascii="宋体" w:hAnsi="宋体" w:eastAsia="宋体" w:cs="宋体"/>
          <w:color w:val="auto"/>
          <w:highlight w:val="none"/>
          <w:lang w:eastAsia="zh-CN"/>
        </w:rPr>
      </w:pPr>
    </w:p>
    <w:p w14:paraId="0B84294E">
      <w:pPr>
        <w:kinsoku/>
        <w:spacing w:line="280" w:lineRule="auto"/>
        <w:rPr>
          <w:rFonts w:ascii="宋体" w:hAnsi="宋体" w:eastAsia="宋体" w:cs="宋体"/>
          <w:color w:val="auto"/>
          <w:highlight w:val="none"/>
          <w:lang w:eastAsia="zh-CN"/>
        </w:rPr>
      </w:pPr>
    </w:p>
    <w:p w14:paraId="787A1BFD">
      <w:pPr>
        <w:tabs>
          <w:tab w:val="left" w:pos="5429"/>
        </w:tabs>
        <w:kinsoku/>
        <w:spacing w:before="78" w:line="326" w:lineRule="auto"/>
        <w:ind w:left="4348" w:right="221" w:hanging="118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（盖单位章） </w:t>
      </w:r>
    </w:p>
    <w:p w14:paraId="465040B4">
      <w:pPr>
        <w:tabs>
          <w:tab w:val="left" w:pos="5429"/>
        </w:tabs>
        <w:kinsoku/>
        <w:spacing w:before="78" w:line="326" w:lineRule="auto"/>
        <w:ind w:left="3970" w:leftChars="1702" w:right="1045" w:hanging="396" w:hangingChars="16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日</w:t>
      </w:r>
    </w:p>
    <w:p w14:paraId="70DF22C9">
      <w:pPr>
        <w:kinsoku/>
        <w:spacing w:line="246" w:lineRule="auto"/>
        <w:rPr>
          <w:rFonts w:ascii="宋体" w:hAnsi="宋体" w:eastAsia="宋体" w:cs="宋体"/>
          <w:color w:val="auto"/>
          <w:highlight w:val="none"/>
          <w:lang w:eastAsia="zh-CN"/>
        </w:rPr>
      </w:pPr>
    </w:p>
    <w:p w14:paraId="0B885588">
      <w:pPr>
        <w:kinsoku/>
        <w:spacing w:line="246" w:lineRule="auto"/>
        <w:rPr>
          <w:rFonts w:ascii="宋体" w:hAnsi="宋体" w:eastAsia="宋体" w:cs="宋体"/>
          <w:color w:val="auto"/>
          <w:highlight w:val="none"/>
          <w:lang w:eastAsia="zh-CN"/>
        </w:rPr>
      </w:pPr>
    </w:p>
    <w:p w14:paraId="448EE34C">
      <w:pPr>
        <w:kinsoku/>
        <w:spacing w:line="246" w:lineRule="auto"/>
        <w:rPr>
          <w:rFonts w:ascii="宋体" w:hAnsi="宋体" w:eastAsia="宋体" w:cs="宋体"/>
          <w:color w:val="auto"/>
          <w:highlight w:val="none"/>
          <w:lang w:eastAsia="zh-CN"/>
        </w:rPr>
      </w:pPr>
    </w:p>
    <w:p w14:paraId="2C2EC373">
      <w:pPr>
        <w:kinsoku/>
        <w:spacing w:line="246" w:lineRule="auto"/>
        <w:rPr>
          <w:rFonts w:ascii="宋体" w:hAnsi="宋体" w:eastAsia="宋体" w:cs="宋体"/>
          <w:color w:val="auto"/>
          <w:highlight w:val="none"/>
          <w:lang w:eastAsia="zh-CN"/>
        </w:rPr>
      </w:pPr>
    </w:p>
    <w:p w14:paraId="2700B8AC">
      <w:pPr>
        <w:kinsoku/>
        <w:spacing w:line="246" w:lineRule="auto"/>
        <w:rPr>
          <w:rFonts w:ascii="宋体" w:hAnsi="宋体" w:eastAsia="宋体" w:cs="宋体"/>
          <w:color w:val="auto"/>
          <w:highlight w:val="none"/>
          <w:lang w:eastAsia="zh-CN"/>
        </w:rPr>
      </w:pPr>
    </w:p>
    <w:p w14:paraId="28CA8FF9">
      <w:pPr>
        <w:kinsoku/>
        <w:spacing w:line="246" w:lineRule="auto"/>
        <w:rPr>
          <w:rFonts w:ascii="宋体" w:hAnsi="宋体" w:eastAsia="宋体" w:cs="宋体"/>
          <w:color w:val="auto"/>
          <w:highlight w:val="none"/>
          <w:lang w:eastAsia="zh-CN"/>
        </w:rPr>
      </w:pPr>
    </w:p>
    <w:p w14:paraId="07F4CA6B">
      <w:pPr>
        <w:kinsoku/>
        <w:spacing w:line="247" w:lineRule="auto"/>
        <w:rPr>
          <w:rFonts w:ascii="宋体" w:hAnsi="宋体" w:eastAsia="宋体" w:cs="宋体"/>
          <w:color w:val="auto"/>
          <w:highlight w:val="none"/>
          <w:lang w:eastAsia="zh-CN"/>
        </w:rPr>
      </w:pPr>
    </w:p>
    <w:p w14:paraId="146CAFBC">
      <w:pPr>
        <w:kinsoku/>
        <w:spacing w:before="69" w:line="220" w:lineRule="auto"/>
        <w:ind w:right="25"/>
        <w:jc w:val="right"/>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注：法定代表人的签字必须是亲笔签名，不得使用印章、签名章或其他电子制版签名代替。</w:t>
      </w:r>
    </w:p>
    <w:p w14:paraId="37F9B1E6">
      <w:pPr>
        <w:kinsoku/>
        <w:spacing w:line="220" w:lineRule="auto"/>
        <w:rPr>
          <w:rFonts w:ascii="宋体" w:hAnsi="宋体" w:eastAsia="宋体" w:cs="宋体"/>
          <w:color w:val="auto"/>
          <w:highlight w:val="none"/>
          <w:lang w:eastAsia="zh-CN"/>
        </w:rPr>
        <w:sectPr>
          <w:footerReference r:id="rId45" w:type="default"/>
          <w:pgSz w:w="11907" w:h="16839"/>
          <w:pgMar w:top="1173" w:right="1613" w:bottom="1254" w:left="1673" w:header="862" w:footer="1093" w:gutter="0"/>
          <w:cols w:space="720" w:num="1"/>
        </w:sectPr>
      </w:pPr>
    </w:p>
    <w:p w14:paraId="4DC8CB98">
      <w:pPr>
        <w:kinsoku/>
        <w:spacing w:before="91" w:line="225" w:lineRule="auto"/>
        <w:jc w:val="center"/>
        <w:rPr>
          <w:rFonts w:ascii="宋体" w:hAnsi="宋体" w:eastAsia="宋体" w:cs="宋体"/>
          <w:color w:val="auto"/>
          <w:sz w:val="13"/>
          <w:szCs w:val="13"/>
          <w:highlight w:val="none"/>
          <w:lang w:eastAsia="zh-CN"/>
        </w:rPr>
      </w:pPr>
      <w:bookmarkStart w:id="369" w:name="bookmark277"/>
      <w:bookmarkEnd w:id="369"/>
      <w:bookmarkStart w:id="370" w:name="bookmark278"/>
      <w:bookmarkEnd w:id="370"/>
      <w:r>
        <w:rPr>
          <w:rFonts w:hint="eastAsia" w:ascii="宋体" w:hAnsi="宋体" w:eastAsia="宋体" w:cs="宋体"/>
          <w:b/>
          <w:bCs/>
          <w:color w:val="auto"/>
          <w:sz w:val="28"/>
          <w:szCs w:val="28"/>
          <w:highlight w:val="none"/>
          <w:lang w:eastAsia="zh-CN"/>
        </w:rPr>
        <w:t>三、</w:t>
      </w:r>
      <w:r>
        <w:rPr>
          <w:rFonts w:hint="eastAsia" w:ascii="宋体" w:hAnsi="宋体" w:eastAsia="宋体" w:cs="宋体"/>
          <w:color w:val="auto"/>
          <w:sz w:val="28"/>
          <w:szCs w:val="28"/>
          <w:highlight w:val="none"/>
          <w:lang w:eastAsia="zh-CN"/>
        </w:rPr>
        <w:t>联合体协议书（如有）</w:t>
      </w:r>
    </w:p>
    <w:p w14:paraId="37ACA8D6">
      <w:pPr>
        <w:kinsoku/>
        <w:spacing w:line="354" w:lineRule="auto"/>
        <w:rPr>
          <w:rFonts w:ascii="宋体" w:hAnsi="宋体" w:eastAsia="宋体" w:cs="宋体"/>
          <w:color w:val="auto"/>
          <w:highlight w:val="none"/>
          <w:lang w:eastAsia="zh-CN"/>
        </w:rPr>
      </w:pPr>
    </w:p>
    <w:p w14:paraId="54A9F3D0">
      <w:pPr>
        <w:kinsoku/>
        <w:spacing w:line="354" w:lineRule="auto"/>
        <w:rPr>
          <w:rFonts w:ascii="宋体" w:hAnsi="宋体" w:eastAsia="宋体" w:cs="宋体"/>
          <w:color w:val="auto"/>
          <w:highlight w:val="none"/>
          <w:lang w:eastAsia="zh-CN"/>
        </w:rPr>
      </w:pPr>
    </w:p>
    <w:p w14:paraId="56A7989B">
      <w:pPr>
        <w:tabs>
          <w:tab w:val="left" w:pos="2308"/>
        </w:tabs>
        <w:kinsoku/>
        <w:spacing w:before="78" w:line="300" w:lineRule="auto"/>
        <w:ind w:left="38" w:right="1" w:firstLine="350"/>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（所有成员单位名称）自愿组成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（联合体名称）联合体，共同参加</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标段施工图设计招标投标。现就联合体投标事宜订立如下协议。</w:t>
      </w:r>
    </w:p>
    <w:p w14:paraId="39F816D1">
      <w:pPr>
        <w:kinsoku/>
        <w:spacing w:before="31" w:line="219" w:lineRule="auto"/>
        <w:ind w:right="1" w:firstLine="499" w:firstLineChars="20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（某成员单位名称）为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（联合体名称）牵头人。</w:t>
      </w:r>
    </w:p>
    <w:p w14:paraId="04D8940A">
      <w:pPr>
        <w:kinsoku/>
        <w:spacing w:before="118" w:line="298" w:lineRule="auto"/>
        <w:ind w:left="38" w:right="1" w:firstLine="46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2.联合体各成员授权牵头人代表联合体参加投标活动，签署文件，提交和接收相关的资料、信息及指示，进行合同谈判活动，负责合同实施阶段的组织和协调工作，以及处理与本招标项目有关的一切事宜。</w:t>
      </w:r>
    </w:p>
    <w:p w14:paraId="6C05F79F">
      <w:pPr>
        <w:kinsoku/>
        <w:spacing w:before="34" w:line="299" w:lineRule="auto"/>
        <w:ind w:left="39" w:right="1" w:firstLine="46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3.联合体牵头人在本项目中签署的一切文件和处理的一切事宜，联合体各成员均予以承认。联合体各成员将严格按照招标文件、投标文件和合同的要求全面履行义务，并向招标人承担连带责任。</w:t>
      </w:r>
    </w:p>
    <w:p w14:paraId="226CB0E8">
      <w:pPr>
        <w:kinsoku/>
        <w:spacing w:before="35" w:line="303" w:lineRule="auto"/>
        <w:ind w:left="77" w:right="1" w:firstLine="43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4.联合体各成员单位内部的职责分工如下：</w:t>
      </w:r>
      <w:r>
        <w:rPr>
          <w:rFonts w:hint="eastAsia" w:ascii="宋体" w:hAnsi="宋体" w:eastAsia="宋体" w:cs="宋体"/>
          <w:color w:val="auto"/>
          <w:sz w:val="24"/>
          <w:szCs w:val="24"/>
          <w:highlight w:val="none"/>
          <w:u w:val="single"/>
          <w:lang w:eastAsia="zh-CN"/>
        </w:rPr>
        <w:t>（牵头人名称）</w:t>
      </w:r>
      <w:r>
        <w:rPr>
          <w:rFonts w:hint="eastAsia" w:ascii="宋体" w:hAnsi="宋体" w:eastAsia="宋体" w:cs="宋体"/>
          <w:color w:val="auto"/>
          <w:sz w:val="24"/>
          <w:szCs w:val="24"/>
          <w:highlight w:val="none"/>
          <w:lang w:eastAsia="zh-CN"/>
        </w:rPr>
        <w:t>承担</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专业工程，占总工程量的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r>
        <w:rPr>
          <w:rFonts w:hint="eastAsia" w:ascii="宋体" w:hAnsi="宋体" w:eastAsia="宋体" w:cs="宋体"/>
          <w:color w:val="auto"/>
          <w:sz w:val="24"/>
          <w:szCs w:val="24"/>
          <w:highlight w:val="none"/>
          <w:u w:val="single"/>
          <w:lang w:eastAsia="zh-CN"/>
        </w:rPr>
        <w:t>（成员一名称）</w:t>
      </w:r>
      <w:r>
        <w:rPr>
          <w:rFonts w:hint="eastAsia" w:ascii="宋体" w:hAnsi="宋体" w:eastAsia="宋体" w:cs="宋体"/>
          <w:color w:val="auto"/>
          <w:sz w:val="24"/>
          <w:szCs w:val="24"/>
          <w:highlight w:val="none"/>
          <w:lang w:eastAsia="zh-CN"/>
        </w:rPr>
        <w:t>承担</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专业工程，占总工程量的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12CC96B2">
      <w:pPr>
        <w:kinsoku/>
        <w:spacing w:before="11" w:line="295" w:lineRule="auto"/>
        <w:ind w:left="38" w:right="1" w:firstLine="482"/>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5.投标工作和联合体在中标后工程实施过程中的有关费用按各自承担的工作量分摊。</w:t>
      </w:r>
    </w:p>
    <w:p w14:paraId="529B6039">
      <w:pPr>
        <w:kinsoku/>
        <w:spacing w:before="35" w:line="293" w:lineRule="auto"/>
        <w:ind w:left="40" w:right="1" w:firstLine="47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6.本协议书自所有成员单位法定代表人签字或盖单位章之日起生效，合同履行完毕后自动失效。</w:t>
      </w:r>
    </w:p>
    <w:p w14:paraId="7DC1E208">
      <w:pPr>
        <w:kinsoku/>
        <w:spacing w:before="37" w:line="219" w:lineRule="auto"/>
        <w:ind w:left="517"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7.本协议书一式</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份，联合体成员和招标人各执一份。</w:t>
      </w:r>
    </w:p>
    <w:p w14:paraId="40912712">
      <w:pPr>
        <w:kinsoku/>
        <w:spacing w:line="434" w:lineRule="auto"/>
        <w:ind w:right="1"/>
        <w:rPr>
          <w:rFonts w:ascii="宋体" w:hAnsi="宋体" w:eastAsia="宋体" w:cs="宋体"/>
          <w:color w:val="auto"/>
          <w:highlight w:val="none"/>
          <w:lang w:eastAsia="zh-CN"/>
        </w:rPr>
      </w:pPr>
    </w:p>
    <w:p w14:paraId="4506D2F1">
      <w:pPr>
        <w:kinsoku/>
        <w:spacing w:before="78" w:line="295" w:lineRule="auto"/>
        <w:ind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联合体牵头人名称：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 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11942076">
      <w:pPr>
        <w:kinsoku/>
        <w:spacing w:line="353" w:lineRule="auto"/>
        <w:ind w:right="1"/>
        <w:rPr>
          <w:rFonts w:ascii="宋体" w:hAnsi="宋体" w:eastAsia="宋体" w:cs="宋体"/>
          <w:color w:val="auto"/>
          <w:highlight w:val="none"/>
          <w:lang w:eastAsia="zh-CN"/>
        </w:rPr>
      </w:pPr>
    </w:p>
    <w:p w14:paraId="6BE53B42">
      <w:pPr>
        <w:kinsoku/>
        <w:spacing w:before="79" w:line="295" w:lineRule="auto"/>
        <w:ind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联合体牵头人名称：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 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5D8438E5">
      <w:pPr>
        <w:kinsoku/>
        <w:spacing w:line="352" w:lineRule="auto"/>
        <w:ind w:right="1"/>
        <w:rPr>
          <w:rFonts w:ascii="宋体" w:hAnsi="宋体" w:eastAsia="宋体" w:cs="宋体"/>
          <w:color w:val="auto"/>
          <w:highlight w:val="none"/>
          <w:lang w:eastAsia="zh-CN"/>
        </w:rPr>
      </w:pPr>
    </w:p>
    <w:p w14:paraId="5EE0897E">
      <w:pPr>
        <w:kinsoku/>
        <w:spacing w:before="78" w:line="295" w:lineRule="auto"/>
        <w:ind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联合体牵头人名称：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 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21EC0EE8">
      <w:pPr>
        <w:kinsoku/>
        <w:spacing w:before="230" w:line="75" w:lineRule="exact"/>
        <w:ind w:left="535"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p>
    <w:p w14:paraId="1622A194">
      <w:pPr>
        <w:tabs>
          <w:tab w:val="left" w:pos="6670"/>
        </w:tabs>
        <w:kinsoku/>
        <w:spacing w:before="128" w:line="220" w:lineRule="auto"/>
        <w:ind w:right="421"/>
        <w:jc w:val="right"/>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年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5E98FE8E">
      <w:pPr>
        <w:kinsoku/>
        <w:spacing w:line="288" w:lineRule="auto"/>
        <w:rPr>
          <w:rFonts w:ascii="宋体" w:hAnsi="宋体" w:eastAsia="宋体" w:cs="宋体"/>
          <w:color w:val="auto"/>
          <w:highlight w:val="none"/>
          <w:lang w:eastAsia="zh-CN"/>
        </w:rPr>
      </w:pPr>
    </w:p>
    <w:p w14:paraId="62E9846E">
      <w:pPr>
        <w:kinsoku/>
        <w:rPr>
          <w:rFonts w:ascii="宋体" w:hAnsi="宋体" w:eastAsia="宋体" w:cs="宋体"/>
          <w:color w:val="auto"/>
          <w:sz w:val="28"/>
          <w:szCs w:val="28"/>
          <w:highlight w:val="none"/>
          <w:lang w:eastAsia="zh-CN"/>
        </w:rPr>
      </w:pPr>
      <w:bookmarkStart w:id="371" w:name="bookmark280"/>
      <w:bookmarkEnd w:id="371"/>
      <w:bookmarkStart w:id="372" w:name="bookmark279"/>
      <w:bookmarkEnd w:id="372"/>
      <w:r>
        <w:rPr>
          <w:rFonts w:hint="eastAsia" w:ascii="宋体" w:hAnsi="宋体" w:eastAsia="宋体" w:cs="宋体"/>
          <w:color w:val="auto"/>
          <w:sz w:val="28"/>
          <w:szCs w:val="28"/>
          <w:highlight w:val="none"/>
          <w:lang w:eastAsia="zh-CN"/>
        </w:rPr>
        <w:br w:type="page"/>
      </w:r>
    </w:p>
    <w:p w14:paraId="00B6B375">
      <w:pPr>
        <w:kinsoku/>
        <w:spacing w:before="91" w:line="220" w:lineRule="auto"/>
        <w:ind w:left="3356"/>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四、投标保证金</w:t>
      </w:r>
    </w:p>
    <w:p w14:paraId="603DDAC3">
      <w:pPr>
        <w:kinsoku/>
        <w:spacing w:line="469" w:lineRule="auto"/>
        <w:rPr>
          <w:rFonts w:ascii="宋体" w:hAnsi="宋体" w:eastAsia="宋体" w:cs="宋体"/>
          <w:color w:val="auto"/>
          <w:highlight w:val="none"/>
          <w:lang w:eastAsia="zh-CN"/>
        </w:rPr>
      </w:pPr>
    </w:p>
    <w:p w14:paraId="41A36F05">
      <w:pPr>
        <w:kinsoku/>
        <w:spacing w:before="78" w:line="219" w:lineRule="auto"/>
        <w:ind w:firstLine="499" w:firstLineChars="208"/>
        <w:rPr>
          <w:rFonts w:ascii="宋体" w:hAnsi="宋体" w:cs="宋体"/>
          <w:color w:val="auto"/>
          <w:sz w:val="24"/>
          <w:highlight w:val="none"/>
          <w:lang w:eastAsia="zh-CN"/>
        </w:rPr>
      </w:pPr>
      <w:r>
        <w:rPr>
          <w:rFonts w:hint="eastAsia" w:ascii="宋体" w:hAnsi="宋体" w:cs="宋体"/>
          <w:color w:val="auto"/>
          <w:sz w:val="24"/>
          <w:highlight w:val="none"/>
          <w:lang w:eastAsia="zh-CN"/>
        </w:rPr>
        <w:t>若采用现金或支票，投标人应在此提供交易中心确认过的缴款证明（投标人可登陆交易中心网站投标人投标保证金管理界面打印缴款证明）及汇款凭证的复印件。</w:t>
      </w:r>
    </w:p>
    <w:p w14:paraId="567759F9">
      <w:pPr>
        <w:kinsoku/>
        <w:spacing w:before="78" w:line="219" w:lineRule="auto"/>
        <w:ind w:firstLine="499" w:firstLineChars="20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如采用银行保函，银行保函复印件装订在投标文件中，格式如下。</w:t>
      </w:r>
    </w:p>
    <w:p w14:paraId="5B2A58BE">
      <w:pPr>
        <w:kinsoku/>
        <w:spacing w:line="249" w:lineRule="auto"/>
        <w:rPr>
          <w:rFonts w:ascii="宋体" w:hAnsi="宋体" w:eastAsia="宋体" w:cs="宋体"/>
          <w:color w:val="auto"/>
          <w:highlight w:val="none"/>
          <w:lang w:eastAsia="zh-CN"/>
        </w:rPr>
      </w:pPr>
    </w:p>
    <w:p w14:paraId="049EB7D3">
      <w:pPr>
        <w:kinsoku/>
        <w:spacing w:line="249" w:lineRule="auto"/>
        <w:rPr>
          <w:rFonts w:ascii="宋体" w:hAnsi="宋体" w:eastAsia="宋体" w:cs="宋体"/>
          <w:color w:val="auto"/>
          <w:highlight w:val="none"/>
          <w:lang w:eastAsia="zh-CN"/>
        </w:rPr>
      </w:pPr>
    </w:p>
    <w:p w14:paraId="221BCFAD">
      <w:pPr>
        <w:tabs>
          <w:tab w:val="left" w:pos="1948"/>
        </w:tabs>
        <w:kinsoku/>
        <w:spacing w:before="78" w:line="220" w:lineRule="auto"/>
        <w:ind w:left="2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（招标人名称）：</w:t>
      </w:r>
    </w:p>
    <w:p w14:paraId="10785960">
      <w:pPr>
        <w:kinsoku/>
        <w:spacing w:line="254" w:lineRule="auto"/>
        <w:rPr>
          <w:rFonts w:ascii="宋体" w:hAnsi="宋体" w:eastAsia="宋体" w:cs="宋体"/>
          <w:color w:val="auto"/>
          <w:highlight w:val="none"/>
          <w:lang w:eastAsia="zh-CN"/>
        </w:rPr>
      </w:pPr>
    </w:p>
    <w:p w14:paraId="679A0A8E">
      <w:pPr>
        <w:kinsoku/>
        <w:spacing w:line="255" w:lineRule="auto"/>
        <w:rPr>
          <w:rFonts w:ascii="宋体" w:hAnsi="宋体" w:eastAsia="宋体" w:cs="宋体"/>
          <w:color w:val="auto"/>
          <w:highlight w:val="none"/>
          <w:lang w:eastAsia="zh-CN"/>
        </w:rPr>
      </w:pPr>
    </w:p>
    <w:p w14:paraId="4315CAFA">
      <w:pPr>
        <w:kinsoku/>
        <w:spacing w:before="79" w:line="335" w:lineRule="auto"/>
        <w:ind w:left="37" w:right="26" w:firstLine="483"/>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鉴于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（投标人名称）（以下称“投标人”）于</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日参加</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标段施工图设计的投标，</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担保人名称，以下简称“我方”）无条件地、不可撤销地保证：若投标人在投标有效期内撤销投标文件，中标后无正当理由不与招标人订立合同，在签订合同时向招标人提出附加条件，不按照招标文件要求提交履约保证金，或发生招标文件明确规定可以不予退还投标保证金的其他情形，我方承担保证责任。收到你方书面通知后，我方在7日内向你方无条件支付人民币（大写）</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元。</w:t>
      </w:r>
    </w:p>
    <w:p w14:paraId="5CDD6642">
      <w:pPr>
        <w:kinsoku/>
        <w:spacing w:before="34" w:line="325" w:lineRule="auto"/>
        <w:ind w:left="37" w:right="1" w:firstLine="48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本保函在投标有效期或经延长的投标有效期内保持有效。要求我方承担保证责任的通知应在上述期限内送达我方。你方延长投标有效期的决定，应通知我方。</w:t>
      </w:r>
    </w:p>
    <w:p w14:paraId="05088950">
      <w:pPr>
        <w:kinsoku/>
        <w:spacing w:line="244" w:lineRule="auto"/>
        <w:rPr>
          <w:rFonts w:ascii="宋体" w:hAnsi="宋体" w:eastAsia="宋体" w:cs="宋体"/>
          <w:color w:val="auto"/>
          <w:highlight w:val="none"/>
          <w:lang w:eastAsia="zh-CN"/>
        </w:rPr>
      </w:pPr>
    </w:p>
    <w:p w14:paraId="5D8CC0E1">
      <w:pPr>
        <w:kinsoku/>
        <w:spacing w:line="244" w:lineRule="auto"/>
        <w:rPr>
          <w:rFonts w:ascii="宋体" w:hAnsi="宋体" w:eastAsia="宋体" w:cs="宋体"/>
          <w:color w:val="auto"/>
          <w:highlight w:val="none"/>
          <w:lang w:eastAsia="zh-CN"/>
        </w:rPr>
      </w:pPr>
    </w:p>
    <w:p w14:paraId="4C48EC26">
      <w:pPr>
        <w:kinsoku/>
        <w:spacing w:line="244" w:lineRule="auto"/>
        <w:rPr>
          <w:rFonts w:ascii="宋体" w:hAnsi="宋体" w:eastAsia="宋体" w:cs="宋体"/>
          <w:color w:val="auto"/>
          <w:highlight w:val="none"/>
          <w:lang w:eastAsia="zh-CN"/>
        </w:rPr>
      </w:pPr>
    </w:p>
    <w:p w14:paraId="63CB28D1">
      <w:pPr>
        <w:kinsoku/>
        <w:spacing w:line="244" w:lineRule="auto"/>
        <w:rPr>
          <w:rFonts w:ascii="宋体" w:hAnsi="宋体" w:eastAsia="宋体" w:cs="宋体"/>
          <w:color w:val="auto"/>
          <w:highlight w:val="none"/>
          <w:lang w:eastAsia="zh-CN"/>
        </w:rPr>
      </w:pPr>
    </w:p>
    <w:p w14:paraId="12666D0F">
      <w:pPr>
        <w:kinsoku/>
        <w:spacing w:line="244" w:lineRule="auto"/>
        <w:rPr>
          <w:rFonts w:ascii="宋体" w:hAnsi="宋体" w:eastAsia="宋体" w:cs="宋体"/>
          <w:color w:val="auto"/>
          <w:highlight w:val="none"/>
          <w:lang w:eastAsia="zh-CN"/>
        </w:rPr>
      </w:pPr>
    </w:p>
    <w:p w14:paraId="72E7EDCC">
      <w:pPr>
        <w:kinsoku/>
        <w:spacing w:line="244" w:lineRule="auto"/>
        <w:rPr>
          <w:rFonts w:ascii="宋体" w:hAnsi="宋体" w:eastAsia="宋体" w:cs="宋体"/>
          <w:color w:val="auto"/>
          <w:highlight w:val="none"/>
          <w:lang w:eastAsia="zh-CN"/>
        </w:rPr>
      </w:pPr>
    </w:p>
    <w:p w14:paraId="14A2D6F6">
      <w:pPr>
        <w:tabs>
          <w:tab w:val="left" w:pos="8620"/>
        </w:tabs>
        <w:kinsoku/>
        <w:spacing w:before="79" w:line="333" w:lineRule="auto"/>
        <w:ind w:left="2018" w:right="-19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担保人名称：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p>
    <w:p w14:paraId="7D923B9D">
      <w:pPr>
        <w:kinsoku/>
        <w:spacing w:before="79" w:line="333" w:lineRule="auto"/>
        <w:ind w:left="2018" w:right="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65CDD881">
      <w:pPr>
        <w:kinsoku/>
        <w:spacing w:before="79" w:line="333" w:lineRule="auto"/>
        <w:ind w:left="2018" w:right="14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eastAsia="zh-CN"/>
        </w:rPr>
        <w:t xml:space="preserve">                                         </w:t>
      </w:r>
    </w:p>
    <w:p w14:paraId="2C3CC992">
      <w:pPr>
        <w:kinsoku/>
        <w:spacing w:before="19" w:line="326" w:lineRule="auto"/>
        <w:ind w:left="2045" w:right="609" w:hanging="1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邮政编码：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79A04CB1">
      <w:pPr>
        <w:kinsoku/>
        <w:spacing w:before="19" w:line="326" w:lineRule="auto"/>
        <w:ind w:left="2045" w:right="609" w:hanging="1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    话：</w:t>
      </w:r>
      <w:r>
        <w:rPr>
          <w:rFonts w:hint="eastAsia" w:ascii="宋体" w:hAnsi="宋体" w:eastAsia="宋体" w:cs="宋体"/>
          <w:color w:val="auto"/>
          <w:sz w:val="24"/>
          <w:szCs w:val="24"/>
          <w:highlight w:val="none"/>
          <w:u w:val="single"/>
          <w:lang w:eastAsia="zh-CN"/>
        </w:rPr>
        <w:t xml:space="preserve">                                        </w:t>
      </w:r>
    </w:p>
    <w:p w14:paraId="51BAC24B">
      <w:pPr>
        <w:tabs>
          <w:tab w:val="left" w:pos="6029"/>
        </w:tabs>
        <w:kinsoku/>
        <w:spacing w:before="33" w:line="325" w:lineRule="auto"/>
        <w:ind w:left="5069" w:right="429" w:hanging="3053"/>
        <w:rPr>
          <w:rFonts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传    真：</w:t>
      </w:r>
      <w:r>
        <w:rPr>
          <w:rFonts w:hint="eastAsia" w:ascii="宋体" w:hAnsi="宋体" w:eastAsia="宋体" w:cs="宋体"/>
          <w:color w:val="auto"/>
          <w:sz w:val="24"/>
          <w:szCs w:val="24"/>
          <w:highlight w:val="none"/>
          <w:u w:val="single"/>
          <w:lang w:eastAsia="zh-CN"/>
        </w:rPr>
        <w:t xml:space="preserve">                                         </w:t>
      </w:r>
    </w:p>
    <w:p w14:paraId="672D1007">
      <w:pPr>
        <w:tabs>
          <w:tab w:val="left" w:pos="6029"/>
        </w:tabs>
        <w:kinsoku/>
        <w:spacing w:before="33" w:line="325" w:lineRule="auto"/>
        <w:ind w:left="4858" w:leftChars="1684" w:right="429" w:hanging="1322" w:hangingChars="551"/>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1CB7607C">
      <w:pPr>
        <w:pStyle w:val="20"/>
        <w:spacing w:line="240" w:lineRule="auto"/>
        <w:rPr>
          <w:color w:val="auto"/>
          <w:sz w:val="18"/>
          <w:highlight w:val="none"/>
          <w:lang w:eastAsia="zh-CN"/>
        </w:rPr>
      </w:pPr>
    </w:p>
    <w:p w14:paraId="14A62818">
      <w:pPr>
        <w:pStyle w:val="20"/>
        <w:spacing w:line="360" w:lineRule="auto"/>
        <w:ind w:firstLine="360"/>
        <w:rPr>
          <w:color w:val="auto"/>
          <w:highlight w:val="none"/>
          <w:lang w:eastAsia="zh-CN"/>
        </w:rPr>
      </w:pPr>
      <w:r>
        <w:rPr>
          <w:color w:val="auto"/>
          <w:sz w:val="18"/>
          <w:highlight w:val="none"/>
          <w:lang w:eastAsia="zh-CN"/>
        </w:rPr>
        <w:t>注：本保函格式只作为参考</w:t>
      </w:r>
      <w:r>
        <w:rPr>
          <w:rFonts w:hint="eastAsia"/>
          <w:color w:val="auto"/>
          <w:sz w:val="18"/>
          <w:highlight w:val="none"/>
          <w:lang w:eastAsia="zh-CN"/>
        </w:rPr>
        <w:t>，</w:t>
      </w:r>
      <w:r>
        <w:rPr>
          <w:color w:val="auto"/>
          <w:sz w:val="18"/>
          <w:highlight w:val="none"/>
          <w:lang w:eastAsia="zh-CN"/>
        </w:rPr>
        <w:t>投标人可根据当地银行及相关规定的格式填写</w:t>
      </w:r>
      <w:r>
        <w:rPr>
          <w:rFonts w:hint="eastAsia"/>
          <w:color w:val="auto"/>
          <w:sz w:val="18"/>
          <w:highlight w:val="none"/>
          <w:lang w:eastAsia="zh-CN"/>
        </w:rPr>
        <w:t>，</w:t>
      </w:r>
      <w:r>
        <w:rPr>
          <w:color w:val="auto"/>
          <w:sz w:val="18"/>
          <w:highlight w:val="none"/>
          <w:lang w:eastAsia="zh-CN"/>
        </w:rPr>
        <w:t>但主要内容须与本保函内容原则上保持一致。</w:t>
      </w:r>
    </w:p>
    <w:p w14:paraId="2325691B">
      <w:pPr>
        <w:kinsoku/>
        <w:spacing w:line="325" w:lineRule="auto"/>
        <w:rPr>
          <w:rFonts w:ascii="宋体" w:hAnsi="宋体" w:eastAsia="宋体" w:cs="宋体"/>
          <w:color w:val="auto"/>
          <w:sz w:val="24"/>
          <w:szCs w:val="24"/>
          <w:highlight w:val="none"/>
          <w:lang w:eastAsia="zh-CN"/>
        </w:rPr>
        <w:sectPr>
          <w:footerReference r:id="rId46" w:type="default"/>
          <w:pgSz w:w="11907" w:h="16839"/>
          <w:pgMar w:top="1173" w:right="1613" w:bottom="1254" w:left="1673" w:header="862" w:footer="1093" w:gutter="0"/>
          <w:cols w:space="720" w:num="1"/>
        </w:sectPr>
      </w:pPr>
    </w:p>
    <w:p w14:paraId="5F3AB00C">
      <w:pPr>
        <w:kinsoku/>
        <w:spacing w:before="91" w:line="219" w:lineRule="auto"/>
        <w:ind w:left="3011"/>
        <w:rPr>
          <w:rFonts w:ascii="宋体" w:hAnsi="宋体" w:eastAsia="宋体" w:cs="宋体"/>
          <w:color w:val="auto"/>
          <w:sz w:val="28"/>
          <w:szCs w:val="28"/>
          <w:highlight w:val="none"/>
        </w:rPr>
      </w:pPr>
      <w:bookmarkStart w:id="373" w:name="bookmark281"/>
      <w:bookmarkEnd w:id="373"/>
      <w:bookmarkStart w:id="374" w:name="bookmark282"/>
      <w:bookmarkEnd w:id="374"/>
      <w:r>
        <w:rPr>
          <w:rFonts w:hint="eastAsia" w:ascii="宋体" w:hAnsi="宋体" w:eastAsia="宋体" w:cs="宋体"/>
          <w:color w:val="auto"/>
          <w:sz w:val="28"/>
          <w:szCs w:val="28"/>
          <w:highlight w:val="none"/>
        </w:rPr>
        <w:t>五、拟分包项目情况表</w:t>
      </w:r>
    </w:p>
    <w:p w14:paraId="1395EAAA">
      <w:pPr>
        <w:kinsoku/>
        <w:spacing w:before="187"/>
        <w:rPr>
          <w:rFonts w:ascii="宋体" w:hAnsi="宋体" w:eastAsia="宋体" w:cs="宋体"/>
          <w:color w:val="auto"/>
          <w:highlight w:val="none"/>
        </w:rPr>
      </w:pPr>
    </w:p>
    <w:tbl>
      <w:tblPr>
        <w:tblStyle w:val="21"/>
        <w:tblW w:w="846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59"/>
        <w:gridCol w:w="1656"/>
        <w:gridCol w:w="1559"/>
        <w:gridCol w:w="2041"/>
        <w:gridCol w:w="1350"/>
      </w:tblGrid>
      <w:tr w14:paraId="43A779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vAlign w:val="center"/>
          </w:tcPr>
          <w:p w14:paraId="7C4655F4">
            <w:pPr>
              <w:kinsoku/>
              <w:spacing w:before="177" w:line="309" w:lineRule="auto"/>
              <w:ind w:right="27" w:rightChars="13" w:firstLine="6"/>
              <w:jc w:val="center"/>
              <w:rPr>
                <w:rFonts w:ascii="宋体" w:hAnsi="宋体" w:eastAsia="宋体" w:cs="宋体"/>
                <w:color w:val="auto"/>
                <w:highlight w:val="none"/>
              </w:rPr>
            </w:pPr>
            <w:r>
              <w:rPr>
                <w:rFonts w:hint="eastAsia" w:ascii="宋体" w:hAnsi="宋体" w:eastAsia="宋体" w:cs="宋体"/>
                <w:color w:val="auto"/>
                <w:highlight w:val="none"/>
              </w:rPr>
              <w:t>拟分包的工程项目</w:t>
            </w:r>
          </w:p>
        </w:tc>
        <w:tc>
          <w:tcPr>
            <w:tcW w:w="1656" w:type="dxa"/>
            <w:vAlign w:val="center"/>
          </w:tcPr>
          <w:p w14:paraId="76B58B59">
            <w:pPr>
              <w:kinsoku/>
              <w:spacing w:before="68" w:line="221" w:lineRule="auto"/>
              <w:ind w:right="27" w:rightChars="13" w:firstLine="6"/>
              <w:jc w:val="center"/>
              <w:rPr>
                <w:rFonts w:ascii="宋体" w:hAnsi="宋体" w:eastAsia="宋体" w:cs="宋体"/>
                <w:color w:val="auto"/>
                <w:highlight w:val="none"/>
              </w:rPr>
            </w:pPr>
            <w:r>
              <w:rPr>
                <w:rFonts w:hint="eastAsia" w:ascii="宋体" w:hAnsi="宋体" w:eastAsia="宋体" w:cs="宋体"/>
                <w:color w:val="auto"/>
                <w:highlight w:val="none"/>
              </w:rPr>
              <w:t>主要工程内容</w:t>
            </w:r>
          </w:p>
        </w:tc>
        <w:tc>
          <w:tcPr>
            <w:tcW w:w="1559" w:type="dxa"/>
            <w:vAlign w:val="center"/>
          </w:tcPr>
          <w:p w14:paraId="28A7FC79">
            <w:pPr>
              <w:kinsoku/>
              <w:spacing w:before="68" w:line="221" w:lineRule="auto"/>
              <w:ind w:right="27" w:rightChars="13" w:firstLine="6"/>
              <w:jc w:val="center"/>
              <w:rPr>
                <w:rFonts w:ascii="宋体" w:hAnsi="宋体" w:eastAsia="宋体" w:cs="宋体"/>
                <w:color w:val="auto"/>
                <w:highlight w:val="none"/>
              </w:rPr>
            </w:pPr>
            <w:r>
              <w:rPr>
                <w:rFonts w:hint="eastAsia" w:ascii="宋体" w:hAnsi="宋体" w:eastAsia="宋体" w:cs="宋体"/>
                <w:color w:val="auto"/>
                <w:highlight w:val="none"/>
              </w:rPr>
              <w:t>勘察设计任务</w:t>
            </w:r>
          </w:p>
        </w:tc>
        <w:tc>
          <w:tcPr>
            <w:tcW w:w="2041" w:type="dxa"/>
            <w:vAlign w:val="center"/>
          </w:tcPr>
          <w:p w14:paraId="564870D2">
            <w:pPr>
              <w:kinsoku/>
              <w:spacing w:before="175" w:line="289" w:lineRule="auto"/>
              <w:ind w:right="27" w:rightChars="13" w:firstLine="6"/>
              <w:jc w:val="center"/>
              <w:rPr>
                <w:rFonts w:ascii="宋体" w:hAnsi="宋体" w:eastAsia="宋体" w:cs="宋体"/>
                <w:color w:val="auto"/>
                <w:sz w:val="24"/>
                <w:szCs w:val="24"/>
                <w:highlight w:val="none"/>
                <w:lang w:eastAsia="zh-CN"/>
              </w:rPr>
            </w:pPr>
            <w:r>
              <w:rPr>
                <w:rFonts w:hint="eastAsia" w:ascii="宋体" w:hAnsi="宋体" w:eastAsia="宋体" w:cs="宋体"/>
                <w:color w:val="auto"/>
                <w:highlight w:val="none"/>
                <w:lang w:eastAsia="zh-CN"/>
              </w:rPr>
              <w:t>分包工作量占总工作量的比例</w:t>
            </w:r>
            <w:r>
              <w:rPr>
                <w:rFonts w:hint="eastAsia" w:ascii="宋体" w:hAnsi="宋体" w:eastAsia="宋体" w:cs="宋体"/>
                <w:color w:val="auto"/>
                <w:sz w:val="24"/>
                <w:szCs w:val="24"/>
                <w:highlight w:val="none"/>
                <w:lang w:eastAsia="zh-CN"/>
              </w:rPr>
              <w:t>（%）</w:t>
            </w:r>
          </w:p>
        </w:tc>
        <w:tc>
          <w:tcPr>
            <w:tcW w:w="1350" w:type="dxa"/>
            <w:vAlign w:val="center"/>
          </w:tcPr>
          <w:p w14:paraId="676DD1AC">
            <w:pPr>
              <w:kinsoku/>
              <w:spacing w:before="68" w:line="222" w:lineRule="auto"/>
              <w:ind w:right="27" w:rightChars="13" w:firstLine="6"/>
              <w:jc w:val="center"/>
              <w:rPr>
                <w:rFonts w:ascii="宋体" w:hAnsi="宋体" w:eastAsia="宋体" w:cs="宋体"/>
                <w:color w:val="auto"/>
                <w:highlight w:val="none"/>
              </w:rPr>
            </w:pPr>
            <w:r>
              <w:rPr>
                <w:rFonts w:hint="eastAsia" w:ascii="宋体" w:hAnsi="宋体" w:eastAsia="宋体" w:cs="宋体"/>
                <w:color w:val="auto"/>
                <w:highlight w:val="none"/>
              </w:rPr>
              <w:t>备注</w:t>
            </w:r>
          </w:p>
        </w:tc>
      </w:tr>
      <w:tr w14:paraId="1657DF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7598B919">
            <w:pPr>
              <w:kinsoku/>
              <w:rPr>
                <w:rFonts w:ascii="宋体" w:hAnsi="宋体" w:eastAsia="宋体" w:cs="宋体"/>
                <w:color w:val="auto"/>
                <w:highlight w:val="none"/>
              </w:rPr>
            </w:pPr>
          </w:p>
        </w:tc>
        <w:tc>
          <w:tcPr>
            <w:tcW w:w="1656" w:type="dxa"/>
          </w:tcPr>
          <w:p w14:paraId="366E8CEE">
            <w:pPr>
              <w:kinsoku/>
              <w:rPr>
                <w:rFonts w:ascii="宋体" w:hAnsi="宋体" w:eastAsia="宋体" w:cs="宋体"/>
                <w:color w:val="auto"/>
                <w:highlight w:val="none"/>
              </w:rPr>
            </w:pPr>
          </w:p>
        </w:tc>
        <w:tc>
          <w:tcPr>
            <w:tcW w:w="1559" w:type="dxa"/>
          </w:tcPr>
          <w:p w14:paraId="5B543FCC">
            <w:pPr>
              <w:kinsoku/>
              <w:rPr>
                <w:rFonts w:ascii="宋体" w:hAnsi="宋体" w:eastAsia="宋体" w:cs="宋体"/>
                <w:color w:val="auto"/>
                <w:highlight w:val="none"/>
              </w:rPr>
            </w:pPr>
          </w:p>
        </w:tc>
        <w:tc>
          <w:tcPr>
            <w:tcW w:w="2041" w:type="dxa"/>
          </w:tcPr>
          <w:p w14:paraId="1760A2D3">
            <w:pPr>
              <w:kinsoku/>
              <w:rPr>
                <w:rFonts w:ascii="宋体" w:hAnsi="宋体" w:eastAsia="宋体" w:cs="宋体"/>
                <w:color w:val="auto"/>
                <w:highlight w:val="none"/>
              </w:rPr>
            </w:pPr>
          </w:p>
        </w:tc>
        <w:tc>
          <w:tcPr>
            <w:tcW w:w="1350" w:type="dxa"/>
            <w:vMerge w:val="restart"/>
            <w:tcBorders>
              <w:bottom w:val="nil"/>
            </w:tcBorders>
            <w:vAlign w:val="center"/>
          </w:tcPr>
          <w:p w14:paraId="75046896">
            <w:pPr>
              <w:kinsoku/>
              <w:spacing w:before="69" w:line="343" w:lineRule="auto"/>
              <w:ind w:left="116" w:right="105"/>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若无分包计划，则投标人应在本表填写“无”</w:t>
            </w:r>
          </w:p>
        </w:tc>
      </w:tr>
      <w:tr w14:paraId="6E0373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75EFEDBF">
            <w:pPr>
              <w:kinsoku/>
              <w:rPr>
                <w:rFonts w:ascii="宋体" w:hAnsi="宋体" w:eastAsia="宋体" w:cs="宋体"/>
                <w:color w:val="auto"/>
                <w:highlight w:val="none"/>
                <w:lang w:eastAsia="zh-CN"/>
              </w:rPr>
            </w:pPr>
          </w:p>
        </w:tc>
        <w:tc>
          <w:tcPr>
            <w:tcW w:w="1656" w:type="dxa"/>
          </w:tcPr>
          <w:p w14:paraId="70A172F1">
            <w:pPr>
              <w:kinsoku/>
              <w:rPr>
                <w:rFonts w:ascii="宋体" w:hAnsi="宋体" w:eastAsia="宋体" w:cs="宋体"/>
                <w:color w:val="auto"/>
                <w:highlight w:val="none"/>
                <w:lang w:eastAsia="zh-CN"/>
              </w:rPr>
            </w:pPr>
          </w:p>
        </w:tc>
        <w:tc>
          <w:tcPr>
            <w:tcW w:w="1559" w:type="dxa"/>
          </w:tcPr>
          <w:p w14:paraId="4AEDA28F">
            <w:pPr>
              <w:kinsoku/>
              <w:rPr>
                <w:rFonts w:ascii="宋体" w:hAnsi="宋体" w:eastAsia="宋体" w:cs="宋体"/>
                <w:color w:val="auto"/>
                <w:highlight w:val="none"/>
                <w:lang w:eastAsia="zh-CN"/>
              </w:rPr>
            </w:pPr>
          </w:p>
        </w:tc>
        <w:tc>
          <w:tcPr>
            <w:tcW w:w="2041" w:type="dxa"/>
          </w:tcPr>
          <w:p w14:paraId="68AF8D3B">
            <w:pPr>
              <w:kinsoku/>
              <w:rPr>
                <w:rFonts w:ascii="宋体" w:hAnsi="宋体" w:eastAsia="宋体" w:cs="宋体"/>
                <w:color w:val="auto"/>
                <w:highlight w:val="none"/>
                <w:lang w:eastAsia="zh-CN"/>
              </w:rPr>
            </w:pPr>
          </w:p>
        </w:tc>
        <w:tc>
          <w:tcPr>
            <w:tcW w:w="1350" w:type="dxa"/>
            <w:vMerge w:val="continue"/>
            <w:tcBorders>
              <w:top w:val="nil"/>
              <w:bottom w:val="nil"/>
            </w:tcBorders>
          </w:tcPr>
          <w:p w14:paraId="48EDEEE5">
            <w:pPr>
              <w:kinsoku/>
              <w:rPr>
                <w:rFonts w:ascii="宋体" w:hAnsi="宋体" w:eastAsia="宋体" w:cs="宋体"/>
                <w:color w:val="auto"/>
                <w:highlight w:val="none"/>
                <w:lang w:eastAsia="zh-CN"/>
              </w:rPr>
            </w:pPr>
          </w:p>
        </w:tc>
      </w:tr>
      <w:tr w14:paraId="0F3B33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35E389C5">
            <w:pPr>
              <w:kinsoku/>
              <w:rPr>
                <w:rFonts w:ascii="宋体" w:hAnsi="宋体" w:eastAsia="宋体" w:cs="宋体"/>
                <w:color w:val="auto"/>
                <w:highlight w:val="none"/>
                <w:lang w:eastAsia="zh-CN"/>
              </w:rPr>
            </w:pPr>
          </w:p>
        </w:tc>
        <w:tc>
          <w:tcPr>
            <w:tcW w:w="1656" w:type="dxa"/>
          </w:tcPr>
          <w:p w14:paraId="4A1567A9">
            <w:pPr>
              <w:kinsoku/>
              <w:rPr>
                <w:rFonts w:ascii="宋体" w:hAnsi="宋体" w:eastAsia="宋体" w:cs="宋体"/>
                <w:color w:val="auto"/>
                <w:highlight w:val="none"/>
                <w:lang w:eastAsia="zh-CN"/>
              </w:rPr>
            </w:pPr>
          </w:p>
        </w:tc>
        <w:tc>
          <w:tcPr>
            <w:tcW w:w="1559" w:type="dxa"/>
          </w:tcPr>
          <w:p w14:paraId="177BC88E">
            <w:pPr>
              <w:kinsoku/>
              <w:rPr>
                <w:rFonts w:ascii="宋体" w:hAnsi="宋体" w:eastAsia="宋体" w:cs="宋体"/>
                <w:color w:val="auto"/>
                <w:highlight w:val="none"/>
                <w:lang w:eastAsia="zh-CN"/>
              </w:rPr>
            </w:pPr>
          </w:p>
        </w:tc>
        <w:tc>
          <w:tcPr>
            <w:tcW w:w="2041" w:type="dxa"/>
          </w:tcPr>
          <w:p w14:paraId="5622A684">
            <w:pPr>
              <w:kinsoku/>
              <w:rPr>
                <w:rFonts w:ascii="宋体" w:hAnsi="宋体" w:eastAsia="宋体" w:cs="宋体"/>
                <w:color w:val="auto"/>
                <w:highlight w:val="none"/>
                <w:lang w:eastAsia="zh-CN"/>
              </w:rPr>
            </w:pPr>
          </w:p>
        </w:tc>
        <w:tc>
          <w:tcPr>
            <w:tcW w:w="1350" w:type="dxa"/>
            <w:vMerge w:val="continue"/>
            <w:tcBorders>
              <w:top w:val="nil"/>
              <w:bottom w:val="nil"/>
            </w:tcBorders>
          </w:tcPr>
          <w:p w14:paraId="09E8D5C4">
            <w:pPr>
              <w:kinsoku/>
              <w:rPr>
                <w:rFonts w:ascii="宋体" w:hAnsi="宋体" w:eastAsia="宋体" w:cs="宋体"/>
                <w:color w:val="auto"/>
                <w:highlight w:val="none"/>
                <w:lang w:eastAsia="zh-CN"/>
              </w:rPr>
            </w:pPr>
          </w:p>
        </w:tc>
      </w:tr>
      <w:tr w14:paraId="33B32D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6A0A55CE">
            <w:pPr>
              <w:kinsoku/>
              <w:rPr>
                <w:rFonts w:ascii="宋体" w:hAnsi="宋体" w:eastAsia="宋体" w:cs="宋体"/>
                <w:color w:val="auto"/>
                <w:highlight w:val="none"/>
                <w:lang w:eastAsia="zh-CN"/>
              </w:rPr>
            </w:pPr>
          </w:p>
        </w:tc>
        <w:tc>
          <w:tcPr>
            <w:tcW w:w="1656" w:type="dxa"/>
          </w:tcPr>
          <w:p w14:paraId="204387E4">
            <w:pPr>
              <w:kinsoku/>
              <w:rPr>
                <w:rFonts w:ascii="宋体" w:hAnsi="宋体" w:eastAsia="宋体" w:cs="宋体"/>
                <w:color w:val="auto"/>
                <w:highlight w:val="none"/>
                <w:lang w:eastAsia="zh-CN"/>
              </w:rPr>
            </w:pPr>
          </w:p>
        </w:tc>
        <w:tc>
          <w:tcPr>
            <w:tcW w:w="1559" w:type="dxa"/>
          </w:tcPr>
          <w:p w14:paraId="6F346240">
            <w:pPr>
              <w:kinsoku/>
              <w:rPr>
                <w:rFonts w:ascii="宋体" w:hAnsi="宋体" w:eastAsia="宋体" w:cs="宋体"/>
                <w:color w:val="auto"/>
                <w:highlight w:val="none"/>
                <w:lang w:eastAsia="zh-CN"/>
              </w:rPr>
            </w:pPr>
          </w:p>
        </w:tc>
        <w:tc>
          <w:tcPr>
            <w:tcW w:w="2041" w:type="dxa"/>
          </w:tcPr>
          <w:p w14:paraId="0489AB3E">
            <w:pPr>
              <w:kinsoku/>
              <w:rPr>
                <w:rFonts w:ascii="宋体" w:hAnsi="宋体" w:eastAsia="宋体" w:cs="宋体"/>
                <w:color w:val="auto"/>
                <w:highlight w:val="none"/>
                <w:lang w:eastAsia="zh-CN"/>
              </w:rPr>
            </w:pPr>
          </w:p>
        </w:tc>
        <w:tc>
          <w:tcPr>
            <w:tcW w:w="1350" w:type="dxa"/>
            <w:vMerge w:val="continue"/>
            <w:tcBorders>
              <w:top w:val="nil"/>
              <w:bottom w:val="nil"/>
            </w:tcBorders>
          </w:tcPr>
          <w:p w14:paraId="3CFC75DC">
            <w:pPr>
              <w:kinsoku/>
              <w:rPr>
                <w:rFonts w:ascii="宋体" w:hAnsi="宋体" w:eastAsia="宋体" w:cs="宋体"/>
                <w:color w:val="auto"/>
                <w:highlight w:val="none"/>
                <w:lang w:eastAsia="zh-CN"/>
              </w:rPr>
            </w:pPr>
          </w:p>
        </w:tc>
      </w:tr>
      <w:tr w14:paraId="60E292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3CE941A8">
            <w:pPr>
              <w:kinsoku/>
              <w:rPr>
                <w:rFonts w:ascii="宋体" w:hAnsi="宋体" w:eastAsia="宋体" w:cs="宋体"/>
                <w:color w:val="auto"/>
                <w:highlight w:val="none"/>
                <w:lang w:eastAsia="zh-CN"/>
              </w:rPr>
            </w:pPr>
          </w:p>
        </w:tc>
        <w:tc>
          <w:tcPr>
            <w:tcW w:w="1656" w:type="dxa"/>
          </w:tcPr>
          <w:p w14:paraId="120B929B">
            <w:pPr>
              <w:kinsoku/>
              <w:rPr>
                <w:rFonts w:ascii="宋体" w:hAnsi="宋体" w:eastAsia="宋体" w:cs="宋体"/>
                <w:color w:val="auto"/>
                <w:highlight w:val="none"/>
                <w:lang w:eastAsia="zh-CN"/>
              </w:rPr>
            </w:pPr>
          </w:p>
        </w:tc>
        <w:tc>
          <w:tcPr>
            <w:tcW w:w="1559" w:type="dxa"/>
          </w:tcPr>
          <w:p w14:paraId="13362DBB">
            <w:pPr>
              <w:kinsoku/>
              <w:rPr>
                <w:rFonts w:ascii="宋体" w:hAnsi="宋体" w:eastAsia="宋体" w:cs="宋体"/>
                <w:color w:val="auto"/>
                <w:highlight w:val="none"/>
                <w:lang w:eastAsia="zh-CN"/>
              </w:rPr>
            </w:pPr>
          </w:p>
        </w:tc>
        <w:tc>
          <w:tcPr>
            <w:tcW w:w="2041" w:type="dxa"/>
          </w:tcPr>
          <w:p w14:paraId="7364292F">
            <w:pPr>
              <w:kinsoku/>
              <w:rPr>
                <w:rFonts w:ascii="宋体" w:hAnsi="宋体" w:eastAsia="宋体" w:cs="宋体"/>
                <w:color w:val="auto"/>
                <w:highlight w:val="none"/>
                <w:lang w:eastAsia="zh-CN"/>
              </w:rPr>
            </w:pPr>
          </w:p>
        </w:tc>
        <w:tc>
          <w:tcPr>
            <w:tcW w:w="1350" w:type="dxa"/>
            <w:vMerge w:val="continue"/>
            <w:tcBorders>
              <w:top w:val="nil"/>
              <w:bottom w:val="nil"/>
            </w:tcBorders>
          </w:tcPr>
          <w:p w14:paraId="0B13E905">
            <w:pPr>
              <w:kinsoku/>
              <w:rPr>
                <w:rFonts w:ascii="宋体" w:hAnsi="宋体" w:eastAsia="宋体" w:cs="宋体"/>
                <w:color w:val="auto"/>
                <w:highlight w:val="none"/>
                <w:lang w:eastAsia="zh-CN"/>
              </w:rPr>
            </w:pPr>
          </w:p>
        </w:tc>
      </w:tr>
      <w:tr w14:paraId="72EE93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5ADD573F">
            <w:pPr>
              <w:kinsoku/>
              <w:rPr>
                <w:rFonts w:ascii="宋体" w:hAnsi="宋体" w:eastAsia="宋体" w:cs="宋体"/>
                <w:color w:val="auto"/>
                <w:highlight w:val="none"/>
                <w:lang w:eastAsia="zh-CN"/>
              </w:rPr>
            </w:pPr>
          </w:p>
        </w:tc>
        <w:tc>
          <w:tcPr>
            <w:tcW w:w="1656" w:type="dxa"/>
          </w:tcPr>
          <w:p w14:paraId="20CCB1D2">
            <w:pPr>
              <w:kinsoku/>
              <w:rPr>
                <w:rFonts w:ascii="宋体" w:hAnsi="宋体" w:eastAsia="宋体" w:cs="宋体"/>
                <w:color w:val="auto"/>
                <w:highlight w:val="none"/>
                <w:lang w:eastAsia="zh-CN"/>
              </w:rPr>
            </w:pPr>
          </w:p>
        </w:tc>
        <w:tc>
          <w:tcPr>
            <w:tcW w:w="1559" w:type="dxa"/>
          </w:tcPr>
          <w:p w14:paraId="63B4DBF7">
            <w:pPr>
              <w:kinsoku/>
              <w:rPr>
                <w:rFonts w:ascii="宋体" w:hAnsi="宋体" w:eastAsia="宋体" w:cs="宋体"/>
                <w:color w:val="auto"/>
                <w:highlight w:val="none"/>
                <w:lang w:eastAsia="zh-CN"/>
              </w:rPr>
            </w:pPr>
          </w:p>
        </w:tc>
        <w:tc>
          <w:tcPr>
            <w:tcW w:w="2041" w:type="dxa"/>
          </w:tcPr>
          <w:p w14:paraId="5A101F22">
            <w:pPr>
              <w:kinsoku/>
              <w:rPr>
                <w:rFonts w:ascii="宋体" w:hAnsi="宋体" w:eastAsia="宋体" w:cs="宋体"/>
                <w:color w:val="auto"/>
                <w:highlight w:val="none"/>
                <w:lang w:eastAsia="zh-CN"/>
              </w:rPr>
            </w:pPr>
          </w:p>
        </w:tc>
        <w:tc>
          <w:tcPr>
            <w:tcW w:w="1350" w:type="dxa"/>
            <w:vMerge w:val="continue"/>
            <w:tcBorders>
              <w:top w:val="nil"/>
              <w:bottom w:val="nil"/>
            </w:tcBorders>
          </w:tcPr>
          <w:p w14:paraId="6A2C4246">
            <w:pPr>
              <w:kinsoku/>
              <w:rPr>
                <w:rFonts w:ascii="宋体" w:hAnsi="宋体" w:eastAsia="宋体" w:cs="宋体"/>
                <w:color w:val="auto"/>
                <w:highlight w:val="none"/>
                <w:lang w:eastAsia="zh-CN"/>
              </w:rPr>
            </w:pPr>
          </w:p>
        </w:tc>
      </w:tr>
      <w:tr w14:paraId="4CF5B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0B2DBF99">
            <w:pPr>
              <w:kinsoku/>
              <w:rPr>
                <w:rFonts w:ascii="宋体" w:hAnsi="宋体" w:eastAsia="宋体" w:cs="宋体"/>
                <w:color w:val="auto"/>
                <w:highlight w:val="none"/>
                <w:lang w:eastAsia="zh-CN"/>
              </w:rPr>
            </w:pPr>
          </w:p>
        </w:tc>
        <w:tc>
          <w:tcPr>
            <w:tcW w:w="1656" w:type="dxa"/>
          </w:tcPr>
          <w:p w14:paraId="1BDEBB47">
            <w:pPr>
              <w:kinsoku/>
              <w:rPr>
                <w:rFonts w:ascii="宋体" w:hAnsi="宋体" w:eastAsia="宋体" w:cs="宋体"/>
                <w:color w:val="auto"/>
                <w:highlight w:val="none"/>
                <w:lang w:eastAsia="zh-CN"/>
              </w:rPr>
            </w:pPr>
          </w:p>
        </w:tc>
        <w:tc>
          <w:tcPr>
            <w:tcW w:w="1559" w:type="dxa"/>
          </w:tcPr>
          <w:p w14:paraId="03FE6A30">
            <w:pPr>
              <w:kinsoku/>
              <w:rPr>
                <w:rFonts w:ascii="宋体" w:hAnsi="宋体" w:eastAsia="宋体" w:cs="宋体"/>
                <w:color w:val="auto"/>
                <w:highlight w:val="none"/>
                <w:lang w:eastAsia="zh-CN"/>
              </w:rPr>
            </w:pPr>
          </w:p>
        </w:tc>
        <w:tc>
          <w:tcPr>
            <w:tcW w:w="2041" w:type="dxa"/>
          </w:tcPr>
          <w:p w14:paraId="6A4250AA">
            <w:pPr>
              <w:kinsoku/>
              <w:rPr>
                <w:rFonts w:ascii="宋体" w:hAnsi="宋体" w:eastAsia="宋体" w:cs="宋体"/>
                <w:color w:val="auto"/>
                <w:highlight w:val="none"/>
                <w:lang w:eastAsia="zh-CN"/>
              </w:rPr>
            </w:pPr>
          </w:p>
        </w:tc>
        <w:tc>
          <w:tcPr>
            <w:tcW w:w="1350" w:type="dxa"/>
            <w:vMerge w:val="continue"/>
            <w:tcBorders>
              <w:top w:val="nil"/>
              <w:bottom w:val="nil"/>
            </w:tcBorders>
          </w:tcPr>
          <w:p w14:paraId="058C4662">
            <w:pPr>
              <w:kinsoku/>
              <w:rPr>
                <w:rFonts w:ascii="宋体" w:hAnsi="宋体" w:eastAsia="宋体" w:cs="宋体"/>
                <w:color w:val="auto"/>
                <w:highlight w:val="none"/>
                <w:lang w:eastAsia="zh-CN"/>
              </w:rPr>
            </w:pPr>
          </w:p>
        </w:tc>
      </w:tr>
      <w:tr w14:paraId="1DACB6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0A517C98">
            <w:pPr>
              <w:kinsoku/>
              <w:rPr>
                <w:rFonts w:ascii="宋体" w:hAnsi="宋体" w:eastAsia="宋体" w:cs="宋体"/>
                <w:color w:val="auto"/>
                <w:highlight w:val="none"/>
                <w:lang w:eastAsia="zh-CN"/>
              </w:rPr>
            </w:pPr>
          </w:p>
        </w:tc>
        <w:tc>
          <w:tcPr>
            <w:tcW w:w="1656" w:type="dxa"/>
          </w:tcPr>
          <w:p w14:paraId="5E691C21">
            <w:pPr>
              <w:kinsoku/>
              <w:rPr>
                <w:rFonts w:ascii="宋体" w:hAnsi="宋体" w:eastAsia="宋体" w:cs="宋体"/>
                <w:color w:val="auto"/>
                <w:highlight w:val="none"/>
                <w:lang w:eastAsia="zh-CN"/>
              </w:rPr>
            </w:pPr>
          </w:p>
        </w:tc>
        <w:tc>
          <w:tcPr>
            <w:tcW w:w="1559" w:type="dxa"/>
          </w:tcPr>
          <w:p w14:paraId="7937B9D7">
            <w:pPr>
              <w:kinsoku/>
              <w:rPr>
                <w:rFonts w:ascii="宋体" w:hAnsi="宋体" w:eastAsia="宋体" w:cs="宋体"/>
                <w:color w:val="auto"/>
                <w:highlight w:val="none"/>
                <w:lang w:eastAsia="zh-CN"/>
              </w:rPr>
            </w:pPr>
          </w:p>
        </w:tc>
        <w:tc>
          <w:tcPr>
            <w:tcW w:w="2041" w:type="dxa"/>
          </w:tcPr>
          <w:p w14:paraId="1B2AF995">
            <w:pPr>
              <w:kinsoku/>
              <w:rPr>
                <w:rFonts w:ascii="宋体" w:hAnsi="宋体" w:eastAsia="宋体" w:cs="宋体"/>
                <w:color w:val="auto"/>
                <w:highlight w:val="none"/>
                <w:lang w:eastAsia="zh-CN"/>
              </w:rPr>
            </w:pPr>
          </w:p>
        </w:tc>
        <w:tc>
          <w:tcPr>
            <w:tcW w:w="1350" w:type="dxa"/>
            <w:vMerge w:val="continue"/>
            <w:tcBorders>
              <w:top w:val="nil"/>
              <w:bottom w:val="nil"/>
            </w:tcBorders>
          </w:tcPr>
          <w:p w14:paraId="68D268D4">
            <w:pPr>
              <w:kinsoku/>
              <w:rPr>
                <w:rFonts w:ascii="宋体" w:hAnsi="宋体" w:eastAsia="宋体" w:cs="宋体"/>
                <w:color w:val="auto"/>
                <w:highlight w:val="none"/>
                <w:lang w:eastAsia="zh-CN"/>
              </w:rPr>
            </w:pPr>
          </w:p>
        </w:tc>
      </w:tr>
      <w:tr w14:paraId="25495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33009B66">
            <w:pPr>
              <w:kinsoku/>
              <w:rPr>
                <w:rFonts w:ascii="宋体" w:hAnsi="宋体" w:eastAsia="宋体" w:cs="宋体"/>
                <w:color w:val="auto"/>
                <w:highlight w:val="none"/>
                <w:lang w:eastAsia="zh-CN"/>
              </w:rPr>
            </w:pPr>
          </w:p>
        </w:tc>
        <w:tc>
          <w:tcPr>
            <w:tcW w:w="1656" w:type="dxa"/>
          </w:tcPr>
          <w:p w14:paraId="5F991D8A">
            <w:pPr>
              <w:kinsoku/>
              <w:rPr>
                <w:rFonts w:ascii="宋体" w:hAnsi="宋体" w:eastAsia="宋体" w:cs="宋体"/>
                <w:color w:val="auto"/>
                <w:highlight w:val="none"/>
                <w:lang w:eastAsia="zh-CN"/>
              </w:rPr>
            </w:pPr>
          </w:p>
        </w:tc>
        <w:tc>
          <w:tcPr>
            <w:tcW w:w="1559" w:type="dxa"/>
          </w:tcPr>
          <w:p w14:paraId="57679542">
            <w:pPr>
              <w:kinsoku/>
              <w:rPr>
                <w:rFonts w:ascii="宋体" w:hAnsi="宋体" w:eastAsia="宋体" w:cs="宋体"/>
                <w:color w:val="auto"/>
                <w:highlight w:val="none"/>
                <w:lang w:eastAsia="zh-CN"/>
              </w:rPr>
            </w:pPr>
          </w:p>
        </w:tc>
        <w:tc>
          <w:tcPr>
            <w:tcW w:w="2041" w:type="dxa"/>
          </w:tcPr>
          <w:p w14:paraId="24AEF8CB">
            <w:pPr>
              <w:kinsoku/>
              <w:rPr>
                <w:rFonts w:ascii="宋体" w:hAnsi="宋体" w:eastAsia="宋体" w:cs="宋体"/>
                <w:color w:val="auto"/>
                <w:highlight w:val="none"/>
                <w:lang w:eastAsia="zh-CN"/>
              </w:rPr>
            </w:pPr>
          </w:p>
        </w:tc>
        <w:tc>
          <w:tcPr>
            <w:tcW w:w="1350" w:type="dxa"/>
            <w:vMerge w:val="continue"/>
            <w:tcBorders>
              <w:top w:val="nil"/>
              <w:bottom w:val="nil"/>
            </w:tcBorders>
          </w:tcPr>
          <w:p w14:paraId="0325B668">
            <w:pPr>
              <w:kinsoku/>
              <w:rPr>
                <w:rFonts w:ascii="宋体" w:hAnsi="宋体" w:eastAsia="宋体" w:cs="宋体"/>
                <w:color w:val="auto"/>
                <w:highlight w:val="none"/>
                <w:lang w:eastAsia="zh-CN"/>
              </w:rPr>
            </w:pPr>
          </w:p>
        </w:tc>
      </w:tr>
      <w:tr w14:paraId="4A005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Borders>
              <w:bottom w:val="single" w:color="000000" w:sz="4" w:space="0"/>
            </w:tcBorders>
          </w:tcPr>
          <w:p w14:paraId="41A9F392">
            <w:pPr>
              <w:kinsoku/>
              <w:rPr>
                <w:rFonts w:ascii="宋体" w:hAnsi="宋体" w:eastAsia="宋体" w:cs="宋体"/>
                <w:color w:val="auto"/>
                <w:highlight w:val="none"/>
                <w:lang w:eastAsia="zh-CN"/>
              </w:rPr>
            </w:pPr>
          </w:p>
        </w:tc>
        <w:tc>
          <w:tcPr>
            <w:tcW w:w="1656" w:type="dxa"/>
            <w:tcBorders>
              <w:bottom w:val="single" w:color="000000" w:sz="4" w:space="0"/>
            </w:tcBorders>
          </w:tcPr>
          <w:p w14:paraId="469825AA">
            <w:pPr>
              <w:kinsoku/>
              <w:rPr>
                <w:rFonts w:ascii="宋体" w:hAnsi="宋体" w:eastAsia="宋体" w:cs="宋体"/>
                <w:color w:val="auto"/>
                <w:highlight w:val="none"/>
                <w:lang w:eastAsia="zh-CN"/>
              </w:rPr>
            </w:pPr>
          </w:p>
        </w:tc>
        <w:tc>
          <w:tcPr>
            <w:tcW w:w="1559" w:type="dxa"/>
            <w:tcBorders>
              <w:bottom w:val="single" w:color="000000" w:sz="4" w:space="0"/>
            </w:tcBorders>
          </w:tcPr>
          <w:p w14:paraId="73883BE3">
            <w:pPr>
              <w:kinsoku/>
              <w:rPr>
                <w:rFonts w:ascii="宋体" w:hAnsi="宋体" w:eastAsia="宋体" w:cs="宋体"/>
                <w:color w:val="auto"/>
                <w:highlight w:val="none"/>
                <w:lang w:eastAsia="zh-CN"/>
              </w:rPr>
            </w:pPr>
          </w:p>
        </w:tc>
        <w:tc>
          <w:tcPr>
            <w:tcW w:w="2041" w:type="dxa"/>
            <w:tcBorders>
              <w:bottom w:val="single" w:color="000000" w:sz="4" w:space="0"/>
            </w:tcBorders>
          </w:tcPr>
          <w:p w14:paraId="5EC469AC">
            <w:pPr>
              <w:kinsoku/>
              <w:rPr>
                <w:rFonts w:ascii="宋体" w:hAnsi="宋体" w:eastAsia="宋体" w:cs="宋体"/>
                <w:color w:val="auto"/>
                <w:highlight w:val="none"/>
                <w:lang w:eastAsia="zh-CN"/>
              </w:rPr>
            </w:pPr>
          </w:p>
        </w:tc>
        <w:tc>
          <w:tcPr>
            <w:tcW w:w="1350" w:type="dxa"/>
            <w:vMerge w:val="continue"/>
            <w:tcBorders>
              <w:top w:val="nil"/>
              <w:bottom w:val="nil"/>
            </w:tcBorders>
          </w:tcPr>
          <w:p w14:paraId="3D0F31B4">
            <w:pPr>
              <w:kinsoku/>
              <w:rPr>
                <w:rFonts w:ascii="宋体" w:hAnsi="宋体" w:eastAsia="宋体" w:cs="宋体"/>
                <w:color w:val="auto"/>
                <w:highlight w:val="none"/>
                <w:lang w:eastAsia="zh-CN"/>
              </w:rPr>
            </w:pPr>
          </w:p>
        </w:tc>
      </w:tr>
      <w:tr w14:paraId="1CFDAA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Borders>
              <w:top w:val="single" w:color="000000" w:sz="4" w:space="0"/>
            </w:tcBorders>
          </w:tcPr>
          <w:p w14:paraId="4A3772BA">
            <w:pPr>
              <w:kinsoku/>
              <w:rPr>
                <w:rFonts w:ascii="宋体" w:hAnsi="宋体" w:eastAsia="宋体" w:cs="宋体"/>
                <w:color w:val="auto"/>
                <w:highlight w:val="none"/>
                <w:lang w:eastAsia="zh-CN"/>
              </w:rPr>
            </w:pPr>
          </w:p>
        </w:tc>
        <w:tc>
          <w:tcPr>
            <w:tcW w:w="1656" w:type="dxa"/>
            <w:tcBorders>
              <w:top w:val="single" w:color="000000" w:sz="4" w:space="0"/>
            </w:tcBorders>
          </w:tcPr>
          <w:p w14:paraId="592EEC38">
            <w:pPr>
              <w:kinsoku/>
              <w:rPr>
                <w:rFonts w:ascii="宋体" w:hAnsi="宋体" w:eastAsia="宋体" w:cs="宋体"/>
                <w:color w:val="auto"/>
                <w:highlight w:val="none"/>
                <w:lang w:eastAsia="zh-CN"/>
              </w:rPr>
            </w:pPr>
          </w:p>
        </w:tc>
        <w:tc>
          <w:tcPr>
            <w:tcW w:w="1559" w:type="dxa"/>
            <w:tcBorders>
              <w:top w:val="single" w:color="000000" w:sz="4" w:space="0"/>
            </w:tcBorders>
          </w:tcPr>
          <w:p w14:paraId="0187ACD7">
            <w:pPr>
              <w:kinsoku/>
              <w:rPr>
                <w:rFonts w:ascii="宋体" w:hAnsi="宋体" w:eastAsia="宋体" w:cs="宋体"/>
                <w:color w:val="auto"/>
                <w:highlight w:val="none"/>
                <w:lang w:eastAsia="zh-CN"/>
              </w:rPr>
            </w:pPr>
          </w:p>
        </w:tc>
        <w:tc>
          <w:tcPr>
            <w:tcW w:w="2041" w:type="dxa"/>
            <w:tcBorders>
              <w:top w:val="single" w:color="000000" w:sz="4" w:space="0"/>
            </w:tcBorders>
          </w:tcPr>
          <w:p w14:paraId="30F37E71">
            <w:pPr>
              <w:kinsoku/>
              <w:rPr>
                <w:rFonts w:ascii="宋体" w:hAnsi="宋体" w:eastAsia="宋体" w:cs="宋体"/>
                <w:color w:val="auto"/>
                <w:highlight w:val="none"/>
                <w:lang w:eastAsia="zh-CN"/>
              </w:rPr>
            </w:pPr>
          </w:p>
        </w:tc>
        <w:tc>
          <w:tcPr>
            <w:tcW w:w="1350" w:type="dxa"/>
            <w:vMerge w:val="continue"/>
            <w:tcBorders>
              <w:top w:val="nil"/>
              <w:bottom w:val="nil"/>
            </w:tcBorders>
          </w:tcPr>
          <w:p w14:paraId="427DCC0A">
            <w:pPr>
              <w:kinsoku/>
              <w:rPr>
                <w:rFonts w:ascii="宋体" w:hAnsi="宋体" w:eastAsia="宋体" w:cs="宋体"/>
                <w:color w:val="auto"/>
                <w:highlight w:val="none"/>
                <w:lang w:eastAsia="zh-CN"/>
              </w:rPr>
            </w:pPr>
          </w:p>
        </w:tc>
      </w:tr>
      <w:tr w14:paraId="643E82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44D12618">
            <w:pPr>
              <w:kinsoku/>
              <w:rPr>
                <w:rFonts w:ascii="宋体" w:hAnsi="宋体" w:eastAsia="宋体" w:cs="宋体"/>
                <w:color w:val="auto"/>
                <w:highlight w:val="none"/>
                <w:lang w:eastAsia="zh-CN"/>
              </w:rPr>
            </w:pPr>
          </w:p>
        </w:tc>
        <w:tc>
          <w:tcPr>
            <w:tcW w:w="1656" w:type="dxa"/>
          </w:tcPr>
          <w:p w14:paraId="6E1E6BDA">
            <w:pPr>
              <w:kinsoku/>
              <w:rPr>
                <w:rFonts w:ascii="宋体" w:hAnsi="宋体" w:eastAsia="宋体" w:cs="宋体"/>
                <w:color w:val="auto"/>
                <w:highlight w:val="none"/>
                <w:lang w:eastAsia="zh-CN"/>
              </w:rPr>
            </w:pPr>
          </w:p>
        </w:tc>
        <w:tc>
          <w:tcPr>
            <w:tcW w:w="1559" w:type="dxa"/>
          </w:tcPr>
          <w:p w14:paraId="4952FC72">
            <w:pPr>
              <w:kinsoku/>
              <w:rPr>
                <w:rFonts w:ascii="宋体" w:hAnsi="宋体" w:eastAsia="宋体" w:cs="宋体"/>
                <w:color w:val="auto"/>
                <w:highlight w:val="none"/>
                <w:lang w:eastAsia="zh-CN"/>
              </w:rPr>
            </w:pPr>
          </w:p>
        </w:tc>
        <w:tc>
          <w:tcPr>
            <w:tcW w:w="2041" w:type="dxa"/>
          </w:tcPr>
          <w:p w14:paraId="4C0D3F05">
            <w:pPr>
              <w:kinsoku/>
              <w:rPr>
                <w:rFonts w:ascii="宋体" w:hAnsi="宋体" w:eastAsia="宋体" w:cs="宋体"/>
                <w:color w:val="auto"/>
                <w:highlight w:val="none"/>
                <w:lang w:eastAsia="zh-CN"/>
              </w:rPr>
            </w:pPr>
          </w:p>
        </w:tc>
        <w:tc>
          <w:tcPr>
            <w:tcW w:w="1350" w:type="dxa"/>
            <w:vMerge w:val="continue"/>
            <w:tcBorders>
              <w:top w:val="nil"/>
              <w:bottom w:val="nil"/>
            </w:tcBorders>
          </w:tcPr>
          <w:p w14:paraId="749CAA27">
            <w:pPr>
              <w:kinsoku/>
              <w:rPr>
                <w:rFonts w:ascii="宋体" w:hAnsi="宋体" w:eastAsia="宋体" w:cs="宋体"/>
                <w:color w:val="auto"/>
                <w:highlight w:val="none"/>
                <w:lang w:eastAsia="zh-CN"/>
              </w:rPr>
            </w:pPr>
          </w:p>
        </w:tc>
      </w:tr>
      <w:tr w14:paraId="2EC6B5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24C4D1F9">
            <w:pPr>
              <w:kinsoku/>
              <w:rPr>
                <w:rFonts w:ascii="宋体" w:hAnsi="宋体" w:eastAsia="宋体" w:cs="宋体"/>
                <w:color w:val="auto"/>
                <w:highlight w:val="none"/>
                <w:lang w:eastAsia="zh-CN"/>
              </w:rPr>
            </w:pPr>
          </w:p>
        </w:tc>
        <w:tc>
          <w:tcPr>
            <w:tcW w:w="1656" w:type="dxa"/>
          </w:tcPr>
          <w:p w14:paraId="2951D134">
            <w:pPr>
              <w:kinsoku/>
              <w:rPr>
                <w:rFonts w:ascii="宋体" w:hAnsi="宋体" w:eastAsia="宋体" w:cs="宋体"/>
                <w:color w:val="auto"/>
                <w:highlight w:val="none"/>
                <w:lang w:eastAsia="zh-CN"/>
              </w:rPr>
            </w:pPr>
          </w:p>
        </w:tc>
        <w:tc>
          <w:tcPr>
            <w:tcW w:w="1559" w:type="dxa"/>
          </w:tcPr>
          <w:p w14:paraId="437BE77A">
            <w:pPr>
              <w:kinsoku/>
              <w:rPr>
                <w:rFonts w:ascii="宋体" w:hAnsi="宋体" w:eastAsia="宋体" w:cs="宋体"/>
                <w:color w:val="auto"/>
                <w:highlight w:val="none"/>
                <w:lang w:eastAsia="zh-CN"/>
              </w:rPr>
            </w:pPr>
          </w:p>
        </w:tc>
        <w:tc>
          <w:tcPr>
            <w:tcW w:w="2041" w:type="dxa"/>
          </w:tcPr>
          <w:p w14:paraId="638775DE">
            <w:pPr>
              <w:kinsoku/>
              <w:rPr>
                <w:rFonts w:ascii="宋体" w:hAnsi="宋体" w:eastAsia="宋体" w:cs="宋体"/>
                <w:color w:val="auto"/>
                <w:highlight w:val="none"/>
                <w:lang w:eastAsia="zh-CN"/>
              </w:rPr>
            </w:pPr>
          </w:p>
        </w:tc>
        <w:tc>
          <w:tcPr>
            <w:tcW w:w="1350" w:type="dxa"/>
            <w:vMerge w:val="continue"/>
            <w:tcBorders>
              <w:top w:val="nil"/>
              <w:bottom w:val="nil"/>
            </w:tcBorders>
          </w:tcPr>
          <w:p w14:paraId="12C60664">
            <w:pPr>
              <w:kinsoku/>
              <w:rPr>
                <w:rFonts w:ascii="宋体" w:hAnsi="宋体" w:eastAsia="宋体" w:cs="宋体"/>
                <w:color w:val="auto"/>
                <w:highlight w:val="none"/>
                <w:lang w:eastAsia="zh-CN"/>
              </w:rPr>
            </w:pPr>
          </w:p>
        </w:tc>
      </w:tr>
      <w:tr w14:paraId="4D5F07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2EF066E8">
            <w:pPr>
              <w:kinsoku/>
              <w:rPr>
                <w:rFonts w:ascii="宋体" w:hAnsi="宋体" w:eastAsia="宋体" w:cs="宋体"/>
                <w:color w:val="auto"/>
                <w:highlight w:val="none"/>
                <w:lang w:eastAsia="zh-CN"/>
              </w:rPr>
            </w:pPr>
          </w:p>
        </w:tc>
        <w:tc>
          <w:tcPr>
            <w:tcW w:w="1656" w:type="dxa"/>
          </w:tcPr>
          <w:p w14:paraId="197F9755">
            <w:pPr>
              <w:kinsoku/>
              <w:rPr>
                <w:rFonts w:ascii="宋体" w:hAnsi="宋体" w:eastAsia="宋体" w:cs="宋体"/>
                <w:color w:val="auto"/>
                <w:highlight w:val="none"/>
                <w:lang w:eastAsia="zh-CN"/>
              </w:rPr>
            </w:pPr>
          </w:p>
        </w:tc>
        <w:tc>
          <w:tcPr>
            <w:tcW w:w="1559" w:type="dxa"/>
          </w:tcPr>
          <w:p w14:paraId="566655C7">
            <w:pPr>
              <w:kinsoku/>
              <w:rPr>
                <w:rFonts w:ascii="宋体" w:hAnsi="宋体" w:eastAsia="宋体" w:cs="宋体"/>
                <w:color w:val="auto"/>
                <w:highlight w:val="none"/>
                <w:lang w:eastAsia="zh-CN"/>
              </w:rPr>
            </w:pPr>
          </w:p>
        </w:tc>
        <w:tc>
          <w:tcPr>
            <w:tcW w:w="2041" w:type="dxa"/>
          </w:tcPr>
          <w:p w14:paraId="54D1BEB8">
            <w:pPr>
              <w:kinsoku/>
              <w:rPr>
                <w:rFonts w:ascii="宋体" w:hAnsi="宋体" w:eastAsia="宋体" w:cs="宋体"/>
                <w:color w:val="auto"/>
                <w:highlight w:val="none"/>
                <w:lang w:eastAsia="zh-CN"/>
              </w:rPr>
            </w:pPr>
          </w:p>
        </w:tc>
        <w:tc>
          <w:tcPr>
            <w:tcW w:w="1350" w:type="dxa"/>
            <w:vMerge w:val="continue"/>
            <w:tcBorders>
              <w:top w:val="nil"/>
              <w:bottom w:val="nil"/>
            </w:tcBorders>
          </w:tcPr>
          <w:p w14:paraId="3047261F">
            <w:pPr>
              <w:kinsoku/>
              <w:rPr>
                <w:rFonts w:ascii="宋体" w:hAnsi="宋体" w:eastAsia="宋体" w:cs="宋体"/>
                <w:color w:val="auto"/>
                <w:highlight w:val="none"/>
                <w:lang w:eastAsia="zh-CN"/>
              </w:rPr>
            </w:pPr>
          </w:p>
        </w:tc>
      </w:tr>
      <w:tr w14:paraId="25E1A8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31FB893E">
            <w:pPr>
              <w:kinsoku/>
              <w:rPr>
                <w:rFonts w:ascii="宋体" w:hAnsi="宋体" w:eastAsia="宋体" w:cs="宋体"/>
                <w:color w:val="auto"/>
                <w:highlight w:val="none"/>
                <w:lang w:eastAsia="zh-CN"/>
              </w:rPr>
            </w:pPr>
          </w:p>
        </w:tc>
        <w:tc>
          <w:tcPr>
            <w:tcW w:w="1656" w:type="dxa"/>
          </w:tcPr>
          <w:p w14:paraId="545F919E">
            <w:pPr>
              <w:kinsoku/>
              <w:rPr>
                <w:rFonts w:ascii="宋体" w:hAnsi="宋体" w:eastAsia="宋体" w:cs="宋体"/>
                <w:color w:val="auto"/>
                <w:highlight w:val="none"/>
                <w:lang w:eastAsia="zh-CN"/>
              </w:rPr>
            </w:pPr>
          </w:p>
        </w:tc>
        <w:tc>
          <w:tcPr>
            <w:tcW w:w="1559" w:type="dxa"/>
          </w:tcPr>
          <w:p w14:paraId="4AAF6C96">
            <w:pPr>
              <w:kinsoku/>
              <w:rPr>
                <w:rFonts w:ascii="宋体" w:hAnsi="宋体" w:eastAsia="宋体" w:cs="宋体"/>
                <w:color w:val="auto"/>
                <w:highlight w:val="none"/>
                <w:lang w:eastAsia="zh-CN"/>
              </w:rPr>
            </w:pPr>
          </w:p>
        </w:tc>
        <w:tc>
          <w:tcPr>
            <w:tcW w:w="2041" w:type="dxa"/>
          </w:tcPr>
          <w:p w14:paraId="434E2892">
            <w:pPr>
              <w:kinsoku/>
              <w:rPr>
                <w:rFonts w:ascii="宋体" w:hAnsi="宋体" w:eastAsia="宋体" w:cs="宋体"/>
                <w:color w:val="auto"/>
                <w:highlight w:val="none"/>
                <w:lang w:eastAsia="zh-CN"/>
              </w:rPr>
            </w:pPr>
          </w:p>
        </w:tc>
        <w:tc>
          <w:tcPr>
            <w:tcW w:w="1350" w:type="dxa"/>
            <w:vMerge w:val="continue"/>
            <w:tcBorders>
              <w:top w:val="nil"/>
              <w:bottom w:val="nil"/>
            </w:tcBorders>
          </w:tcPr>
          <w:p w14:paraId="418DB58D">
            <w:pPr>
              <w:kinsoku/>
              <w:rPr>
                <w:rFonts w:ascii="宋体" w:hAnsi="宋体" w:eastAsia="宋体" w:cs="宋体"/>
                <w:color w:val="auto"/>
                <w:highlight w:val="none"/>
                <w:lang w:eastAsia="zh-CN"/>
              </w:rPr>
            </w:pPr>
          </w:p>
        </w:tc>
      </w:tr>
      <w:tr w14:paraId="0A89F9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4E9433E9">
            <w:pPr>
              <w:kinsoku/>
              <w:rPr>
                <w:rFonts w:ascii="宋体" w:hAnsi="宋体" w:eastAsia="宋体" w:cs="宋体"/>
                <w:color w:val="auto"/>
                <w:highlight w:val="none"/>
                <w:lang w:eastAsia="zh-CN"/>
              </w:rPr>
            </w:pPr>
          </w:p>
        </w:tc>
        <w:tc>
          <w:tcPr>
            <w:tcW w:w="1656" w:type="dxa"/>
          </w:tcPr>
          <w:p w14:paraId="5FD9EA93">
            <w:pPr>
              <w:kinsoku/>
              <w:rPr>
                <w:rFonts w:ascii="宋体" w:hAnsi="宋体" w:eastAsia="宋体" w:cs="宋体"/>
                <w:color w:val="auto"/>
                <w:highlight w:val="none"/>
                <w:lang w:eastAsia="zh-CN"/>
              </w:rPr>
            </w:pPr>
          </w:p>
        </w:tc>
        <w:tc>
          <w:tcPr>
            <w:tcW w:w="1559" w:type="dxa"/>
          </w:tcPr>
          <w:p w14:paraId="76271860">
            <w:pPr>
              <w:kinsoku/>
              <w:rPr>
                <w:rFonts w:ascii="宋体" w:hAnsi="宋体" w:eastAsia="宋体" w:cs="宋体"/>
                <w:color w:val="auto"/>
                <w:highlight w:val="none"/>
                <w:lang w:eastAsia="zh-CN"/>
              </w:rPr>
            </w:pPr>
          </w:p>
        </w:tc>
        <w:tc>
          <w:tcPr>
            <w:tcW w:w="2041" w:type="dxa"/>
          </w:tcPr>
          <w:p w14:paraId="4BCCE4BC">
            <w:pPr>
              <w:kinsoku/>
              <w:rPr>
                <w:rFonts w:ascii="宋体" w:hAnsi="宋体" w:eastAsia="宋体" w:cs="宋体"/>
                <w:color w:val="auto"/>
                <w:highlight w:val="none"/>
                <w:lang w:eastAsia="zh-CN"/>
              </w:rPr>
            </w:pPr>
          </w:p>
        </w:tc>
        <w:tc>
          <w:tcPr>
            <w:tcW w:w="1350" w:type="dxa"/>
            <w:vMerge w:val="continue"/>
            <w:tcBorders>
              <w:top w:val="nil"/>
              <w:bottom w:val="nil"/>
            </w:tcBorders>
          </w:tcPr>
          <w:p w14:paraId="0F8E48EA">
            <w:pPr>
              <w:kinsoku/>
              <w:rPr>
                <w:rFonts w:ascii="宋体" w:hAnsi="宋体" w:eastAsia="宋体" w:cs="宋体"/>
                <w:color w:val="auto"/>
                <w:highlight w:val="none"/>
                <w:lang w:eastAsia="zh-CN"/>
              </w:rPr>
            </w:pPr>
          </w:p>
        </w:tc>
      </w:tr>
      <w:tr w14:paraId="73C7F7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0C2CA7AB">
            <w:pPr>
              <w:kinsoku/>
              <w:rPr>
                <w:rFonts w:ascii="宋体" w:hAnsi="宋体" w:eastAsia="宋体" w:cs="宋体"/>
                <w:color w:val="auto"/>
                <w:highlight w:val="none"/>
                <w:lang w:eastAsia="zh-CN"/>
              </w:rPr>
            </w:pPr>
          </w:p>
        </w:tc>
        <w:tc>
          <w:tcPr>
            <w:tcW w:w="1656" w:type="dxa"/>
          </w:tcPr>
          <w:p w14:paraId="28981E88">
            <w:pPr>
              <w:kinsoku/>
              <w:rPr>
                <w:rFonts w:ascii="宋体" w:hAnsi="宋体" w:eastAsia="宋体" w:cs="宋体"/>
                <w:color w:val="auto"/>
                <w:highlight w:val="none"/>
                <w:lang w:eastAsia="zh-CN"/>
              </w:rPr>
            </w:pPr>
          </w:p>
        </w:tc>
        <w:tc>
          <w:tcPr>
            <w:tcW w:w="1559" w:type="dxa"/>
          </w:tcPr>
          <w:p w14:paraId="7C4DABEB">
            <w:pPr>
              <w:kinsoku/>
              <w:rPr>
                <w:rFonts w:ascii="宋体" w:hAnsi="宋体" w:eastAsia="宋体" w:cs="宋体"/>
                <w:color w:val="auto"/>
                <w:highlight w:val="none"/>
                <w:lang w:eastAsia="zh-CN"/>
              </w:rPr>
            </w:pPr>
          </w:p>
        </w:tc>
        <w:tc>
          <w:tcPr>
            <w:tcW w:w="2041" w:type="dxa"/>
          </w:tcPr>
          <w:p w14:paraId="306D701D">
            <w:pPr>
              <w:kinsoku/>
              <w:rPr>
                <w:rFonts w:ascii="宋体" w:hAnsi="宋体" w:eastAsia="宋体" w:cs="宋体"/>
                <w:color w:val="auto"/>
                <w:highlight w:val="none"/>
                <w:lang w:eastAsia="zh-CN"/>
              </w:rPr>
            </w:pPr>
          </w:p>
        </w:tc>
        <w:tc>
          <w:tcPr>
            <w:tcW w:w="1350" w:type="dxa"/>
            <w:vMerge w:val="continue"/>
            <w:tcBorders>
              <w:top w:val="nil"/>
              <w:bottom w:val="nil"/>
            </w:tcBorders>
          </w:tcPr>
          <w:p w14:paraId="04C88283">
            <w:pPr>
              <w:kinsoku/>
              <w:rPr>
                <w:rFonts w:ascii="宋体" w:hAnsi="宋体" w:eastAsia="宋体" w:cs="宋体"/>
                <w:color w:val="auto"/>
                <w:highlight w:val="none"/>
                <w:lang w:eastAsia="zh-CN"/>
              </w:rPr>
            </w:pPr>
          </w:p>
        </w:tc>
      </w:tr>
      <w:tr w14:paraId="0A70F7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1E3226B6">
            <w:pPr>
              <w:kinsoku/>
              <w:rPr>
                <w:rFonts w:ascii="宋体" w:hAnsi="宋体" w:eastAsia="宋体" w:cs="宋体"/>
                <w:color w:val="auto"/>
                <w:highlight w:val="none"/>
                <w:lang w:eastAsia="zh-CN"/>
              </w:rPr>
            </w:pPr>
          </w:p>
        </w:tc>
        <w:tc>
          <w:tcPr>
            <w:tcW w:w="1656" w:type="dxa"/>
          </w:tcPr>
          <w:p w14:paraId="32BF32FD">
            <w:pPr>
              <w:kinsoku/>
              <w:rPr>
                <w:rFonts w:ascii="宋体" w:hAnsi="宋体" w:eastAsia="宋体" w:cs="宋体"/>
                <w:color w:val="auto"/>
                <w:highlight w:val="none"/>
                <w:lang w:eastAsia="zh-CN"/>
              </w:rPr>
            </w:pPr>
          </w:p>
        </w:tc>
        <w:tc>
          <w:tcPr>
            <w:tcW w:w="1559" w:type="dxa"/>
          </w:tcPr>
          <w:p w14:paraId="6A046108">
            <w:pPr>
              <w:kinsoku/>
              <w:rPr>
                <w:rFonts w:ascii="宋体" w:hAnsi="宋体" w:eastAsia="宋体" w:cs="宋体"/>
                <w:color w:val="auto"/>
                <w:highlight w:val="none"/>
                <w:lang w:eastAsia="zh-CN"/>
              </w:rPr>
            </w:pPr>
          </w:p>
        </w:tc>
        <w:tc>
          <w:tcPr>
            <w:tcW w:w="2041" w:type="dxa"/>
          </w:tcPr>
          <w:p w14:paraId="1D0CD262">
            <w:pPr>
              <w:kinsoku/>
              <w:rPr>
                <w:rFonts w:ascii="宋体" w:hAnsi="宋体" w:eastAsia="宋体" w:cs="宋体"/>
                <w:color w:val="auto"/>
                <w:highlight w:val="none"/>
                <w:lang w:eastAsia="zh-CN"/>
              </w:rPr>
            </w:pPr>
          </w:p>
        </w:tc>
        <w:tc>
          <w:tcPr>
            <w:tcW w:w="1350" w:type="dxa"/>
            <w:vMerge w:val="continue"/>
            <w:tcBorders>
              <w:top w:val="nil"/>
              <w:bottom w:val="nil"/>
            </w:tcBorders>
          </w:tcPr>
          <w:p w14:paraId="59C594A7">
            <w:pPr>
              <w:kinsoku/>
              <w:rPr>
                <w:rFonts w:ascii="宋体" w:hAnsi="宋体" w:eastAsia="宋体" w:cs="宋体"/>
                <w:color w:val="auto"/>
                <w:highlight w:val="none"/>
                <w:lang w:eastAsia="zh-CN"/>
              </w:rPr>
            </w:pPr>
          </w:p>
        </w:tc>
      </w:tr>
      <w:tr w14:paraId="1EA8B2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859" w:type="dxa"/>
          </w:tcPr>
          <w:p w14:paraId="539D8929">
            <w:pPr>
              <w:kinsoku/>
              <w:rPr>
                <w:rFonts w:ascii="宋体" w:hAnsi="宋体" w:eastAsia="宋体" w:cs="宋体"/>
                <w:color w:val="auto"/>
                <w:highlight w:val="none"/>
                <w:lang w:eastAsia="zh-CN"/>
              </w:rPr>
            </w:pPr>
          </w:p>
        </w:tc>
        <w:tc>
          <w:tcPr>
            <w:tcW w:w="1656" w:type="dxa"/>
          </w:tcPr>
          <w:p w14:paraId="7B296DDA">
            <w:pPr>
              <w:kinsoku/>
              <w:rPr>
                <w:rFonts w:ascii="宋体" w:hAnsi="宋体" w:eastAsia="宋体" w:cs="宋体"/>
                <w:color w:val="auto"/>
                <w:highlight w:val="none"/>
                <w:lang w:eastAsia="zh-CN"/>
              </w:rPr>
            </w:pPr>
          </w:p>
        </w:tc>
        <w:tc>
          <w:tcPr>
            <w:tcW w:w="1559" w:type="dxa"/>
          </w:tcPr>
          <w:p w14:paraId="010610B0">
            <w:pPr>
              <w:kinsoku/>
              <w:rPr>
                <w:rFonts w:ascii="宋体" w:hAnsi="宋体" w:eastAsia="宋体" w:cs="宋体"/>
                <w:color w:val="auto"/>
                <w:highlight w:val="none"/>
                <w:lang w:eastAsia="zh-CN"/>
              </w:rPr>
            </w:pPr>
          </w:p>
        </w:tc>
        <w:tc>
          <w:tcPr>
            <w:tcW w:w="2041" w:type="dxa"/>
          </w:tcPr>
          <w:p w14:paraId="20D91B0C">
            <w:pPr>
              <w:kinsoku/>
              <w:rPr>
                <w:rFonts w:ascii="宋体" w:hAnsi="宋体" w:eastAsia="宋体" w:cs="宋体"/>
                <w:color w:val="auto"/>
                <w:highlight w:val="none"/>
                <w:lang w:eastAsia="zh-CN"/>
              </w:rPr>
            </w:pPr>
          </w:p>
        </w:tc>
        <w:tc>
          <w:tcPr>
            <w:tcW w:w="1350" w:type="dxa"/>
            <w:vMerge w:val="continue"/>
            <w:tcBorders>
              <w:top w:val="nil"/>
              <w:bottom w:val="nil"/>
            </w:tcBorders>
          </w:tcPr>
          <w:p w14:paraId="05665F01">
            <w:pPr>
              <w:kinsoku/>
              <w:rPr>
                <w:rFonts w:ascii="宋体" w:hAnsi="宋体" w:eastAsia="宋体" w:cs="宋体"/>
                <w:color w:val="auto"/>
                <w:highlight w:val="none"/>
                <w:lang w:eastAsia="zh-CN"/>
              </w:rPr>
            </w:pPr>
          </w:p>
        </w:tc>
      </w:tr>
      <w:tr w14:paraId="2066C1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5074" w:type="dxa"/>
            <w:gridSpan w:val="3"/>
          </w:tcPr>
          <w:p w14:paraId="69F9F5E5">
            <w:pPr>
              <w:kinsoku/>
              <w:spacing w:before="156" w:line="224" w:lineRule="auto"/>
              <w:ind w:left="1152"/>
              <w:rPr>
                <w:rFonts w:ascii="宋体" w:hAnsi="宋体" w:eastAsia="宋体" w:cs="宋体"/>
                <w:color w:val="auto"/>
                <w:sz w:val="24"/>
                <w:szCs w:val="24"/>
                <w:highlight w:val="none"/>
                <w:lang w:eastAsia="zh-CN"/>
              </w:rPr>
            </w:pPr>
            <w:r>
              <w:rPr>
                <w:rFonts w:hint="eastAsia" w:ascii="宋体" w:hAnsi="宋体" w:eastAsia="宋体" w:cs="宋体"/>
                <w:color w:val="auto"/>
                <w:highlight w:val="none"/>
                <w:lang w:eastAsia="zh-CN"/>
              </w:rPr>
              <w:t>拟分包工作量合计比例</w:t>
            </w:r>
            <w:r>
              <w:rPr>
                <w:rFonts w:hint="eastAsia" w:ascii="宋体" w:hAnsi="宋体" w:eastAsia="宋体" w:cs="宋体"/>
                <w:color w:val="auto"/>
                <w:sz w:val="24"/>
                <w:szCs w:val="24"/>
                <w:highlight w:val="none"/>
                <w:lang w:eastAsia="zh-CN"/>
              </w:rPr>
              <w:t>（%）</w:t>
            </w:r>
          </w:p>
        </w:tc>
        <w:tc>
          <w:tcPr>
            <w:tcW w:w="2041" w:type="dxa"/>
          </w:tcPr>
          <w:p w14:paraId="20C45E11">
            <w:pPr>
              <w:kinsoku/>
              <w:rPr>
                <w:rFonts w:ascii="宋体" w:hAnsi="宋体" w:eastAsia="宋体" w:cs="宋体"/>
                <w:color w:val="auto"/>
                <w:highlight w:val="none"/>
                <w:lang w:eastAsia="zh-CN"/>
              </w:rPr>
            </w:pPr>
          </w:p>
        </w:tc>
        <w:tc>
          <w:tcPr>
            <w:tcW w:w="1350" w:type="dxa"/>
            <w:vMerge w:val="continue"/>
            <w:tcBorders>
              <w:top w:val="nil"/>
            </w:tcBorders>
          </w:tcPr>
          <w:p w14:paraId="7AB1DD54">
            <w:pPr>
              <w:kinsoku/>
              <w:rPr>
                <w:rFonts w:ascii="宋体" w:hAnsi="宋体" w:eastAsia="宋体" w:cs="宋体"/>
                <w:color w:val="auto"/>
                <w:highlight w:val="none"/>
                <w:lang w:eastAsia="zh-CN"/>
              </w:rPr>
            </w:pPr>
          </w:p>
        </w:tc>
      </w:tr>
    </w:tbl>
    <w:p w14:paraId="1D6E5EF4">
      <w:pPr>
        <w:kinsoku/>
        <w:rPr>
          <w:rFonts w:ascii="宋体" w:hAnsi="宋体" w:eastAsia="宋体" w:cs="宋体"/>
          <w:color w:val="auto"/>
          <w:highlight w:val="none"/>
          <w:lang w:eastAsia="zh-CN"/>
        </w:rPr>
      </w:pPr>
    </w:p>
    <w:p w14:paraId="1A91BE7A">
      <w:pPr>
        <w:kinsoku/>
        <w:rPr>
          <w:rFonts w:ascii="宋体" w:hAnsi="宋体" w:eastAsia="宋体" w:cs="宋体"/>
          <w:color w:val="auto"/>
          <w:highlight w:val="none"/>
          <w:lang w:eastAsia="zh-CN"/>
        </w:rPr>
        <w:sectPr>
          <w:headerReference r:id="rId47" w:type="default"/>
          <w:footerReference r:id="rId48" w:type="default"/>
          <w:pgSz w:w="11907" w:h="16839"/>
          <w:pgMar w:top="1173" w:right="1638" w:bottom="1254" w:left="1589" w:header="862" w:footer="1093" w:gutter="0"/>
          <w:cols w:space="720" w:num="1"/>
        </w:sectPr>
      </w:pPr>
    </w:p>
    <w:p w14:paraId="003FC677">
      <w:pPr>
        <w:kinsoku/>
        <w:spacing w:before="91" w:line="219" w:lineRule="auto"/>
        <w:jc w:val="center"/>
        <w:rPr>
          <w:rFonts w:ascii="宋体" w:hAnsi="宋体" w:eastAsia="宋体" w:cs="宋体"/>
          <w:color w:val="auto"/>
          <w:sz w:val="28"/>
          <w:szCs w:val="28"/>
          <w:highlight w:val="none"/>
          <w:lang w:eastAsia="zh-CN"/>
        </w:rPr>
      </w:pPr>
      <w:bookmarkStart w:id="375" w:name="bookmark288"/>
      <w:bookmarkEnd w:id="375"/>
      <w:bookmarkStart w:id="376" w:name="bookmark285"/>
      <w:bookmarkEnd w:id="376"/>
      <w:bookmarkStart w:id="377" w:name="bookmark286"/>
      <w:bookmarkEnd w:id="377"/>
      <w:r>
        <w:rPr>
          <w:rFonts w:hint="eastAsia" w:ascii="宋体" w:hAnsi="宋体" w:eastAsia="宋体" w:cs="宋体"/>
          <w:color w:val="auto"/>
          <w:sz w:val="28"/>
          <w:szCs w:val="28"/>
          <w:highlight w:val="none"/>
          <w:lang w:eastAsia="zh-CN"/>
        </w:rPr>
        <w:t>六、资格审查资料</w:t>
      </w:r>
    </w:p>
    <w:p w14:paraId="781D3119">
      <w:pPr>
        <w:kinsoku/>
        <w:spacing w:line="391" w:lineRule="auto"/>
        <w:rPr>
          <w:rFonts w:ascii="宋体" w:hAnsi="宋体" w:eastAsia="宋体" w:cs="宋体"/>
          <w:color w:val="auto"/>
          <w:highlight w:val="none"/>
          <w:lang w:eastAsia="zh-CN"/>
        </w:rPr>
      </w:pPr>
    </w:p>
    <w:p w14:paraId="6F0AD7D6">
      <w:pPr>
        <w:kinsoku/>
        <w:spacing w:before="78" w:line="220" w:lineRule="auto"/>
        <w:ind w:left="3152"/>
        <w:rPr>
          <w:rFonts w:ascii="宋体" w:hAnsi="宋体" w:eastAsia="宋体" w:cs="宋体"/>
          <w:color w:val="auto"/>
          <w:sz w:val="24"/>
          <w:szCs w:val="24"/>
          <w:highlight w:val="none"/>
          <w:lang w:eastAsia="zh-CN"/>
        </w:rPr>
      </w:pPr>
      <w:bookmarkStart w:id="378" w:name="bookmark287"/>
      <w:bookmarkEnd w:id="378"/>
      <w:r>
        <w:rPr>
          <w:rFonts w:hint="eastAsia" w:ascii="宋体" w:hAnsi="宋体" w:eastAsia="宋体" w:cs="宋体"/>
          <w:color w:val="auto"/>
          <w:sz w:val="24"/>
          <w:szCs w:val="24"/>
          <w:highlight w:val="none"/>
          <w:lang w:eastAsia="zh-CN"/>
        </w:rPr>
        <w:t>（一）投标人基本情况表</w:t>
      </w:r>
    </w:p>
    <w:p w14:paraId="144CD075">
      <w:pPr>
        <w:kinsoku/>
        <w:spacing w:before="190"/>
        <w:rPr>
          <w:rFonts w:ascii="宋体" w:hAnsi="宋体" w:eastAsia="宋体" w:cs="宋体"/>
          <w:color w:val="auto"/>
          <w:highlight w:val="none"/>
          <w:lang w:eastAsia="zh-CN"/>
        </w:rPr>
      </w:pPr>
    </w:p>
    <w:tbl>
      <w:tblPr>
        <w:tblStyle w:val="21"/>
        <w:tblW w:w="889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51"/>
        <w:gridCol w:w="898"/>
        <w:gridCol w:w="1024"/>
        <w:gridCol w:w="1288"/>
        <w:gridCol w:w="413"/>
        <w:gridCol w:w="873"/>
        <w:gridCol w:w="828"/>
        <w:gridCol w:w="283"/>
        <w:gridCol w:w="1235"/>
      </w:tblGrid>
      <w:tr w14:paraId="47E4A3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051" w:type="dxa"/>
            <w:vAlign w:val="center"/>
          </w:tcPr>
          <w:p w14:paraId="725B88D9">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投标人名称</w:t>
            </w:r>
          </w:p>
        </w:tc>
        <w:tc>
          <w:tcPr>
            <w:tcW w:w="6842" w:type="dxa"/>
            <w:gridSpan w:val="8"/>
          </w:tcPr>
          <w:p w14:paraId="52B128DC">
            <w:pPr>
              <w:kinsoku/>
              <w:rPr>
                <w:rFonts w:ascii="宋体" w:hAnsi="宋体" w:eastAsia="宋体" w:cs="宋体"/>
                <w:color w:val="auto"/>
                <w:highlight w:val="none"/>
              </w:rPr>
            </w:pPr>
          </w:p>
        </w:tc>
      </w:tr>
      <w:tr w14:paraId="464ECD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4F1575D4">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注册地址</w:t>
            </w:r>
          </w:p>
        </w:tc>
        <w:tc>
          <w:tcPr>
            <w:tcW w:w="3210" w:type="dxa"/>
            <w:gridSpan w:val="3"/>
          </w:tcPr>
          <w:p w14:paraId="257CCCB3">
            <w:pPr>
              <w:kinsoku/>
              <w:rPr>
                <w:rFonts w:ascii="宋体" w:hAnsi="宋体" w:eastAsia="宋体" w:cs="宋体"/>
                <w:color w:val="auto"/>
                <w:highlight w:val="none"/>
              </w:rPr>
            </w:pPr>
          </w:p>
        </w:tc>
        <w:tc>
          <w:tcPr>
            <w:tcW w:w="1286" w:type="dxa"/>
            <w:gridSpan w:val="2"/>
            <w:vAlign w:val="center"/>
          </w:tcPr>
          <w:p w14:paraId="0EC7A535">
            <w:pPr>
              <w:kinsoku/>
              <w:spacing w:line="221" w:lineRule="auto"/>
              <w:jc w:val="center"/>
              <w:rPr>
                <w:rFonts w:ascii="宋体" w:hAnsi="宋体" w:eastAsia="宋体" w:cs="宋体"/>
                <w:color w:val="auto"/>
                <w:highlight w:val="none"/>
              </w:rPr>
            </w:pPr>
            <w:r>
              <w:rPr>
                <w:rFonts w:hint="eastAsia" w:ascii="宋体" w:hAnsi="宋体" w:eastAsia="宋体" w:cs="宋体"/>
                <w:color w:val="auto"/>
                <w:highlight w:val="none"/>
              </w:rPr>
              <w:t>邮政编码</w:t>
            </w:r>
          </w:p>
        </w:tc>
        <w:tc>
          <w:tcPr>
            <w:tcW w:w="2346" w:type="dxa"/>
            <w:gridSpan w:val="3"/>
          </w:tcPr>
          <w:p w14:paraId="7A424427">
            <w:pPr>
              <w:kinsoku/>
              <w:rPr>
                <w:rFonts w:ascii="宋体" w:hAnsi="宋体" w:eastAsia="宋体" w:cs="宋体"/>
                <w:color w:val="auto"/>
                <w:highlight w:val="none"/>
              </w:rPr>
            </w:pPr>
          </w:p>
        </w:tc>
      </w:tr>
      <w:tr w14:paraId="62FE1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2051" w:type="dxa"/>
            <w:vMerge w:val="restart"/>
            <w:tcBorders>
              <w:bottom w:val="nil"/>
            </w:tcBorders>
            <w:vAlign w:val="center"/>
          </w:tcPr>
          <w:p w14:paraId="20AC8D64">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联系方式</w:t>
            </w:r>
          </w:p>
        </w:tc>
        <w:tc>
          <w:tcPr>
            <w:tcW w:w="898" w:type="dxa"/>
            <w:vAlign w:val="center"/>
          </w:tcPr>
          <w:p w14:paraId="25A43522">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联系人</w:t>
            </w:r>
          </w:p>
        </w:tc>
        <w:tc>
          <w:tcPr>
            <w:tcW w:w="2312" w:type="dxa"/>
            <w:gridSpan w:val="2"/>
            <w:vAlign w:val="center"/>
          </w:tcPr>
          <w:p w14:paraId="0902681C">
            <w:pPr>
              <w:kinsoku/>
              <w:spacing w:before="68" w:line="222" w:lineRule="auto"/>
              <w:jc w:val="center"/>
              <w:rPr>
                <w:rFonts w:ascii="宋体" w:hAnsi="宋体" w:eastAsia="宋体" w:cs="宋体"/>
                <w:color w:val="auto"/>
                <w:highlight w:val="none"/>
              </w:rPr>
            </w:pPr>
          </w:p>
        </w:tc>
        <w:tc>
          <w:tcPr>
            <w:tcW w:w="1286" w:type="dxa"/>
            <w:gridSpan w:val="2"/>
            <w:vAlign w:val="center"/>
          </w:tcPr>
          <w:p w14:paraId="21B84CEC">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电 话</w:t>
            </w:r>
          </w:p>
        </w:tc>
        <w:tc>
          <w:tcPr>
            <w:tcW w:w="2346" w:type="dxa"/>
            <w:gridSpan w:val="3"/>
            <w:vAlign w:val="center"/>
          </w:tcPr>
          <w:p w14:paraId="1CC4B965">
            <w:pPr>
              <w:kinsoku/>
              <w:spacing w:before="68" w:line="222" w:lineRule="auto"/>
              <w:jc w:val="center"/>
              <w:rPr>
                <w:rFonts w:ascii="宋体" w:hAnsi="宋体" w:eastAsia="宋体" w:cs="宋体"/>
                <w:color w:val="auto"/>
                <w:highlight w:val="none"/>
              </w:rPr>
            </w:pPr>
          </w:p>
        </w:tc>
      </w:tr>
      <w:tr w14:paraId="5AEE1D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Merge w:val="continue"/>
            <w:tcBorders>
              <w:top w:val="nil"/>
            </w:tcBorders>
            <w:vAlign w:val="center"/>
          </w:tcPr>
          <w:p w14:paraId="4A66E7D0">
            <w:pPr>
              <w:kinsoku/>
              <w:jc w:val="center"/>
              <w:rPr>
                <w:rFonts w:ascii="宋体" w:hAnsi="宋体" w:eastAsia="宋体" w:cs="宋体"/>
                <w:color w:val="auto"/>
                <w:highlight w:val="none"/>
              </w:rPr>
            </w:pPr>
          </w:p>
        </w:tc>
        <w:tc>
          <w:tcPr>
            <w:tcW w:w="898" w:type="dxa"/>
            <w:vAlign w:val="center"/>
          </w:tcPr>
          <w:p w14:paraId="0187A19C">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传  真</w:t>
            </w:r>
          </w:p>
        </w:tc>
        <w:tc>
          <w:tcPr>
            <w:tcW w:w="2312" w:type="dxa"/>
            <w:gridSpan w:val="2"/>
            <w:vAlign w:val="center"/>
          </w:tcPr>
          <w:p w14:paraId="192F5E41">
            <w:pPr>
              <w:kinsoku/>
              <w:spacing w:before="68" w:line="222" w:lineRule="auto"/>
              <w:jc w:val="center"/>
              <w:rPr>
                <w:rFonts w:ascii="宋体" w:hAnsi="宋体" w:eastAsia="宋体" w:cs="宋体"/>
                <w:color w:val="auto"/>
                <w:highlight w:val="none"/>
              </w:rPr>
            </w:pPr>
          </w:p>
        </w:tc>
        <w:tc>
          <w:tcPr>
            <w:tcW w:w="1286" w:type="dxa"/>
            <w:gridSpan w:val="2"/>
            <w:vAlign w:val="center"/>
          </w:tcPr>
          <w:p w14:paraId="3C6C777E">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电子邮件</w:t>
            </w:r>
          </w:p>
        </w:tc>
        <w:tc>
          <w:tcPr>
            <w:tcW w:w="2346" w:type="dxa"/>
            <w:gridSpan w:val="3"/>
            <w:vAlign w:val="center"/>
          </w:tcPr>
          <w:p w14:paraId="622B5F11">
            <w:pPr>
              <w:kinsoku/>
              <w:spacing w:before="68" w:line="222" w:lineRule="auto"/>
              <w:jc w:val="center"/>
              <w:rPr>
                <w:rFonts w:ascii="宋体" w:hAnsi="宋体" w:eastAsia="宋体" w:cs="宋体"/>
                <w:color w:val="auto"/>
                <w:highlight w:val="none"/>
              </w:rPr>
            </w:pPr>
          </w:p>
        </w:tc>
      </w:tr>
      <w:tr w14:paraId="08A961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051" w:type="dxa"/>
            <w:vAlign w:val="center"/>
          </w:tcPr>
          <w:p w14:paraId="56AAA1C0">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法定代表人</w:t>
            </w:r>
          </w:p>
        </w:tc>
        <w:tc>
          <w:tcPr>
            <w:tcW w:w="898" w:type="dxa"/>
            <w:vAlign w:val="center"/>
          </w:tcPr>
          <w:p w14:paraId="428EA7FC">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姓名</w:t>
            </w:r>
          </w:p>
        </w:tc>
        <w:tc>
          <w:tcPr>
            <w:tcW w:w="1024" w:type="dxa"/>
            <w:vAlign w:val="center"/>
          </w:tcPr>
          <w:p w14:paraId="3CEEA63C">
            <w:pPr>
              <w:kinsoku/>
              <w:spacing w:before="68" w:line="222" w:lineRule="auto"/>
              <w:jc w:val="center"/>
              <w:rPr>
                <w:rFonts w:ascii="宋体" w:hAnsi="宋体" w:eastAsia="宋体" w:cs="宋体"/>
                <w:color w:val="auto"/>
                <w:highlight w:val="none"/>
              </w:rPr>
            </w:pPr>
          </w:p>
        </w:tc>
        <w:tc>
          <w:tcPr>
            <w:tcW w:w="1288" w:type="dxa"/>
            <w:vAlign w:val="center"/>
          </w:tcPr>
          <w:p w14:paraId="798C6F8B">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1286" w:type="dxa"/>
            <w:gridSpan w:val="2"/>
            <w:vAlign w:val="center"/>
          </w:tcPr>
          <w:p w14:paraId="3635C906">
            <w:pPr>
              <w:kinsoku/>
              <w:spacing w:before="68" w:line="222" w:lineRule="auto"/>
              <w:jc w:val="center"/>
              <w:rPr>
                <w:rFonts w:ascii="宋体" w:hAnsi="宋体" w:eastAsia="宋体" w:cs="宋体"/>
                <w:color w:val="auto"/>
                <w:highlight w:val="none"/>
              </w:rPr>
            </w:pPr>
          </w:p>
        </w:tc>
        <w:tc>
          <w:tcPr>
            <w:tcW w:w="1111" w:type="dxa"/>
            <w:gridSpan w:val="2"/>
            <w:vAlign w:val="center"/>
          </w:tcPr>
          <w:p w14:paraId="12700C52">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电话</w:t>
            </w:r>
          </w:p>
        </w:tc>
        <w:tc>
          <w:tcPr>
            <w:tcW w:w="1235" w:type="dxa"/>
          </w:tcPr>
          <w:p w14:paraId="5909C6E8">
            <w:pPr>
              <w:kinsoku/>
              <w:rPr>
                <w:rFonts w:ascii="宋体" w:hAnsi="宋体" w:eastAsia="宋体" w:cs="宋体"/>
                <w:color w:val="auto"/>
                <w:highlight w:val="none"/>
              </w:rPr>
            </w:pPr>
          </w:p>
        </w:tc>
      </w:tr>
      <w:tr w14:paraId="7602D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62FDB00E">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技术负责人</w:t>
            </w:r>
          </w:p>
        </w:tc>
        <w:tc>
          <w:tcPr>
            <w:tcW w:w="898" w:type="dxa"/>
            <w:vAlign w:val="center"/>
          </w:tcPr>
          <w:p w14:paraId="74EECE70">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姓名</w:t>
            </w:r>
          </w:p>
        </w:tc>
        <w:tc>
          <w:tcPr>
            <w:tcW w:w="1024" w:type="dxa"/>
            <w:vAlign w:val="center"/>
          </w:tcPr>
          <w:p w14:paraId="55101A99">
            <w:pPr>
              <w:kinsoku/>
              <w:spacing w:before="68" w:line="222" w:lineRule="auto"/>
              <w:jc w:val="center"/>
              <w:rPr>
                <w:rFonts w:ascii="宋体" w:hAnsi="宋体" w:eastAsia="宋体" w:cs="宋体"/>
                <w:color w:val="auto"/>
                <w:highlight w:val="none"/>
              </w:rPr>
            </w:pPr>
          </w:p>
        </w:tc>
        <w:tc>
          <w:tcPr>
            <w:tcW w:w="1288" w:type="dxa"/>
            <w:vAlign w:val="center"/>
          </w:tcPr>
          <w:p w14:paraId="511E6204">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1286" w:type="dxa"/>
            <w:gridSpan w:val="2"/>
            <w:vAlign w:val="center"/>
          </w:tcPr>
          <w:p w14:paraId="624CBD80">
            <w:pPr>
              <w:kinsoku/>
              <w:spacing w:before="68" w:line="222" w:lineRule="auto"/>
              <w:jc w:val="center"/>
              <w:rPr>
                <w:rFonts w:ascii="宋体" w:hAnsi="宋体" w:eastAsia="宋体" w:cs="宋体"/>
                <w:color w:val="auto"/>
                <w:highlight w:val="none"/>
              </w:rPr>
            </w:pPr>
          </w:p>
        </w:tc>
        <w:tc>
          <w:tcPr>
            <w:tcW w:w="1111" w:type="dxa"/>
            <w:gridSpan w:val="2"/>
            <w:vAlign w:val="center"/>
          </w:tcPr>
          <w:p w14:paraId="605D065A">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电话</w:t>
            </w:r>
          </w:p>
        </w:tc>
        <w:tc>
          <w:tcPr>
            <w:tcW w:w="1235" w:type="dxa"/>
          </w:tcPr>
          <w:p w14:paraId="0CFAFCE0">
            <w:pPr>
              <w:kinsoku/>
              <w:rPr>
                <w:rFonts w:ascii="宋体" w:hAnsi="宋体" w:eastAsia="宋体" w:cs="宋体"/>
                <w:color w:val="auto"/>
                <w:highlight w:val="none"/>
              </w:rPr>
            </w:pPr>
          </w:p>
        </w:tc>
      </w:tr>
      <w:tr w14:paraId="688B2D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051" w:type="dxa"/>
            <w:vAlign w:val="center"/>
          </w:tcPr>
          <w:p w14:paraId="445F26F4">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企业勘察资质证书</w:t>
            </w:r>
          </w:p>
        </w:tc>
        <w:tc>
          <w:tcPr>
            <w:tcW w:w="6842" w:type="dxa"/>
            <w:gridSpan w:val="8"/>
            <w:vAlign w:val="center"/>
          </w:tcPr>
          <w:p w14:paraId="62C61ED8">
            <w:pPr>
              <w:kinsoku/>
              <w:spacing w:before="173" w:line="220" w:lineRule="auto"/>
              <w:ind w:left="1060"/>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类型：                    等级：      证书号：</w:t>
            </w:r>
          </w:p>
        </w:tc>
      </w:tr>
      <w:tr w14:paraId="49FB94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44626422">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企业设计资质证书</w:t>
            </w:r>
          </w:p>
        </w:tc>
        <w:tc>
          <w:tcPr>
            <w:tcW w:w="6842" w:type="dxa"/>
            <w:gridSpan w:val="8"/>
            <w:vAlign w:val="center"/>
          </w:tcPr>
          <w:p w14:paraId="559CDF57">
            <w:pPr>
              <w:kinsoku/>
              <w:spacing w:before="175" w:line="220" w:lineRule="auto"/>
              <w:ind w:left="1060"/>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类型：                    等级：      证书号：</w:t>
            </w:r>
          </w:p>
        </w:tc>
      </w:tr>
      <w:tr w14:paraId="3BEB08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2051" w:type="dxa"/>
            <w:vAlign w:val="center"/>
          </w:tcPr>
          <w:p w14:paraId="71082F88">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营业执照号</w:t>
            </w:r>
          </w:p>
        </w:tc>
        <w:tc>
          <w:tcPr>
            <w:tcW w:w="3210" w:type="dxa"/>
            <w:gridSpan w:val="3"/>
            <w:vAlign w:val="center"/>
          </w:tcPr>
          <w:p w14:paraId="0D083EFD">
            <w:pPr>
              <w:kinsoku/>
              <w:jc w:val="center"/>
              <w:rPr>
                <w:rFonts w:ascii="宋体" w:hAnsi="宋体" w:eastAsia="宋体" w:cs="宋体"/>
                <w:color w:val="auto"/>
                <w:highlight w:val="none"/>
              </w:rPr>
            </w:pPr>
          </w:p>
        </w:tc>
        <w:tc>
          <w:tcPr>
            <w:tcW w:w="3632" w:type="dxa"/>
            <w:gridSpan w:val="5"/>
            <w:vAlign w:val="center"/>
          </w:tcPr>
          <w:p w14:paraId="2BDB7676">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员工总人数：</w:t>
            </w:r>
          </w:p>
        </w:tc>
      </w:tr>
      <w:tr w14:paraId="770752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29A5A43D">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注册资本</w:t>
            </w:r>
          </w:p>
        </w:tc>
        <w:tc>
          <w:tcPr>
            <w:tcW w:w="3210" w:type="dxa"/>
            <w:gridSpan w:val="3"/>
            <w:vAlign w:val="center"/>
          </w:tcPr>
          <w:p w14:paraId="3D84655C">
            <w:pPr>
              <w:kinsoku/>
              <w:jc w:val="center"/>
              <w:rPr>
                <w:rFonts w:ascii="宋体" w:hAnsi="宋体" w:eastAsia="宋体" w:cs="宋体"/>
                <w:color w:val="auto"/>
                <w:highlight w:val="none"/>
              </w:rPr>
            </w:pPr>
          </w:p>
        </w:tc>
        <w:tc>
          <w:tcPr>
            <w:tcW w:w="413" w:type="dxa"/>
            <w:vMerge w:val="restart"/>
            <w:tcBorders>
              <w:bottom w:val="nil"/>
            </w:tcBorders>
            <w:textDirection w:val="tbRlV"/>
            <w:vAlign w:val="center"/>
          </w:tcPr>
          <w:p w14:paraId="6039D7AD">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其  中</w:t>
            </w:r>
          </w:p>
        </w:tc>
        <w:tc>
          <w:tcPr>
            <w:tcW w:w="1701" w:type="dxa"/>
            <w:gridSpan w:val="2"/>
            <w:vAlign w:val="center"/>
          </w:tcPr>
          <w:p w14:paraId="0F702455">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高级职称人员</w:t>
            </w:r>
          </w:p>
        </w:tc>
        <w:tc>
          <w:tcPr>
            <w:tcW w:w="1518" w:type="dxa"/>
            <w:gridSpan w:val="2"/>
          </w:tcPr>
          <w:p w14:paraId="55D912A5">
            <w:pPr>
              <w:kinsoku/>
              <w:spacing w:before="68" w:line="222" w:lineRule="auto"/>
              <w:jc w:val="center"/>
              <w:rPr>
                <w:rFonts w:ascii="宋体" w:hAnsi="宋体" w:eastAsia="宋体" w:cs="宋体"/>
                <w:color w:val="auto"/>
                <w:highlight w:val="none"/>
              </w:rPr>
            </w:pPr>
          </w:p>
        </w:tc>
      </w:tr>
      <w:tr w14:paraId="21C60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051" w:type="dxa"/>
            <w:vAlign w:val="center"/>
          </w:tcPr>
          <w:p w14:paraId="6AEFF396">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成立日期</w:t>
            </w:r>
          </w:p>
        </w:tc>
        <w:tc>
          <w:tcPr>
            <w:tcW w:w="3210" w:type="dxa"/>
            <w:gridSpan w:val="3"/>
            <w:vAlign w:val="center"/>
          </w:tcPr>
          <w:p w14:paraId="1077B771">
            <w:pPr>
              <w:kinsoku/>
              <w:jc w:val="center"/>
              <w:rPr>
                <w:rFonts w:ascii="宋体" w:hAnsi="宋体" w:eastAsia="宋体" w:cs="宋体"/>
                <w:color w:val="auto"/>
                <w:highlight w:val="none"/>
              </w:rPr>
            </w:pPr>
          </w:p>
        </w:tc>
        <w:tc>
          <w:tcPr>
            <w:tcW w:w="413" w:type="dxa"/>
            <w:vMerge w:val="continue"/>
            <w:tcBorders>
              <w:top w:val="nil"/>
              <w:bottom w:val="nil"/>
            </w:tcBorders>
            <w:textDirection w:val="tbRlV"/>
            <w:vAlign w:val="center"/>
          </w:tcPr>
          <w:p w14:paraId="7A4E1AF7">
            <w:pPr>
              <w:kinsoku/>
              <w:spacing w:before="68" w:line="222" w:lineRule="auto"/>
              <w:jc w:val="center"/>
              <w:rPr>
                <w:rFonts w:ascii="宋体" w:hAnsi="宋体" w:eastAsia="宋体" w:cs="宋体"/>
                <w:color w:val="auto"/>
                <w:highlight w:val="none"/>
              </w:rPr>
            </w:pPr>
          </w:p>
        </w:tc>
        <w:tc>
          <w:tcPr>
            <w:tcW w:w="1701" w:type="dxa"/>
            <w:gridSpan w:val="2"/>
            <w:vAlign w:val="center"/>
          </w:tcPr>
          <w:p w14:paraId="48923B20">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中级职称人员</w:t>
            </w:r>
          </w:p>
        </w:tc>
        <w:tc>
          <w:tcPr>
            <w:tcW w:w="1518" w:type="dxa"/>
            <w:gridSpan w:val="2"/>
          </w:tcPr>
          <w:p w14:paraId="5FC0654C">
            <w:pPr>
              <w:kinsoku/>
              <w:spacing w:before="68" w:line="222" w:lineRule="auto"/>
              <w:jc w:val="center"/>
              <w:rPr>
                <w:rFonts w:ascii="宋体" w:hAnsi="宋体" w:eastAsia="宋体" w:cs="宋体"/>
                <w:color w:val="auto"/>
                <w:highlight w:val="none"/>
              </w:rPr>
            </w:pPr>
          </w:p>
        </w:tc>
      </w:tr>
      <w:tr w14:paraId="0D89A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2DA59699">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基本账户开户银行</w:t>
            </w:r>
          </w:p>
        </w:tc>
        <w:tc>
          <w:tcPr>
            <w:tcW w:w="3210" w:type="dxa"/>
            <w:gridSpan w:val="3"/>
            <w:vAlign w:val="center"/>
          </w:tcPr>
          <w:p w14:paraId="5740E1BA">
            <w:pPr>
              <w:kinsoku/>
              <w:jc w:val="center"/>
              <w:rPr>
                <w:rFonts w:ascii="宋体" w:hAnsi="宋体" w:eastAsia="宋体" w:cs="宋体"/>
                <w:color w:val="auto"/>
                <w:highlight w:val="none"/>
              </w:rPr>
            </w:pPr>
          </w:p>
        </w:tc>
        <w:tc>
          <w:tcPr>
            <w:tcW w:w="413" w:type="dxa"/>
            <w:vMerge w:val="continue"/>
            <w:tcBorders>
              <w:top w:val="nil"/>
              <w:bottom w:val="nil"/>
            </w:tcBorders>
            <w:textDirection w:val="tbRlV"/>
            <w:vAlign w:val="center"/>
          </w:tcPr>
          <w:p w14:paraId="4215B9E3">
            <w:pPr>
              <w:kinsoku/>
              <w:spacing w:before="68" w:line="222" w:lineRule="auto"/>
              <w:jc w:val="center"/>
              <w:rPr>
                <w:rFonts w:ascii="宋体" w:hAnsi="宋体" w:eastAsia="宋体" w:cs="宋体"/>
                <w:color w:val="auto"/>
                <w:highlight w:val="none"/>
              </w:rPr>
            </w:pPr>
          </w:p>
        </w:tc>
        <w:tc>
          <w:tcPr>
            <w:tcW w:w="1701" w:type="dxa"/>
            <w:gridSpan w:val="2"/>
            <w:vAlign w:val="center"/>
          </w:tcPr>
          <w:p w14:paraId="7D94DFA8">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技术人员数量</w:t>
            </w:r>
          </w:p>
        </w:tc>
        <w:tc>
          <w:tcPr>
            <w:tcW w:w="1518" w:type="dxa"/>
            <w:gridSpan w:val="2"/>
          </w:tcPr>
          <w:p w14:paraId="7ACF073F">
            <w:pPr>
              <w:kinsoku/>
              <w:spacing w:before="68" w:line="222" w:lineRule="auto"/>
              <w:jc w:val="center"/>
              <w:rPr>
                <w:rFonts w:ascii="宋体" w:hAnsi="宋体" w:eastAsia="宋体" w:cs="宋体"/>
                <w:color w:val="auto"/>
                <w:highlight w:val="none"/>
              </w:rPr>
            </w:pPr>
          </w:p>
        </w:tc>
      </w:tr>
      <w:tr w14:paraId="05F506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2051" w:type="dxa"/>
            <w:vAlign w:val="center"/>
          </w:tcPr>
          <w:p w14:paraId="0CE4A693">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基本账户银行账号</w:t>
            </w:r>
          </w:p>
        </w:tc>
        <w:tc>
          <w:tcPr>
            <w:tcW w:w="3210" w:type="dxa"/>
            <w:gridSpan w:val="3"/>
            <w:vAlign w:val="center"/>
          </w:tcPr>
          <w:p w14:paraId="09C6F17B">
            <w:pPr>
              <w:kinsoku/>
              <w:jc w:val="center"/>
              <w:rPr>
                <w:rFonts w:ascii="宋体" w:hAnsi="宋体" w:eastAsia="宋体" w:cs="宋体"/>
                <w:color w:val="auto"/>
                <w:highlight w:val="none"/>
              </w:rPr>
            </w:pPr>
          </w:p>
        </w:tc>
        <w:tc>
          <w:tcPr>
            <w:tcW w:w="413" w:type="dxa"/>
            <w:vMerge w:val="continue"/>
            <w:tcBorders>
              <w:top w:val="nil"/>
            </w:tcBorders>
            <w:textDirection w:val="tbRlV"/>
            <w:vAlign w:val="center"/>
          </w:tcPr>
          <w:p w14:paraId="3CF0C60F">
            <w:pPr>
              <w:kinsoku/>
              <w:spacing w:before="68" w:line="222" w:lineRule="auto"/>
              <w:jc w:val="center"/>
              <w:rPr>
                <w:rFonts w:ascii="宋体" w:hAnsi="宋体" w:eastAsia="宋体" w:cs="宋体"/>
                <w:color w:val="auto"/>
                <w:highlight w:val="none"/>
              </w:rPr>
            </w:pPr>
          </w:p>
        </w:tc>
        <w:tc>
          <w:tcPr>
            <w:tcW w:w="1701" w:type="dxa"/>
            <w:gridSpan w:val="2"/>
            <w:vAlign w:val="center"/>
          </w:tcPr>
          <w:p w14:paraId="79F0D7B9">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各类注册人员</w:t>
            </w:r>
          </w:p>
        </w:tc>
        <w:tc>
          <w:tcPr>
            <w:tcW w:w="1518" w:type="dxa"/>
            <w:gridSpan w:val="2"/>
          </w:tcPr>
          <w:p w14:paraId="35DC9AC3">
            <w:pPr>
              <w:kinsoku/>
              <w:spacing w:before="68" w:line="222" w:lineRule="auto"/>
              <w:jc w:val="center"/>
              <w:rPr>
                <w:rFonts w:ascii="宋体" w:hAnsi="宋体" w:eastAsia="宋体" w:cs="宋体"/>
                <w:color w:val="auto"/>
                <w:highlight w:val="none"/>
              </w:rPr>
            </w:pPr>
          </w:p>
        </w:tc>
      </w:tr>
      <w:tr w14:paraId="1CFB6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2051" w:type="dxa"/>
            <w:vAlign w:val="center"/>
          </w:tcPr>
          <w:p w14:paraId="50B63597">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经营范围</w:t>
            </w:r>
          </w:p>
        </w:tc>
        <w:tc>
          <w:tcPr>
            <w:tcW w:w="6842" w:type="dxa"/>
            <w:gridSpan w:val="8"/>
          </w:tcPr>
          <w:p w14:paraId="4837D76B">
            <w:pPr>
              <w:kinsoku/>
              <w:rPr>
                <w:rFonts w:ascii="宋体" w:hAnsi="宋体" w:eastAsia="宋体" w:cs="宋体"/>
                <w:color w:val="auto"/>
                <w:highlight w:val="none"/>
              </w:rPr>
            </w:pPr>
          </w:p>
        </w:tc>
      </w:tr>
      <w:tr w14:paraId="0BAEF7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36" w:hRule="atLeast"/>
        </w:trPr>
        <w:tc>
          <w:tcPr>
            <w:tcW w:w="2051" w:type="dxa"/>
            <w:vAlign w:val="center"/>
          </w:tcPr>
          <w:p w14:paraId="7BA50CEF">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投标人关联企业情况</w:t>
            </w:r>
          </w:p>
        </w:tc>
        <w:tc>
          <w:tcPr>
            <w:tcW w:w="6842" w:type="dxa"/>
            <w:gridSpan w:val="8"/>
          </w:tcPr>
          <w:p w14:paraId="6B6F78B7">
            <w:pPr>
              <w:kinsoku/>
              <w:spacing w:before="160"/>
              <w:ind w:left="112"/>
              <w:rPr>
                <w:rFonts w:ascii="宋体" w:hAnsi="宋体" w:eastAsia="宋体" w:cs="宋体"/>
                <w:color w:val="auto"/>
                <w:highlight w:val="none"/>
                <w:lang w:eastAsia="zh-CN"/>
              </w:rPr>
            </w:pPr>
            <w:r>
              <w:rPr>
                <w:rFonts w:hint="eastAsia" w:ascii="宋体" w:hAnsi="宋体" w:eastAsia="宋体" w:cs="宋体"/>
                <w:color w:val="auto"/>
                <w:highlight w:val="none"/>
                <w:lang w:eastAsia="zh-CN"/>
              </w:rPr>
              <w:t>投标人应提供关联企业情况，包括：</w:t>
            </w:r>
          </w:p>
          <w:p w14:paraId="245EB7B8">
            <w:pPr>
              <w:kinsoku/>
              <w:spacing w:before="149"/>
              <w:ind w:left="109" w:right="105" w:hanging="99"/>
              <w:rPr>
                <w:rFonts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（1）投标人的所有股东名称及相应股权（出资额）比例；如投标人为上市公司，投标人应提供股权占公司股份总数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%以上的所有股东名称及相应股权比例；</w:t>
            </w:r>
          </w:p>
          <w:p w14:paraId="70EA2D03">
            <w:pPr>
              <w:kinsoku/>
              <w:spacing w:before="150"/>
              <w:ind w:left="109" w:right="118" w:hanging="99"/>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（2）投标人投资（控股）或管理的下属企业名称、持有股权（出资额）比例；</w:t>
            </w:r>
          </w:p>
          <w:p w14:paraId="090FBE8D">
            <w:pPr>
              <w:kinsoku/>
              <w:spacing w:before="147"/>
              <w:ind w:left="10"/>
              <w:rPr>
                <w:rFonts w:ascii="宋体" w:hAnsi="宋体" w:eastAsia="宋体" w:cs="宋体"/>
                <w:color w:val="auto"/>
                <w:highlight w:val="none"/>
                <w:lang w:eastAsia="zh-CN"/>
              </w:rPr>
            </w:pPr>
            <w:r>
              <w:rPr>
                <w:rFonts w:hint="eastAsia" w:ascii="宋体" w:hAnsi="宋体" w:eastAsia="宋体" w:cs="宋体"/>
                <w:color w:val="auto"/>
                <w:highlight w:val="none"/>
                <w:lang w:eastAsia="zh-CN"/>
              </w:rPr>
              <w:t>（3）与投标人单位负责人（即法定代表人）为同一人的其他单位名称</w:t>
            </w:r>
          </w:p>
        </w:tc>
      </w:tr>
      <w:tr w14:paraId="631C9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2051" w:type="dxa"/>
          </w:tcPr>
          <w:p w14:paraId="5438CAC0">
            <w:pPr>
              <w:kinsoku/>
              <w:spacing w:before="176" w:line="222" w:lineRule="auto"/>
              <w:ind w:left="824"/>
              <w:rPr>
                <w:rFonts w:ascii="宋体" w:hAnsi="宋体" w:eastAsia="宋体" w:cs="宋体"/>
                <w:color w:val="auto"/>
                <w:highlight w:val="none"/>
              </w:rPr>
            </w:pPr>
            <w:r>
              <w:rPr>
                <w:rFonts w:hint="eastAsia" w:ascii="宋体" w:hAnsi="宋体" w:eastAsia="宋体" w:cs="宋体"/>
                <w:color w:val="auto"/>
                <w:highlight w:val="none"/>
              </w:rPr>
              <w:t>备注</w:t>
            </w:r>
          </w:p>
        </w:tc>
        <w:tc>
          <w:tcPr>
            <w:tcW w:w="6842" w:type="dxa"/>
            <w:gridSpan w:val="8"/>
          </w:tcPr>
          <w:p w14:paraId="4546D8A7">
            <w:pPr>
              <w:kinsoku/>
              <w:rPr>
                <w:rFonts w:ascii="宋体" w:hAnsi="宋体" w:eastAsia="宋体" w:cs="宋体"/>
                <w:color w:val="auto"/>
                <w:highlight w:val="none"/>
              </w:rPr>
            </w:pPr>
          </w:p>
        </w:tc>
      </w:tr>
    </w:tbl>
    <w:p w14:paraId="678610AA">
      <w:pPr>
        <w:tabs>
          <w:tab w:val="left" w:pos="9040"/>
        </w:tabs>
        <w:kinsoku/>
        <w:spacing w:before="154" w:line="234" w:lineRule="auto"/>
        <w:ind w:left="592" w:right="-130" w:hanging="592"/>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注：投标人应根据招标文件第二章“投标人须知 ”第3.5.1项的要求在本表后附相关证明材料。</w:t>
      </w:r>
    </w:p>
    <w:p w14:paraId="5E5990A0">
      <w:pPr>
        <w:rPr>
          <w:rFonts w:ascii="宋体" w:hAnsi="宋体" w:eastAsia="宋体" w:cs="宋体"/>
          <w:color w:val="auto"/>
          <w:sz w:val="24"/>
          <w:szCs w:val="24"/>
          <w:highlight w:val="none"/>
          <w:lang w:eastAsia="zh-CN"/>
        </w:rPr>
      </w:pPr>
      <w:bookmarkStart w:id="379" w:name="bookmark290"/>
      <w:bookmarkEnd w:id="379"/>
      <w:bookmarkStart w:id="380" w:name="bookmark289"/>
      <w:bookmarkEnd w:id="380"/>
      <w:r>
        <w:rPr>
          <w:rFonts w:hint="eastAsia" w:ascii="宋体" w:hAnsi="宋体" w:eastAsia="宋体" w:cs="宋体"/>
          <w:color w:val="auto"/>
          <w:sz w:val="24"/>
          <w:szCs w:val="24"/>
          <w:highlight w:val="none"/>
          <w:lang w:eastAsia="zh-CN"/>
        </w:rPr>
        <w:br w:type="page"/>
      </w:r>
    </w:p>
    <w:p w14:paraId="32ECBEDD">
      <w:pPr>
        <w:kinsoku/>
        <w:spacing w:before="78" w:line="220" w:lineRule="auto"/>
        <w:ind w:left="274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（二）投标人企业组织机构框图</w:t>
      </w:r>
    </w:p>
    <w:p w14:paraId="138F46C2">
      <w:pPr>
        <w:kinsoku/>
        <w:spacing w:before="22"/>
        <w:rPr>
          <w:rFonts w:ascii="宋体" w:hAnsi="宋体" w:eastAsia="宋体" w:cs="宋体"/>
          <w:color w:val="auto"/>
          <w:highlight w:val="none"/>
          <w:lang w:eastAsia="zh-CN"/>
        </w:rPr>
      </w:pPr>
    </w:p>
    <w:tbl>
      <w:tblPr>
        <w:tblStyle w:val="21"/>
        <w:tblW w:w="8897"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897"/>
      </w:tblGrid>
      <w:tr w14:paraId="78227A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2" w:hRule="atLeast"/>
        </w:trPr>
        <w:tc>
          <w:tcPr>
            <w:tcW w:w="8897" w:type="dxa"/>
          </w:tcPr>
          <w:p w14:paraId="70097A04">
            <w:pPr>
              <w:kinsoku/>
              <w:spacing w:line="304" w:lineRule="auto"/>
              <w:rPr>
                <w:rFonts w:ascii="宋体" w:hAnsi="宋体" w:eastAsia="宋体" w:cs="宋体"/>
                <w:color w:val="auto"/>
                <w:highlight w:val="none"/>
                <w:lang w:eastAsia="zh-CN"/>
              </w:rPr>
            </w:pPr>
          </w:p>
          <w:p w14:paraId="3A0B6A79">
            <w:pPr>
              <w:kinsoku/>
              <w:spacing w:before="68" w:line="221" w:lineRule="auto"/>
              <w:ind w:left="408"/>
              <w:rPr>
                <w:rFonts w:ascii="宋体" w:hAnsi="宋体" w:eastAsia="宋体" w:cs="宋体"/>
                <w:color w:val="auto"/>
                <w:highlight w:val="none"/>
              </w:rPr>
            </w:pPr>
            <w:r>
              <w:rPr>
                <w:rFonts w:hint="eastAsia" w:ascii="宋体" w:hAnsi="宋体" w:eastAsia="宋体" w:cs="宋体"/>
                <w:color w:val="auto"/>
                <w:highlight w:val="none"/>
              </w:rPr>
              <w:t>以框图方式表示。</w:t>
            </w:r>
          </w:p>
        </w:tc>
      </w:tr>
      <w:tr w14:paraId="3F60C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12" w:hRule="atLeast"/>
        </w:trPr>
        <w:tc>
          <w:tcPr>
            <w:tcW w:w="8897" w:type="dxa"/>
          </w:tcPr>
          <w:p w14:paraId="52988D50">
            <w:pPr>
              <w:kinsoku/>
              <w:spacing w:before="160" w:line="221" w:lineRule="auto"/>
              <w:ind w:left="387"/>
              <w:rPr>
                <w:rFonts w:ascii="宋体" w:hAnsi="宋体" w:eastAsia="宋体" w:cs="宋体"/>
                <w:color w:val="auto"/>
                <w:highlight w:val="none"/>
              </w:rPr>
            </w:pPr>
            <w:r>
              <w:rPr>
                <w:rFonts w:hint="eastAsia" w:ascii="宋体" w:hAnsi="宋体" w:eastAsia="宋体" w:cs="宋体"/>
                <w:color w:val="auto"/>
                <w:highlight w:val="none"/>
              </w:rPr>
              <w:t>说明</w:t>
            </w:r>
          </w:p>
        </w:tc>
      </w:tr>
    </w:tbl>
    <w:p w14:paraId="1BAE3245">
      <w:pPr>
        <w:kinsoku/>
        <w:rPr>
          <w:rFonts w:ascii="宋体" w:hAnsi="宋体" w:eastAsia="宋体" w:cs="宋体"/>
          <w:color w:val="auto"/>
          <w:highlight w:val="none"/>
        </w:rPr>
      </w:pPr>
    </w:p>
    <w:p w14:paraId="6F6718C3">
      <w:pPr>
        <w:kinsoku/>
        <w:rPr>
          <w:rFonts w:ascii="宋体" w:hAnsi="宋体" w:eastAsia="宋体" w:cs="宋体"/>
          <w:color w:val="auto"/>
          <w:highlight w:val="none"/>
        </w:rPr>
        <w:sectPr>
          <w:headerReference r:id="rId49" w:type="default"/>
          <w:footerReference r:id="rId50" w:type="default"/>
          <w:pgSz w:w="11907" w:h="16839"/>
          <w:pgMar w:top="1173" w:right="1411" w:bottom="1254" w:left="1586" w:header="862" w:footer="1093" w:gutter="0"/>
          <w:cols w:space="720" w:num="1"/>
        </w:sectPr>
      </w:pPr>
    </w:p>
    <w:p w14:paraId="663A1010">
      <w:pPr>
        <w:kinsoku/>
        <w:spacing w:before="78" w:line="360" w:lineRule="auto"/>
        <w:ind w:left="2617"/>
        <w:rPr>
          <w:rFonts w:ascii="宋体" w:hAnsi="宋体" w:eastAsia="宋体" w:cs="宋体"/>
          <w:color w:val="auto"/>
          <w:sz w:val="24"/>
          <w:szCs w:val="24"/>
          <w:highlight w:val="none"/>
          <w:lang w:eastAsia="zh-CN"/>
        </w:rPr>
      </w:pPr>
      <w:bookmarkStart w:id="381" w:name="bookmark292"/>
      <w:bookmarkEnd w:id="381"/>
      <w:bookmarkStart w:id="382" w:name="bookmark291"/>
      <w:bookmarkEnd w:id="382"/>
      <w:r>
        <w:rPr>
          <w:rFonts w:hint="eastAsia" w:ascii="宋体" w:hAnsi="宋体" w:eastAsia="宋体" w:cs="宋体"/>
          <w:color w:val="auto"/>
          <w:sz w:val="24"/>
          <w:szCs w:val="24"/>
          <w:highlight w:val="none"/>
          <w:lang w:eastAsia="zh-CN"/>
        </w:rPr>
        <w:t>（三）近年完成的类似项目情况表</w:t>
      </w:r>
    </w:p>
    <w:p w14:paraId="28D77BD8">
      <w:pPr>
        <w:kinsoku/>
        <w:spacing w:before="78" w:line="360" w:lineRule="auto"/>
        <w:ind w:left="2617"/>
        <w:rPr>
          <w:rFonts w:ascii="宋体" w:hAnsi="宋体" w:eastAsia="宋体" w:cs="宋体"/>
          <w:color w:val="auto"/>
          <w:sz w:val="24"/>
          <w:szCs w:val="24"/>
          <w:highlight w:val="none"/>
          <w:lang w:eastAsia="zh-CN"/>
        </w:rPr>
      </w:pPr>
      <w:bookmarkStart w:id="383" w:name="_Toc4841"/>
      <w:bookmarkStart w:id="384" w:name="_Toc29"/>
      <w:r>
        <w:rPr>
          <w:rFonts w:hint="eastAsia" w:ascii="宋体" w:hAnsi="宋体" w:eastAsia="宋体" w:cs="宋体"/>
          <w:color w:val="auto"/>
          <w:sz w:val="24"/>
          <w:szCs w:val="24"/>
          <w:highlight w:val="none"/>
          <w:lang w:eastAsia="zh-CN"/>
        </w:rPr>
        <w:t>表 3-1 完成的类似项目情况汇总表</w:t>
      </w:r>
      <w:bookmarkEnd w:id="383"/>
      <w:bookmarkEnd w:id="384"/>
    </w:p>
    <w:tbl>
      <w:tblPr>
        <w:tblStyle w:val="15"/>
        <w:tblW w:w="7622" w:type="dxa"/>
        <w:jc w:val="center"/>
        <w:tblLayout w:type="fixed"/>
        <w:tblCellMar>
          <w:top w:w="0" w:type="dxa"/>
          <w:left w:w="0" w:type="dxa"/>
          <w:bottom w:w="0" w:type="dxa"/>
          <w:right w:w="0" w:type="dxa"/>
        </w:tblCellMar>
      </w:tblPr>
      <w:tblGrid>
        <w:gridCol w:w="832"/>
        <w:gridCol w:w="2062"/>
        <w:gridCol w:w="1706"/>
        <w:gridCol w:w="1194"/>
        <w:gridCol w:w="944"/>
        <w:gridCol w:w="884"/>
      </w:tblGrid>
      <w:tr w14:paraId="071C757C">
        <w:tblPrEx>
          <w:tblCellMar>
            <w:top w:w="0" w:type="dxa"/>
            <w:left w:w="0" w:type="dxa"/>
            <w:bottom w:w="0" w:type="dxa"/>
            <w:right w:w="0" w:type="dxa"/>
          </w:tblCellMar>
        </w:tblPrEx>
        <w:trPr>
          <w:trHeight w:val="631" w:hRule="atLeast"/>
          <w:jc w:val="center"/>
        </w:trPr>
        <w:tc>
          <w:tcPr>
            <w:tcW w:w="832" w:type="dxa"/>
            <w:tcBorders>
              <w:top w:val="single" w:color="auto" w:sz="12" w:space="0"/>
              <w:left w:val="single" w:color="auto" w:sz="12" w:space="0"/>
              <w:bottom w:val="single" w:color="auto" w:sz="8" w:space="0"/>
              <w:right w:val="single" w:color="auto" w:sz="4" w:space="0"/>
            </w:tcBorders>
            <w:vAlign w:val="center"/>
          </w:tcPr>
          <w:p w14:paraId="1CA1719E">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序号</w:t>
            </w:r>
          </w:p>
        </w:tc>
        <w:tc>
          <w:tcPr>
            <w:tcW w:w="2062" w:type="dxa"/>
            <w:tcBorders>
              <w:top w:val="single" w:color="auto" w:sz="12" w:space="0"/>
              <w:left w:val="single" w:color="auto" w:sz="4" w:space="0"/>
              <w:bottom w:val="single" w:color="auto" w:sz="8" w:space="0"/>
              <w:right w:val="single" w:color="auto" w:sz="4" w:space="0"/>
            </w:tcBorders>
            <w:vAlign w:val="center"/>
          </w:tcPr>
          <w:p w14:paraId="0633A07E">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项目名称</w:t>
            </w:r>
          </w:p>
        </w:tc>
        <w:tc>
          <w:tcPr>
            <w:tcW w:w="1706" w:type="dxa"/>
            <w:tcBorders>
              <w:top w:val="single" w:color="auto" w:sz="12" w:space="0"/>
              <w:left w:val="single" w:color="auto" w:sz="4" w:space="0"/>
              <w:bottom w:val="single" w:color="auto" w:sz="8" w:space="0"/>
              <w:right w:val="single" w:color="auto" w:sz="4" w:space="0"/>
            </w:tcBorders>
            <w:vAlign w:val="center"/>
          </w:tcPr>
          <w:p w14:paraId="6D4EEAC7">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土建工程里程（km）</w:t>
            </w:r>
          </w:p>
        </w:tc>
        <w:tc>
          <w:tcPr>
            <w:tcW w:w="1194" w:type="dxa"/>
            <w:tcBorders>
              <w:top w:val="single" w:color="auto" w:sz="12" w:space="0"/>
              <w:left w:val="single" w:color="auto" w:sz="4" w:space="0"/>
              <w:bottom w:val="single" w:color="auto" w:sz="8" w:space="0"/>
              <w:right w:val="single" w:color="auto" w:sz="4" w:space="0"/>
            </w:tcBorders>
            <w:vAlign w:val="center"/>
          </w:tcPr>
          <w:p w14:paraId="6BBA4F4D">
            <w:pPr>
              <w:widowControl w:val="0"/>
              <w:kinsoku/>
              <w:adjustRightInd/>
              <w:snapToGrid/>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大桥（座）</w:t>
            </w:r>
          </w:p>
        </w:tc>
        <w:tc>
          <w:tcPr>
            <w:tcW w:w="944" w:type="dxa"/>
            <w:tcBorders>
              <w:top w:val="single" w:color="auto" w:sz="12" w:space="0"/>
              <w:left w:val="single" w:color="auto" w:sz="4" w:space="0"/>
              <w:bottom w:val="single" w:color="auto" w:sz="8" w:space="0"/>
              <w:right w:val="single" w:color="auto" w:sz="4" w:space="0"/>
            </w:tcBorders>
            <w:vAlign w:val="center"/>
          </w:tcPr>
          <w:p w14:paraId="6EE856B9">
            <w:pPr>
              <w:widowControl w:val="0"/>
              <w:kinsoku/>
              <w:adjustRightInd/>
              <w:snapToGrid/>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桥梁工程（座）</w:t>
            </w:r>
          </w:p>
        </w:tc>
        <w:tc>
          <w:tcPr>
            <w:tcW w:w="884" w:type="dxa"/>
            <w:tcBorders>
              <w:top w:val="single" w:color="auto" w:sz="12" w:space="0"/>
              <w:left w:val="single" w:color="auto" w:sz="4" w:space="0"/>
              <w:bottom w:val="single" w:color="auto" w:sz="8" w:space="0"/>
              <w:right w:val="single" w:color="auto" w:sz="12" w:space="0"/>
            </w:tcBorders>
            <w:vAlign w:val="center"/>
          </w:tcPr>
          <w:p w14:paraId="30DC8511">
            <w:pPr>
              <w:widowControl w:val="0"/>
              <w:kinsoku/>
              <w:adjustRightInd/>
              <w:snapToGrid/>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备注</w:t>
            </w:r>
          </w:p>
        </w:tc>
      </w:tr>
      <w:tr w14:paraId="5A502DFE">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7FC590D2">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1</w:t>
            </w:r>
          </w:p>
        </w:tc>
        <w:tc>
          <w:tcPr>
            <w:tcW w:w="2062" w:type="dxa"/>
            <w:tcBorders>
              <w:top w:val="single" w:color="auto" w:sz="8" w:space="0"/>
              <w:left w:val="single" w:color="auto" w:sz="4" w:space="0"/>
              <w:bottom w:val="single" w:color="auto" w:sz="8" w:space="0"/>
              <w:right w:val="single" w:color="auto" w:sz="4" w:space="0"/>
            </w:tcBorders>
            <w:vAlign w:val="center"/>
          </w:tcPr>
          <w:p w14:paraId="6395FEF4">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4F23E20F">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2B8D4983">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540CF6A4">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902AF74">
            <w:pPr>
              <w:widowControl w:val="0"/>
              <w:kinsoku/>
              <w:adjustRightInd/>
              <w:snapToGrid/>
              <w:jc w:val="center"/>
              <w:textAlignment w:val="auto"/>
              <w:rPr>
                <w:rFonts w:ascii="宋体" w:hAnsi="宋体" w:eastAsia="宋体" w:cs="宋体"/>
                <w:snapToGrid/>
                <w:color w:val="auto"/>
                <w:highlight w:val="none"/>
                <w:lang w:eastAsia="zh-CN"/>
              </w:rPr>
            </w:pPr>
          </w:p>
        </w:tc>
      </w:tr>
      <w:tr w14:paraId="1AF1ED27">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09CACF64">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2</w:t>
            </w:r>
          </w:p>
        </w:tc>
        <w:tc>
          <w:tcPr>
            <w:tcW w:w="2062" w:type="dxa"/>
            <w:tcBorders>
              <w:top w:val="single" w:color="auto" w:sz="8" w:space="0"/>
              <w:left w:val="single" w:color="auto" w:sz="4" w:space="0"/>
              <w:bottom w:val="single" w:color="auto" w:sz="8" w:space="0"/>
              <w:right w:val="single" w:color="auto" w:sz="4" w:space="0"/>
            </w:tcBorders>
            <w:vAlign w:val="center"/>
          </w:tcPr>
          <w:p w14:paraId="62D9A778">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5D90AD07">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36DE1CEF">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7A744D7F">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324B0C3E">
            <w:pPr>
              <w:widowControl w:val="0"/>
              <w:kinsoku/>
              <w:adjustRightInd/>
              <w:snapToGrid/>
              <w:jc w:val="center"/>
              <w:textAlignment w:val="auto"/>
              <w:rPr>
                <w:rFonts w:ascii="宋体" w:hAnsi="宋体" w:eastAsia="宋体" w:cs="宋体"/>
                <w:snapToGrid/>
                <w:color w:val="auto"/>
                <w:highlight w:val="none"/>
                <w:lang w:eastAsia="zh-CN"/>
              </w:rPr>
            </w:pPr>
          </w:p>
        </w:tc>
      </w:tr>
      <w:tr w14:paraId="52A5712F">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4DA1138D">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3</w:t>
            </w:r>
          </w:p>
        </w:tc>
        <w:tc>
          <w:tcPr>
            <w:tcW w:w="2062" w:type="dxa"/>
            <w:tcBorders>
              <w:top w:val="single" w:color="auto" w:sz="8" w:space="0"/>
              <w:left w:val="single" w:color="auto" w:sz="4" w:space="0"/>
              <w:bottom w:val="single" w:color="auto" w:sz="8" w:space="0"/>
              <w:right w:val="single" w:color="auto" w:sz="4" w:space="0"/>
            </w:tcBorders>
            <w:vAlign w:val="center"/>
          </w:tcPr>
          <w:p w14:paraId="0B126BD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0BA6576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0B63FE20">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158F4B86">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6E65F13">
            <w:pPr>
              <w:widowControl w:val="0"/>
              <w:kinsoku/>
              <w:adjustRightInd/>
              <w:snapToGrid/>
              <w:jc w:val="center"/>
              <w:textAlignment w:val="auto"/>
              <w:rPr>
                <w:rFonts w:ascii="宋体" w:hAnsi="宋体" w:eastAsia="宋体" w:cs="宋体"/>
                <w:snapToGrid/>
                <w:color w:val="auto"/>
                <w:highlight w:val="none"/>
                <w:lang w:eastAsia="zh-CN"/>
              </w:rPr>
            </w:pPr>
          </w:p>
        </w:tc>
      </w:tr>
      <w:tr w14:paraId="39BB9047">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5685618D">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4</w:t>
            </w:r>
          </w:p>
        </w:tc>
        <w:tc>
          <w:tcPr>
            <w:tcW w:w="2062" w:type="dxa"/>
            <w:tcBorders>
              <w:top w:val="single" w:color="auto" w:sz="8" w:space="0"/>
              <w:left w:val="single" w:color="auto" w:sz="4" w:space="0"/>
              <w:bottom w:val="single" w:color="auto" w:sz="8" w:space="0"/>
              <w:right w:val="single" w:color="auto" w:sz="4" w:space="0"/>
            </w:tcBorders>
            <w:vAlign w:val="center"/>
          </w:tcPr>
          <w:p w14:paraId="4C8F57C6">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41686DEE">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796DD433">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002BE41B">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78981574">
            <w:pPr>
              <w:widowControl w:val="0"/>
              <w:kinsoku/>
              <w:adjustRightInd/>
              <w:snapToGrid/>
              <w:jc w:val="center"/>
              <w:textAlignment w:val="auto"/>
              <w:rPr>
                <w:rFonts w:ascii="宋体" w:hAnsi="宋体" w:eastAsia="宋体" w:cs="宋体"/>
                <w:snapToGrid/>
                <w:color w:val="auto"/>
                <w:highlight w:val="none"/>
                <w:lang w:eastAsia="zh-CN"/>
              </w:rPr>
            </w:pPr>
          </w:p>
        </w:tc>
      </w:tr>
      <w:tr w14:paraId="052DC03A">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3AAD788E">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5</w:t>
            </w:r>
          </w:p>
        </w:tc>
        <w:tc>
          <w:tcPr>
            <w:tcW w:w="2062" w:type="dxa"/>
            <w:tcBorders>
              <w:top w:val="single" w:color="auto" w:sz="8" w:space="0"/>
              <w:left w:val="single" w:color="auto" w:sz="4" w:space="0"/>
              <w:bottom w:val="single" w:color="auto" w:sz="8" w:space="0"/>
              <w:right w:val="single" w:color="auto" w:sz="4" w:space="0"/>
            </w:tcBorders>
            <w:vAlign w:val="center"/>
          </w:tcPr>
          <w:p w14:paraId="0BEA1B6F">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76A47923">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180A6ADB">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0D947F85">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A72FCD4">
            <w:pPr>
              <w:widowControl w:val="0"/>
              <w:kinsoku/>
              <w:adjustRightInd/>
              <w:snapToGrid/>
              <w:jc w:val="center"/>
              <w:textAlignment w:val="auto"/>
              <w:rPr>
                <w:rFonts w:ascii="宋体" w:hAnsi="宋体" w:eastAsia="宋体" w:cs="宋体"/>
                <w:snapToGrid/>
                <w:color w:val="auto"/>
                <w:highlight w:val="none"/>
                <w:lang w:eastAsia="zh-CN"/>
              </w:rPr>
            </w:pPr>
          </w:p>
        </w:tc>
      </w:tr>
      <w:tr w14:paraId="0D9FB61B">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05CF249D">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6</w:t>
            </w:r>
          </w:p>
        </w:tc>
        <w:tc>
          <w:tcPr>
            <w:tcW w:w="2062" w:type="dxa"/>
            <w:tcBorders>
              <w:top w:val="single" w:color="auto" w:sz="8" w:space="0"/>
              <w:left w:val="single" w:color="auto" w:sz="4" w:space="0"/>
              <w:bottom w:val="single" w:color="auto" w:sz="8" w:space="0"/>
              <w:right w:val="single" w:color="auto" w:sz="4" w:space="0"/>
            </w:tcBorders>
            <w:vAlign w:val="center"/>
          </w:tcPr>
          <w:p w14:paraId="40A53D7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38B5500F">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25C7E699">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7A641BF1">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0F55DB74">
            <w:pPr>
              <w:widowControl w:val="0"/>
              <w:kinsoku/>
              <w:adjustRightInd/>
              <w:snapToGrid/>
              <w:jc w:val="center"/>
              <w:textAlignment w:val="auto"/>
              <w:rPr>
                <w:rFonts w:ascii="宋体" w:hAnsi="宋体" w:eastAsia="宋体" w:cs="宋体"/>
                <w:snapToGrid/>
                <w:color w:val="auto"/>
                <w:highlight w:val="none"/>
                <w:lang w:eastAsia="zh-CN"/>
              </w:rPr>
            </w:pPr>
          </w:p>
        </w:tc>
      </w:tr>
      <w:tr w14:paraId="0E836A18">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308A52D2">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7</w:t>
            </w:r>
          </w:p>
        </w:tc>
        <w:tc>
          <w:tcPr>
            <w:tcW w:w="2062" w:type="dxa"/>
            <w:tcBorders>
              <w:top w:val="single" w:color="auto" w:sz="8" w:space="0"/>
              <w:left w:val="single" w:color="auto" w:sz="4" w:space="0"/>
              <w:bottom w:val="single" w:color="auto" w:sz="8" w:space="0"/>
              <w:right w:val="single" w:color="auto" w:sz="4" w:space="0"/>
            </w:tcBorders>
            <w:vAlign w:val="center"/>
          </w:tcPr>
          <w:p w14:paraId="414655C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7FFD4BC2">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6805314E">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2015DBDF">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7D6EAFD2">
            <w:pPr>
              <w:widowControl w:val="0"/>
              <w:kinsoku/>
              <w:adjustRightInd/>
              <w:snapToGrid/>
              <w:jc w:val="center"/>
              <w:textAlignment w:val="auto"/>
              <w:rPr>
                <w:rFonts w:ascii="宋体" w:hAnsi="宋体" w:eastAsia="宋体" w:cs="宋体"/>
                <w:snapToGrid/>
                <w:color w:val="auto"/>
                <w:highlight w:val="none"/>
                <w:lang w:eastAsia="zh-CN"/>
              </w:rPr>
            </w:pPr>
          </w:p>
        </w:tc>
      </w:tr>
      <w:tr w14:paraId="6279B8BB">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6AAD1A4D">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656A97AE">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1302475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6B7377F2">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1812888E">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0F57DF6C">
            <w:pPr>
              <w:widowControl w:val="0"/>
              <w:kinsoku/>
              <w:adjustRightInd/>
              <w:snapToGrid/>
              <w:jc w:val="center"/>
              <w:textAlignment w:val="auto"/>
              <w:rPr>
                <w:rFonts w:ascii="宋体" w:hAnsi="宋体" w:eastAsia="宋体" w:cs="宋体"/>
                <w:snapToGrid/>
                <w:color w:val="auto"/>
                <w:highlight w:val="none"/>
                <w:lang w:eastAsia="zh-CN"/>
              </w:rPr>
            </w:pPr>
          </w:p>
        </w:tc>
      </w:tr>
      <w:tr w14:paraId="23E72042">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5D4BFF6F">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621D5728">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3B48B28F">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3E18DB36">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18F3F5D1">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3AE924F6">
            <w:pPr>
              <w:widowControl w:val="0"/>
              <w:kinsoku/>
              <w:adjustRightInd/>
              <w:snapToGrid/>
              <w:jc w:val="center"/>
              <w:textAlignment w:val="auto"/>
              <w:rPr>
                <w:rFonts w:ascii="宋体" w:hAnsi="宋体" w:eastAsia="宋体" w:cs="宋体"/>
                <w:snapToGrid/>
                <w:color w:val="auto"/>
                <w:highlight w:val="none"/>
                <w:lang w:eastAsia="zh-CN"/>
              </w:rPr>
            </w:pPr>
          </w:p>
        </w:tc>
      </w:tr>
      <w:tr w14:paraId="7939D738">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27A0A1B4">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6D0763B0">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6CB0B73E">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40FAFB4A">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2F26756E">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5298FB71">
            <w:pPr>
              <w:widowControl w:val="0"/>
              <w:kinsoku/>
              <w:adjustRightInd/>
              <w:snapToGrid/>
              <w:jc w:val="center"/>
              <w:textAlignment w:val="auto"/>
              <w:rPr>
                <w:rFonts w:ascii="宋体" w:hAnsi="宋体" w:eastAsia="宋体" w:cs="宋体"/>
                <w:snapToGrid/>
                <w:color w:val="auto"/>
                <w:highlight w:val="none"/>
                <w:lang w:eastAsia="zh-CN"/>
              </w:rPr>
            </w:pPr>
          </w:p>
        </w:tc>
      </w:tr>
      <w:tr w14:paraId="4FA015A7">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5097E110">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68D4A9D8">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02CFDB2B">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3F982274">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2C0B8430">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653972A">
            <w:pPr>
              <w:widowControl w:val="0"/>
              <w:kinsoku/>
              <w:adjustRightInd/>
              <w:snapToGrid/>
              <w:jc w:val="center"/>
              <w:textAlignment w:val="auto"/>
              <w:rPr>
                <w:rFonts w:ascii="宋体" w:hAnsi="宋体" w:eastAsia="宋体" w:cs="宋体"/>
                <w:snapToGrid/>
                <w:color w:val="auto"/>
                <w:highlight w:val="none"/>
                <w:lang w:eastAsia="zh-CN"/>
              </w:rPr>
            </w:pPr>
          </w:p>
        </w:tc>
      </w:tr>
      <w:tr w14:paraId="6F226764">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5F44EE5D">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17DA27D3">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52E4CB51">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1DFAC47C">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045DC8D7">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335E63D2">
            <w:pPr>
              <w:widowControl w:val="0"/>
              <w:kinsoku/>
              <w:adjustRightInd/>
              <w:snapToGrid/>
              <w:jc w:val="center"/>
              <w:textAlignment w:val="auto"/>
              <w:rPr>
                <w:rFonts w:ascii="宋体" w:hAnsi="宋体" w:eastAsia="宋体" w:cs="宋体"/>
                <w:snapToGrid/>
                <w:color w:val="auto"/>
                <w:highlight w:val="none"/>
                <w:lang w:eastAsia="zh-CN"/>
              </w:rPr>
            </w:pPr>
          </w:p>
        </w:tc>
      </w:tr>
      <w:tr w14:paraId="73AF0442">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1023B62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228DEBC6">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185493A7">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4C9567AE">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42212C27">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740ADA39">
            <w:pPr>
              <w:widowControl w:val="0"/>
              <w:kinsoku/>
              <w:adjustRightInd/>
              <w:snapToGrid/>
              <w:jc w:val="center"/>
              <w:textAlignment w:val="auto"/>
              <w:rPr>
                <w:rFonts w:ascii="宋体" w:hAnsi="宋体" w:eastAsia="宋体" w:cs="宋体"/>
                <w:snapToGrid/>
                <w:color w:val="auto"/>
                <w:highlight w:val="none"/>
                <w:lang w:eastAsia="zh-CN"/>
              </w:rPr>
            </w:pPr>
          </w:p>
        </w:tc>
      </w:tr>
      <w:tr w14:paraId="2ADA0D72">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2A25D50E">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2062" w:type="dxa"/>
            <w:tcBorders>
              <w:top w:val="single" w:color="auto" w:sz="8" w:space="0"/>
              <w:left w:val="single" w:color="auto" w:sz="4" w:space="0"/>
              <w:bottom w:val="single" w:color="auto" w:sz="8" w:space="0"/>
              <w:right w:val="single" w:color="auto" w:sz="4" w:space="0"/>
            </w:tcBorders>
            <w:vAlign w:val="center"/>
          </w:tcPr>
          <w:p w14:paraId="61BA030B">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558BDCA9">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56262493">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456A5D0F">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EF4F6C1">
            <w:pPr>
              <w:widowControl w:val="0"/>
              <w:kinsoku/>
              <w:adjustRightInd/>
              <w:snapToGrid/>
              <w:jc w:val="center"/>
              <w:textAlignment w:val="auto"/>
              <w:rPr>
                <w:rFonts w:ascii="宋体" w:hAnsi="宋体" w:eastAsia="宋体" w:cs="宋体"/>
                <w:snapToGrid/>
                <w:color w:val="auto"/>
                <w:highlight w:val="none"/>
                <w:lang w:eastAsia="zh-CN"/>
              </w:rPr>
            </w:pPr>
          </w:p>
        </w:tc>
      </w:tr>
      <w:tr w14:paraId="3EFCC56D">
        <w:tblPrEx>
          <w:tblCellMar>
            <w:top w:w="0" w:type="dxa"/>
            <w:left w:w="0" w:type="dxa"/>
            <w:bottom w:w="0" w:type="dxa"/>
            <w:right w:w="0" w:type="dxa"/>
          </w:tblCellMar>
        </w:tblPrEx>
        <w:trPr>
          <w:trHeight w:val="567" w:hRule="atLeast"/>
          <w:jc w:val="center"/>
        </w:trPr>
        <w:tc>
          <w:tcPr>
            <w:tcW w:w="832" w:type="dxa"/>
            <w:tcBorders>
              <w:top w:val="single" w:color="auto" w:sz="8" w:space="0"/>
              <w:left w:val="single" w:color="auto" w:sz="12" w:space="0"/>
              <w:bottom w:val="single" w:color="auto" w:sz="8" w:space="0"/>
              <w:right w:val="single" w:color="auto" w:sz="4" w:space="0"/>
            </w:tcBorders>
            <w:vAlign w:val="center"/>
          </w:tcPr>
          <w:p w14:paraId="0EDBA5BF">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w:t>
            </w:r>
          </w:p>
        </w:tc>
        <w:tc>
          <w:tcPr>
            <w:tcW w:w="2062" w:type="dxa"/>
            <w:tcBorders>
              <w:top w:val="single" w:color="auto" w:sz="8" w:space="0"/>
              <w:left w:val="single" w:color="auto" w:sz="4" w:space="0"/>
              <w:bottom w:val="single" w:color="auto" w:sz="8" w:space="0"/>
              <w:right w:val="single" w:color="auto" w:sz="4" w:space="0"/>
            </w:tcBorders>
            <w:vAlign w:val="center"/>
          </w:tcPr>
          <w:p w14:paraId="13D0BD40">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706" w:type="dxa"/>
            <w:tcBorders>
              <w:top w:val="single" w:color="auto" w:sz="8" w:space="0"/>
              <w:left w:val="single" w:color="auto" w:sz="4" w:space="0"/>
              <w:bottom w:val="single" w:color="auto" w:sz="8" w:space="0"/>
              <w:right w:val="single" w:color="auto" w:sz="4" w:space="0"/>
            </w:tcBorders>
            <w:vAlign w:val="center"/>
          </w:tcPr>
          <w:p w14:paraId="7617E99B">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705AD8BE">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1DE2D998">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51488F7C">
            <w:pPr>
              <w:widowControl w:val="0"/>
              <w:kinsoku/>
              <w:adjustRightInd/>
              <w:snapToGrid/>
              <w:jc w:val="center"/>
              <w:textAlignment w:val="auto"/>
              <w:rPr>
                <w:rFonts w:ascii="宋体" w:hAnsi="宋体" w:eastAsia="宋体" w:cs="宋体"/>
                <w:snapToGrid/>
                <w:color w:val="auto"/>
                <w:highlight w:val="none"/>
                <w:lang w:eastAsia="zh-CN"/>
              </w:rPr>
            </w:pPr>
          </w:p>
        </w:tc>
      </w:tr>
      <w:tr w14:paraId="768C2196">
        <w:tblPrEx>
          <w:tblCellMar>
            <w:top w:w="0" w:type="dxa"/>
            <w:left w:w="0" w:type="dxa"/>
            <w:bottom w:w="0" w:type="dxa"/>
            <w:right w:w="0" w:type="dxa"/>
          </w:tblCellMar>
        </w:tblPrEx>
        <w:trPr>
          <w:trHeight w:val="567" w:hRule="atLeast"/>
          <w:jc w:val="center"/>
        </w:trPr>
        <w:tc>
          <w:tcPr>
            <w:tcW w:w="2894" w:type="dxa"/>
            <w:gridSpan w:val="2"/>
            <w:tcBorders>
              <w:top w:val="single" w:color="auto" w:sz="8" w:space="0"/>
              <w:left w:val="single" w:color="auto" w:sz="12" w:space="0"/>
              <w:bottom w:val="single" w:color="auto" w:sz="8" w:space="0"/>
              <w:right w:val="single" w:color="auto" w:sz="4" w:space="0"/>
            </w:tcBorders>
            <w:vAlign w:val="center"/>
          </w:tcPr>
          <w:p w14:paraId="1A4C1E09">
            <w:pPr>
              <w:widowControl w:val="0"/>
              <w:kinsoku/>
              <w:adjustRightInd/>
              <w:snapToGrid/>
              <w:spacing w:line="360" w:lineRule="auto"/>
              <w:jc w:val="center"/>
              <w:textAlignment w:val="auto"/>
              <w:rPr>
                <w:rFonts w:ascii="宋体" w:hAnsi="宋体" w:eastAsia="宋体" w:cs="宋体"/>
                <w:snapToGrid/>
                <w:color w:val="auto"/>
                <w:highlight w:val="none"/>
                <w:lang w:eastAsia="zh-CN"/>
              </w:rPr>
            </w:pPr>
            <w:r>
              <w:rPr>
                <w:rFonts w:hint="eastAsia" w:ascii="宋体" w:hAnsi="宋体" w:eastAsia="宋体" w:cs="宋体"/>
                <w:snapToGrid/>
                <w:color w:val="auto"/>
                <w:highlight w:val="none"/>
                <w:lang w:eastAsia="zh-CN"/>
              </w:rPr>
              <w:t>业绩合计</w:t>
            </w:r>
          </w:p>
        </w:tc>
        <w:tc>
          <w:tcPr>
            <w:tcW w:w="1706" w:type="dxa"/>
            <w:tcBorders>
              <w:top w:val="single" w:color="auto" w:sz="8" w:space="0"/>
              <w:left w:val="single" w:color="auto" w:sz="4" w:space="0"/>
              <w:bottom w:val="single" w:color="auto" w:sz="8" w:space="0"/>
              <w:right w:val="single" w:color="auto" w:sz="4" w:space="0"/>
            </w:tcBorders>
            <w:vAlign w:val="center"/>
          </w:tcPr>
          <w:p w14:paraId="68C23137">
            <w:pPr>
              <w:widowControl w:val="0"/>
              <w:kinsoku/>
              <w:adjustRightInd/>
              <w:snapToGrid/>
              <w:spacing w:line="360" w:lineRule="auto"/>
              <w:jc w:val="center"/>
              <w:textAlignment w:val="auto"/>
              <w:rPr>
                <w:rFonts w:ascii="宋体" w:hAnsi="宋体" w:eastAsia="宋体" w:cs="宋体"/>
                <w:snapToGrid/>
                <w:color w:val="auto"/>
                <w:highlight w:val="none"/>
                <w:lang w:eastAsia="zh-CN"/>
              </w:rPr>
            </w:pPr>
          </w:p>
        </w:tc>
        <w:tc>
          <w:tcPr>
            <w:tcW w:w="1194" w:type="dxa"/>
            <w:tcBorders>
              <w:top w:val="single" w:color="auto" w:sz="8" w:space="0"/>
              <w:left w:val="single" w:color="auto" w:sz="4" w:space="0"/>
              <w:bottom w:val="single" w:color="auto" w:sz="8" w:space="0"/>
              <w:right w:val="single" w:color="auto" w:sz="4" w:space="0"/>
            </w:tcBorders>
            <w:vAlign w:val="center"/>
          </w:tcPr>
          <w:p w14:paraId="1D3E79D1">
            <w:pPr>
              <w:widowControl w:val="0"/>
              <w:kinsoku/>
              <w:adjustRightInd/>
              <w:snapToGrid/>
              <w:jc w:val="center"/>
              <w:textAlignment w:val="auto"/>
              <w:rPr>
                <w:rFonts w:ascii="宋体" w:hAnsi="宋体" w:eastAsia="宋体" w:cs="宋体"/>
                <w:snapToGrid/>
                <w:color w:val="auto"/>
                <w:highlight w:val="none"/>
                <w:lang w:eastAsia="zh-CN"/>
              </w:rPr>
            </w:pPr>
          </w:p>
        </w:tc>
        <w:tc>
          <w:tcPr>
            <w:tcW w:w="944" w:type="dxa"/>
            <w:tcBorders>
              <w:top w:val="single" w:color="auto" w:sz="8" w:space="0"/>
              <w:left w:val="single" w:color="auto" w:sz="4" w:space="0"/>
              <w:bottom w:val="single" w:color="auto" w:sz="8" w:space="0"/>
              <w:right w:val="single" w:color="auto" w:sz="4" w:space="0"/>
            </w:tcBorders>
            <w:vAlign w:val="center"/>
          </w:tcPr>
          <w:p w14:paraId="5E5FBFC5">
            <w:pPr>
              <w:widowControl w:val="0"/>
              <w:kinsoku/>
              <w:adjustRightInd/>
              <w:snapToGrid/>
              <w:jc w:val="center"/>
              <w:textAlignment w:val="auto"/>
              <w:rPr>
                <w:rFonts w:ascii="宋体" w:hAnsi="宋体" w:eastAsia="宋体" w:cs="宋体"/>
                <w:snapToGrid/>
                <w:color w:val="auto"/>
                <w:highlight w:val="none"/>
                <w:lang w:eastAsia="zh-CN"/>
              </w:rPr>
            </w:pPr>
          </w:p>
        </w:tc>
        <w:tc>
          <w:tcPr>
            <w:tcW w:w="884" w:type="dxa"/>
            <w:tcBorders>
              <w:top w:val="single" w:color="auto" w:sz="8" w:space="0"/>
              <w:left w:val="single" w:color="auto" w:sz="4" w:space="0"/>
              <w:bottom w:val="single" w:color="auto" w:sz="8" w:space="0"/>
              <w:right w:val="single" w:color="auto" w:sz="12" w:space="0"/>
            </w:tcBorders>
            <w:vAlign w:val="center"/>
          </w:tcPr>
          <w:p w14:paraId="6F73E5E9">
            <w:pPr>
              <w:widowControl w:val="0"/>
              <w:kinsoku/>
              <w:adjustRightInd/>
              <w:snapToGrid/>
              <w:jc w:val="center"/>
              <w:textAlignment w:val="auto"/>
              <w:rPr>
                <w:rFonts w:ascii="宋体" w:hAnsi="宋体" w:eastAsia="宋体" w:cs="宋体"/>
                <w:snapToGrid/>
                <w:color w:val="auto"/>
                <w:highlight w:val="none"/>
                <w:lang w:eastAsia="zh-CN"/>
              </w:rPr>
            </w:pPr>
          </w:p>
        </w:tc>
      </w:tr>
    </w:tbl>
    <w:p w14:paraId="36C8C6D8">
      <w:pPr>
        <w:kinsoku/>
        <w:spacing w:before="78" w:line="218" w:lineRule="auto"/>
        <w:ind w:left="2617"/>
        <w:rPr>
          <w:rFonts w:ascii="宋体" w:hAnsi="宋体" w:eastAsia="宋体" w:cs="宋体"/>
          <w:color w:val="auto"/>
          <w:sz w:val="24"/>
          <w:szCs w:val="24"/>
          <w:highlight w:val="none"/>
          <w:lang w:eastAsia="zh-CN"/>
        </w:rPr>
      </w:pPr>
      <w:bookmarkStart w:id="385" w:name="_Toc14879"/>
    </w:p>
    <w:p w14:paraId="10ABC426">
      <w:pPr>
        <w:kinsoku/>
        <w:autoSpaceDE/>
        <w:autoSpaceDN/>
        <w:adjustRightInd/>
        <w:snapToGrid/>
        <w:textAlignment w:val="auto"/>
        <w:rPr>
          <w:rFonts w:ascii="宋体" w:hAnsi="宋体" w:eastAsia="宋体" w:cs="宋体"/>
          <w:color w:val="auto"/>
          <w:sz w:val="24"/>
          <w:szCs w:val="24"/>
          <w:highlight w:val="none"/>
          <w:lang w:eastAsia="zh-CN"/>
        </w:rPr>
      </w:pPr>
      <w:r>
        <w:rPr>
          <w:rFonts w:ascii="宋体" w:hAnsi="宋体" w:eastAsia="宋体" w:cs="宋体"/>
          <w:color w:val="auto"/>
          <w:sz w:val="24"/>
          <w:szCs w:val="24"/>
          <w:highlight w:val="none"/>
          <w:lang w:eastAsia="zh-CN"/>
        </w:rPr>
        <w:br w:type="page"/>
      </w:r>
    </w:p>
    <w:p w14:paraId="67C84345">
      <w:pPr>
        <w:kinsoku/>
        <w:spacing w:before="78" w:line="218" w:lineRule="auto"/>
        <w:ind w:left="2617"/>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表 3-2近年完成的类似项目情况表</w:t>
      </w:r>
      <w:bookmarkEnd w:id="385"/>
    </w:p>
    <w:p w14:paraId="770E5E33">
      <w:pPr>
        <w:kinsoku/>
        <w:spacing w:before="69"/>
        <w:rPr>
          <w:rFonts w:ascii="宋体" w:hAnsi="宋体" w:eastAsia="宋体" w:cs="宋体"/>
          <w:color w:val="auto"/>
          <w:highlight w:val="none"/>
          <w:lang w:eastAsia="zh-CN"/>
        </w:rPr>
      </w:pPr>
    </w:p>
    <w:tbl>
      <w:tblPr>
        <w:tblStyle w:val="21"/>
        <w:tblW w:w="889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70"/>
        <w:gridCol w:w="6528"/>
      </w:tblGrid>
      <w:tr w14:paraId="026FD7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2370" w:type="dxa"/>
          </w:tcPr>
          <w:p w14:paraId="764A218A">
            <w:pPr>
              <w:kinsoku/>
              <w:spacing w:before="274" w:line="222" w:lineRule="auto"/>
              <w:ind w:left="770"/>
              <w:rPr>
                <w:rFonts w:ascii="宋体" w:hAnsi="宋体" w:eastAsia="宋体" w:cs="宋体"/>
                <w:color w:val="auto"/>
                <w:highlight w:val="none"/>
              </w:rPr>
            </w:pPr>
            <w:r>
              <w:rPr>
                <w:rFonts w:hint="eastAsia" w:ascii="宋体" w:hAnsi="宋体" w:eastAsia="宋体" w:cs="宋体"/>
                <w:color w:val="auto"/>
                <w:highlight w:val="none"/>
              </w:rPr>
              <w:t>序    号</w:t>
            </w:r>
          </w:p>
        </w:tc>
        <w:tc>
          <w:tcPr>
            <w:tcW w:w="6528" w:type="dxa"/>
          </w:tcPr>
          <w:p w14:paraId="209E83A0">
            <w:pPr>
              <w:kinsoku/>
              <w:rPr>
                <w:rFonts w:ascii="宋体" w:hAnsi="宋体" w:eastAsia="宋体" w:cs="宋体"/>
                <w:color w:val="auto"/>
                <w:highlight w:val="none"/>
              </w:rPr>
            </w:pPr>
          </w:p>
        </w:tc>
      </w:tr>
      <w:tr w14:paraId="341EF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370" w:type="dxa"/>
          </w:tcPr>
          <w:p w14:paraId="056C7822">
            <w:pPr>
              <w:kinsoku/>
              <w:spacing w:before="270" w:line="221" w:lineRule="auto"/>
              <w:ind w:left="774"/>
              <w:rPr>
                <w:rFonts w:ascii="宋体" w:hAnsi="宋体" w:eastAsia="宋体" w:cs="宋体"/>
                <w:color w:val="auto"/>
                <w:highlight w:val="none"/>
              </w:rPr>
            </w:pPr>
            <w:r>
              <w:rPr>
                <w:rFonts w:hint="eastAsia" w:ascii="宋体" w:hAnsi="宋体" w:eastAsia="宋体" w:cs="宋体"/>
                <w:color w:val="auto"/>
                <w:highlight w:val="none"/>
              </w:rPr>
              <w:t>项目名称</w:t>
            </w:r>
          </w:p>
        </w:tc>
        <w:tc>
          <w:tcPr>
            <w:tcW w:w="6528" w:type="dxa"/>
          </w:tcPr>
          <w:p w14:paraId="250F642A">
            <w:pPr>
              <w:kinsoku/>
              <w:rPr>
                <w:rFonts w:ascii="宋体" w:hAnsi="宋体" w:eastAsia="宋体" w:cs="宋体"/>
                <w:color w:val="auto"/>
                <w:highlight w:val="none"/>
              </w:rPr>
            </w:pPr>
          </w:p>
        </w:tc>
      </w:tr>
      <w:tr w14:paraId="2BEF04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1AECBF55">
            <w:pPr>
              <w:kinsoku/>
              <w:spacing w:before="267" w:line="221" w:lineRule="auto"/>
              <w:ind w:left="668"/>
              <w:rPr>
                <w:rFonts w:ascii="宋体" w:hAnsi="宋体" w:eastAsia="宋体" w:cs="宋体"/>
                <w:color w:val="auto"/>
                <w:highlight w:val="none"/>
              </w:rPr>
            </w:pPr>
            <w:r>
              <w:rPr>
                <w:rFonts w:hint="eastAsia" w:ascii="宋体" w:hAnsi="宋体" w:eastAsia="宋体" w:cs="宋体"/>
                <w:color w:val="auto"/>
                <w:highlight w:val="none"/>
              </w:rPr>
              <w:t>项目所在地</w:t>
            </w:r>
          </w:p>
        </w:tc>
        <w:tc>
          <w:tcPr>
            <w:tcW w:w="6528" w:type="dxa"/>
          </w:tcPr>
          <w:p w14:paraId="127271BC">
            <w:pPr>
              <w:kinsoku/>
              <w:rPr>
                <w:rFonts w:ascii="宋体" w:hAnsi="宋体" w:eastAsia="宋体" w:cs="宋体"/>
                <w:color w:val="auto"/>
                <w:highlight w:val="none"/>
              </w:rPr>
            </w:pPr>
          </w:p>
        </w:tc>
      </w:tr>
      <w:tr w14:paraId="024C77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1A1B4BBE">
            <w:pPr>
              <w:kinsoku/>
              <w:spacing w:before="270" w:line="221" w:lineRule="auto"/>
              <w:ind w:left="668"/>
              <w:rPr>
                <w:rFonts w:ascii="宋体" w:hAnsi="宋体" w:eastAsia="宋体" w:cs="宋体"/>
                <w:color w:val="auto"/>
                <w:highlight w:val="none"/>
              </w:rPr>
            </w:pPr>
            <w:r>
              <w:rPr>
                <w:rFonts w:hint="eastAsia" w:ascii="宋体" w:hAnsi="宋体" w:eastAsia="宋体" w:cs="宋体"/>
                <w:color w:val="auto"/>
                <w:highlight w:val="none"/>
              </w:rPr>
              <w:t>发包人名称</w:t>
            </w:r>
          </w:p>
        </w:tc>
        <w:tc>
          <w:tcPr>
            <w:tcW w:w="6528" w:type="dxa"/>
          </w:tcPr>
          <w:p w14:paraId="2D678751">
            <w:pPr>
              <w:kinsoku/>
              <w:rPr>
                <w:rFonts w:ascii="宋体" w:hAnsi="宋体" w:eastAsia="宋体" w:cs="宋体"/>
                <w:color w:val="auto"/>
                <w:highlight w:val="none"/>
              </w:rPr>
            </w:pPr>
          </w:p>
        </w:tc>
      </w:tr>
      <w:tr w14:paraId="4F0350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70" w:type="dxa"/>
          </w:tcPr>
          <w:p w14:paraId="4FF63DBE">
            <w:pPr>
              <w:kinsoku/>
              <w:spacing w:before="272" w:line="221" w:lineRule="auto"/>
              <w:ind w:left="668"/>
              <w:rPr>
                <w:rFonts w:ascii="宋体" w:hAnsi="宋体" w:eastAsia="宋体" w:cs="宋体"/>
                <w:color w:val="auto"/>
                <w:highlight w:val="none"/>
              </w:rPr>
            </w:pPr>
            <w:r>
              <w:rPr>
                <w:rFonts w:hint="eastAsia" w:ascii="宋体" w:hAnsi="宋体" w:eastAsia="宋体" w:cs="宋体"/>
                <w:color w:val="auto"/>
                <w:highlight w:val="none"/>
              </w:rPr>
              <w:t>发包人地址</w:t>
            </w:r>
          </w:p>
        </w:tc>
        <w:tc>
          <w:tcPr>
            <w:tcW w:w="6528" w:type="dxa"/>
          </w:tcPr>
          <w:p w14:paraId="6B2383D6">
            <w:pPr>
              <w:kinsoku/>
              <w:rPr>
                <w:rFonts w:ascii="宋体" w:hAnsi="宋体" w:eastAsia="宋体" w:cs="宋体"/>
                <w:color w:val="auto"/>
                <w:highlight w:val="none"/>
              </w:rPr>
            </w:pPr>
          </w:p>
        </w:tc>
      </w:tr>
      <w:tr w14:paraId="29E821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6F01EEF6">
            <w:pPr>
              <w:kinsoku/>
              <w:spacing w:before="271" w:line="221" w:lineRule="auto"/>
              <w:ind w:left="668"/>
              <w:rPr>
                <w:rFonts w:ascii="宋体" w:hAnsi="宋体" w:eastAsia="宋体" w:cs="宋体"/>
                <w:color w:val="auto"/>
                <w:highlight w:val="none"/>
              </w:rPr>
            </w:pPr>
            <w:r>
              <w:rPr>
                <w:rFonts w:hint="eastAsia" w:ascii="宋体" w:hAnsi="宋体" w:eastAsia="宋体" w:cs="宋体"/>
                <w:color w:val="auto"/>
                <w:highlight w:val="none"/>
              </w:rPr>
              <w:t>发包人电话</w:t>
            </w:r>
          </w:p>
        </w:tc>
        <w:tc>
          <w:tcPr>
            <w:tcW w:w="6528" w:type="dxa"/>
          </w:tcPr>
          <w:p w14:paraId="25371B5A">
            <w:pPr>
              <w:kinsoku/>
              <w:rPr>
                <w:rFonts w:ascii="宋体" w:hAnsi="宋体" w:eastAsia="宋体" w:cs="宋体"/>
                <w:color w:val="auto"/>
                <w:highlight w:val="none"/>
              </w:rPr>
            </w:pPr>
          </w:p>
        </w:tc>
      </w:tr>
      <w:tr w14:paraId="2428BC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135F53A7">
            <w:pPr>
              <w:kinsoku/>
              <w:spacing w:before="271" w:line="221" w:lineRule="auto"/>
              <w:ind w:left="774"/>
              <w:rPr>
                <w:rFonts w:ascii="宋体" w:hAnsi="宋体" w:eastAsia="宋体" w:cs="宋体"/>
                <w:color w:val="auto"/>
                <w:highlight w:val="none"/>
              </w:rPr>
            </w:pPr>
            <w:r>
              <w:rPr>
                <w:rFonts w:hint="eastAsia" w:ascii="宋体" w:hAnsi="宋体" w:eastAsia="宋体" w:cs="宋体"/>
                <w:color w:val="auto"/>
                <w:highlight w:val="none"/>
              </w:rPr>
              <w:t>项目等级</w:t>
            </w:r>
          </w:p>
        </w:tc>
        <w:tc>
          <w:tcPr>
            <w:tcW w:w="6528" w:type="dxa"/>
          </w:tcPr>
          <w:p w14:paraId="49A60279">
            <w:pPr>
              <w:kinsoku/>
              <w:rPr>
                <w:rFonts w:ascii="宋体" w:hAnsi="宋体" w:eastAsia="宋体" w:cs="宋体"/>
                <w:color w:val="auto"/>
                <w:highlight w:val="none"/>
              </w:rPr>
            </w:pPr>
          </w:p>
        </w:tc>
      </w:tr>
      <w:tr w14:paraId="1F6652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1" w:hRule="atLeast"/>
        </w:trPr>
        <w:tc>
          <w:tcPr>
            <w:tcW w:w="2370" w:type="dxa"/>
          </w:tcPr>
          <w:p w14:paraId="0C5B9907">
            <w:pPr>
              <w:kinsoku/>
              <w:spacing w:before="272" w:line="221" w:lineRule="auto"/>
              <w:ind w:left="668"/>
              <w:rPr>
                <w:rFonts w:ascii="宋体" w:hAnsi="宋体" w:eastAsia="宋体" w:cs="宋体"/>
                <w:color w:val="auto"/>
                <w:highlight w:val="none"/>
              </w:rPr>
            </w:pPr>
            <w:r>
              <w:rPr>
                <w:rFonts w:hint="eastAsia" w:ascii="宋体" w:hAnsi="宋体" w:eastAsia="宋体" w:cs="宋体"/>
                <w:color w:val="auto"/>
                <w:highlight w:val="none"/>
              </w:rPr>
              <w:t>项目总投资</w:t>
            </w:r>
          </w:p>
        </w:tc>
        <w:tc>
          <w:tcPr>
            <w:tcW w:w="6528" w:type="dxa"/>
          </w:tcPr>
          <w:p w14:paraId="1DD0E6E0">
            <w:pPr>
              <w:kinsoku/>
              <w:rPr>
                <w:rFonts w:ascii="宋体" w:hAnsi="宋体" w:eastAsia="宋体" w:cs="宋体"/>
                <w:color w:val="auto"/>
                <w:highlight w:val="none"/>
              </w:rPr>
            </w:pPr>
          </w:p>
        </w:tc>
      </w:tr>
      <w:tr w14:paraId="1A580A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089651C4">
            <w:pPr>
              <w:kinsoku/>
              <w:spacing w:before="270" w:line="219" w:lineRule="auto"/>
              <w:ind w:left="772"/>
              <w:rPr>
                <w:rFonts w:ascii="宋体" w:hAnsi="宋体" w:eastAsia="宋体" w:cs="宋体"/>
                <w:color w:val="auto"/>
                <w:highlight w:val="none"/>
              </w:rPr>
            </w:pPr>
            <w:r>
              <w:rPr>
                <w:rFonts w:hint="eastAsia" w:ascii="宋体" w:hAnsi="宋体" w:eastAsia="宋体" w:cs="宋体"/>
                <w:color w:val="auto"/>
                <w:highlight w:val="none"/>
              </w:rPr>
              <w:t>合同价格</w:t>
            </w:r>
          </w:p>
        </w:tc>
        <w:tc>
          <w:tcPr>
            <w:tcW w:w="6528" w:type="dxa"/>
          </w:tcPr>
          <w:p w14:paraId="4F2EF178">
            <w:pPr>
              <w:kinsoku/>
              <w:rPr>
                <w:rFonts w:ascii="宋体" w:hAnsi="宋体" w:eastAsia="宋体" w:cs="宋体"/>
                <w:color w:val="auto"/>
                <w:highlight w:val="none"/>
              </w:rPr>
            </w:pPr>
          </w:p>
        </w:tc>
      </w:tr>
      <w:tr w14:paraId="705B1F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2370" w:type="dxa"/>
          </w:tcPr>
          <w:p w14:paraId="77E3B3C7">
            <w:pPr>
              <w:kinsoku/>
              <w:spacing w:before="270" w:line="219" w:lineRule="auto"/>
              <w:jc w:val="center"/>
              <w:rPr>
                <w:rFonts w:ascii="宋体" w:hAnsi="宋体" w:eastAsia="宋体" w:cs="宋体"/>
                <w:color w:val="auto"/>
                <w:highlight w:val="none"/>
              </w:rPr>
            </w:pPr>
            <w:r>
              <w:rPr>
                <w:rFonts w:hint="eastAsia" w:ascii="宋体" w:hAnsi="宋体" w:eastAsia="宋体" w:cs="宋体"/>
                <w:color w:val="auto"/>
                <w:highlight w:val="none"/>
              </w:rPr>
              <w:t>承担的设计工作</w:t>
            </w:r>
          </w:p>
        </w:tc>
        <w:tc>
          <w:tcPr>
            <w:tcW w:w="6528" w:type="dxa"/>
          </w:tcPr>
          <w:p w14:paraId="1949A613">
            <w:pPr>
              <w:kinsoku/>
              <w:rPr>
                <w:rFonts w:ascii="宋体" w:hAnsi="宋体" w:eastAsia="宋体" w:cs="宋体"/>
                <w:color w:val="auto"/>
                <w:highlight w:val="none"/>
              </w:rPr>
            </w:pPr>
          </w:p>
        </w:tc>
      </w:tr>
      <w:tr w14:paraId="3932A4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35638059">
            <w:pPr>
              <w:kinsoku/>
              <w:spacing w:before="270" w:line="219" w:lineRule="auto"/>
              <w:jc w:val="center"/>
              <w:rPr>
                <w:rFonts w:ascii="宋体" w:hAnsi="宋体" w:eastAsia="宋体" w:cs="宋体"/>
                <w:color w:val="auto"/>
                <w:highlight w:val="none"/>
              </w:rPr>
            </w:pPr>
            <w:r>
              <w:rPr>
                <w:rFonts w:hint="eastAsia" w:ascii="宋体" w:hAnsi="宋体" w:eastAsia="宋体" w:cs="宋体"/>
                <w:color w:val="auto"/>
                <w:highlight w:val="none"/>
              </w:rPr>
              <w:t>设计服务期限</w:t>
            </w:r>
          </w:p>
        </w:tc>
        <w:tc>
          <w:tcPr>
            <w:tcW w:w="6528" w:type="dxa"/>
          </w:tcPr>
          <w:p w14:paraId="22F3D6AC">
            <w:pPr>
              <w:kinsoku/>
              <w:rPr>
                <w:rFonts w:ascii="宋体" w:hAnsi="宋体" w:eastAsia="宋体" w:cs="宋体"/>
                <w:color w:val="auto"/>
                <w:highlight w:val="none"/>
              </w:rPr>
            </w:pPr>
          </w:p>
        </w:tc>
      </w:tr>
      <w:tr w14:paraId="3BA15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73A380A8">
            <w:pPr>
              <w:kinsoku/>
              <w:spacing w:before="273" w:line="221" w:lineRule="auto"/>
              <w:ind w:left="668"/>
              <w:rPr>
                <w:rFonts w:ascii="宋体" w:hAnsi="宋体" w:eastAsia="宋体" w:cs="宋体"/>
                <w:color w:val="auto"/>
                <w:highlight w:val="none"/>
              </w:rPr>
            </w:pPr>
            <w:r>
              <w:rPr>
                <w:rFonts w:hint="eastAsia" w:ascii="宋体" w:hAnsi="宋体" w:eastAsia="宋体" w:cs="宋体"/>
                <w:color w:val="auto"/>
                <w:highlight w:val="none"/>
              </w:rPr>
              <w:t>项目负责人</w:t>
            </w:r>
          </w:p>
        </w:tc>
        <w:tc>
          <w:tcPr>
            <w:tcW w:w="6528" w:type="dxa"/>
          </w:tcPr>
          <w:p w14:paraId="7F2AB379">
            <w:pPr>
              <w:kinsoku/>
              <w:rPr>
                <w:rFonts w:ascii="宋体" w:hAnsi="宋体" w:eastAsia="宋体" w:cs="宋体"/>
                <w:color w:val="auto"/>
                <w:highlight w:val="none"/>
              </w:rPr>
            </w:pPr>
          </w:p>
        </w:tc>
      </w:tr>
      <w:tr w14:paraId="541427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2370" w:type="dxa"/>
          </w:tcPr>
          <w:p w14:paraId="2989125C">
            <w:pPr>
              <w:kinsoku/>
              <w:spacing w:before="273" w:line="221" w:lineRule="auto"/>
              <w:ind w:left="563"/>
              <w:rPr>
                <w:rFonts w:ascii="宋体" w:hAnsi="宋体" w:eastAsia="宋体" w:cs="宋体"/>
                <w:color w:val="auto"/>
                <w:highlight w:val="none"/>
              </w:rPr>
            </w:pPr>
            <w:r>
              <w:rPr>
                <w:rFonts w:hint="eastAsia" w:ascii="宋体" w:hAnsi="宋体" w:eastAsia="宋体" w:cs="宋体"/>
                <w:color w:val="auto"/>
                <w:highlight w:val="none"/>
              </w:rPr>
              <w:t>项目完成情况</w:t>
            </w:r>
          </w:p>
        </w:tc>
        <w:tc>
          <w:tcPr>
            <w:tcW w:w="6528" w:type="dxa"/>
          </w:tcPr>
          <w:p w14:paraId="6C53C044">
            <w:pPr>
              <w:kinsoku/>
              <w:rPr>
                <w:rFonts w:ascii="宋体" w:hAnsi="宋体" w:eastAsia="宋体" w:cs="宋体"/>
                <w:color w:val="auto"/>
                <w:highlight w:val="none"/>
              </w:rPr>
            </w:pPr>
          </w:p>
        </w:tc>
      </w:tr>
      <w:tr w14:paraId="3689F0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2" w:hRule="atLeast"/>
        </w:trPr>
        <w:tc>
          <w:tcPr>
            <w:tcW w:w="2370" w:type="dxa"/>
            <w:vAlign w:val="center"/>
          </w:tcPr>
          <w:p w14:paraId="0579D4A4">
            <w:pPr>
              <w:kinsoku/>
              <w:spacing w:before="69" w:line="221" w:lineRule="auto"/>
              <w:ind w:left="0" w:leftChars="0" w:firstLine="0" w:firstLineChars="0"/>
              <w:jc w:val="center"/>
              <w:rPr>
                <w:rFonts w:ascii="宋体" w:hAnsi="宋体" w:eastAsia="宋体" w:cs="宋体"/>
                <w:color w:val="auto"/>
                <w:highlight w:val="none"/>
              </w:rPr>
            </w:pPr>
            <w:r>
              <w:rPr>
                <w:rFonts w:hint="eastAsia" w:ascii="宋体" w:hAnsi="宋体" w:eastAsia="宋体" w:cs="宋体"/>
                <w:color w:val="auto"/>
                <w:highlight w:val="none"/>
              </w:rPr>
              <w:t>项目描述</w:t>
            </w:r>
          </w:p>
        </w:tc>
        <w:tc>
          <w:tcPr>
            <w:tcW w:w="6528" w:type="dxa"/>
          </w:tcPr>
          <w:p w14:paraId="2454AD66">
            <w:pPr>
              <w:kinsoku/>
              <w:rPr>
                <w:rFonts w:ascii="宋体" w:hAnsi="宋体" w:eastAsia="宋体" w:cs="宋体"/>
                <w:color w:val="auto"/>
                <w:highlight w:val="none"/>
              </w:rPr>
            </w:pPr>
          </w:p>
        </w:tc>
      </w:tr>
      <w:tr w14:paraId="6F635C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1" w:hRule="atLeast"/>
        </w:trPr>
        <w:tc>
          <w:tcPr>
            <w:tcW w:w="2370" w:type="dxa"/>
            <w:vAlign w:val="center"/>
          </w:tcPr>
          <w:p w14:paraId="6335CFEC">
            <w:pPr>
              <w:kinsoku/>
              <w:spacing w:before="68" w:line="222" w:lineRule="auto"/>
              <w:ind w:left="0" w:leftChars="0" w:firstLine="0" w:firstLineChars="0"/>
              <w:jc w:val="center"/>
              <w:rPr>
                <w:rFonts w:ascii="宋体" w:hAnsi="宋体" w:eastAsia="宋体" w:cs="宋体"/>
                <w:color w:val="auto"/>
                <w:highlight w:val="none"/>
              </w:rPr>
            </w:pPr>
            <w:r>
              <w:rPr>
                <w:rFonts w:hint="eastAsia" w:ascii="宋体" w:hAnsi="宋体" w:eastAsia="宋体" w:cs="宋体"/>
                <w:color w:val="auto"/>
                <w:highlight w:val="none"/>
              </w:rPr>
              <w:t>备注</w:t>
            </w:r>
          </w:p>
        </w:tc>
        <w:tc>
          <w:tcPr>
            <w:tcW w:w="6528" w:type="dxa"/>
          </w:tcPr>
          <w:p w14:paraId="5AF66C17">
            <w:pPr>
              <w:kinsoku/>
              <w:rPr>
                <w:rFonts w:ascii="宋体" w:hAnsi="宋体" w:eastAsia="宋体" w:cs="宋体"/>
                <w:color w:val="auto"/>
                <w:highlight w:val="none"/>
              </w:rPr>
            </w:pPr>
          </w:p>
        </w:tc>
      </w:tr>
    </w:tbl>
    <w:p w14:paraId="6A3BB275">
      <w:pPr>
        <w:kinsoku/>
        <w:spacing w:before="41" w:line="221" w:lineRule="auto"/>
        <w:ind w:left="121" w:right="-134" w:rightChars="-64"/>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注：1.每张表格只填写一个项目，并标明序号。</w:t>
      </w:r>
    </w:p>
    <w:p w14:paraId="199E9692">
      <w:pPr>
        <w:kinsoku/>
        <w:spacing w:before="26" w:line="234" w:lineRule="auto"/>
        <w:ind w:left="709" w:right="-134" w:rightChars="-64" w:hanging="172"/>
        <w:rPr>
          <w:rFonts w:ascii="宋体" w:hAnsi="宋体" w:eastAsia="宋体" w:cs="宋体"/>
          <w:color w:val="auto"/>
          <w:highlight w:val="none"/>
          <w:lang w:eastAsia="zh-CN"/>
        </w:rPr>
      </w:pPr>
      <w:r>
        <w:rPr>
          <w:rFonts w:hint="eastAsia" w:ascii="宋体" w:hAnsi="宋体" w:eastAsia="宋体" w:cs="宋体"/>
          <w:color w:val="auto"/>
          <w:highlight w:val="none"/>
          <w:lang w:eastAsia="zh-CN"/>
        </w:rPr>
        <w:t>2.项目完成情况：根据先后顺序分为“初步设计已批复”“施工图设计已审批”等不同阶段，投标人应根据项目实际完成情况进行填报。</w:t>
      </w:r>
    </w:p>
    <w:p w14:paraId="2F8F9BAF">
      <w:pPr>
        <w:kinsoku/>
        <w:spacing w:before="30" w:line="233" w:lineRule="auto"/>
        <w:ind w:left="708" w:right="-134" w:rightChars="-64" w:hanging="167"/>
        <w:rPr>
          <w:rFonts w:ascii="宋体" w:hAnsi="宋体" w:eastAsia="宋体" w:cs="宋体"/>
          <w:color w:val="auto"/>
          <w:highlight w:val="none"/>
          <w:lang w:eastAsia="zh-CN"/>
        </w:rPr>
      </w:pPr>
      <w:r>
        <w:rPr>
          <w:rFonts w:hint="eastAsia" w:ascii="宋体" w:hAnsi="宋体" w:eastAsia="宋体" w:cs="宋体"/>
          <w:color w:val="auto"/>
          <w:highlight w:val="none"/>
          <w:lang w:eastAsia="zh-CN"/>
        </w:rPr>
        <w:t>3.投标人应根据招标文件第二章“投标人须知第3.5.2项的要求在本表后附相关证明材料。</w:t>
      </w:r>
    </w:p>
    <w:p w14:paraId="39018D31">
      <w:pPr>
        <w:kinsoku/>
        <w:spacing w:before="30" w:line="233" w:lineRule="auto"/>
        <w:ind w:left="709" w:right="-134" w:rightChars="-64" w:hanging="173"/>
        <w:rPr>
          <w:rFonts w:ascii="宋体" w:hAnsi="宋体" w:eastAsia="宋体" w:cs="宋体"/>
          <w:color w:val="auto"/>
          <w:highlight w:val="none"/>
          <w:lang w:eastAsia="zh-CN"/>
        </w:rPr>
      </w:pPr>
      <w:r>
        <w:rPr>
          <w:rFonts w:hint="eastAsia" w:ascii="宋体" w:hAnsi="宋体" w:eastAsia="宋体" w:cs="宋体"/>
          <w:color w:val="auto"/>
          <w:highlight w:val="none"/>
          <w:lang w:eastAsia="zh-CN"/>
        </w:rPr>
        <w:t>4.如近年来，投标人法人机构发生合法变更或重组或法人名称变更时，应提供相关部门的合法批件或其他相关证明材料来证明其所附业绩的继承性。</w:t>
      </w:r>
    </w:p>
    <w:p w14:paraId="352E05DC">
      <w:pPr>
        <w:kinsoku/>
        <w:spacing w:before="29" w:line="221" w:lineRule="auto"/>
        <w:ind w:left="542" w:right="-134" w:rightChars="-64"/>
        <w:rPr>
          <w:rFonts w:ascii="宋体" w:hAnsi="宋体" w:eastAsia="宋体" w:cs="宋体"/>
          <w:color w:val="auto"/>
          <w:highlight w:val="none"/>
          <w:lang w:eastAsia="zh-CN"/>
        </w:rPr>
      </w:pPr>
    </w:p>
    <w:p w14:paraId="619E7177">
      <w:pPr>
        <w:kinsoku/>
        <w:spacing w:line="221" w:lineRule="auto"/>
        <w:rPr>
          <w:rFonts w:ascii="宋体" w:hAnsi="宋体" w:eastAsia="宋体" w:cs="宋体"/>
          <w:color w:val="auto"/>
          <w:highlight w:val="none"/>
          <w:lang w:eastAsia="zh-CN"/>
        </w:rPr>
        <w:sectPr>
          <w:headerReference r:id="rId51" w:type="default"/>
          <w:footerReference r:id="rId52" w:type="default"/>
          <w:pgSz w:w="11907" w:h="16839"/>
          <w:pgMar w:top="1173" w:right="1414" w:bottom="1254" w:left="1589" w:header="862" w:footer="1093" w:gutter="0"/>
          <w:cols w:space="720" w:num="1"/>
        </w:sectPr>
      </w:pPr>
    </w:p>
    <w:p w14:paraId="43DE0CC0">
      <w:pPr>
        <w:kinsoku/>
        <w:spacing w:before="78" w:line="220" w:lineRule="auto"/>
        <w:ind w:left="2977"/>
        <w:rPr>
          <w:rFonts w:ascii="宋体" w:hAnsi="宋体" w:eastAsia="宋体" w:cs="宋体"/>
          <w:color w:val="auto"/>
          <w:sz w:val="24"/>
          <w:szCs w:val="24"/>
          <w:highlight w:val="none"/>
          <w:lang w:eastAsia="zh-CN"/>
        </w:rPr>
      </w:pPr>
      <w:bookmarkStart w:id="386" w:name="bookmark294"/>
      <w:bookmarkEnd w:id="386"/>
      <w:bookmarkStart w:id="387" w:name="bookmark293"/>
      <w:bookmarkEnd w:id="387"/>
      <w:r>
        <w:rPr>
          <w:rFonts w:hint="eastAsia" w:ascii="宋体" w:hAnsi="宋体" w:eastAsia="宋体" w:cs="宋体"/>
          <w:color w:val="auto"/>
          <w:sz w:val="24"/>
          <w:szCs w:val="24"/>
          <w:highlight w:val="none"/>
          <w:lang w:eastAsia="zh-CN"/>
        </w:rPr>
        <w:t>（四）投标人的信誉情况表</w:t>
      </w:r>
    </w:p>
    <w:p w14:paraId="7336008A">
      <w:pPr>
        <w:kinsoku/>
        <w:spacing w:before="128"/>
        <w:rPr>
          <w:rFonts w:ascii="宋体" w:hAnsi="宋体" w:eastAsia="宋体" w:cs="宋体"/>
          <w:color w:val="auto"/>
          <w:highlight w:val="none"/>
          <w:lang w:eastAsia="zh-CN"/>
        </w:rPr>
      </w:pPr>
    </w:p>
    <w:tbl>
      <w:tblPr>
        <w:tblStyle w:val="21"/>
        <w:tblW w:w="85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63"/>
        <w:gridCol w:w="4265"/>
      </w:tblGrid>
      <w:tr w14:paraId="4FA273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0" w:hRule="atLeast"/>
        </w:trPr>
        <w:tc>
          <w:tcPr>
            <w:tcW w:w="4263" w:type="dxa"/>
          </w:tcPr>
          <w:p w14:paraId="63922C6B">
            <w:pPr>
              <w:kinsoku/>
              <w:spacing w:line="338" w:lineRule="auto"/>
              <w:rPr>
                <w:rFonts w:ascii="宋体" w:hAnsi="宋体" w:eastAsia="宋体" w:cs="宋体"/>
                <w:color w:val="auto"/>
                <w:highlight w:val="none"/>
                <w:lang w:eastAsia="zh-CN"/>
              </w:rPr>
            </w:pPr>
          </w:p>
          <w:p w14:paraId="50ADF673">
            <w:pPr>
              <w:kinsoku/>
              <w:spacing w:before="62" w:line="229" w:lineRule="auto"/>
              <w:ind w:left="1889"/>
              <w:rPr>
                <w:rFonts w:ascii="宋体" w:hAnsi="宋体" w:eastAsia="宋体" w:cs="宋体"/>
                <w:color w:val="auto"/>
                <w:sz w:val="19"/>
                <w:szCs w:val="19"/>
                <w:highlight w:val="none"/>
              </w:rPr>
            </w:pPr>
            <w:r>
              <w:rPr>
                <w:rFonts w:hint="eastAsia" w:ascii="宋体" w:hAnsi="宋体" w:eastAsia="宋体" w:cs="宋体"/>
                <w:color w:val="auto"/>
                <w:sz w:val="19"/>
                <w:szCs w:val="19"/>
                <w:highlight w:val="none"/>
              </w:rPr>
              <w:t>项 目</w:t>
            </w:r>
          </w:p>
        </w:tc>
        <w:tc>
          <w:tcPr>
            <w:tcW w:w="4265" w:type="dxa"/>
          </w:tcPr>
          <w:p w14:paraId="2F7B08C3">
            <w:pPr>
              <w:kinsoku/>
              <w:spacing w:line="338" w:lineRule="auto"/>
              <w:rPr>
                <w:rFonts w:ascii="宋体" w:hAnsi="宋体" w:eastAsia="宋体" w:cs="宋体"/>
                <w:color w:val="auto"/>
                <w:highlight w:val="none"/>
              </w:rPr>
            </w:pPr>
          </w:p>
          <w:p w14:paraId="4F83B9AC">
            <w:pPr>
              <w:kinsoku/>
              <w:spacing w:before="62" w:line="228" w:lineRule="auto"/>
              <w:ind w:left="1438"/>
              <w:rPr>
                <w:rFonts w:ascii="宋体" w:hAnsi="宋体" w:eastAsia="宋体" w:cs="宋体"/>
                <w:color w:val="auto"/>
                <w:sz w:val="19"/>
                <w:szCs w:val="19"/>
                <w:highlight w:val="none"/>
              </w:rPr>
            </w:pPr>
            <w:r>
              <w:rPr>
                <w:rFonts w:hint="eastAsia" w:ascii="宋体" w:hAnsi="宋体" w:eastAsia="宋体" w:cs="宋体"/>
                <w:color w:val="auto"/>
                <w:sz w:val="19"/>
                <w:szCs w:val="19"/>
                <w:highlight w:val="none"/>
              </w:rPr>
              <w:t>投标人情况说明</w:t>
            </w:r>
          </w:p>
        </w:tc>
      </w:tr>
      <w:tr w14:paraId="570186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6" w:hRule="atLeast"/>
        </w:trPr>
        <w:tc>
          <w:tcPr>
            <w:tcW w:w="4263" w:type="dxa"/>
          </w:tcPr>
          <w:p w14:paraId="6AE37ABB">
            <w:pPr>
              <w:kinsoku/>
              <w:rPr>
                <w:rFonts w:ascii="宋体" w:hAnsi="宋体" w:eastAsia="宋体" w:cs="宋体"/>
                <w:color w:val="auto"/>
                <w:highlight w:val="none"/>
              </w:rPr>
            </w:pPr>
          </w:p>
        </w:tc>
        <w:tc>
          <w:tcPr>
            <w:tcW w:w="4265" w:type="dxa"/>
          </w:tcPr>
          <w:p w14:paraId="5A4FF771">
            <w:pPr>
              <w:kinsoku/>
              <w:rPr>
                <w:rFonts w:ascii="宋体" w:hAnsi="宋体" w:eastAsia="宋体" w:cs="宋体"/>
                <w:color w:val="auto"/>
                <w:highlight w:val="none"/>
              </w:rPr>
            </w:pPr>
          </w:p>
        </w:tc>
      </w:tr>
      <w:tr w14:paraId="7CFA5E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3" w:hRule="atLeast"/>
        </w:trPr>
        <w:tc>
          <w:tcPr>
            <w:tcW w:w="4263" w:type="dxa"/>
          </w:tcPr>
          <w:p w14:paraId="06641373">
            <w:pPr>
              <w:kinsoku/>
              <w:rPr>
                <w:rFonts w:ascii="宋体" w:hAnsi="宋体" w:eastAsia="宋体" w:cs="宋体"/>
                <w:color w:val="auto"/>
                <w:highlight w:val="none"/>
              </w:rPr>
            </w:pPr>
          </w:p>
        </w:tc>
        <w:tc>
          <w:tcPr>
            <w:tcW w:w="4265" w:type="dxa"/>
          </w:tcPr>
          <w:p w14:paraId="6836647A">
            <w:pPr>
              <w:kinsoku/>
              <w:rPr>
                <w:rFonts w:ascii="宋体" w:hAnsi="宋体" w:eastAsia="宋体" w:cs="宋体"/>
                <w:color w:val="auto"/>
                <w:highlight w:val="none"/>
              </w:rPr>
            </w:pPr>
          </w:p>
        </w:tc>
      </w:tr>
      <w:tr w14:paraId="539518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6" w:hRule="atLeast"/>
        </w:trPr>
        <w:tc>
          <w:tcPr>
            <w:tcW w:w="4263" w:type="dxa"/>
          </w:tcPr>
          <w:p w14:paraId="13624563">
            <w:pPr>
              <w:kinsoku/>
              <w:rPr>
                <w:rFonts w:ascii="宋体" w:hAnsi="宋体" w:eastAsia="宋体" w:cs="宋体"/>
                <w:color w:val="auto"/>
                <w:highlight w:val="none"/>
              </w:rPr>
            </w:pPr>
          </w:p>
        </w:tc>
        <w:tc>
          <w:tcPr>
            <w:tcW w:w="4265" w:type="dxa"/>
          </w:tcPr>
          <w:p w14:paraId="5B07BA02">
            <w:pPr>
              <w:kinsoku/>
              <w:rPr>
                <w:rFonts w:ascii="宋体" w:hAnsi="宋体" w:eastAsia="宋体" w:cs="宋体"/>
                <w:color w:val="auto"/>
                <w:highlight w:val="none"/>
              </w:rPr>
            </w:pPr>
          </w:p>
        </w:tc>
      </w:tr>
      <w:tr w14:paraId="587732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63" w:hRule="atLeast"/>
        </w:trPr>
        <w:tc>
          <w:tcPr>
            <w:tcW w:w="4263" w:type="dxa"/>
          </w:tcPr>
          <w:p w14:paraId="0A77E2F6">
            <w:pPr>
              <w:kinsoku/>
              <w:rPr>
                <w:rFonts w:ascii="宋体" w:hAnsi="宋体" w:eastAsia="宋体" w:cs="宋体"/>
                <w:color w:val="auto"/>
                <w:highlight w:val="none"/>
              </w:rPr>
            </w:pPr>
          </w:p>
        </w:tc>
        <w:tc>
          <w:tcPr>
            <w:tcW w:w="4265" w:type="dxa"/>
          </w:tcPr>
          <w:p w14:paraId="3FBDA2B7">
            <w:pPr>
              <w:kinsoku/>
              <w:rPr>
                <w:rFonts w:ascii="宋体" w:hAnsi="宋体" w:eastAsia="宋体" w:cs="宋体"/>
                <w:color w:val="auto"/>
                <w:highlight w:val="none"/>
              </w:rPr>
            </w:pPr>
          </w:p>
        </w:tc>
      </w:tr>
      <w:tr w14:paraId="02379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70" w:hRule="atLeast"/>
        </w:trPr>
        <w:tc>
          <w:tcPr>
            <w:tcW w:w="4263" w:type="dxa"/>
          </w:tcPr>
          <w:p w14:paraId="453D76FE">
            <w:pPr>
              <w:kinsoku/>
              <w:rPr>
                <w:rFonts w:ascii="宋体" w:hAnsi="宋体" w:eastAsia="宋体" w:cs="宋体"/>
                <w:color w:val="auto"/>
                <w:highlight w:val="none"/>
              </w:rPr>
            </w:pPr>
          </w:p>
        </w:tc>
        <w:tc>
          <w:tcPr>
            <w:tcW w:w="4265" w:type="dxa"/>
          </w:tcPr>
          <w:p w14:paraId="55C604CA">
            <w:pPr>
              <w:kinsoku/>
              <w:rPr>
                <w:rFonts w:ascii="宋体" w:hAnsi="宋体" w:eastAsia="宋体" w:cs="宋体"/>
                <w:color w:val="auto"/>
                <w:highlight w:val="none"/>
              </w:rPr>
            </w:pPr>
          </w:p>
        </w:tc>
      </w:tr>
    </w:tbl>
    <w:p w14:paraId="003BA39D">
      <w:pPr>
        <w:kinsoku/>
        <w:spacing w:before="158" w:line="338" w:lineRule="auto"/>
        <w:ind w:left="541" w:right="71" w:hanging="420"/>
        <w:rPr>
          <w:rFonts w:ascii="宋体" w:hAnsi="宋体" w:eastAsia="宋体" w:cs="宋体"/>
          <w:color w:val="auto"/>
          <w:highlight w:val="none"/>
        </w:rPr>
      </w:pPr>
      <w:r>
        <w:rPr>
          <w:rFonts w:hint="eastAsia" w:ascii="宋体" w:hAnsi="宋体" w:eastAsia="宋体" w:cs="宋体"/>
          <w:color w:val="auto"/>
          <w:highlight w:val="none"/>
        </w:rPr>
        <w:t>注：</w:t>
      </w:r>
    </w:p>
    <w:p w14:paraId="2EB51A0D">
      <w:pPr>
        <w:kinsoku/>
        <w:spacing w:before="158"/>
        <w:ind w:right="71" w:firstLine="420"/>
        <w:rPr>
          <w:rFonts w:ascii="宋体" w:hAnsi="宋体" w:eastAsia="宋体" w:cs="宋体"/>
          <w:color w:val="auto"/>
          <w:highlight w:val="none"/>
          <w:lang w:eastAsia="zh-CN"/>
        </w:rPr>
      </w:pPr>
      <w:r>
        <w:rPr>
          <w:rFonts w:hint="eastAsia" w:ascii="宋体" w:hAnsi="宋体" w:eastAsia="宋体" w:cs="宋体"/>
          <w:color w:val="auto"/>
          <w:highlight w:val="none"/>
          <w:lang w:eastAsia="zh-CN"/>
        </w:rPr>
        <w:t>1.投标人应按照招标文件第二章“投标人须知”前附表附录 3 和“投标人须知”正文第1.4.4项规定，逐条说明其信誉情况。</w:t>
      </w:r>
    </w:p>
    <w:p w14:paraId="2F9D4FA9">
      <w:pPr>
        <w:kinsoku/>
        <w:spacing w:before="158"/>
        <w:ind w:right="71" w:firstLine="420"/>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2.投标人应根据招标文件第二章“投标人须知 ”第3.5.3项的要求在本表后附相关证明材料。</w:t>
      </w:r>
    </w:p>
    <w:p w14:paraId="5EA4FBED">
      <w:pPr>
        <w:kinsoku/>
        <w:spacing w:before="158"/>
        <w:ind w:right="71" w:firstLine="420"/>
        <w:rPr>
          <w:rFonts w:ascii="宋体" w:hAnsi="宋体" w:eastAsia="宋体" w:cs="宋体"/>
          <w:color w:val="auto"/>
          <w:highlight w:val="none"/>
          <w:lang w:eastAsia="zh-CN"/>
        </w:rPr>
      </w:pPr>
    </w:p>
    <w:p w14:paraId="53FA2786">
      <w:pPr>
        <w:kinsoku/>
        <w:spacing w:line="339" w:lineRule="auto"/>
        <w:rPr>
          <w:rFonts w:ascii="宋体" w:hAnsi="宋体" w:eastAsia="宋体" w:cs="宋体"/>
          <w:color w:val="auto"/>
          <w:highlight w:val="none"/>
          <w:lang w:eastAsia="zh-CN"/>
        </w:rPr>
        <w:sectPr>
          <w:headerReference r:id="rId53" w:type="default"/>
          <w:footerReference r:id="rId54" w:type="default"/>
          <w:pgSz w:w="11907" w:h="16839"/>
          <w:pgMar w:top="1173" w:right="1565" w:bottom="1254" w:left="1589" w:header="862" w:footer="1093" w:gutter="0"/>
          <w:cols w:space="720" w:num="1"/>
        </w:sectPr>
      </w:pPr>
    </w:p>
    <w:p w14:paraId="01B8CD8B">
      <w:pPr>
        <w:numPr>
          <w:ilvl w:val="0"/>
          <w:numId w:val="1"/>
        </w:numPr>
        <w:kinsoku/>
        <w:spacing w:before="78" w:line="218" w:lineRule="auto"/>
        <w:ind w:left="2538"/>
        <w:rPr>
          <w:color w:val="auto"/>
          <w:highlight w:val="none"/>
          <w:lang w:eastAsia="zh-CN"/>
        </w:rPr>
      </w:pPr>
      <w:bookmarkStart w:id="388" w:name="bookmark296"/>
      <w:bookmarkEnd w:id="388"/>
      <w:bookmarkStart w:id="389" w:name="bookmark295"/>
      <w:bookmarkEnd w:id="389"/>
      <w:r>
        <w:rPr>
          <w:rFonts w:hint="eastAsia" w:ascii="宋体" w:hAnsi="宋体" w:eastAsia="宋体" w:cs="宋体"/>
          <w:color w:val="auto"/>
          <w:sz w:val="24"/>
          <w:szCs w:val="24"/>
          <w:highlight w:val="none"/>
          <w:lang w:eastAsia="zh-CN"/>
        </w:rPr>
        <w:t>拟委任的项目负责人资历表</w:t>
      </w:r>
    </w:p>
    <w:p w14:paraId="591A82A7">
      <w:pPr>
        <w:rPr>
          <w:rFonts w:ascii="宋体" w:hAnsi="宋体" w:eastAsia="宋体" w:cs="宋体"/>
          <w:color w:val="auto"/>
          <w:sz w:val="24"/>
          <w:szCs w:val="24"/>
          <w:highlight w:val="none"/>
          <w:lang w:eastAsia="zh-CN"/>
        </w:rPr>
      </w:pPr>
    </w:p>
    <w:p w14:paraId="48F6D9CC">
      <w:pPr>
        <w:pStyle w:val="32"/>
        <w:spacing w:line="600" w:lineRule="auto"/>
        <w:jc w:val="center"/>
        <w:outlineLvl w:val="9"/>
        <w:rPr>
          <w:rFonts w:ascii="宋体" w:hAnsi="宋体" w:eastAsia="宋体"/>
          <w:color w:val="auto"/>
          <w:szCs w:val="24"/>
          <w:highlight w:val="none"/>
          <w:lang w:eastAsia="zh-CN"/>
        </w:rPr>
      </w:pPr>
      <w:bookmarkStart w:id="390" w:name="_Toc23512"/>
      <w:r>
        <w:rPr>
          <w:rFonts w:hint="eastAsia" w:ascii="宋体" w:hAnsi="宋体" w:eastAsia="宋体"/>
          <w:color w:val="auto"/>
          <w:szCs w:val="24"/>
          <w:highlight w:val="none"/>
          <w:lang w:eastAsia="zh-CN"/>
        </w:rPr>
        <w:t>表 5-1 拟委任的项目负责人汇总表</w:t>
      </w:r>
      <w:bookmarkEnd w:id="390"/>
      <w:r>
        <w:rPr>
          <w:rFonts w:hint="eastAsia" w:ascii="宋体" w:hAnsi="宋体" w:eastAsia="宋体"/>
          <w:color w:val="auto"/>
          <w:szCs w:val="24"/>
          <w:highlight w:val="none"/>
          <w:lang w:eastAsia="zh-CN"/>
        </w:rPr>
        <w:tab/>
      </w:r>
    </w:p>
    <w:tbl>
      <w:tblPr>
        <w:tblStyle w:val="15"/>
        <w:tblW w:w="9472" w:type="dxa"/>
        <w:jc w:val="center"/>
        <w:tblLayout w:type="fixed"/>
        <w:tblCellMar>
          <w:top w:w="0" w:type="dxa"/>
          <w:left w:w="0" w:type="dxa"/>
          <w:bottom w:w="0" w:type="dxa"/>
          <w:right w:w="0" w:type="dxa"/>
        </w:tblCellMar>
      </w:tblPr>
      <w:tblGrid>
        <w:gridCol w:w="674"/>
        <w:gridCol w:w="1860"/>
        <w:gridCol w:w="1200"/>
        <w:gridCol w:w="810"/>
        <w:gridCol w:w="675"/>
        <w:gridCol w:w="919"/>
        <w:gridCol w:w="919"/>
        <w:gridCol w:w="920"/>
        <w:gridCol w:w="1495"/>
      </w:tblGrid>
      <w:tr w14:paraId="24EAECD5">
        <w:tblPrEx>
          <w:tblCellMar>
            <w:top w:w="0" w:type="dxa"/>
            <w:left w:w="0" w:type="dxa"/>
            <w:bottom w:w="0" w:type="dxa"/>
            <w:right w:w="0" w:type="dxa"/>
          </w:tblCellMar>
        </w:tblPrEx>
        <w:trPr>
          <w:trHeight w:val="435" w:hRule="atLeast"/>
          <w:jc w:val="center"/>
        </w:trPr>
        <w:tc>
          <w:tcPr>
            <w:tcW w:w="674" w:type="dxa"/>
            <w:vMerge w:val="restart"/>
            <w:tcBorders>
              <w:top w:val="single" w:color="auto" w:sz="12" w:space="0"/>
              <w:left w:val="single" w:color="auto" w:sz="12" w:space="0"/>
              <w:right w:val="single" w:color="auto" w:sz="8" w:space="0"/>
            </w:tcBorders>
            <w:vAlign w:val="center"/>
          </w:tcPr>
          <w:p w14:paraId="520C1AFB">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1860" w:type="dxa"/>
            <w:vMerge w:val="restart"/>
            <w:tcBorders>
              <w:top w:val="single" w:color="auto" w:sz="12" w:space="0"/>
              <w:left w:val="single" w:color="auto" w:sz="8" w:space="0"/>
              <w:right w:val="single" w:color="auto" w:sz="8" w:space="0"/>
            </w:tcBorders>
            <w:vAlign w:val="center"/>
          </w:tcPr>
          <w:p w14:paraId="2D3D6B34">
            <w:pPr>
              <w:jc w:val="center"/>
              <w:rPr>
                <w:rFonts w:ascii="宋体" w:hAnsi="宋体" w:cs="宋体"/>
                <w:color w:val="auto"/>
                <w:sz w:val="24"/>
                <w:highlight w:val="none"/>
              </w:rPr>
            </w:pPr>
            <w:r>
              <w:rPr>
                <w:rFonts w:hint="eastAsia" w:ascii="宋体" w:hAnsi="宋体" w:cs="宋体"/>
                <w:color w:val="auto"/>
                <w:sz w:val="24"/>
                <w:highlight w:val="none"/>
              </w:rPr>
              <w:t>本标段任职</w:t>
            </w:r>
          </w:p>
        </w:tc>
        <w:tc>
          <w:tcPr>
            <w:tcW w:w="1200" w:type="dxa"/>
            <w:vMerge w:val="restart"/>
            <w:tcBorders>
              <w:top w:val="single" w:color="auto" w:sz="12" w:space="0"/>
              <w:left w:val="single" w:color="auto" w:sz="8" w:space="0"/>
              <w:right w:val="single" w:color="auto" w:sz="8" w:space="0"/>
            </w:tcBorders>
            <w:vAlign w:val="center"/>
          </w:tcPr>
          <w:p w14:paraId="71984114">
            <w:pPr>
              <w:jc w:val="center"/>
              <w:rPr>
                <w:rFonts w:ascii="宋体" w:hAnsi="宋体" w:cs="宋体"/>
                <w:color w:val="auto"/>
                <w:sz w:val="24"/>
                <w:highlight w:val="none"/>
              </w:rPr>
            </w:pPr>
            <w:r>
              <w:rPr>
                <w:rFonts w:hint="eastAsia" w:ascii="宋体" w:hAnsi="宋体" w:cs="宋体"/>
                <w:color w:val="auto"/>
                <w:sz w:val="24"/>
                <w:highlight w:val="none"/>
              </w:rPr>
              <w:t>姓名</w:t>
            </w:r>
          </w:p>
        </w:tc>
        <w:tc>
          <w:tcPr>
            <w:tcW w:w="810" w:type="dxa"/>
            <w:vMerge w:val="restart"/>
            <w:tcBorders>
              <w:top w:val="single" w:color="auto" w:sz="12" w:space="0"/>
              <w:left w:val="single" w:color="auto" w:sz="8" w:space="0"/>
              <w:right w:val="single" w:color="auto" w:sz="8" w:space="0"/>
            </w:tcBorders>
            <w:vAlign w:val="center"/>
          </w:tcPr>
          <w:p w14:paraId="46D55339">
            <w:pPr>
              <w:jc w:val="center"/>
              <w:rPr>
                <w:rFonts w:ascii="宋体" w:hAnsi="宋体" w:cs="宋体"/>
                <w:color w:val="auto"/>
                <w:sz w:val="24"/>
                <w:highlight w:val="none"/>
              </w:rPr>
            </w:pPr>
            <w:r>
              <w:rPr>
                <w:rFonts w:hint="eastAsia" w:ascii="宋体" w:hAnsi="宋体" w:cs="宋体"/>
                <w:color w:val="auto"/>
                <w:sz w:val="24"/>
                <w:highlight w:val="none"/>
              </w:rPr>
              <w:t>技术职称</w:t>
            </w:r>
          </w:p>
        </w:tc>
        <w:tc>
          <w:tcPr>
            <w:tcW w:w="675" w:type="dxa"/>
            <w:vMerge w:val="restart"/>
            <w:tcBorders>
              <w:top w:val="single" w:color="auto" w:sz="12" w:space="0"/>
              <w:left w:val="single" w:color="auto" w:sz="8" w:space="0"/>
              <w:right w:val="single" w:color="auto" w:sz="4" w:space="0"/>
            </w:tcBorders>
            <w:vAlign w:val="center"/>
          </w:tcPr>
          <w:p w14:paraId="71032E09">
            <w:pPr>
              <w:jc w:val="center"/>
              <w:rPr>
                <w:rFonts w:ascii="宋体" w:hAnsi="宋体" w:cs="宋体"/>
                <w:color w:val="auto"/>
                <w:sz w:val="24"/>
                <w:highlight w:val="none"/>
              </w:rPr>
            </w:pPr>
            <w:r>
              <w:rPr>
                <w:rFonts w:hint="eastAsia" w:ascii="宋体" w:hAnsi="宋体" w:cs="宋体"/>
                <w:color w:val="auto"/>
                <w:sz w:val="24"/>
                <w:highlight w:val="none"/>
              </w:rPr>
              <w:t>专业</w:t>
            </w:r>
          </w:p>
        </w:tc>
        <w:tc>
          <w:tcPr>
            <w:tcW w:w="2758" w:type="dxa"/>
            <w:gridSpan w:val="3"/>
            <w:tcBorders>
              <w:top w:val="single" w:color="auto" w:sz="12" w:space="0"/>
              <w:left w:val="single" w:color="auto" w:sz="4" w:space="0"/>
              <w:bottom w:val="single" w:color="auto" w:sz="4" w:space="0"/>
              <w:right w:val="single" w:color="auto" w:sz="8" w:space="0"/>
            </w:tcBorders>
            <w:vAlign w:val="center"/>
          </w:tcPr>
          <w:p w14:paraId="05C3F915">
            <w:pPr>
              <w:jc w:val="center"/>
              <w:rPr>
                <w:rFonts w:ascii="宋体" w:hAnsi="宋体" w:cs="宋体"/>
                <w:color w:val="auto"/>
                <w:sz w:val="24"/>
                <w:highlight w:val="none"/>
              </w:rPr>
            </w:pPr>
            <w:r>
              <w:rPr>
                <w:rFonts w:hint="eastAsia" w:ascii="宋体" w:hAnsi="宋体" w:cs="宋体"/>
                <w:color w:val="auto"/>
                <w:sz w:val="24"/>
                <w:highlight w:val="none"/>
              </w:rPr>
              <w:t>执业或职业资格证明</w:t>
            </w:r>
          </w:p>
        </w:tc>
        <w:tc>
          <w:tcPr>
            <w:tcW w:w="1495" w:type="dxa"/>
            <w:vMerge w:val="restart"/>
            <w:tcBorders>
              <w:top w:val="single" w:color="auto" w:sz="12" w:space="0"/>
              <w:left w:val="single" w:color="auto" w:sz="4" w:space="0"/>
              <w:right w:val="single" w:color="auto" w:sz="12" w:space="0"/>
            </w:tcBorders>
            <w:vAlign w:val="center"/>
          </w:tcPr>
          <w:p w14:paraId="7B2528C9">
            <w:pPr>
              <w:jc w:val="center"/>
              <w:rPr>
                <w:rFonts w:ascii="宋体" w:hAnsi="宋体" w:cs="宋体"/>
                <w:color w:val="auto"/>
                <w:sz w:val="24"/>
                <w:highlight w:val="none"/>
              </w:rPr>
            </w:pPr>
            <w:r>
              <w:rPr>
                <w:rFonts w:hint="eastAsia" w:ascii="宋体" w:hAnsi="宋体" w:cs="宋体"/>
                <w:color w:val="auto"/>
                <w:sz w:val="24"/>
                <w:highlight w:val="none"/>
              </w:rPr>
              <w:t>备注</w:t>
            </w:r>
          </w:p>
        </w:tc>
      </w:tr>
      <w:tr w14:paraId="442CEC8B">
        <w:tblPrEx>
          <w:tblCellMar>
            <w:top w:w="0" w:type="dxa"/>
            <w:left w:w="0" w:type="dxa"/>
            <w:bottom w:w="0" w:type="dxa"/>
            <w:right w:w="0" w:type="dxa"/>
          </w:tblCellMar>
        </w:tblPrEx>
        <w:trPr>
          <w:trHeight w:val="415" w:hRule="atLeast"/>
          <w:jc w:val="center"/>
        </w:trPr>
        <w:tc>
          <w:tcPr>
            <w:tcW w:w="674" w:type="dxa"/>
            <w:vMerge w:val="continue"/>
            <w:tcBorders>
              <w:left w:val="single" w:color="auto" w:sz="12" w:space="0"/>
              <w:bottom w:val="single" w:color="auto" w:sz="8" w:space="0"/>
              <w:right w:val="single" w:color="auto" w:sz="8" w:space="0"/>
            </w:tcBorders>
          </w:tcPr>
          <w:p w14:paraId="411CB0DF">
            <w:pPr>
              <w:jc w:val="center"/>
              <w:rPr>
                <w:rFonts w:ascii="宋体" w:hAnsi="宋体" w:cs="宋体"/>
                <w:color w:val="auto"/>
                <w:sz w:val="24"/>
                <w:highlight w:val="none"/>
              </w:rPr>
            </w:pPr>
          </w:p>
        </w:tc>
        <w:tc>
          <w:tcPr>
            <w:tcW w:w="1860" w:type="dxa"/>
            <w:vMerge w:val="continue"/>
            <w:tcBorders>
              <w:left w:val="single" w:color="auto" w:sz="8" w:space="0"/>
              <w:bottom w:val="single" w:color="auto" w:sz="8" w:space="0"/>
              <w:right w:val="single" w:color="auto" w:sz="8" w:space="0"/>
            </w:tcBorders>
          </w:tcPr>
          <w:p w14:paraId="49D6C14C">
            <w:pPr>
              <w:jc w:val="center"/>
              <w:rPr>
                <w:rFonts w:ascii="宋体" w:hAnsi="宋体" w:cs="宋体"/>
                <w:color w:val="auto"/>
                <w:sz w:val="24"/>
                <w:highlight w:val="none"/>
              </w:rPr>
            </w:pPr>
          </w:p>
        </w:tc>
        <w:tc>
          <w:tcPr>
            <w:tcW w:w="1200" w:type="dxa"/>
            <w:vMerge w:val="continue"/>
            <w:tcBorders>
              <w:left w:val="single" w:color="auto" w:sz="8" w:space="0"/>
              <w:bottom w:val="single" w:color="auto" w:sz="8" w:space="0"/>
              <w:right w:val="single" w:color="auto" w:sz="8" w:space="0"/>
            </w:tcBorders>
          </w:tcPr>
          <w:p w14:paraId="217CABFF">
            <w:pPr>
              <w:jc w:val="center"/>
              <w:rPr>
                <w:rFonts w:ascii="宋体" w:hAnsi="宋体" w:cs="宋体"/>
                <w:color w:val="auto"/>
                <w:sz w:val="24"/>
                <w:highlight w:val="none"/>
              </w:rPr>
            </w:pPr>
          </w:p>
        </w:tc>
        <w:tc>
          <w:tcPr>
            <w:tcW w:w="810" w:type="dxa"/>
            <w:vMerge w:val="continue"/>
            <w:tcBorders>
              <w:left w:val="single" w:color="auto" w:sz="8" w:space="0"/>
              <w:bottom w:val="single" w:color="auto" w:sz="8" w:space="0"/>
              <w:right w:val="single" w:color="auto" w:sz="8" w:space="0"/>
            </w:tcBorders>
          </w:tcPr>
          <w:p w14:paraId="053FA6F3">
            <w:pPr>
              <w:jc w:val="center"/>
              <w:rPr>
                <w:rFonts w:ascii="宋体" w:hAnsi="宋体" w:cs="宋体"/>
                <w:color w:val="auto"/>
                <w:sz w:val="24"/>
                <w:highlight w:val="none"/>
              </w:rPr>
            </w:pPr>
          </w:p>
        </w:tc>
        <w:tc>
          <w:tcPr>
            <w:tcW w:w="675" w:type="dxa"/>
            <w:vMerge w:val="continue"/>
            <w:tcBorders>
              <w:left w:val="single" w:color="auto" w:sz="8" w:space="0"/>
              <w:bottom w:val="single" w:color="auto" w:sz="8" w:space="0"/>
              <w:right w:val="single" w:color="auto" w:sz="4" w:space="0"/>
            </w:tcBorders>
          </w:tcPr>
          <w:p w14:paraId="72AD259E">
            <w:pPr>
              <w:jc w:val="center"/>
              <w:rPr>
                <w:rFonts w:ascii="宋体" w:hAnsi="宋体" w:cs="宋体"/>
                <w:color w:val="auto"/>
                <w:sz w:val="24"/>
                <w:highlight w:val="none"/>
              </w:rPr>
            </w:pPr>
          </w:p>
        </w:tc>
        <w:tc>
          <w:tcPr>
            <w:tcW w:w="919" w:type="dxa"/>
            <w:tcBorders>
              <w:top w:val="single" w:color="auto" w:sz="4" w:space="0"/>
              <w:left w:val="single" w:color="auto" w:sz="4" w:space="0"/>
              <w:bottom w:val="single" w:color="auto" w:sz="8" w:space="0"/>
              <w:right w:val="single" w:color="auto" w:sz="4" w:space="0"/>
            </w:tcBorders>
            <w:vAlign w:val="center"/>
          </w:tcPr>
          <w:p w14:paraId="6EB7D413">
            <w:pPr>
              <w:jc w:val="center"/>
              <w:rPr>
                <w:rFonts w:ascii="宋体" w:hAnsi="宋体" w:cs="宋体"/>
                <w:color w:val="auto"/>
                <w:sz w:val="24"/>
                <w:highlight w:val="none"/>
              </w:rPr>
            </w:pPr>
            <w:r>
              <w:rPr>
                <w:rFonts w:hint="eastAsia" w:ascii="宋体" w:hAnsi="宋体" w:cs="宋体"/>
                <w:color w:val="auto"/>
                <w:sz w:val="24"/>
                <w:highlight w:val="none"/>
              </w:rPr>
              <w:t>证书</w:t>
            </w:r>
          </w:p>
          <w:p w14:paraId="5BE414DB">
            <w:pPr>
              <w:jc w:val="center"/>
              <w:rPr>
                <w:rFonts w:ascii="宋体" w:hAnsi="宋体" w:cs="宋体"/>
                <w:color w:val="auto"/>
                <w:sz w:val="24"/>
                <w:highlight w:val="none"/>
              </w:rPr>
            </w:pPr>
            <w:r>
              <w:rPr>
                <w:rFonts w:hint="eastAsia" w:ascii="宋体" w:hAnsi="宋体" w:cs="宋体"/>
                <w:color w:val="auto"/>
                <w:sz w:val="24"/>
                <w:highlight w:val="none"/>
              </w:rPr>
              <w:t>名称</w:t>
            </w:r>
          </w:p>
        </w:tc>
        <w:tc>
          <w:tcPr>
            <w:tcW w:w="919" w:type="dxa"/>
            <w:tcBorders>
              <w:top w:val="single" w:color="auto" w:sz="4" w:space="0"/>
              <w:left w:val="single" w:color="auto" w:sz="4" w:space="0"/>
              <w:bottom w:val="single" w:color="auto" w:sz="8" w:space="0"/>
              <w:right w:val="single" w:color="auto" w:sz="4" w:space="0"/>
            </w:tcBorders>
            <w:vAlign w:val="center"/>
          </w:tcPr>
          <w:p w14:paraId="0335A749">
            <w:pPr>
              <w:jc w:val="center"/>
              <w:rPr>
                <w:rFonts w:ascii="宋体" w:hAnsi="宋体" w:cs="宋体"/>
                <w:color w:val="auto"/>
                <w:sz w:val="24"/>
                <w:highlight w:val="none"/>
              </w:rPr>
            </w:pPr>
            <w:r>
              <w:rPr>
                <w:rFonts w:hint="eastAsia" w:ascii="宋体" w:hAnsi="宋体" w:cs="宋体"/>
                <w:color w:val="auto"/>
                <w:sz w:val="24"/>
                <w:highlight w:val="none"/>
              </w:rPr>
              <w:t>级别</w:t>
            </w:r>
          </w:p>
        </w:tc>
        <w:tc>
          <w:tcPr>
            <w:tcW w:w="920" w:type="dxa"/>
            <w:tcBorders>
              <w:top w:val="single" w:color="auto" w:sz="4" w:space="0"/>
              <w:left w:val="single" w:color="auto" w:sz="4" w:space="0"/>
              <w:bottom w:val="single" w:color="auto" w:sz="8" w:space="0"/>
              <w:right w:val="single" w:color="auto" w:sz="8" w:space="0"/>
            </w:tcBorders>
            <w:vAlign w:val="center"/>
          </w:tcPr>
          <w:p w14:paraId="614EC3F4">
            <w:pPr>
              <w:jc w:val="center"/>
              <w:rPr>
                <w:rFonts w:ascii="宋体" w:hAnsi="宋体" w:cs="宋体"/>
                <w:color w:val="auto"/>
                <w:sz w:val="24"/>
                <w:highlight w:val="none"/>
              </w:rPr>
            </w:pPr>
            <w:r>
              <w:rPr>
                <w:rFonts w:hint="eastAsia" w:ascii="宋体" w:hAnsi="宋体" w:cs="宋体"/>
                <w:color w:val="auto"/>
                <w:sz w:val="24"/>
                <w:highlight w:val="none"/>
              </w:rPr>
              <w:t>证号</w:t>
            </w:r>
          </w:p>
        </w:tc>
        <w:tc>
          <w:tcPr>
            <w:tcW w:w="1495" w:type="dxa"/>
            <w:vMerge w:val="continue"/>
            <w:tcBorders>
              <w:left w:val="single" w:color="auto" w:sz="4" w:space="0"/>
              <w:bottom w:val="single" w:color="auto" w:sz="8" w:space="0"/>
              <w:right w:val="single" w:color="auto" w:sz="12" w:space="0"/>
            </w:tcBorders>
          </w:tcPr>
          <w:p w14:paraId="248FA1DE">
            <w:pPr>
              <w:jc w:val="center"/>
              <w:rPr>
                <w:rFonts w:ascii="宋体" w:hAnsi="宋体" w:cs="宋体"/>
                <w:color w:val="auto"/>
                <w:sz w:val="24"/>
                <w:highlight w:val="none"/>
              </w:rPr>
            </w:pPr>
          </w:p>
        </w:tc>
      </w:tr>
      <w:tr w14:paraId="4A91975B">
        <w:tblPrEx>
          <w:tblCellMar>
            <w:top w:w="0" w:type="dxa"/>
            <w:left w:w="0" w:type="dxa"/>
            <w:bottom w:w="0" w:type="dxa"/>
            <w:right w:w="0" w:type="dxa"/>
          </w:tblCellMar>
        </w:tblPrEx>
        <w:trPr>
          <w:trHeight w:val="844" w:hRule="atLeast"/>
          <w:jc w:val="center"/>
        </w:trPr>
        <w:tc>
          <w:tcPr>
            <w:tcW w:w="674" w:type="dxa"/>
            <w:tcBorders>
              <w:top w:val="single" w:color="auto" w:sz="8" w:space="0"/>
              <w:left w:val="single" w:color="auto" w:sz="12" w:space="0"/>
              <w:bottom w:val="single" w:color="auto" w:sz="8" w:space="0"/>
              <w:right w:val="single" w:color="auto" w:sz="8" w:space="0"/>
            </w:tcBorders>
          </w:tcPr>
          <w:p w14:paraId="74F30CCD">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707FCD01">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6E5BB355">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1479D5AA">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7FCECF82">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3545781A">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2B2AF9B3">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7ACAE132">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1540BA2B">
            <w:pPr>
              <w:rPr>
                <w:rFonts w:ascii="宋体" w:hAnsi="宋体" w:cs="宋体"/>
                <w:color w:val="auto"/>
                <w:sz w:val="24"/>
                <w:highlight w:val="none"/>
              </w:rPr>
            </w:pPr>
          </w:p>
        </w:tc>
      </w:tr>
      <w:tr w14:paraId="5C7475D0">
        <w:tblPrEx>
          <w:tblCellMar>
            <w:top w:w="0" w:type="dxa"/>
            <w:left w:w="0" w:type="dxa"/>
            <w:bottom w:w="0" w:type="dxa"/>
            <w:right w:w="0" w:type="dxa"/>
          </w:tblCellMar>
        </w:tblPrEx>
        <w:trPr>
          <w:trHeight w:val="844" w:hRule="atLeast"/>
          <w:jc w:val="center"/>
        </w:trPr>
        <w:tc>
          <w:tcPr>
            <w:tcW w:w="674" w:type="dxa"/>
            <w:tcBorders>
              <w:top w:val="single" w:color="auto" w:sz="8" w:space="0"/>
              <w:left w:val="single" w:color="auto" w:sz="12" w:space="0"/>
              <w:bottom w:val="single" w:color="auto" w:sz="8" w:space="0"/>
              <w:right w:val="single" w:color="auto" w:sz="8" w:space="0"/>
            </w:tcBorders>
          </w:tcPr>
          <w:p w14:paraId="59A85232">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0180EF2C">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5F3C595D">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1FE95C33">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1354F1B7">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358A311E">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0BC159CB">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55608AE9">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5145E069">
            <w:pPr>
              <w:rPr>
                <w:rFonts w:ascii="宋体" w:hAnsi="宋体" w:cs="宋体"/>
                <w:color w:val="auto"/>
                <w:sz w:val="24"/>
                <w:highlight w:val="none"/>
              </w:rPr>
            </w:pPr>
          </w:p>
        </w:tc>
      </w:tr>
      <w:tr w14:paraId="6206E331">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67133C09">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7355AEAC">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2CC2282A">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40957C8C">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0D4B1389">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70827C18">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20923B79">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684277DB">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5AADB5C4">
            <w:pPr>
              <w:rPr>
                <w:rFonts w:ascii="宋体" w:hAnsi="宋体" w:cs="宋体"/>
                <w:color w:val="auto"/>
                <w:sz w:val="24"/>
                <w:highlight w:val="none"/>
              </w:rPr>
            </w:pPr>
          </w:p>
        </w:tc>
      </w:tr>
      <w:tr w14:paraId="1A86498A">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1B5819F3">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1AD82E03">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5C5E8153">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338A1FB0">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16F38B52">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26CEDC6D">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60589BFE">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0EF86A21">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4FF95187">
            <w:pPr>
              <w:rPr>
                <w:rFonts w:ascii="宋体" w:hAnsi="宋体" w:cs="宋体"/>
                <w:color w:val="auto"/>
                <w:sz w:val="24"/>
                <w:highlight w:val="none"/>
              </w:rPr>
            </w:pPr>
          </w:p>
        </w:tc>
      </w:tr>
      <w:tr w14:paraId="0EAFE51C">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24279800">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584AA3B2">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3D571D15">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3D7A2EF5">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45008E37">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6048D660">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1F8600E1">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1304E22F">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46B85807">
            <w:pPr>
              <w:rPr>
                <w:rFonts w:ascii="宋体" w:hAnsi="宋体" w:cs="宋体"/>
                <w:color w:val="auto"/>
                <w:sz w:val="24"/>
                <w:highlight w:val="none"/>
              </w:rPr>
            </w:pPr>
          </w:p>
        </w:tc>
      </w:tr>
      <w:tr w14:paraId="5D0D1B83">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71E73FD3">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69945DBF">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2CB19641">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0BF95C4F">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67F8CF23">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79CC9E4C">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4FFD34A3">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128D75BC">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40211E1B">
            <w:pPr>
              <w:rPr>
                <w:rFonts w:ascii="宋体" w:hAnsi="宋体" w:cs="宋体"/>
                <w:color w:val="auto"/>
                <w:sz w:val="24"/>
                <w:highlight w:val="none"/>
              </w:rPr>
            </w:pPr>
          </w:p>
        </w:tc>
      </w:tr>
      <w:tr w14:paraId="70261D5D">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354B98B6">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31ADACE9">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77244B57">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308EC018">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0F26313D">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2FFC6497">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02BB9BC9">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33F01A55">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551D8064">
            <w:pPr>
              <w:rPr>
                <w:rFonts w:ascii="宋体" w:hAnsi="宋体" w:cs="宋体"/>
                <w:color w:val="auto"/>
                <w:sz w:val="24"/>
                <w:highlight w:val="none"/>
              </w:rPr>
            </w:pPr>
          </w:p>
        </w:tc>
      </w:tr>
      <w:tr w14:paraId="44FE6B97">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1838C365">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30655358">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07F08448">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621BC057">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1A619B9E">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1735BA97">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7488D6C2">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0A1AF8D4">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43B6D0B6">
            <w:pPr>
              <w:rPr>
                <w:rFonts w:ascii="宋体" w:hAnsi="宋体" w:cs="宋体"/>
                <w:color w:val="auto"/>
                <w:sz w:val="24"/>
                <w:highlight w:val="none"/>
              </w:rPr>
            </w:pPr>
          </w:p>
        </w:tc>
      </w:tr>
      <w:tr w14:paraId="019A4993">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60441BCB">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74EA0AD2">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4C29E480">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4C1547F4">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29A3EC4F">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04515AC2">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333BE67B">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7949BE15">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2BBA47F7">
            <w:pPr>
              <w:rPr>
                <w:rFonts w:ascii="宋体" w:hAnsi="宋体" w:cs="宋体"/>
                <w:color w:val="auto"/>
                <w:sz w:val="24"/>
                <w:highlight w:val="none"/>
              </w:rPr>
            </w:pPr>
          </w:p>
        </w:tc>
      </w:tr>
      <w:tr w14:paraId="0C457820">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6F775F44">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78B986DB">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5373FD57">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2D03717E">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0579B71F">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383519A1">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316C598C">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4FECDDDF">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6C81309F">
            <w:pPr>
              <w:rPr>
                <w:rFonts w:ascii="宋体" w:hAnsi="宋体" w:cs="宋体"/>
                <w:color w:val="auto"/>
                <w:sz w:val="24"/>
                <w:highlight w:val="none"/>
              </w:rPr>
            </w:pPr>
          </w:p>
        </w:tc>
      </w:tr>
      <w:tr w14:paraId="474F9F8C">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0CD5278B">
            <w:pPr>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62EB8D18">
            <w:pPr>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30087CA4">
            <w:pPr>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171530C4">
            <w:pPr>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562DED1E">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7F921481">
            <w:pPr>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1DDA3E80">
            <w:pPr>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10803820">
            <w:pPr>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12A39158">
            <w:pPr>
              <w:rPr>
                <w:rFonts w:ascii="宋体" w:hAnsi="宋体" w:cs="宋体"/>
                <w:color w:val="auto"/>
                <w:sz w:val="24"/>
                <w:highlight w:val="none"/>
              </w:rPr>
            </w:pPr>
          </w:p>
        </w:tc>
      </w:tr>
      <w:tr w14:paraId="5EE45A56">
        <w:tblPrEx>
          <w:tblCellMar>
            <w:top w:w="0" w:type="dxa"/>
            <w:left w:w="0" w:type="dxa"/>
            <w:bottom w:w="0" w:type="dxa"/>
            <w:right w:w="0" w:type="dxa"/>
          </w:tblCellMar>
        </w:tblPrEx>
        <w:trPr>
          <w:trHeight w:val="840" w:hRule="atLeast"/>
          <w:jc w:val="center"/>
        </w:trPr>
        <w:tc>
          <w:tcPr>
            <w:tcW w:w="674" w:type="dxa"/>
            <w:tcBorders>
              <w:top w:val="single" w:color="auto" w:sz="8" w:space="0"/>
              <w:left w:val="single" w:color="auto" w:sz="12" w:space="0"/>
              <w:bottom w:val="single" w:color="auto" w:sz="8" w:space="0"/>
              <w:right w:val="single" w:color="auto" w:sz="8" w:space="0"/>
            </w:tcBorders>
          </w:tcPr>
          <w:p w14:paraId="4BEE7FD6">
            <w:pPr>
              <w:spacing w:line="600" w:lineRule="auto"/>
              <w:rPr>
                <w:rFonts w:ascii="宋体" w:hAnsi="宋体" w:cs="宋体"/>
                <w:color w:val="auto"/>
                <w:sz w:val="24"/>
                <w:highlight w:val="none"/>
              </w:rPr>
            </w:pPr>
          </w:p>
        </w:tc>
        <w:tc>
          <w:tcPr>
            <w:tcW w:w="1860" w:type="dxa"/>
            <w:tcBorders>
              <w:top w:val="single" w:color="auto" w:sz="8" w:space="0"/>
              <w:left w:val="single" w:color="auto" w:sz="8" w:space="0"/>
              <w:bottom w:val="single" w:color="auto" w:sz="8" w:space="0"/>
              <w:right w:val="single" w:color="auto" w:sz="8" w:space="0"/>
            </w:tcBorders>
          </w:tcPr>
          <w:p w14:paraId="18111618">
            <w:pPr>
              <w:spacing w:line="600" w:lineRule="auto"/>
              <w:rPr>
                <w:rFonts w:ascii="宋体" w:hAnsi="宋体" w:cs="宋体"/>
                <w:color w:val="auto"/>
                <w:sz w:val="24"/>
                <w:highlight w:val="none"/>
              </w:rPr>
            </w:pPr>
          </w:p>
        </w:tc>
        <w:tc>
          <w:tcPr>
            <w:tcW w:w="1200" w:type="dxa"/>
            <w:tcBorders>
              <w:top w:val="single" w:color="auto" w:sz="8" w:space="0"/>
              <w:left w:val="single" w:color="auto" w:sz="8" w:space="0"/>
              <w:bottom w:val="single" w:color="auto" w:sz="8" w:space="0"/>
              <w:right w:val="single" w:color="auto" w:sz="8" w:space="0"/>
            </w:tcBorders>
          </w:tcPr>
          <w:p w14:paraId="1BDF82C3">
            <w:pPr>
              <w:spacing w:line="600" w:lineRule="auto"/>
              <w:rPr>
                <w:rFonts w:ascii="宋体" w:hAnsi="宋体" w:cs="宋体"/>
                <w:color w:val="auto"/>
                <w:sz w:val="24"/>
                <w:highlight w:val="none"/>
              </w:rPr>
            </w:pPr>
          </w:p>
        </w:tc>
        <w:tc>
          <w:tcPr>
            <w:tcW w:w="810" w:type="dxa"/>
            <w:tcBorders>
              <w:top w:val="single" w:color="auto" w:sz="8" w:space="0"/>
              <w:left w:val="single" w:color="auto" w:sz="8" w:space="0"/>
              <w:bottom w:val="single" w:color="auto" w:sz="8" w:space="0"/>
              <w:right w:val="single" w:color="auto" w:sz="8" w:space="0"/>
            </w:tcBorders>
          </w:tcPr>
          <w:p w14:paraId="4880DD51">
            <w:pPr>
              <w:spacing w:line="600" w:lineRule="auto"/>
              <w:rPr>
                <w:rFonts w:ascii="宋体" w:hAnsi="宋体" w:cs="宋体"/>
                <w:color w:val="auto"/>
                <w:sz w:val="24"/>
                <w:highlight w:val="none"/>
              </w:rPr>
            </w:pPr>
          </w:p>
        </w:tc>
        <w:tc>
          <w:tcPr>
            <w:tcW w:w="675" w:type="dxa"/>
            <w:tcBorders>
              <w:top w:val="single" w:color="auto" w:sz="8" w:space="0"/>
              <w:left w:val="single" w:color="auto" w:sz="8" w:space="0"/>
              <w:bottom w:val="single" w:color="auto" w:sz="8" w:space="0"/>
              <w:right w:val="single" w:color="auto" w:sz="4" w:space="0"/>
            </w:tcBorders>
          </w:tcPr>
          <w:p w14:paraId="16D56395">
            <w:pPr>
              <w:spacing w:line="600" w:lineRule="auto"/>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12639246">
            <w:pPr>
              <w:spacing w:line="600" w:lineRule="auto"/>
              <w:rPr>
                <w:rFonts w:ascii="宋体" w:hAnsi="宋体" w:cs="宋体"/>
                <w:color w:val="auto"/>
                <w:sz w:val="24"/>
                <w:highlight w:val="none"/>
              </w:rPr>
            </w:pPr>
          </w:p>
        </w:tc>
        <w:tc>
          <w:tcPr>
            <w:tcW w:w="919" w:type="dxa"/>
            <w:tcBorders>
              <w:top w:val="single" w:color="auto" w:sz="8" w:space="0"/>
              <w:left w:val="single" w:color="auto" w:sz="4" w:space="0"/>
              <w:bottom w:val="single" w:color="auto" w:sz="8" w:space="0"/>
              <w:right w:val="single" w:color="auto" w:sz="4" w:space="0"/>
            </w:tcBorders>
          </w:tcPr>
          <w:p w14:paraId="1439458B">
            <w:pPr>
              <w:spacing w:line="600" w:lineRule="auto"/>
              <w:rPr>
                <w:rFonts w:ascii="宋体" w:hAnsi="宋体" w:cs="宋体"/>
                <w:color w:val="auto"/>
                <w:sz w:val="24"/>
                <w:highlight w:val="none"/>
              </w:rPr>
            </w:pPr>
          </w:p>
        </w:tc>
        <w:tc>
          <w:tcPr>
            <w:tcW w:w="920" w:type="dxa"/>
            <w:tcBorders>
              <w:top w:val="single" w:color="auto" w:sz="8" w:space="0"/>
              <w:left w:val="single" w:color="auto" w:sz="4" w:space="0"/>
              <w:bottom w:val="single" w:color="auto" w:sz="8" w:space="0"/>
              <w:right w:val="single" w:color="auto" w:sz="8" w:space="0"/>
            </w:tcBorders>
          </w:tcPr>
          <w:p w14:paraId="5B4D8588">
            <w:pPr>
              <w:spacing w:line="600" w:lineRule="auto"/>
              <w:rPr>
                <w:rFonts w:ascii="宋体" w:hAnsi="宋体" w:cs="宋体"/>
                <w:color w:val="auto"/>
                <w:sz w:val="24"/>
                <w:highlight w:val="none"/>
              </w:rPr>
            </w:pPr>
          </w:p>
        </w:tc>
        <w:tc>
          <w:tcPr>
            <w:tcW w:w="1495" w:type="dxa"/>
            <w:tcBorders>
              <w:top w:val="single" w:color="auto" w:sz="8" w:space="0"/>
              <w:left w:val="single" w:color="auto" w:sz="4" w:space="0"/>
              <w:bottom w:val="single" w:color="auto" w:sz="8" w:space="0"/>
              <w:right w:val="single" w:color="auto" w:sz="12" w:space="0"/>
            </w:tcBorders>
          </w:tcPr>
          <w:p w14:paraId="75722B18">
            <w:pPr>
              <w:spacing w:line="600" w:lineRule="auto"/>
              <w:rPr>
                <w:rFonts w:ascii="宋体" w:hAnsi="宋体" w:cs="宋体"/>
                <w:color w:val="auto"/>
                <w:sz w:val="24"/>
                <w:highlight w:val="none"/>
              </w:rPr>
            </w:pPr>
          </w:p>
        </w:tc>
      </w:tr>
    </w:tbl>
    <w:p w14:paraId="4A0AFE5B">
      <w:pPr>
        <w:spacing w:line="600" w:lineRule="auto"/>
        <w:jc w:val="center"/>
        <w:rPr>
          <w:rFonts w:ascii="宋体" w:hAnsi="宋体"/>
          <w:color w:val="auto"/>
          <w:sz w:val="28"/>
          <w:highlight w:val="none"/>
        </w:rPr>
      </w:pPr>
    </w:p>
    <w:p w14:paraId="3C2D511D">
      <w:pPr>
        <w:rPr>
          <w:color w:val="auto"/>
          <w:highlight w:val="none"/>
        </w:rPr>
      </w:pPr>
    </w:p>
    <w:p w14:paraId="2C004F70">
      <w:pPr>
        <w:rPr>
          <w:rFonts w:ascii="宋体" w:hAnsi="宋体"/>
          <w:color w:val="auto"/>
          <w:sz w:val="28"/>
          <w:highlight w:val="none"/>
        </w:rPr>
      </w:pPr>
      <w:r>
        <w:rPr>
          <w:rFonts w:hint="eastAsia" w:ascii="宋体" w:hAnsi="宋体"/>
          <w:color w:val="auto"/>
          <w:sz w:val="28"/>
          <w:highlight w:val="none"/>
        </w:rPr>
        <w:br w:type="page"/>
      </w:r>
    </w:p>
    <w:p w14:paraId="381FA982">
      <w:pPr>
        <w:spacing w:line="600" w:lineRule="auto"/>
        <w:jc w:val="center"/>
        <w:rPr>
          <w:rFonts w:ascii="宋体" w:hAnsi="宋体" w:cs="宋体"/>
          <w:color w:val="auto"/>
          <w:sz w:val="28"/>
          <w:highlight w:val="none"/>
          <w:lang w:eastAsia="zh-CN"/>
        </w:rPr>
      </w:pPr>
      <w:r>
        <w:rPr>
          <w:rFonts w:hint="eastAsia" w:ascii="宋体" w:hAnsi="宋体"/>
          <w:color w:val="auto"/>
          <w:sz w:val="28"/>
          <w:highlight w:val="none"/>
          <w:lang w:eastAsia="zh-CN"/>
        </w:rPr>
        <w:t>表 5-2 拟委任的项目负责人资历表</w:t>
      </w:r>
    </w:p>
    <w:tbl>
      <w:tblPr>
        <w:tblStyle w:val="21"/>
        <w:tblW w:w="86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3"/>
        <w:gridCol w:w="50"/>
        <w:gridCol w:w="1334"/>
        <w:gridCol w:w="101"/>
        <w:gridCol w:w="1046"/>
        <w:gridCol w:w="1363"/>
        <w:gridCol w:w="333"/>
        <w:gridCol w:w="1521"/>
        <w:gridCol w:w="382"/>
        <w:gridCol w:w="1271"/>
      </w:tblGrid>
      <w:tr w14:paraId="0AB623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trPr>
        <w:tc>
          <w:tcPr>
            <w:tcW w:w="1223" w:type="dxa"/>
            <w:vAlign w:val="center"/>
          </w:tcPr>
          <w:p w14:paraId="3FA44169">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姓    名</w:t>
            </w:r>
          </w:p>
        </w:tc>
        <w:tc>
          <w:tcPr>
            <w:tcW w:w="1485" w:type="dxa"/>
            <w:gridSpan w:val="3"/>
            <w:vAlign w:val="center"/>
          </w:tcPr>
          <w:p w14:paraId="7EC4289E">
            <w:pPr>
              <w:kinsoku/>
              <w:jc w:val="center"/>
              <w:rPr>
                <w:rFonts w:ascii="宋体" w:hAnsi="宋体" w:eastAsia="宋体" w:cs="宋体"/>
                <w:color w:val="auto"/>
                <w:highlight w:val="none"/>
              </w:rPr>
            </w:pPr>
          </w:p>
        </w:tc>
        <w:tc>
          <w:tcPr>
            <w:tcW w:w="1046" w:type="dxa"/>
            <w:vAlign w:val="center"/>
          </w:tcPr>
          <w:p w14:paraId="5E3497D8">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年    龄</w:t>
            </w:r>
          </w:p>
        </w:tc>
        <w:tc>
          <w:tcPr>
            <w:tcW w:w="1363" w:type="dxa"/>
            <w:vAlign w:val="center"/>
          </w:tcPr>
          <w:p w14:paraId="5205A49D">
            <w:pPr>
              <w:kinsoku/>
              <w:jc w:val="center"/>
              <w:rPr>
                <w:rFonts w:ascii="宋体" w:hAnsi="宋体" w:eastAsia="宋体" w:cs="宋体"/>
                <w:color w:val="auto"/>
                <w:highlight w:val="none"/>
              </w:rPr>
            </w:pPr>
          </w:p>
        </w:tc>
        <w:tc>
          <w:tcPr>
            <w:tcW w:w="1854" w:type="dxa"/>
            <w:gridSpan w:val="2"/>
            <w:vAlign w:val="center"/>
          </w:tcPr>
          <w:p w14:paraId="1AD607A7">
            <w:pPr>
              <w:kinsoku/>
              <w:spacing w:before="219" w:line="307" w:lineRule="auto"/>
              <w:ind w:right="82"/>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执业或职业资格证书名称</w:t>
            </w:r>
          </w:p>
        </w:tc>
        <w:tc>
          <w:tcPr>
            <w:tcW w:w="1653" w:type="dxa"/>
            <w:gridSpan w:val="2"/>
          </w:tcPr>
          <w:p w14:paraId="2AB913AD">
            <w:pPr>
              <w:kinsoku/>
              <w:rPr>
                <w:rFonts w:ascii="宋体" w:hAnsi="宋体" w:eastAsia="宋体" w:cs="宋体"/>
                <w:color w:val="auto"/>
                <w:highlight w:val="none"/>
                <w:lang w:eastAsia="zh-CN"/>
              </w:rPr>
            </w:pPr>
          </w:p>
        </w:tc>
      </w:tr>
      <w:tr w14:paraId="02AF23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trPr>
        <w:tc>
          <w:tcPr>
            <w:tcW w:w="1223" w:type="dxa"/>
            <w:vAlign w:val="center"/>
          </w:tcPr>
          <w:p w14:paraId="525F61AA">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1485" w:type="dxa"/>
            <w:gridSpan w:val="3"/>
            <w:vAlign w:val="center"/>
          </w:tcPr>
          <w:p w14:paraId="55FD8B80">
            <w:pPr>
              <w:kinsoku/>
              <w:jc w:val="center"/>
              <w:rPr>
                <w:rFonts w:ascii="宋体" w:hAnsi="宋体" w:eastAsia="宋体" w:cs="宋体"/>
                <w:color w:val="auto"/>
                <w:highlight w:val="none"/>
              </w:rPr>
            </w:pPr>
          </w:p>
        </w:tc>
        <w:tc>
          <w:tcPr>
            <w:tcW w:w="1046" w:type="dxa"/>
            <w:vAlign w:val="center"/>
          </w:tcPr>
          <w:p w14:paraId="35B780FC">
            <w:pPr>
              <w:kinsoku/>
              <w:spacing w:before="69" w:line="222" w:lineRule="auto"/>
              <w:jc w:val="center"/>
              <w:rPr>
                <w:rFonts w:ascii="宋体" w:hAnsi="宋体" w:eastAsia="宋体" w:cs="宋体"/>
                <w:color w:val="auto"/>
                <w:highlight w:val="none"/>
              </w:rPr>
            </w:pPr>
            <w:r>
              <w:rPr>
                <w:rFonts w:hint="eastAsia" w:ascii="宋体" w:hAnsi="宋体" w:eastAsia="宋体" w:cs="宋体"/>
                <w:color w:val="auto"/>
                <w:highlight w:val="none"/>
              </w:rPr>
              <w:t>学    历</w:t>
            </w:r>
          </w:p>
        </w:tc>
        <w:tc>
          <w:tcPr>
            <w:tcW w:w="1363" w:type="dxa"/>
            <w:vAlign w:val="center"/>
          </w:tcPr>
          <w:p w14:paraId="0EDDDE94">
            <w:pPr>
              <w:kinsoku/>
              <w:jc w:val="center"/>
              <w:rPr>
                <w:rFonts w:ascii="宋体" w:hAnsi="宋体" w:eastAsia="宋体" w:cs="宋体"/>
                <w:color w:val="auto"/>
                <w:highlight w:val="none"/>
              </w:rPr>
            </w:pPr>
          </w:p>
        </w:tc>
        <w:tc>
          <w:tcPr>
            <w:tcW w:w="1854" w:type="dxa"/>
            <w:gridSpan w:val="2"/>
            <w:vAlign w:val="center"/>
          </w:tcPr>
          <w:p w14:paraId="74F028C8">
            <w:pPr>
              <w:kinsoku/>
              <w:spacing w:before="213" w:line="335" w:lineRule="auto"/>
              <w:ind w:right="30"/>
              <w:jc w:val="center"/>
              <w:rPr>
                <w:rFonts w:ascii="宋体" w:hAnsi="宋体" w:eastAsia="宋体" w:cs="宋体"/>
                <w:color w:val="auto"/>
                <w:highlight w:val="none"/>
              </w:rPr>
            </w:pPr>
            <w:r>
              <w:rPr>
                <w:rFonts w:hint="eastAsia" w:ascii="宋体" w:hAnsi="宋体" w:eastAsia="宋体" w:cs="宋体"/>
                <w:color w:val="auto"/>
                <w:highlight w:val="none"/>
              </w:rPr>
              <w:t>拟在本标段工程任职</w:t>
            </w:r>
          </w:p>
        </w:tc>
        <w:tc>
          <w:tcPr>
            <w:tcW w:w="1653" w:type="dxa"/>
            <w:gridSpan w:val="2"/>
          </w:tcPr>
          <w:p w14:paraId="57138D0B">
            <w:pPr>
              <w:kinsoku/>
              <w:rPr>
                <w:rFonts w:ascii="宋体" w:hAnsi="宋体" w:eastAsia="宋体" w:cs="宋体"/>
                <w:color w:val="auto"/>
                <w:highlight w:val="none"/>
              </w:rPr>
            </w:pPr>
          </w:p>
        </w:tc>
      </w:tr>
      <w:tr w14:paraId="021D72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1223" w:type="dxa"/>
            <w:vAlign w:val="center"/>
          </w:tcPr>
          <w:p w14:paraId="47543D8B">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工作年限</w:t>
            </w:r>
          </w:p>
        </w:tc>
        <w:tc>
          <w:tcPr>
            <w:tcW w:w="3894" w:type="dxa"/>
            <w:gridSpan w:val="5"/>
            <w:vAlign w:val="center"/>
          </w:tcPr>
          <w:p w14:paraId="15E6AD89">
            <w:pPr>
              <w:kinsoku/>
              <w:jc w:val="center"/>
              <w:rPr>
                <w:rFonts w:ascii="宋体" w:hAnsi="宋体" w:eastAsia="宋体" w:cs="宋体"/>
                <w:color w:val="auto"/>
                <w:highlight w:val="none"/>
              </w:rPr>
            </w:pPr>
          </w:p>
        </w:tc>
        <w:tc>
          <w:tcPr>
            <w:tcW w:w="1854" w:type="dxa"/>
            <w:gridSpan w:val="2"/>
            <w:vAlign w:val="center"/>
          </w:tcPr>
          <w:p w14:paraId="4311BD93">
            <w:pPr>
              <w:kinsoku/>
              <w:spacing w:before="215" w:line="307" w:lineRule="auto"/>
              <w:ind w:right="81"/>
              <w:jc w:val="center"/>
              <w:rPr>
                <w:rFonts w:ascii="宋体" w:hAnsi="宋体" w:eastAsia="宋体" w:cs="宋体"/>
                <w:color w:val="auto"/>
                <w:highlight w:val="none"/>
              </w:rPr>
            </w:pPr>
            <w:r>
              <w:rPr>
                <w:rFonts w:hint="eastAsia" w:ascii="宋体" w:hAnsi="宋体" w:eastAsia="宋体" w:cs="宋体"/>
                <w:color w:val="auto"/>
                <w:highlight w:val="none"/>
              </w:rPr>
              <w:t>从事设计工作年限</w:t>
            </w:r>
          </w:p>
        </w:tc>
        <w:tc>
          <w:tcPr>
            <w:tcW w:w="1653" w:type="dxa"/>
            <w:gridSpan w:val="2"/>
          </w:tcPr>
          <w:p w14:paraId="7761B25C">
            <w:pPr>
              <w:kinsoku/>
              <w:rPr>
                <w:rFonts w:ascii="宋体" w:hAnsi="宋体" w:eastAsia="宋体" w:cs="宋体"/>
                <w:color w:val="auto"/>
                <w:highlight w:val="none"/>
              </w:rPr>
            </w:pPr>
          </w:p>
        </w:tc>
      </w:tr>
      <w:tr w14:paraId="42BF84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23" w:type="dxa"/>
          </w:tcPr>
          <w:p w14:paraId="222009DA">
            <w:pPr>
              <w:kinsoku/>
              <w:spacing w:before="215" w:line="221" w:lineRule="auto"/>
              <w:ind w:left="201"/>
              <w:rPr>
                <w:rFonts w:ascii="宋体" w:hAnsi="宋体" w:eastAsia="宋体" w:cs="宋体"/>
                <w:color w:val="auto"/>
                <w:highlight w:val="none"/>
              </w:rPr>
            </w:pPr>
            <w:r>
              <w:rPr>
                <w:rFonts w:hint="eastAsia" w:ascii="宋体" w:hAnsi="宋体" w:eastAsia="宋体" w:cs="宋体"/>
                <w:color w:val="auto"/>
                <w:highlight w:val="none"/>
              </w:rPr>
              <w:t>毕业学校</w:t>
            </w:r>
          </w:p>
        </w:tc>
        <w:tc>
          <w:tcPr>
            <w:tcW w:w="7401" w:type="dxa"/>
            <w:gridSpan w:val="9"/>
          </w:tcPr>
          <w:p w14:paraId="1B3CE0B1">
            <w:pPr>
              <w:tabs>
                <w:tab w:val="left" w:pos="529"/>
              </w:tabs>
              <w:kinsoku/>
              <w:spacing w:before="215" w:line="221" w:lineRule="auto"/>
              <w:rPr>
                <w:rFonts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月毕业于</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学校</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专业，学制</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年</w:t>
            </w:r>
          </w:p>
        </w:tc>
      </w:tr>
      <w:tr w14:paraId="6B152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24" w:type="dxa"/>
            <w:gridSpan w:val="10"/>
          </w:tcPr>
          <w:p w14:paraId="4A02FDFA">
            <w:pPr>
              <w:kinsoku/>
              <w:spacing w:before="216" w:line="223" w:lineRule="auto"/>
              <w:ind w:left="3636"/>
              <w:rPr>
                <w:rFonts w:ascii="宋体" w:hAnsi="宋体" w:eastAsia="宋体" w:cs="宋体"/>
                <w:color w:val="auto"/>
                <w:highlight w:val="none"/>
              </w:rPr>
            </w:pPr>
            <w:r>
              <w:rPr>
                <w:rFonts w:hint="eastAsia" w:ascii="宋体" w:hAnsi="宋体" w:eastAsia="宋体" w:cs="宋体"/>
                <w:color w:val="auto"/>
                <w:highlight w:val="none"/>
              </w:rPr>
              <w:t>经         历</w:t>
            </w:r>
          </w:p>
        </w:tc>
      </w:tr>
      <w:tr w14:paraId="43FD1C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1273" w:type="dxa"/>
            <w:gridSpan w:val="2"/>
            <w:vAlign w:val="center"/>
          </w:tcPr>
          <w:p w14:paraId="4E766BA7">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时  间</w:t>
            </w:r>
          </w:p>
        </w:tc>
        <w:tc>
          <w:tcPr>
            <w:tcW w:w="4177" w:type="dxa"/>
            <w:gridSpan w:val="5"/>
            <w:vAlign w:val="center"/>
          </w:tcPr>
          <w:p w14:paraId="30DD53BB">
            <w:pPr>
              <w:kinsoku/>
              <w:spacing w:before="68" w:line="221"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参加过的类似工程项目名称</w:t>
            </w:r>
          </w:p>
        </w:tc>
        <w:tc>
          <w:tcPr>
            <w:tcW w:w="1903" w:type="dxa"/>
            <w:gridSpan w:val="2"/>
            <w:vAlign w:val="center"/>
          </w:tcPr>
          <w:p w14:paraId="74FD4CD8">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担任职务</w:t>
            </w:r>
          </w:p>
        </w:tc>
        <w:tc>
          <w:tcPr>
            <w:tcW w:w="1271" w:type="dxa"/>
            <w:vAlign w:val="center"/>
          </w:tcPr>
          <w:p w14:paraId="41833A78">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发包人及联系电话</w:t>
            </w:r>
          </w:p>
        </w:tc>
      </w:tr>
      <w:tr w14:paraId="385106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6EF401BF">
            <w:pPr>
              <w:kinsoku/>
              <w:rPr>
                <w:rFonts w:ascii="宋体" w:hAnsi="宋体" w:eastAsia="宋体" w:cs="宋体"/>
                <w:color w:val="auto"/>
                <w:highlight w:val="none"/>
              </w:rPr>
            </w:pPr>
          </w:p>
        </w:tc>
        <w:tc>
          <w:tcPr>
            <w:tcW w:w="4177" w:type="dxa"/>
            <w:gridSpan w:val="5"/>
          </w:tcPr>
          <w:p w14:paraId="32A48EC5">
            <w:pPr>
              <w:kinsoku/>
              <w:rPr>
                <w:rFonts w:ascii="宋体" w:hAnsi="宋体" w:eastAsia="宋体" w:cs="宋体"/>
                <w:color w:val="auto"/>
                <w:highlight w:val="none"/>
              </w:rPr>
            </w:pPr>
          </w:p>
        </w:tc>
        <w:tc>
          <w:tcPr>
            <w:tcW w:w="1903" w:type="dxa"/>
            <w:gridSpan w:val="2"/>
          </w:tcPr>
          <w:p w14:paraId="63B962D5">
            <w:pPr>
              <w:kinsoku/>
              <w:rPr>
                <w:rFonts w:ascii="宋体" w:hAnsi="宋体" w:eastAsia="宋体" w:cs="宋体"/>
                <w:color w:val="auto"/>
                <w:highlight w:val="none"/>
              </w:rPr>
            </w:pPr>
          </w:p>
        </w:tc>
        <w:tc>
          <w:tcPr>
            <w:tcW w:w="1271" w:type="dxa"/>
          </w:tcPr>
          <w:p w14:paraId="1B61B6A3">
            <w:pPr>
              <w:kinsoku/>
              <w:rPr>
                <w:rFonts w:ascii="宋体" w:hAnsi="宋体" w:eastAsia="宋体" w:cs="宋体"/>
                <w:color w:val="auto"/>
                <w:highlight w:val="none"/>
              </w:rPr>
            </w:pPr>
          </w:p>
        </w:tc>
      </w:tr>
      <w:tr w14:paraId="44D15C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1EF2D950">
            <w:pPr>
              <w:kinsoku/>
              <w:rPr>
                <w:rFonts w:ascii="宋体" w:hAnsi="宋体" w:eastAsia="宋体" w:cs="宋体"/>
                <w:color w:val="auto"/>
                <w:highlight w:val="none"/>
              </w:rPr>
            </w:pPr>
          </w:p>
        </w:tc>
        <w:tc>
          <w:tcPr>
            <w:tcW w:w="4177" w:type="dxa"/>
            <w:gridSpan w:val="5"/>
          </w:tcPr>
          <w:p w14:paraId="7FCAF5AC">
            <w:pPr>
              <w:kinsoku/>
              <w:rPr>
                <w:rFonts w:ascii="宋体" w:hAnsi="宋体" w:eastAsia="宋体" w:cs="宋体"/>
                <w:color w:val="auto"/>
                <w:highlight w:val="none"/>
              </w:rPr>
            </w:pPr>
          </w:p>
        </w:tc>
        <w:tc>
          <w:tcPr>
            <w:tcW w:w="1903" w:type="dxa"/>
            <w:gridSpan w:val="2"/>
          </w:tcPr>
          <w:p w14:paraId="41C8C012">
            <w:pPr>
              <w:kinsoku/>
              <w:rPr>
                <w:rFonts w:ascii="宋体" w:hAnsi="宋体" w:eastAsia="宋体" w:cs="宋体"/>
                <w:color w:val="auto"/>
                <w:highlight w:val="none"/>
              </w:rPr>
            </w:pPr>
          </w:p>
        </w:tc>
        <w:tc>
          <w:tcPr>
            <w:tcW w:w="1271" w:type="dxa"/>
          </w:tcPr>
          <w:p w14:paraId="0F7110D3">
            <w:pPr>
              <w:kinsoku/>
              <w:rPr>
                <w:rFonts w:ascii="宋体" w:hAnsi="宋体" w:eastAsia="宋体" w:cs="宋体"/>
                <w:color w:val="auto"/>
                <w:highlight w:val="none"/>
              </w:rPr>
            </w:pPr>
          </w:p>
        </w:tc>
      </w:tr>
      <w:tr w14:paraId="76F53B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273" w:type="dxa"/>
            <w:gridSpan w:val="2"/>
          </w:tcPr>
          <w:p w14:paraId="4B325A1F">
            <w:pPr>
              <w:kinsoku/>
              <w:rPr>
                <w:rFonts w:ascii="宋体" w:hAnsi="宋体" w:eastAsia="宋体" w:cs="宋体"/>
                <w:color w:val="auto"/>
                <w:highlight w:val="none"/>
              </w:rPr>
            </w:pPr>
          </w:p>
        </w:tc>
        <w:tc>
          <w:tcPr>
            <w:tcW w:w="4177" w:type="dxa"/>
            <w:gridSpan w:val="5"/>
          </w:tcPr>
          <w:p w14:paraId="42A239CF">
            <w:pPr>
              <w:kinsoku/>
              <w:rPr>
                <w:rFonts w:ascii="宋体" w:hAnsi="宋体" w:eastAsia="宋体" w:cs="宋体"/>
                <w:color w:val="auto"/>
                <w:highlight w:val="none"/>
              </w:rPr>
            </w:pPr>
          </w:p>
        </w:tc>
        <w:tc>
          <w:tcPr>
            <w:tcW w:w="1903" w:type="dxa"/>
            <w:gridSpan w:val="2"/>
          </w:tcPr>
          <w:p w14:paraId="47B9DECB">
            <w:pPr>
              <w:kinsoku/>
              <w:rPr>
                <w:rFonts w:ascii="宋体" w:hAnsi="宋体" w:eastAsia="宋体" w:cs="宋体"/>
                <w:color w:val="auto"/>
                <w:highlight w:val="none"/>
              </w:rPr>
            </w:pPr>
          </w:p>
        </w:tc>
        <w:tc>
          <w:tcPr>
            <w:tcW w:w="1271" w:type="dxa"/>
          </w:tcPr>
          <w:p w14:paraId="0324AF49">
            <w:pPr>
              <w:kinsoku/>
              <w:rPr>
                <w:rFonts w:ascii="宋体" w:hAnsi="宋体" w:eastAsia="宋体" w:cs="宋体"/>
                <w:color w:val="auto"/>
                <w:highlight w:val="none"/>
              </w:rPr>
            </w:pPr>
          </w:p>
        </w:tc>
      </w:tr>
      <w:tr w14:paraId="3ED9E4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2CCDAD15">
            <w:pPr>
              <w:kinsoku/>
              <w:rPr>
                <w:rFonts w:ascii="宋体" w:hAnsi="宋体" w:eastAsia="宋体" w:cs="宋体"/>
                <w:color w:val="auto"/>
                <w:highlight w:val="none"/>
              </w:rPr>
            </w:pPr>
          </w:p>
        </w:tc>
        <w:tc>
          <w:tcPr>
            <w:tcW w:w="4177" w:type="dxa"/>
            <w:gridSpan w:val="5"/>
          </w:tcPr>
          <w:p w14:paraId="26A354DB">
            <w:pPr>
              <w:kinsoku/>
              <w:rPr>
                <w:rFonts w:ascii="宋体" w:hAnsi="宋体" w:eastAsia="宋体" w:cs="宋体"/>
                <w:color w:val="auto"/>
                <w:highlight w:val="none"/>
              </w:rPr>
            </w:pPr>
          </w:p>
        </w:tc>
        <w:tc>
          <w:tcPr>
            <w:tcW w:w="1903" w:type="dxa"/>
            <w:gridSpan w:val="2"/>
          </w:tcPr>
          <w:p w14:paraId="6468C338">
            <w:pPr>
              <w:kinsoku/>
              <w:rPr>
                <w:rFonts w:ascii="宋体" w:hAnsi="宋体" w:eastAsia="宋体" w:cs="宋体"/>
                <w:color w:val="auto"/>
                <w:highlight w:val="none"/>
              </w:rPr>
            </w:pPr>
          </w:p>
        </w:tc>
        <w:tc>
          <w:tcPr>
            <w:tcW w:w="1271" w:type="dxa"/>
          </w:tcPr>
          <w:p w14:paraId="53C9F4C9">
            <w:pPr>
              <w:kinsoku/>
              <w:rPr>
                <w:rFonts w:ascii="宋体" w:hAnsi="宋体" w:eastAsia="宋体" w:cs="宋体"/>
                <w:color w:val="auto"/>
                <w:highlight w:val="none"/>
              </w:rPr>
            </w:pPr>
          </w:p>
        </w:tc>
      </w:tr>
      <w:tr w14:paraId="045B7D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273" w:type="dxa"/>
            <w:gridSpan w:val="2"/>
          </w:tcPr>
          <w:p w14:paraId="441FA2D5">
            <w:pPr>
              <w:kinsoku/>
              <w:rPr>
                <w:rFonts w:ascii="宋体" w:hAnsi="宋体" w:eastAsia="宋体" w:cs="宋体"/>
                <w:color w:val="auto"/>
                <w:highlight w:val="none"/>
              </w:rPr>
            </w:pPr>
          </w:p>
        </w:tc>
        <w:tc>
          <w:tcPr>
            <w:tcW w:w="4177" w:type="dxa"/>
            <w:gridSpan w:val="5"/>
          </w:tcPr>
          <w:p w14:paraId="2DCA7014">
            <w:pPr>
              <w:kinsoku/>
              <w:rPr>
                <w:rFonts w:ascii="宋体" w:hAnsi="宋体" w:eastAsia="宋体" w:cs="宋体"/>
                <w:color w:val="auto"/>
                <w:highlight w:val="none"/>
              </w:rPr>
            </w:pPr>
          </w:p>
        </w:tc>
        <w:tc>
          <w:tcPr>
            <w:tcW w:w="1903" w:type="dxa"/>
            <w:gridSpan w:val="2"/>
          </w:tcPr>
          <w:p w14:paraId="718157DE">
            <w:pPr>
              <w:kinsoku/>
              <w:rPr>
                <w:rFonts w:ascii="宋体" w:hAnsi="宋体" w:eastAsia="宋体" w:cs="宋体"/>
                <w:color w:val="auto"/>
                <w:highlight w:val="none"/>
              </w:rPr>
            </w:pPr>
          </w:p>
        </w:tc>
        <w:tc>
          <w:tcPr>
            <w:tcW w:w="1271" w:type="dxa"/>
          </w:tcPr>
          <w:p w14:paraId="6009C4FD">
            <w:pPr>
              <w:kinsoku/>
              <w:rPr>
                <w:rFonts w:ascii="宋体" w:hAnsi="宋体" w:eastAsia="宋体" w:cs="宋体"/>
                <w:color w:val="auto"/>
                <w:highlight w:val="none"/>
              </w:rPr>
            </w:pPr>
          </w:p>
        </w:tc>
      </w:tr>
      <w:tr w14:paraId="0246E6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2370A06E">
            <w:pPr>
              <w:kinsoku/>
              <w:rPr>
                <w:rFonts w:ascii="宋体" w:hAnsi="宋体" w:eastAsia="宋体" w:cs="宋体"/>
                <w:color w:val="auto"/>
                <w:highlight w:val="none"/>
              </w:rPr>
            </w:pPr>
          </w:p>
        </w:tc>
        <w:tc>
          <w:tcPr>
            <w:tcW w:w="4177" w:type="dxa"/>
            <w:gridSpan w:val="5"/>
          </w:tcPr>
          <w:p w14:paraId="5A1A6550">
            <w:pPr>
              <w:kinsoku/>
              <w:rPr>
                <w:rFonts w:ascii="宋体" w:hAnsi="宋体" w:eastAsia="宋体" w:cs="宋体"/>
                <w:color w:val="auto"/>
                <w:highlight w:val="none"/>
              </w:rPr>
            </w:pPr>
          </w:p>
        </w:tc>
        <w:tc>
          <w:tcPr>
            <w:tcW w:w="1903" w:type="dxa"/>
            <w:gridSpan w:val="2"/>
          </w:tcPr>
          <w:p w14:paraId="68E3D477">
            <w:pPr>
              <w:kinsoku/>
              <w:rPr>
                <w:rFonts w:ascii="宋体" w:hAnsi="宋体" w:eastAsia="宋体" w:cs="宋体"/>
                <w:color w:val="auto"/>
                <w:highlight w:val="none"/>
              </w:rPr>
            </w:pPr>
          </w:p>
        </w:tc>
        <w:tc>
          <w:tcPr>
            <w:tcW w:w="1271" w:type="dxa"/>
          </w:tcPr>
          <w:p w14:paraId="60B1B61B">
            <w:pPr>
              <w:kinsoku/>
              <w:rPr>
                <w:rFonts w:ascii="宋体" w:hAnsi="宋体" w:eastAsia="宋体" w:cs="宋体"/>
                <w:color w:val="auto"/>
                <w:highlight w:val="none"/>
              </w:rPr>
            </w:pPr>
          </w:p>
        </w:tc>
      </w:tr>
      <w:tr w14:paraId="3200E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487181E0">
            <w:pPr>
              <w:kinsoku/>
              <w:rPr>
                <w:rFonts w:ascii="宋体" w:hAnsi="宋体" w:eastAsia="宋体" w:cs="宋体"/>
                <w:color w:val="auto"/>
                <w:highlight w:val="none"/>
              </w:rPr>
            </w:pPr>
          </w:p>
        </w:tc>
        <w:tc>
          <w:tcPr>
            <w:tcW w:w="4177" w:type="dxa"/>
            <w:gridSpan w:val="5"/>
          </w:tcPr>
          <w:p w14:paraId="68E0E48A">
            <w:pPr>
              <w:kinsoku/>
              <w:rPr>
                <w:rFonts w:ascii="宋体" w:hAnsi="宋体" w:eastAsia="宋体" w:cs="宋体"/>
                <w:color w:val="auto"/>
                <w:highlight w:val="none"/>
              </w:rPr>
            </w:pPr>
          </w:p>
        </w:tc>
        <w:tc>
          <w:tcPr>
            <w:tcW w:w="1903" w:type="dxa"/>
            <w:gridSpan w:val="2"/>
          </w:tcPr>
          <w:p w14:paraId="5DC54BA5">
            <w:pPr>
              <w:kinsoku/>
              <w:rPr>
                <w:rFonts w:ascii="宋体" w:hAnsi="宋体" w:eastAsia="宋体" w:cs="宋体"/>
                <w:color w:val="auto"/>
                <w:highlight w:val="none"/>
              </w:rPr>
            </w:pPr>
          </w:p>
        </w:tc>
        <w:tc>
          <w:tcPr>
            <w:tcW w:w="1271" w:type="dxa"/>
          </w:tcPr>
          <w:p w14:paraId="3A8828F3">
            <w:pPr>
              <w:kinsoku/>
              <w:rPr>
                <w:rFonts w:ascii="宋体" w:hAnsi="宋体" w:eastAsia="宋体" w:cs="宋体"/>
                <w:color w:val="auto"/>
                <w:highlight w:val="none"/>
              </w:rPr>
            </w:pPr>
          </w:p>
        </w:tc>
      </w:tr>
      <w:tr w14:paraId="53D8EB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2607" w:type="dxa"/>
            <w:gridSpan w:val="3"/>
            <w:vAlign w:val="center"/>
          </w:tcPr>
          <w:p w14:paraId="23D6D763">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获奖情况</w:t>
            </w:r>
          </w:p>
        </w:tc>
        <w:tc>
          <w:tcPr>
            <w:tcW w:w="6017" w:type="dxa"/>
            <w:gridSpan w:val="7"/>
          </w:tcPr>
          <w:p w14:paraId="53B1B699">
            <w:pPr>
              <w:kinsoku/>
              <w:rPr>
                <w:rFonts w:ascii="宋体" w:hAnsi="宋体" w:eastAsia="宋体" w:cs="宋体"/>
                <w:color w:val="auto"/>
                <w:highlight w:val="none"/>
              </w:rPr>
            </w:pPr>
          </w:p>
        </w:tc>
      </w:tr>
      <w:tr w14:paraId="546DE4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0" w:hRule="atLeast"/>
        </w:trPr>
        <w:tc>
          <w:tcPr>
            <w:tcW w:w="2607" w:type="dxa"/>
            <w:gridSpan w:val="3"/>
            <w:vAlign w:val="center"/>
          </w:tcPr>
          <w:p w14:paraId="3E491E12">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目前承担的任务</w:t>
            </w:r>
          </w:p>
        </w:tc>
        <w:tc>
          <w:tcPr>
            <w:tcW w:w="6017" w:type="dxa"/>
            <w:gridSpan w:val="7"/>
          </w:tcPr>
          <w:p w14:paraId="76E35923">
            <w:pPr>
              <w:kinsoku/>
              <w:rPr>
                <w:rFonts w:ascii="宋体" w:hAnsi="宋体" w:eastAsia="宋体" w:cs="宋体"/>
                <w:color w:val="auto"/>
                <w:highlight w:val="none"/>
              </w:rPr>
            </w:pPr>
          </w:p>
        </w:tc>
      </w:tr>
      <w:tr w14:paraId="48815B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2" w:hRule="atLeast"/>
        </w:trPr>
        <w:tc>
          <w:tcPr>
            <w:tcW w:w="2607" w:type="dxa"/>
            <w:gridSpan w:val="3"/>
            <w:vAlign w:val="center"/>
          </w:tcPr>
          <w:p w14:paraId="0D2D2CFF">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备     注</w:t>
            </w:r>
          </w:p>
        </w:tc>
        <w:tc>
          <w:tcPr>
            <w:tcW w:w="6017" w:type="dxa"/>
            <w:gridSpan w:val="7"/>
          </w:tcPr>
          <w:p w14:paraId="1E314208">
            <w:pPr>
              <w:kinsoku/>
              <w:rPr>
                <w:rFonts w:ascii="宋体" w:hAnsi="宋体" w:eastAsia="宋体" w:cs="宋体"/>
                <w:color w:val="auto"/>
                <w:highlight w:val="none"/>
              </w:rPr>
            </w:pPr>
          </w:p>
        </w:tc>
      </w:tr>
    </w:tbl>
    <w:p w14:paraId="75D90400">
      <w:pPr>
        <w:kinsoku/>
        <w:spacing w:before="156" w:line="220" w:lineRule="auto"/>
        <w:ind w:left="41"/>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注：1.本表应填写项目负责人相关情况。</w:t>
      </w:r>
    </w:p>
    <w:p w14:paraId="069EAB3D">
      <w:pPr>
        <w:kinsoku/>
        <w:spacing w:before="150" w:line="220" w:lineRule="auto"/>
        <w:jc w:val="right"/>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2.投标人应根据招标文件第二章“投标人须知 ”第3.5.4项的要求在本表后附相关证明材料。</w:t>
      </w:r>
    </w:p>
    <w:p w14:paraId="28574497">
      <w:pPr>
        <w:kinsoku/>
        <w:spacing w:line="220" w:lineRule="auto"/>
        <w:rPr>
          <w:rFonts w:ascii="宋体" w:hAnsi="宋体" w:eastAsia="宋体" w:cs="宋体"/>
          <w:color w:val="auto"/>
          <w:highlight w:val="none"/>
          <w:lang w:eastAsia="zh-CN"/>
        </w:rPr>
        <w:sectPr>
          <w:headerReference r:id="rId55" w:type="default"/>
          <w:footerReference r:id="rId56" w:type="default"/>
          <w:pgSz w:w="11907" w:h="16839"/>
          <w:pgMar w:top="1173" w:right="1565" w:bottom="1254" w:left="1668" w:header="862" w:footer="1093" w:gutter="0"/>
          <w:cols w:space="720" w:num="1"/>
        </w:sectPr>
      </w:pPr>
    </w:p>
    <w:p w14:paraId="53B930A6">
      <w:pPr>
        <w:kinsoku/>
        <w:spacing w:before="78" w:line="224" w:lineRule="auto"/>
        <w:ind w:left="2473"/>
        <w:rPr>
          <w:rFonts w:ascii="宋体" w:hAnsi="宋体" w:eastAsia="宋体" w:cs="宋体"/>
          <w:color w:val="auto"/>
          <w:sz w:val="12"/>
          <w:szCs w:val="12"/>
          <w:highlight w:val="none"/>
          <w:lang w:eastAsia="zh-CN"/>
        </w:rPr>
      </w:pPr>
      <w:bookmarkStart w:id="391" w:name="bookmark298"/>
      <w:bookmarkEnd w:id="391"/>
      <w:bookmarkStart w:id="392" w:name="bookmark297"/>
      <w:bookmarkEnd w:id="392"/>
      <w:r>
        <w:rPr>
          <w:rFonts w:hint="eastAsia" w:ascii="宋体" w:hAnsi="宋体" w:eastAsia="宋体" w:cs="宋体"/>
          <w:color w:val="auto"/>
          <w:sz w:val="24"/>
          <w:szCs w:val="24"/>
          <w:highlight w:val="none"/>
          <w:lang w:eastAsia="zh-CN"/>
        </w:rPr>
        <w:t>（六）拟委任的分项负责人汇总表</w:t>
      </w:r>
    </w:p>
    <w:p w14:paraId="46FF601F">
      <w:pPr>
        <w:kinsoku/>
        <w:spacing w:before="151"/>
        <w:rPr>
          <w:rFonts w:ascii="宋体" w:hAnsi="宋体" w:eastAsia="宋体" w:cs="宋体"/>
          <w:color w:val="auto"/>
          <w:highlight w:val="none"/>
          <w:lang w:eastAsia="zh-CN"/>
        </w:rPr>
      </w:pPr>
    </w:p>
    <w:tbl>
      <w:tblPr>
        <w:tblStyle w:val="21"/>
        <w:tblW w:w="8029" w:type="dxa"/>
        <w:tblInd w:w="29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0"/>
        <w:gridCol w:w="1274"/>
        <w:gridCol w:w="902"/>
        <w:gridCol w:w="693"/>
        <w:gridCol w:w="487"/>
        <w:gridCol w:w="1135"/>
        <w:gridCol w:w="707"/>
        <w:gridCol w:w="871"/>
        <w:gridCol w:w="1140"/>
      </w:tblGrid>
      <w:tr w14:paraId="68B05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820" w:type="dxa"/>
            <w:vMerge w:val="restart"/>
            <w:tcBorders>
              <w:bottom w:val="nil"/>
            </w:tcBorders>
            <w:vAlign w:val="center"/>
          </w:tcPr>
          <w:p w14:paraId="73EB85F1">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序号</w:t>
            </w:r>
          </w:p>
        </w:tc>
        <w:tc>
          <w:tcPr>
            <w:tcW w:w="1274" w:type="dxa"/>
            <w:vMerge w:val="restart"/>
            <w:tcBorders>
              <w:bottom w:val="nil"/>
            </w:tcBorders>
            <w:vAlign w:val="center"/>
          </w:tcPr>
          <w:p w14:paraId="41C2B9BD">
            <w:pPr>
              <w:kinsoku/>
              <w:spacing w:before="68" w:line="220" w:lineRule="auto"/>
              <w:jc w:val="center"/>
              <w:rPr>
                <w:rFonts w:ascii="宋体" w:hAnsi="宋体" w:eastAsia="宋体" w:cs="宋体"/>
                <w:color w:val="auto"/>
                <w:highlight w:val="none"/>
              </w:rPr>
            </w:pPr>
            <w:r>
              <w:rPr>
                <w:rFonts w:hint="eastAsia" w:ascii="宋体" w:hAnsi="宋体" w:eastAsia="宋体" w:cs="宋体"/>
                <w:color w:val="auto"/>
                <w:highlight w:val="none"/>
              </w:rPr>
              <w:t>本标段任职</w:t>
            </w:r>
          </w:p>
        </w:tc>
        <w:tc>
          <w:tcPr>
            <w:tcW w:w="902" w:type="dxa"/>
            <w:vMerge w:val="restart"/>
            <w:tcBorders>
              <w:bottom w:val="nil"/>
            </w:tcBorders>
            <w:vAlign w:val="center"/>
          </w:tcPr>
          <w:p w14:paraId="4C4F7959">
            <w:pPr>
              <w:kinsoku/>
              <w:spacing w:before="69" w:line="221" w:lineRule="auto"/>
              <w:jc w:val="center"/>
              <w:rPr>
                <w:rFonts w:ascii="宋体" w:hAnsi="宋体" w:eastAsia="宋体" w:cs="宋体"/>
                <w:color w:val="auto"/>
                <w:highlight w:val="none"/>
              </w:rPr>
            </w:pPr>
            <w:r>
              <w:rPr>
                <w:rFonts w:hint="eastAsia" w:ascii="宋体" w:hAnsi="宋体" w:eastAsia="宋体" w:cs="宋体"/>
                <w:color w:val="auto"/>
                <w:highlight w:val="none"/>
              </w:rPr>
              <w:t>姓名</w:t>
            </w:r>
          </w:p>
        </w:tc>
        <w:tc>
          <w:tcPr>
            <w:tcW w:w="693" w:type="dxa"/>
            <w:vMerge w:val="restart"/>
            <w:tcBorders>
              <w:bottom w:val="nil"/>
            </w:tcBorders>
            <w:vAlign w:val="center"/>
          </w:tcPr>
          <w:p w14:paraId="6E00FDFE">
            <w:pPr>
              <w:kinsoku/>
              <w:spacing w:before="181" w:line="311" w:lineRule="auto"/>
              <w:ind w:right="131"/>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487" w:type="dxa"/>
            <w:vMerge w:val="restart"/>
            <w:tcBorders>
              <w:bottom w:val="nil"/>
            </w:tcBorders>
            <w:vAlign w:val="center"/>
          </w:tcPr>
          <w:p w14:paraId="03F1D46C">
            <w:pPr>
              <w:kinsoku/>
              <w:spacing w:before="136" w:line="210" w:lineRule="auto"/>
              <w:jc w:val="center"/>
              <w:rPr>
                <w:rFonts w:ascii="宋体" w:hAnsi="宋体" w:eastAsia="宋体" w:cs="宋体"/>
                <w:color w:val="auto"/>
                <w:highlight w:val="none"/>
              </w:rPr>
            </w:pPr>
            <w:r>
              <w:rPr>
                <w:rFonts w:hint="eastAsia" w:ascii="宋体" w:hAnsi="宋体" w:eastAsia="宋体" w:cs="宋体"/>
                <w:color w:val="auto"/>
                <w:highlight w:val="none"/>
              </w:rPr>
              <w:t>专业</w:t>
            </w:r>
          </w:p>
        </w:tc>
        <w:tc>
          <w:tcPr>
            <w:tcW w:w="2713" w:type="dxa"/>
            <w:gridSpan w:val="3"/>
            <w:vAlign w:val="center"/>
          </w:tcPr>
          <w:p w14:paraId="29760540">
            <w:pPr>
              <w:kinsoku/>
              <w:spacing w:before="175" w:line="221" w:lineRule="auto"/>
              <w:jc w:val="center"/>
              <w:rPr>
                <w:rFonts w:ascii="宋体" w:hAnsi="宋体" w:eastAsia="宋体" w:cs="宋体"/>
                <w:color w:val="auto"/>
                <w:highlight w:val="none"/>
              </w:rPr>
            </w:pPr>
            <w:r>
              <w:rPr>
                <w:rFonts w:hint="eastAsia" w:ascii="宋体" w:hAnsi="宋体" w:eastAsia="宋体" w:cs="宋体"/>
                <w:color w:val="auto"/>
                <w:highlight w:val="none"/>
              </w:rPr>
              <w:t>执业或职业资格证明</w:t>
            </w:r>
          </w:p>
        </w:tc>
        <w:tc>
          <w:tcPr>
            <w:tcW w:w="1140" w:type="dxa"/>
            <w:vMerge w:val="restart"/>
            <w:tcBorders>
              <w:bottom w:val="nil"/>
            </w:tcBorders>
            <w:vAlign w:val="center"/>
          </w:tcPr>
          <w:p w14:paraId="3C0E7D8E">
            <w:pPr>
              <w:kinsoku/>
              <w:spacing w:before="68" w:line="222" w:lineRule="auto"/>
              <w:jc w:val="center"/>
              <w:rPr>
                <w:rFonts w:ascii="宋体" w:hAnsi="宋体" w:eastAsia="宋体" w:cs="宋体"/>
                <w:color w:val="auto"/>
                <w:highlight w:val="none"/>
              </w:rPr>
            </w:pPr>
            <w:r>
              <w:rPr>
                <w:rFonts w:hint="eastAsia" w:ascii="宋体" w:hAnsi="宋体" w:eastAsia="宋体" w:cs="宋体"/>
                <w:color w:val="auto"/>
                <w:highlight w:val="none"/>
              </w:rPr>
              <w:t>备注</w:t>
            </w:r>
          </w:p>
        </w:tc>
      </w:tr>
      <w:tr w14:paraId="7832F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vMerge w:val="continue"/>
            <w:tcBorders>
              <w:top w:val="nil"/>
            </w:tcBorders>
            <w:vAlign w:val="center"/>
          </w:tcPr>
          <w:p w14:paraId="7665F286">
            <w:pPr>
              <w:kinsoku/>
              <w:jc w:val="center"/>
              <w:rPr>
                <w:rFonts w:ascii="宋体" w:hAnsi="宋体" w:eastAsia="宋体" w:cs="宋体"/>
                <w:color w:val="auto"/>
                <w:highlight w:val="none"/>
              </w:rPr>
            </w:pPr>
          </w:p>
        </w:tc>
        <w:tc>
          <w:tcPr>
            <w:tcW w:w="1274" w:type="dxa"/>
            <w:vMerge w:val="continue"/>
            <w:tcBorders>
              <w:top w:val="nil"/>
            </w:tcBorders>
            <w:vAlign w:val="center"/>
          </w:tcPr>
          <w:p w14:paraId="10FB0949">
            <w:pPr>
              <w:kinsoku/>
              <w:jc w:val="center"/>
              <w:rPr>
                <w:rFonts w:ascii="宋体" w:hAnsi="宋体" w:eastAsia="宋体" w:cs="宋体"/>
                <w:color w:val="auto"/>
                <w:highlight w:val="none"/>
              </w:rPr>
            </w:pPr>
          </w:p>
        </w:tc>
        <w:tc>
          <w:tcPr>
            <w:tcW w:w="902" w:type="dxa"/>
            <w:vMerge w:val="continue"/>
            <w:tcBorders>
              <w:top w:val="nil"/>
            </w:tcBorders>
            <w:vAlign w:val="center"/>
          </w:tcPr>
          <w:p w14:paraId="255882B3">
            <w:pPr>
              <w:kinsoku/>
              <w:jc w:val="center"/>
              <w:rPr>
                <w:rFonts w:ascii="宋体" w:hAnsi="宋体" w:eastAsia="宋体" w:cs="宋体"/>
                <w:color w:val="auto"/>
                <w:highlight w:val="none"/>
              </w:rPr>
            </w:pPr>
          </w:p>
        </w:tc>
        <w:tc>
          <w:tcPr>
            <w:tcW w:w="693" w:type="dxa"/>
            <w:vMerge w:val="continue"/>
            <w:tcBorders>
              <w:top w:val="nil"/>
            </w:tcBorders>
            <w:vAlign w:val="center"/>
          </w:tcPr>
          <w:p w14:paraId="69DC509C">
            <w:pPr>
              <w:kinsoku/>
              <w:jc w:val="center"/>
              <w:rPr>
                <w:rFonts w:ascii="宋体" w:hAnsi="宋体" w:eastAsia="宋体" w:cs="宋体"/>
                <w:color w:val="auto"/>
                <w:highlight w:val="none"/>
              </w:rPr>
            </w:pPr>
          </w:p>
        </w:tc>
        <w:tc>
          <w:tcPr>
            <w:tcW w:w="487" w:type="dxa"/>
            <w:vMerge w:val="continue"/>
            <w:tcBorders>
              <w:top w:val="nil"/>
            </w:tcBorders>
            <w:textDirection w:val="tbRlV"/>
            <w:vAlign w:val="center"/>
          </w:tcPr>
          <w:p w14:paraId="716D7DFE">
            <w:pPr>
              <w:kinsoku/>
              <w:jc w:val="center"/>
              <w:rPr>
                <w:rFonts w:ascii="宋体" w:hAnsi="宋体" w:eastAsia="宋体" w:cs="宋体"/>
                <w:color w:val="auto"/>
                <w:highlight w:val="none"/>
              </w:rPr>
            </w:pPr>
          </w:p>
        </w:tc>
        <w:tc>
          <w:tcPr>
            <w:tcW w:w="1135" w:type="dxa"/>
            <w:vAlign w:val="center"/>
          </w:tcPr>
          <w:p w14:paraId="007F3388">
            <w:pPr>
              <w:kinsoku/>
              <w:spacing w:before="171" w:line="220" w:lineRule="auto"/>
              <w:jc w:val="center"/>
              <w:rPr>
                <w:rFonts w:ascii="宋体" w:hAnsi="宋体" w:eastAsia="宋体" w:cs="宋体"/>
                <w:color w:val="auto"/>
                <w:highlight w:val="none"/>
              </w:rPr>
            </w:pPr>
            <w:r>
              <w:rPr>
                <w:rFonts w:hint="eastAsia" w:ascii="宋体" w:hAnsi="宋体" w:eastAsia="宋体" w:cs="宋体"/>
                <w:color w:val="auto"/>
                <w:highlight w:val="none"/>
              </w:rPr>
              <w:t>证书名称</w:t>
            </w:r>
          </w:p>
        </w:tc>
        <w:tc>
          <w:tcPr>
            <w:tcW w:w="707" w:type="dxa"/>
            <w:vAlign w:val="center"/>
          </w:tcPr>
          <w:p w14:paraId="26E86A24">
            <w:pPr>
              <w:kinsoku/>
              <w:spacing w:before="172" w:line="221" w:lineRule="auto"/>
              <w:jc w:val="center"/>
              <w:rPr>
                <w:rFonts w:ascii="宋体" w:hAnsi="宋体" w:eastAsia="宋体" w:cs="宋体"/>
                <w:color w:val="auto"/>
                <w:highlight w:val="none"/>
              </w:rPr>
            </w:pPr>
            <w:r>
              <w:rPr>
                <w:rFonts w:hint="eastAsia" w:ascii="宋体" w:hAnsi="宋体" w:eastAsia="宋体" w:cs="宋体"/>
                <w:color w:val="auto"/>
                <w:highlight w:val="none"/>
              </w:rPr>
              <w:t>级别</w:t>
            </w:r>
          </w:p>
        </w:tc>
        <w:tc>
          <w:tcPr>
            <w:tcW w:w="871" w:type="dxa"/>
            <w:vAlign w:val="center"/>
          </w:tcPr>
          <w:p w14:paraId="410D2F6E">
            <w:pPr>
              <w:kinsoku/>
              <w:spacing w:before="171" w:line="222" w:lineRule="auto"/>
              <w:jc w:val="center"/>
              <w:rPr>
                <w:rFonts w:ascii="宋体" w:hAnsi="宋体" w:eastAsia="宋体" w:cs="宋体"/>
                <w:color w:val="auto"/>
                <w:highlight w:val="none"/>
              </w:rPr>
            </w:pPr>
            <w:r>
              <w:rPr>
                <w:rFonts w:hint="eastAsia" w:ascii="宋体" w:hAnsi="宋体" w:eastAsia="宋体" w:cs="宋体"/>
                <w:color w:val="auto"/>
                <w:highlight w:val="none"/>
              </w:rPr>
              <w:t>证号</w:t>
            </w:r>
          </w:p>
        </w:tc>
        <w:tc>
          <w:tcPr>
            <w:tcW w:w="1140" w:type="dxa"/>
            <w:vMerge w:val="continue"/>
            <w:tcBorders>
              <w:top w:val="nil"/>
            </w:tcBorders>
            <w:vAlign w:val="center"/>
          </w:tcPr>
          <w:p w14:paraId="6A13D038">
            <w:pPr>
              <w:kinsoku/>
              <w:jc w:val="center"/>
              <w:rPr>
                <w:rFonts w:ascii="宋体" w:hAnsi="宋体" w:eastAsia="宋体" w:cs="宋体"/>
                <w:color w:val="auto"/>
                <w:highlight w:val="none"/>
              </w:rPr>
            </w:pPr>
          </w:p>
        </w:tc>
      </w:tr>
      <w:tr w14:paraId="3FBE5A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vAlign w:val="center"/>
          </w:tcPr>
          <w:p w14:paraId="4ECF5913">
            <w:pPr>
              <w:kinsoku/>
              <w:jc w:val="center"/>
              <w:rPr>
                <w:rFonts w:ascii="宋体" w:hAnsi="宋体" w:eastAsia="宋体" w:cs="宋体"/>
                <w:color w:val="auto"/>
                <w:highlight w:val="none"/>
              </w:rPr>
            </w:pPr>
          </w:p>
        </w:tc>
        <w:tc>
          <w:tcPr>
            <w:tcW w:w="1274" w:type="dxa"/>
            <w:vAlign w:val="center"/>
          </w:tcPr>
          <w:p w14:paraId="70EC254C">
            <w:pPr>
              <w:kinsoku/>
              <w:jc w:val="center"/>
              <w:rPr>
                <w:rFonts w:ascii="宋体" w:hAnsi="宋体" w:eastAsia="宋体" w:cs="宋体"/>
                <w:color w:val="auto"/>
                <w:highlight w:val="none"/>
              </w:rPr>
            </w:pPr>
          </w:p>
        </w:tc>
        <w:tc>
          <w:tcPr>
            <w:tcW w:w="902" w:type="dxa"/>
            <w:vAlign w:val="center"/>
          </w:tcPr>
          <w:p w14:paraId="28BBD46C">
            <w:pPr>
              <w:kinsoku/>
              <w:jc w:val="center"/>
              <w:rPr>
                <w:rFonts w:ascii="宋体" w:hAnsi="宋体" w:eastAsia="宋体" w:cs="宋体"/>
                <w:color w:val="auto"/>
                <w:highlight w:val="none"/>
              </w:rPr>
            </w:pPr>
          </w:p>
        </w:tc>
        <w:tc>
          <w:tcPr>
            <w:tcW w:w="693" w:type="dxa"/>
            <w:vAlign w:val="center"/>
          </w:tcPr>
          <w:p w14:paraId="6639C31B">
            <w:pPr>
              <w:kinsoku/>
              <w:jc w:val="center"/>
              <w:rPr>
                <w:rFonts w:ascii="宋体" w:hAnsi="宋体" w:eastAsia="宋体" w:cs="宋体"/>
                <w:color w:val="auto"/>
                <w:highlight w:val="none"/>
              </w:rPr>
            </w:pPr>
          </w:p>
        </w:tc>
        <w:tc>
          <w:tcPr>
            <w:tcW w:w="487" w:type="dxa"/>
            <w:vAlign w:val="center"/>
          </w:tcPr>
          <w:p w14:paraId="68E7F731">
            <w:pPr>
              <w:kinsoku/>
              <w:jc w:val="center"/>
              <w:rPr>
                <w:rFonts w:ascii="宋体" w:hAnsi="宋体" w:eastAsia="宋体" w:cs="宋体"/>
                <w:color w:val="auto"/>
                <w:highlight w:val="none"/>
              </w:rPr>
            </w:pPr>
          </w:p>
        </w:tc>
        <w:tc>
          <w:tcPr>
            <w:tcW w:w="1135" w:type="dxa"/>
            <w:vAlign w:val="center"/>
          </w:tcPr>
          <w:p w14:paraId="0B449339">
            <w:pPr>
              <w:kinsoku/>
              <w:jc w:val="center"/>
              <w:rPr>
                <w:rFonts w:ascii="宋体" w:hAnsi="宋体" w:eastAsia="宋体" w:cs="宋体"/>
                <w:color w:val="auto"/>
                <w:highlight w:val="none"/>
              </w:rPr>
            </w:pPr>
          </w:p>
        </w:tc>
        <w:tc>
          <w:tcPr>
            <w:tcW w:w="707" w:type="dxa"/>
            <w:vAlign w:val="center"/>
          </w:tcPr>
          <w:p w14:paraId="2A12F4BB">
            <w:pPr>
              <w:kinsoku/>
              <w:jc w:val="center"/>
              <w:rPr>
                <w:rFonts w:ascii="宋体" w:hAnsi="宋体" w:eastAsia="宋体" w:cs="宋体"/>
                <w:color w:val="auto"/>
                <w:highlight w:val="none"/>
              </w:rPr>
            </w:pPr>
          </w:p>
        </w:tc>
        <w:tc>
          <w:tcPr>
            <w:tcW w:w="871" w:type="dxa"/>
            <w:vAlign w:val="center"/>
          </w:tcPr>
          <w:p w14:paraId="3000C5C8">
            <w:pPr>
              <w:kinsoku/>
              <w:jc w:val="center"/>
              <w:rPr>
                <w:rFonts w:ascii="宋体" w:hAnsi="宋体" w:eastAsia="宋体" w:cs="宋体"/>
                <w:color w:val="auto"/>
                <w:highlight w:val="none"/>
              </w:rPr>
            </w:pPr>
          </w:p>
        </w:tc>
        <w:tc>
          <w:tcPr>
            <w:tcW w:w="1140" w:type="dxa"/>
            <w:vAlign w:val="center"/>
          </w:tcPr>
          <w:p w14:paraId="22B2EE15">
            <w:pPr>
              <w:kinsoku/>
              <w:jc w:val="center"/>
              <w:rPr>
                <w:rFonts w:ascii="宋体" w:hAnsi="宋体" w:eastAsia="宋体" w:cs="宋体"/>
                <w:color w:val="auto"/>
                <w:highlight w:val="none"/>
              </w:rPr>
            </w:pPr>
          </w:p>
        </w:tc>
      </w:tr>
      <w:tr w14:paraId="238DD5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1F3AEF32">
            <w:pPr>
              <w:kinsoku/>
              <w:rPr>
                <w:rFonts w:ascii="宋体" w:hAnsi="宋体" w:eastAsia="宋体" w:cs="宋体"/>
                <w:color w:val="auto"/>
                <w:highlight w:val="none"/>
              </w:rPr>
            </w:pPr>
          </w:p>
        </w:tc>
        <w:tc>
          <w:tcPr>
            <w:tcW w:w="1274" w:type="dxa"/>
          </w:tcPr>
          <w:p w14:paraId="6B8DFD11">
            <w:pPr>
              <w:kinsoku/>
              <w:rPr>
                <w:rFonts w:ascii="宋体" w:hAnsi="宋体" w:eastAsia="宋体" w:cs="宋体"/>
                <w:color w:val="auto"/>
                <w:highlight w:val="none"/>
              </w:rPr>
            </w:pPr>
          </w:p>
        </w:tc>
        <w:tc>
          <w:tcPr>
            <w:tcW w:w="902" w:type="dxa"/>
          </w:tcPr>
          <w:p w14:paraId="77E5B31E">
            <w:pPr>
              <w:kinsoku/>
              <w:rPr>
                <w:rFonts w:ascii="宋体" w:hAnsi="宋体" w:eastAsia="宋体" w:cs="宋体"/>
                <w:color w:val="auto"/>
                <w:highlight w:val="none"/>
              </w:rPr>
            </w:pPr>
          </w:p>
        </w:tc>
        <w:tc>
          <w:tcPr>
            <w:tcW w:w="693" w:type="dxa"/>
          </w:tcPr>
          <w:p w14:paraId="6552D67E">
            <w:pPr>
              <w:kinsoku/>
              <w:rPr>
                <w:rFonts w:ascii="宋体" w:hAnsi="宋体" w:eastAsia="宋体" w:cs="宋体"/>
                <w:color w:val="auto"/>
                <w:highlight w:val="none"/>
              </w:rPr>
            </w:pPr>
          </w:p>
        </w:tc>
        <w:tc>
          <w:tcPr>
            <w:tcW w:w="487" w:type="dxa"/>
          </w:tcPr>
          <w:p w14:paraId="0769A94B">
            <w:pPr>
              <w:kinsoku/>
              <w:rPr>
                <w:rFonts w:ascii="宋体" w:hAnsi="宋体" w:eastAsia="宋体" w:cs="宋体"/>
                <w:color w:val="auto"/>
                <w:highlight w:val="none"/>
              </w:rPr>
            </w:pPr>
          </w:p>
        </w:tc>
        <w:tc>
          <w:tcPr>
            <w:tcW w:w="1135" w:type="dxa"/>
          </w:tcPr>
          <w:p w14:paraId="6B007410">
            <w:pPr>
              <w:kinsoku/>
              <w:rPr>
                <w:rFonts w:ascii="宋体" w:hAnsi="宋体" w:eastAsia="宋体" w:cs="宋体"/>
                <w:color w:val="auto"/>
                <w:highlight w:val="none"/>
              </w:rPr>
            </w:pPr>
          </w:p>
        </w:tc>
        <w:tc>
          <w:tcPr>
            <w:tcW w:w="707" w:type="dxa"/>
          </w:tcPr>
          <w:p w14:paraId="2C3D6F6C">
            <w:pPr>
              <w:kinsoku/>
              <w:rPr>
                <w:rFonts w:ascii="宋体" w:hAnsi="宋体" w:eastAsia="宋体" w:cs="宋体"/>
                <w:color w:val="auto"/>
                <w:highlight w:val="none"/>
              </w:rPr>
            </w:pPr>
          </w:p>
        </w:tc>
        <w:tc>
          <w:tcPr>
            <w:tcW w:w="871" w:type="dxa"/>
          </w:tcPr>
          <w:p w14:paraId="48189AD0">
            <w:pPr>
              <w:kinsoku/>
              <w:rPr>
                <w:rFonts w:ascii="宋体" w:hAnsi="宋体" w:eastAsia="宋体" w:cs="宋体"/>
                <w:color w:val="auto"/>
                <w:highlight w:val="none"/>
              </w:rPr>
            </w:pPr>
          </w:p>
        </w:tc>
        <w:tc>
          <w:tcPr>
            <w:tcW w:w="1140" w:type="dxa"/>
          </w:tcPr>
          <w:p w14:paraId="194D2155">
            <w:pPr>
              <w:kinsoku/>
              <w:rPr>
                <w:rFonts w:ascii="宋体" w:hAnsi="宋体" w:eastAsia="宋体" w:cs="宋体"/>
                <w:color w:val="auto"/>
                <w:highlight w:val="none"/>
              </w:rPr>
            </w:pPr>
          </w:p>
        </w:tc>
      </w:tr>
      <w:tr w14:paraId="705BC6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2811E534">
            <w:pPr>
              <w:kinsoku/>
              <w:rPr>
                <w:rFonts w:ascii="宋体" w:hAnsi="宋体" w:eastAsia="宋体" w:cs="宋体"/>
                <w:color w:val="auto"/>
                <w:highlight w:val="none"/>
              </w:rPr>
            </w:pPr>
          </w:p>
        </w:tc>
        <w:tc>
          <w:tcPr>
            <w:tcW w:w="1274" w:type="dxa"/>
          </w:tcPr>
          <w:p w14:paraId="76712492">
            <w:pPr>
              <w:kinsoku/>
              <w:rPr>
                <w:rFonts w:ascii="宋体" w:hAnsi="宋体" w:eastAsia="宋体" w:cs="宋体"/>
                <w:color w:val="auto"/>
                <w:highlight w:val="none"/>
              </w:rPr>
            </w:pPr>
          </w:p>
        </w:tc>
        <w:tc>
          <w:tcPr>
            <w:tcW w:w="902" w:type="dxa"/>
          </w:tcPr>
          <w:p w14:paraId="542DA714">
            <w:pPr>
              <w:kinsoku/>
              <w:rPr>
                <w:rFonts w:ascii="宋体" w:hAnsi="宋体" w:eastAsia="宋体" w:cs="宋体"/>
                <w:color w:val="auto"/>
                <w:highlight w:val="none"/>
              </w:rPr>
            </w:pPr>
          </w:p>
        </w:tc>
        <w:tc>
          <w:tcPr>
            <w:tcW w:w="693" w:type="dxa"/>
          </w:tcPr>
          <w:p w14:paraId="4A5DCF11">
            <w:pPr>
              <w:kinsoku/>
              <w:rPr>
                <w:rFonts w:ascii="宋体" w:hAnsi="宋体" w:eastAsia="宋体" w:cs="宋体"/>
                <w:color w:val="auto"/>
                <w:highlight w:val="none"/>
              </w:rPr>
            </w:pPr>
          </w:p>
        </w:tc>
        <w:tc>
          <w:tcPr>
            <w:tcW w:w="487" w:type="dxa"/>
          </w:tcPr>
          <w:p w14:paraId="5EEC398A">
            <w:pPr>
              <w:kinsoku/>
              <w:rPr>
                <w:rFonts w:ascii="宋体" w:hAnsi="宋体" w:eastAsia="宋体" w:cs="宋体"/>
                <w:color w:val="auto"/>
                <w:highlight w:val="none"/>
              </w:rPr>
            </w:pPr>
          </w:p>
        </w:tc>
        <w:tc>
          <w:tcPr>
            <w:tcW w:w="1135" w:type="dxa"/>
          </w:tcPr>
          <w:p w14:paraId="2E5829EF">
            <w:pPr>
              <w:kinsoku/>
              <w:rPr>
                <w:rFonts w:ascii="宋体" w:hAnsi="宋体" w:eastAsia="宋体" w:cs="宋体"/>
                <w:color w:val="auto"/>
                <w:highlight w:val="none"/>
              </w:rPr>
            </w:pPr>
          </w:p>
        </w:tc>
        <w:tc>
          <w:tcPr>
            <w:tcW w:w="707" w:type="dxa"/>
          </w:tcPr>
          <w:p w14:paraId="4E45FE29">
            <w:pPr>
              <w:kinsoku/>
              <w:rPr>
                <w:rFonts w:ascii="宋体" w:hAnsi="宋体" w:eastAsia="宋体" w:cs="宋体"/>
                <w:color w:val="auto"/>
                <w:highlight w:val="none"/>
              </w:rPr>
            </w:pPr>
          </w:p>
        </w:tc>
        <w:tc>
          <w:tcPr>
            <w:tcW w:w="871" w:type="dxa"/>
          </w:tcPr>
          <w:p w14:paraId="29143B46">
            <w:pPr>
              <w:kinsoku/>
              <w:rPr>
                <w:rFonts w:ascii="宋体" w:hAnsi="宋体" w:eastAsia="宋体" w:cs="宋体"/>
                <w:color w:val="auto"/>
                <w:highlight w:val="none"/>
              </w:rPr>
            </w:pPr>
          </w:p>
        </w:tc>
        <w:tc>
          <w:tcPr>
            <w:tcW w:w="1140" w:type="dxa"/>
          </w:tcPr>
          <w:p w14:paraId="54D8DBF2">
            <w:pPr>
              <w:kinsoku/>
              <w:rPr>
                <w:rFonts w:ascii="宋体" w:hAnsi="宋体" w:eastAsia="宋体" w:cs="宋体"/>
                <w:color w:val="auto"/>
                <w:highlight w:val="none"/>
              </w:rPr>
            </w:pPr>
          </w:p>
        </w:tc>
      </w:tr>
      <w:tr w14:paraId="790A1C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38AC2682">
            <w:pPr>
              <w:kinsoku/>
              <w:rPr>
                <w:rFonts w:ascii="宋体" w:hAnsi="宋体" w:eastAsia="宋体" w:cs="宋体"/>
                <w:color w:val="auto"/>
                <w:highlight w:val="none"/>
              </w:rPr>
            </w:pPr>
          </w:p>
        </w:tc>
        <w:tc>
          <w:tcPr>
            <w:tcW w:w="1274" w:type="dxa"/>
          </w:tcPr>
          <w:p w14:paraId="58E53F66">
            <w:pPr>
              <w:kinsoku/>
              <w:rPr>
                <w:rFonts w:ascii="宋体" w:hAnsi="宋体" w:eastAsia="宋体" w:cs="宋体"/>
                <w:color w:val="auto"/>
                <w:highlight w:val="none"/>
              </w:rPr>
            </w:pPr>
          </w:p>
        </w:tc>
        <w:tc>
          <w:tcPr>
            <w:tcW w:w="902" w:type="dxa"/>
          </w:tcPr>
          <w:p w14:paraId="40C34B9E">
            <w:pPr>
              <w:kinsoku/>
              <w:rPr>
                <w:rFonts w:ascii="宋体" w:hAnsi="宋体" w:eastAsia="宋体" w:cs="宋体"/>
                <w:color w:val="auto"/>
                <w:highlight w:val="none"/>
              </w:rPr>
            </w:pPr>
          </w:p>
        </w:tc>
        <w:tc>
          <w:tcPr>
            <w:tcW w:w="693" w:type="dxa"/>
          </w:tcPr>
          <w:p w14:paraId="69C148A7">
            <w:pPr>
              <w:kinsoku/>
              <w:rPr>
                <w:rFonts w:ascii="宋体" w:hAnsi="宋体" w:eastAsia="宋体" w:cs="宋体"/>
                <w:color w:val="auto"/>
                <w:highlight w:val="none"/>
              </w:rPr>
            </w:pPr>
          </w:p>
        </w:tc>
        <w:tc>
          <w:tcPr>
            <w:tcW w:w="487" w:type="dxa"/>
          </w:tcPr>
          <w:p w14:paraId="59324E6A">
            <w:pPr>
              <w:kinsoku/>
              <w:rPr>
                <w:rFonts w:ascii="宋体" w:hAnsi="宋体" w:eastAsia="宋体" w:cs="宋体"/>
                <w:color w:val="auto"/>
                <w:highlight w:val="none"/>
              </w:rPr>
            </w:pPr>
          </w:p>
        </w:tc>
        <w:tc>
          <w:tcPr>
            <w:tcW w:w="1135" w:type="dxa"/>
          </w:tcPr>
          <w:p w14:paraId="3016B542">
            <w:pPr>
              <w:kinsoku/>
              <w:rPr>
                <w:rFonts w:ascii="宋体" w:hAnsi="宋体" w:eastAsia="宋体" w:cs="宋体"/>
                <w:color w:val="auto"/>
                <w:highlight w:val="none"/>
              </w:rPr>
            </w:pPr>
          </w:p>
        </w:tc>
        <w:tc>
          <w:tcPr>
            <w:tcW w:w="707" w:type="dxa"/>
          </w:tcPr>
          <w:p w14:paraId="17E70007">
            <w:pPr>
              <w:kinsoku/>
              <w:rPr>
                <w:rFonts w:ascii="宋体" w:hAnsi="宋体" w:eastAsia="宋体" w:cs="宋体"/>
                <w:color w:val="auto"/>
                <w:highlight w:val="none"/>
              </w:rPr>
            </w:pPr>
          </w:p>
        </w:tc>
        <w:tc>
          <w:tcPr>
            <w:tcW w:w="871" w:type="dxa"/>
          </w:tcPr>
          <w:p w14:paraId="2D8E76FB">
            <w:pPr>
              <w:kinsoku/>
              <w:rPr>
                <w:rFonts w:ascii="宋体" w:hAnsi="宋体" w:eastAsia="宋体" w:cs="宋体"/>
                <w:color w:val="auto"/>
                <w:highlight w:val="none"/>
              </w:rPr>
            </w:pPr>
          </w:p>
        </w:tc>
        <w:tc>
          <w:tcPr>
            <w:tcW w:w="1140" w:type="dxa"/>
          </w:tcPr>
          <w:p w14:paraId="1A00EA1B">
            <w:pPr>
              <w:kinsoku/>
              <w:rPr>
                <w:rFonts w:ascii="宋体" w:hAnsi="宋体" w:eastAsia="宋体" w:cs="宋体"/>
                <w:color w:val="auto"/>
                <w:highlight w:val="none"/>
              </w:rPr>
            </w:pPr>
          </w:p>
        </w:tc>
      </w:tr>
      <w:tr w14:paraId="68A6BC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820" w:type="dxa"/>
          </w:tcPr>
          <w:p w14:paraId="7AEFBA7A">
            <w:pPr>
              <w:kinsoku/>
              <w:rPr>
                <w:rFonts w:ascii="宋体" w:hAnsi="宋体" w:eastAsia="宋体" w:cs="宋体"/>
                <w:color w:val="auto"/>
                <w:highlight w:val="none"/>
              </w:rPr>
            </w:pPr>
          </w:p>
        </w:tc>
        <w:tc>
          <w:tcPr>
            <w:tcW w:w="1274" w:type="dxa"/>
          </w:tcPr>
          <w:p w14:paraId="01874EF0">
            <w:pPr>
              <w:kinsoku/>
              <w:rPr>
                <w:rFonts w:ascii="宋体" w:hAnsi="宋体" w:eastAsia="宋体" w:cs="宋体"/>
                <w:color w:val="auto"/>
                <w:highlight w:val="none"/>
              </w:rPr>
            </w:pPr>
          </w:p>
        </w:tc>
        <w:tc>
          <w:tcPr>
            <w:tcW w:w="902" w:type="dxa"/>
          </w:tcPr>
          <w:p w14:paraId="1C427A61">
            <w:pPr>
              <w:kinsoku/>
              <w:rPr>
                <w:rFonts w:ascii="宋体" w:hAnsi="宋体" w:eastAsia="宋体" w:cs="宋体"/>
                <w:color w:val="auto"/>
                <w:highlight w:val="none"/>
              </w:rPr>
            </w:pPr>
          </w:p>
        </w:tc>
        <w:tc>
          <w:tcPr>
            <w:tcW w:w="693" w:type="dxa"/>
          </w:tcPr>
          <w:p w14:paraId="2575ED69">
            <w:pPr>
              <w:kinsoku/>
              <w:rPr>
                <w:rFonts w:ascii="宋体" w:hAnsi="宋体" w:eastAsia="宋体" w:cs="宋体"/>
                <w:color w:val="auto"/>
                <w:highlight w:val="none"/>
              </w:rPr>
            </w:pPr>
          </w:p>
        </w:tc>
        <w:tc>
          <w:tcPr>
            <w:tcW w:w="487" w:type="dxa"/>
          </w:tcPr>
          <w:p w14:paraId="05284295">
            <w:pPr>
              <w:kinsoku/>
              <w:rPr>
                <w:rFonts w:ascii="宋体" w:hAnsi="宋体" w:eastAsia="宋体" w:cs="宋体"/>
                <w:color w:val="auto"/>
                <w:highlight w:val="none"/>
              </w:rPr>
            </w:pPr>
          </w:p>
        </w:tc>
        <w:tc>
          <w:tcPr>
            <w:tcW w:w="1135" w:type="dxa"/>
          </w:tcPr>
          <w:p w14:paraId="6B53F17D">
            <w:pPr>
              <w:kinsoku/>
              <w:rPr>
                <w:rFonts w:ascii="宋体" w:hAnsi="宋体" w:eastAsia="宋体" w:cs="宋体"/>
                <w:color w:val="auto"/>
                <w:highlight w:val="none"/>
              </w:rPr>
            </w:pPr>
          </w:p>
        </w:tc>
        <w:tc>
          <w:tcPr>
            <w:tcW w:w="707" w:type="dxa"/>
          </w:tcPr>
          <w:p w14:paraId="4C78DD8A">
            <w:pPr>
              <w:kinsoku/>
              <w:rPr>
                <w:rFonts w:ascii="宋体" w:hAnsi="宋体" w:eastAsia="宋体" w:cs="宋体"/>
                <w:color w:val="auto"/>
                <w:highlight w:val="none"/>
              </w:rPr>
            </w:pPr>
          </w:p>
        </w:tc>
        <w:tc>
          <w:tcPr>
            <w:tcW w:w="871" w:type="dxa"/>
          </w:tcPr>
          <w:p w14:paraId="057BA1D9">
            <w:pPr>
              <w:kinsoku/>
              <w:rPr>
                <w:rFonts w:ascii="宋体" w:hAnsi="宋体" w:eastAsia="宋体" w:cs="宋体"/>
                <w:color w:val="auto"/>
                <w:highlight w:val="none"/>
              </w:rPr>
            </w:pPr>
          </w:p>
        </w:tc>
        <w:tc>
          <w:tcPr>
            <w:tcW w:w="1140" w:type="dxa"/>
          </w:tcPr>
          <w:p w14:paraId="1BE2B5D8">
            <w:pPr>
              <w:kinsoku/>
              <w:rPr>
                <w:rFonts w:ascii="宋体" w:hAnsi="宋体" w:eastAsia="宋体" w:cs="宋体"/>
                <w:color w:val="auto"/>
                <w:highlight w:val="none"/>
              </w:rPr>
            </w:pPr>
          </w:p>
        </w:tc>
      </w:tr>
      <w:tr w14:paraId="4954CA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6AA7D5C8">
            <w:pPr>
              <w:kinsoku/>
              <w:rPr>
                <w:rFonts w:ascii="宋体" w:hAnsi="宋体" w:eastAsia="宋体" w:cs="宋体"/>
                <w:color w:val="auto"/>
                <w:highlight w:val="none"/>
              </w:rPr>
            </w:pPr>
          </w:p>
        </w:tc>
        <w:tc>
          <w:tcPr>
            <w:tcW w:w="1274" w:type="dxa"/>
          </w:tcPr>
          <w:p w14:paraId="48EB7C42">
            <w:pPr>
              <w:kinsoku/>
              <w:rPr>
                <w:rFonts w:ascii="宋体" w:hAnsi="宋体" w:eastAsia="宋体" w:cs="宋体"/>
                <w:color w:val="auto"/>
                <w:highlight w:val="none"/>
              </w:rPr>
            </w:pPr>
          </w:p>
        </w:tc>
        <w:tc>
          <w:tcPr>
            <w:tcW w:w="902" w:type="dxa"/>
          </w:tcPr>
          <w:p w14:paraId="2D1589BD">
            <w:pPr>
              <w:kinsoku/>
              <w:rPr>
                <w:rFonts w:ascii="宋体" w:hAnsi="宋体" w:eastAsia="宋体" w:cs="宋体"/>
                <w:color w:val="auto"/>
                <w:highlight w:val="none"/>
              </w:rPr>
            </w:pPr>
          </w:p>
        </w:tc>
        <w:tc>
          <w:tcPr>
            <w:tcW w:w="693" w:type="dxa"/>
          </w:tcPr>
          <w:p w14:paraId="62F2C96D">
            <w:pPr>
              <w:kinsoku/>
              <w:rPr>
                <w:rFonts w:ascii="宋体" w:hAnsi="宋体" w:eastAsia="宋体" w:cs="宋体"/>
                <w:color w:val="auto"/>
                <w:highlight w:val="none"/>
              </w:rPr>
            </w:pPr>
          </w:p>
        </w:tc>
        <w:tc>
          <w:tcPr>
            <w:tcW w:w="487" w:type="dxa"/>
          </w:tcPr>
          <w:p w14:paraId="4D506729">
            <w:pPr>
              <w:kinsoku/>
              <w:rPr>
                <w:rFonts w:ascii="宋体" w:hAnsi="宋体" w:eastAsia="宋体" w:cs="宋体"/>
                <w:color w:val="auto"/>
                <w:highlight w:val="none"/>
              </w:rPr>
            </w:pPr>
          </w:p>
        </w:tc>
        <w:tc>
          <w:tcPr>
            <w:tcW w:w="1135" w:type="dxa"/>
          </w:tcPr>
          <w:p w14:paraId="1ACEF269">
            <w:pPr>
              <w:kinsoku/>
              <w:rPr>
                <w:rFonts w:ascii="宋体" w:hAnsi="宋体" w:eastAsia="宋体" w:cs="宋体"/>
                <w:color w:val="auto"/>
                <w:highlight w:val="none"/>
              </w:rPr>
            </w:pPr>
          </w:p>
        </w:tc>
        <w:tc>
          <w:tcPr>
            <w:tcW w:w="707" w:type="dxa"/>
          </w:tcPr>
          <w:p w14:paraId="2EF960E9">
            <w:pPr>
              <w:kinsoku/>
              <w:rPr>
                <w:rFonts w:ascii="宋体" w:hAnsi="宋体" w:eastAsia="宋体" w:cs="宋体"/>
                <w:color w:val="auto"/>
                <w:highlight w:val="none"/>
              </w:rPr>
            </w:pPr>
          </w:p>
        </w:tc>
        <w:tc>
          <w:tcPr>
            <w:tcW w:w="871" w:type="dxa"/>
          </w:tcPr>
          <w:p w14:paraId="3437854D">
            <w:pPr>
              <w:kinsoku/>
              <w:rPr>
                <w:rFonts w:ascii="宋体" w:hAnsi="宋体" w:eastAsia="宋体" w:cs="宋体"/>
                <w:color w:val="auto"/>
                <w:highlight w:val="none"/>
              </w:rPr>
            </w:pPr>
          </w:p>
        </w:tc>
        <w:tc>
          <w:tcPr>
            <w:tcW w:w="1140" w:type="dxa"/>
          </w:tcPr>
          <w:p w14:paraId="5D98FA13">
            <w:pPr>
              <w:kinsoku/>
              <w:rPr>
                <w:rFonts w:ascii="宋体" w:hAnsi="宋体" w:eastAsia="宋体" w:cs="宋体"/>
                <w:color w:val="auto"/>
                <w:highlight w:val="none"/>
              </w:rPr>
            </w:pPr>
          </w:p>
        </w:tc>
      </w:tr>
      <w:tr w14:paraId="02B03D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820" w:type="dxa"/>
          </w:tcPr>
          <w:p w14:paraId="7766152B">
            <w:pPr>
              <w:kinsoku/>
              <w:rPr>
                <w:rFonts w:ascii="宋体" w:hAnsi="宋体" w:eastAsia="宋体" w:cs="宋体"/>
                <w:color w:val="auto"/>
                <w:highlight w:val="none"/>
              </w:rPr>
            </w:pPr>
          </w:p>
        </w:tc>
        <w:tc>
          <w:tcPr>
            <w:tcW w:w="1274" w:type="dxa"/>
          </w:tcPr>
          <w:p w14:paraId="5A3D9EFB">
            <w:pPr>
              <w:kinsoku/>
              <w:rPr>
                <w:rFonts w:ascii="宋体" w:hAnsi="宋体" w:eastAsia="宋体" w:cs="宋体"/>
                <w:color w:val="auto"/>
                <w:highlight w:val="none"/>
              </w:rPr>
            </w:pPr>
          </w:p>
        </w:tc>
        <w:tc>
          <w:tcPr>
            <w:tcW w:w="902" w:type="dxa"/>
          </w:tcPr>
          <w:p w14:paraId="1F3440A9">
            <w:pPr>
              <w:kinsoku/>
              <w:rPr>
                <w:rFonts w:ascii="宋体" w:hAnsi="宋体" w:eastAsia="宋体" w:cs="宋体"/>
                <w:color w:val="auto"/>
                <w:highlight w:val="none"/>
              </w:rPr>
            </w:pPr>
          </w:p>
        </w:tc>
        <w:tc>
          <w:tcPr>
            <w:tcW w:w="693" w:type="dxa"/>
          </w:tcPr>
          <w:p w14:paraId="105B5EA4">
            <w:pPr>
              <w:kinsoku/>
              <w:rPr>
                <w:rFonts w:ascii="宋体" w:hAnsi="宋体" w:eastAsia="宋体" w:cs="宋体"/>
                <w:color w:val="auto"/>
                <w:highlight w:val="none"/>
              </w:rPr>
            </w:pPr>
          </w:p>
        </w:tc>
        <w:tc>
          <w:tcPr>
            <w:tcW w:w="487" w:type="dxa"/>
          </w:tcPr>
          <w:p w14:paraId="685BB0CD">
            <w:pPr>
              <w:kinsoku/>
              <w:rPr>
                <w:rFonts w:ascii="宋体" w:hAnsi="宋体" w:eastAsia="宋体" w:cs="宋体"/>
                <w:color w:val="auto"/>
                <w:highlight w:val="none"/>
              </w:rPr>
            </w:pPr>
          </w:p>
        </w:tc>
        <w:tc>
          <w:tcPr>
            <w:tcW w:w="1135" w:type="dxa"/>
          </w:tcPr>
          <w:p w14:paraId="7D57AA8F">
            <w:pPr>
              <w:kinsoku/>
              <w:rPr>
                <w:rFonts w:ascii="宋体" w:hAnsi="宋体" w:eastAsia="宋体" w:cs="宋体"/>
                <w:color w:val="auto"/>
                <w:highlight w:val="none"/>
              </w:rPr>
            </w:pPr>
          </w:p>
        </w:tc>
        <w:tc>
          <w:tcPr>
            <w:tcW w:w="707" w:type="dxa"/>
          </w:tcPr>
          <w:p w14:paraId="3BDDF3B7">
            <w:pPr>
              <w:kinsoku/>
              <w:rPr>
                <w:rFonts w:ascii="宋体" w:hAnsi="宋体" w:eastAsia="宋体" w:cs="宋体"/>
                <w:color w:val="auto"/>
                <w:highlight w:val="none"/>
              </w:rPr>
            </w:pPr>
          </w:p>
        </w:tc>
        <w:tc>
          <w:tcPr>
            <w:tcW w:w="871" w:type="dxa"/>
          </w:tcPr>
          <w:p w14:paraId="4F679190">
            <w:pPr>
              <w:kinsoku/>
              <w:rPr>
                <w:rFonts w:ascii="宋体" w:hAnsi="宋体" w:eastAsia="宋体" w:cs="宋体"/>
                <w:color w:val="auto"/>
                <w:highlight w:val="none"/>
              </w:rPr>
            </w:pPr>
          </w:p>
        </w:tc>
        <w:tc>
          <w:tcPr>
            <w:tcW w:w="1140" w:type="dxa"/>
          </w:tcPr>
          <w:p w14:paraId="11C284AD">
            <w:pPr>
              <w:kinsoku/>
              <w:rPr>
                <w:rFonts w:ascii="宋体" w:hAnsi="宋体" w:eastAsia="宋体" w:cs="宋体"/>
                <w:color w:val="auto"/>
                <w:highlight w:val="none"/>
              </w:rPr>
            </w:pPr>
          </w:p>
        </w:tc>
      </w:tr>
      <w:tr w14:paraId="539B1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3DC27D47">
            <w:pPr>
              <w:kinsoku/>
              <w:rPr>
                <w:rFonts w:ascii="宋体" w:hAnsi="宋体" w:eastAsia="宋体" w:cs="宋体"/>
                <w:color w:val="auto"/>
                <w:highlight w:val="none"/>
              </w:rPr>
            </w:pPr>
          </w:p>
        </w:tc>
        <w:tc>
          <w:tcPr>
            <w:tcW w:w="1274" w:type="dxa"/>
          </w:tcPr>
          <w:p w14:paraId="1E4D8927">
            <w:pPr>
              <w:kinsoku/>
              <w:rPr>
                <w:rFonts w:ascii="宋体" w:hAnsi="宋体" w:eastAsia="宋体" w:cs="宋体"/>
                <w:color w:val="auto"/>
                <w:highlight w:val="none"/>
              </w:rPr>
            </w:pPr>
          </w:p>
        </w:tc>
        <w:tc>
          <w:tcPr>
            <w:tcW w:w="902" w:type="dxa"/>
          </w:tcPr>
          <w:p w14:paraId="014FCF05">
            <w:pPr>
              <w:kinsoku/>
              <w:rPr>
                <w:rFonts w:ascii="宋体" w:hAnsi="宋体" w:eastAsia="宋体" w:cs="宋体"/>
                <w:color w:val="auto"/>
                <w:highlight w:val="none"/>
              </w:rPr>
            </w:pPr>
          </w:p>
        </w:tc>
        <w:tc>
          <w:tcPr>
            <w:tcW w:w="693" w:type="dxa"/>
          </w:tcPr>
          <w:p w14:paraId="3B9EC5BF">
            <w:pPr>
              <w:kinsoku/>
              <w:rPr>
                <w:rFonts w:ascii="宋体" w:hAnsi="宋体" w:eastAsia="宋体" w:cs="宋体"/>
                <w:color w:val="auto"/>
                <w:highlight w:val="none"/>
              </w:rPr>
            </w:pPr>
          </w:p>
        </w:tc>
        <w:tc>
          <w:tcPr>
            <w:tcW w:w="487" w:type="dxa"/>
          </w:tcPr>
          <w:p w14:paraId="57334CE5">
            <w:pPr>
              <w:kinsoku/>
              <w:rPr>
                <w:rFonts w:ascii="宋体" w:hAnsi="宋体" w:eastAsia="宋体" w:cs="宋体"/>
                <w:color w:val="auto"/>
                <w:highlight w:val="none"/>
              </w:rPr>
            </w:pPr>
          </w:p>
        </w:tc>
        <w:tc>
          <w:tcPr>
            <w:tcW w:w="1135" w:type="dxa"/>
          </w:tcPr>
          <w:p w14:paraId="509E070D">
            <w:pPr>
              <w:kinsoku/>
              <w:rPr>
                <w:rFonts w:ascii="宋体" w:hAnsi="宋体" w:eastAsia="宋体" w:cs="宋体"/>
                <w:color w:val="auto"/>
                <w:highlight w:val="none"/>
              </w:rPr>
            </w:pPr>
          </w:p>
        </w:tc>
        <w:tc>
          <w:tcPr>
            <w:tcW w:w="707" w:type="dxa"/>
          </w:tcPr>
          <w:p w14:paraId="228F8FE2">
            <w:pPr>
              <w:kinsoku/>
              <w:rPr>
                <w:rFonts w:ascii="宋体" w:hAnsi="宋体" w:eastAsia="宋体" w:cs="宋体"/>
                <w:color w:val="auto"/>
                <w:highlight w:val="none"/>
              </w:rPr>
            </w:pPr>
          </w:p>
        </w:tc>
        <w:tc>
          <w:tcPr>
            <w:tcW w:w="871" w:type="dxa"/>
          </w:tcPr>
          <w:p w14:paraId="199007E7">
            <w:pPr>
              <w:kinsoku/>
              <w:rPr>
                <w:rFonts w:ascii="宋体" w:hAnsi="宋体" w:eastAsia="宋体" w:cs="宋体"/>
                <w:color w:val="auto"/>
                <w:highlight w:val="none"/>
              </w:rPr>
            </w:pPr>
          </w:p>
        </w:tc>
        <w:tc>
          <w:tcPr>
            <w:tcW w:w="1140" w:type="dxa"/>
          </w:tcPr>
          <w:p w14:paraId="7D3EF3BE">
            <w:pPr>
              <w:kinsoku/>
              <w:rPr>
                <w:rFonts w:ascii="宋体" w:hAnsi="宋体" w:eastAsia="宋体" w:cs="宋体"/>
                <w:color w:val="auto"/>
                <w:highlight w:val="none"/>
              </w:rPr>
            </w:pPr>
          </w:p>
        </w:tc>
      </w:tr>
      <w:tr w14:paraId="4C9303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348F2251">
            <w:pPr>
              <w:kinsoku/>
              <w:rPr>
                <w:rFonts w:ascii="宋体" w:hAnsi="宋体" w:eastAsia="宋体" w:cs="宋体"/>
                <w:color w:val="auto"/>
                <w:highlight w:val="none"/>
              </w:rPr>
            </w:pPr>
          </w:p>
        </w:tc>
        <w:tc>
          <w:tcPr>
            <w:tcW w:w="1274" w:type="dxa"/>
          </w:tcPr>
          <w:p w14:paraId="6B1B1FC0">
            <w:pPr>
              <w:kinsoku/>
              <w:rPr>
                <w:rFonts w:ascii="宋体" w:hAnsi="宋体" w:eastAsia="宋体" w:cs="宋体"/>
                <w:color w:val="auto"/>
                <w:highlight w:val="none"/>
              </w:rPr>
            </w:pPr>
          </w:p>
        </w:tc>
        <w:tc>
          <w:tcPr>
            <w:tcW w:w="902" w:type="dxa"/>
          </w:tcPr>
          <w:p w14:paraId="2E12574B">
            <w:pPr>
              <w:kinsoku/>
              <w:rPr>
                <w:rFonts w:ascii="宋体" w:hAnsi="宋体" w:eastAsia="宋体" w:cs="宋体"/>
                <w:color w:val="auto"/>
                <w:highlight w:val="none"/>
              </w:rPr>
            </w:pPr>
          </w:p>
        </w:tc>
        <w:tc>
          <w:tcPr>
            <w:tcW w:w="693" w:type="dxa"/>
          </w:tcPr>
          <w:p w14:paraId="3EFF594A">
            <w:pPr>
              <w:kinsoku/>
              <w:rPr>
                <w:rFonts w:ascii="宋体" w:hAnsi="宋体" w:eastAsia="宋体" w:cs="宋体"/>
                <w:color w:val="auto"/>
                <w:highlight w:val="none"/>
              </w:rPr>
            </w:pPr>
          </w:p>
        </w:tc>
        <w:tc>
          <w:tcPr>
            <w:tcW w:w="487" w:type="dxa"/>
          </w:tcPr>
          <w:p w14:paraId="5FEAD22E">
            <w:pPr>
              <w:kinsoku/>
              <w:rPr>
                <w:rFonts w:ascii="宋体" w:hAnsi="宋体" w:eastAsia="宋体" w:cs="宋体"/>
                <w:color w:val="auto"/>
                <w:highlight w:val="none"/>
              </w:rPr>
            </w:pPr>
          </w:p>
        </w:tc>
        <w:tc>
          <w:tcPr>
            <w:tcW w:w="1135" w:type="dxa"/>
          </w:tcPr>
          <w:p w14:paraId="3B249788">
            <w:pPr>
              <w:kinsoku/>
              <w:rPr>
                <w:rFonts w:ascii="宋体" w:hAnsi="宋体" w:eastAsia="宋体" w:cs="宋体"/>
                <w:color w:val="auto"/>
                <w:highlight w:val="none"/>
              </w:rPr>
            </w:pPr>
          </w:p>
        </w:tc>
        <w:tc>
          <w:tcPr>
            <w:tcW w:w="707" w:type="dxa"/>
          </w:tcPr>
          <w:p w14:paraId="6C5A436C">
            <w:pPr>
              <w:kinsoku/>
              <w:rPr>
                <w:rFonts w:ascii="宋体" w:hAnsi="宋体" w:eastAsia="宋体" w:cs="宋体"/>
                <w:color w:val="auto"/>
                <w:highlight w:val="none"/>
              </w:rPr>
            </w:pPr>
          </w:p>
        </w:tc>
        <w:tc>
          <w:tcPr>
            <w:tcW w:w="871" w:type="dxa"/>
          </w:tcPr>
          <w:p w14:paraId="2CE9C81D">
            <w:pPr>
              <w:kinsoku/>
              <w:rPr>
                <w:rFonts w:ascii="宋体" w:hAnsi="宋体" w:eastAsia="宋体" w:cs="宋体"/>
                <w:color w:val="auto"/>
                <w:highlight w:val="none"/>
              </w:rPr>
            </w:pPr>
          </w:p>
        </w:tc>
        <w:tc>
          <w:tcPr>
            <w:tcW w:w="1140" w:type="dxa"/>
          </w:tcPr>
          <w:p w14:paraId="40CBD14A">
            <w:pPr>
              <w:kinsoku/>
              <w:rPr>
                <w:rFonts w:ascii="宋体" w:hAnsi="宋体" w:eastAsia="宋体" w:cs="宋体"/>
                <w:color w:val="auto"/>
                <w:highlight w:val="none"/>
              </w:rPr>
            </w:pPr>
          </w:p>
        </w:tc>
      </w:tr>
      <w:tr w14:paraId="765E01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489F97AE">
            <w:pPr>
              <w:kinsoku/>
              <w:rPr>
                <w:rFonts w:ascii="宋体" w:hAnsi="宋体" w:eastAsia="宋体" w:cs="宋体"/>
                <w:color w:val="auto"/>
                <w:highlight w:val="none"/>
              </w:rPr>
            </w:pPr>
          </w:p>
        </w:tc>
        <w:tc>
          <w:tcPr>
            <w:tcW w:w="1274" w:type="dxa"/>
          </w:tcPr>
          <w:p w14:paraId="3C3B1CF2">
            <w:pPr>
              <w:kinsoku/>
              <w:rPr>
                <w:rFonts w:ascii="宋体" w:hAnsi="宋体" w:eastAsia="宋体" w:cs="宋体"/>
                <w:color w:val="auto"/>
                <w:highlight w:val="none"/>
              </w:rPr>
            </w:pPr>
          </w:p>
        </w:tc>
        <w:tc>
          <w:tcPr>
            <w:tcW w:w="902" w:type="dxa"/>
          </w:tcPr>
          <w:p w14:paraId="07F47503">
            <w:pPr>
              <w:kinsoku/>
              <w:rPr>
                <w:rFonts w:ascii="宋体" w:hAnsi="宋体" w:eastAsia="宋体" w:cs="宋体"/>
                <w:color w:val="auto"/>
                <w:highlight w:val="none"/>
              </w:rPr>
            </w:pPr>
          </w:p>
        </w:tc>
        <w:tc>
          <w:tcPr>
            <w:tcW w:w="693" w:type="dxa"/>
          </w:tcPr>
          <w:p w14:paraId="3CA25630">
            <w:pPr>
              <w:kinsoku/>
              <w:rPr>
                <w:rFonts w:ascii="宋体" w:hAnsi="宋体" w:eastAsia="宋体" w:cs="宋体"/>
                <w:color w:val="auto"/>
                <w:highlight w:val="none"/>
              </w:rPr>
            </w:pPr>
          </w:p>
        </w:tc>
        <w:tc>
          <w:tcPr>
            <w:tcW w:w="487" w:type="dxa"/>
          </w:tcPr>
          <w:p w14:paraId="47B4A51F">
            <w:pPr>
              <w:kinsoku/>
              <w:rPr>
                <w:rFonts w:ascii="宋体" w:hAnsi="宋体" w:eastAsia="宋体" w:cs="宋体"/>
                <w:color w:val="auto"/>
                <w:highlight w:val="none"/>
              </w:rPr>
            </w:pPr>
          </w:p>
        </w:tc>
        <w:tc>
          <w:tcPr>
            <w:tcW w:w="1135" w:type="dxa"/>
          </w:tcPr>
          <w:p w14:paraId="675E7D78">
            <w:pPr>
              <w:kinsoku/>
              <w:rPr>
                <w:rFonts w:ascii="宋体" w:hAnsi="宋体" w:eastAsia="宋体" w:cs="宋体"/>
                <w:color w:val="auto"/>
                <w:highlight w:val="none"/>
              </w:rPr>
            </w:pPr>
          </w:p>
        </w:tc>
        <w:tc>
          <w:tcPr>
            <w:tcW w:w="707" w:type="dxa"/>
          </w:tcPr>
          <w:p w14:paraId="4F938A03">
            <w:pPr>
              <w:kinsoku/>
              <w:rPr>
                <w:rFonts w:ascii="宋体" w:hAnsi="宋体" w:eastAsia="宋体" w:cs="宋体"/>
                <w:color w:val="auto"/>
                <w:highlight w:val="none"/>
              </w:rPr>
            </w:pPr>
          </w:p>
        </w:tc>
        <w:tc>
          <w:tcPr>
            <w:tcW w:w="871" w:type="dxa"/>
          </w:tcPr>
          <w:p w14:paraId="286C7E71">
            <w:pPr>
              <w:kinsoku/>
              <w:rPr>
                <w:rFonts w:ascii="宋体" w:hAnsi="宋体" w:eastAsia="宋体" w:cs="宋体"/>
                <w:color w:val="auto"/>
                <w:highlight w:val="none"/>
              </w:rPr>
            </w:pPr>
          </w:p>
        </w:tc>
        <w:tc>
          <w:tcPr>
            <w:tcW w:w="1140" w:type="dxa"/>
          </w:tcPr>
          <w:p w14:paraId="362166E2">
            <w:pPr>
              <w:kinsoku/>
              <w:rPr>
                <w:rFonts w:ascii="宋体" w:hAnsi="宋体" w:eastAsia="宋体" w:cs="宋体"/>
                <w:color w:val="auto"/>
                <w:highlight w:val="none"/>
              </w:rPr>
            </w:pPr>
          </w:p>
        </w:tc>
      </w:tr>
      <w:tr w14:paraId="7FD2F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63A91189">
            <w:pPr>
              <w:kinsoku/>
              <w:rPr>
                <w:rFonts w:ascii="宋体" w:hAnsi="宋体" w:eastAsia="宋体" w:cs="宋体"/>
                <w:color w:val="auto"/>
                <w:highlight w:val="none"/>
              </w:rPr>
            </w:pPr>
          </w:p>
        </w:tc>
        <w:tc>
          <w:tcPr>
            <w:tcW w:w="1274" w:type="dxa"/>
          </w:tcPr>
          <w:p w14:paraId="0037C2A8">
            <w:pPr>
              <w:kinsoku/>
              <w:rPr>
                <w:rFonts w:ascii="宋体" w:hAnsi="宋体" w:eastAsia="宋体" w:cs="宋体"/>
                <w:color w:val="auto"/>
                <w:highlight w:val="none"/>
              </w:rPr>
            </w:pPr>
          </w:p>
        </w:tc>
        <w:tc>
          <w:tcPr>
            <w:tcW w:w="902" w:type="dxa"/>
          </w:tcPr>
          <w:p w14:paraId="15A90073">
            <w:pPr>
              <w:kinsoku/>
              <w:rPr>
                <w:rFonts w:ascii="宋体" w:hAnsi="宋体" w:eastAsia="宋体" w:cs="宋体"/>
                <w:color w:val="auto"/>
                <w:highlight w:val="none"/>
              </w:rPr>
            </w:pPr>
          </w:p>
        </w:tc>
        <w:tc>
          <w:tcPr>
            <w:tcW w:w="693" w:type="dxa"/>
          </w:tcPr>
          <w:p w14:paraId="4A2782C9">
            <w:pPr>
              <w:kinsoku/>
              <w:rPr>
                <w:rFonts w:ascii="宋体" w:hAnsi="宋体" w:eastAsia="宋体" w:cs="宋体"/>
                <w:color w:val="auto"/>
                <w:highlight w:val="none"/>
              </w:rPr>
            </w:pPr>
          </w:p>
        </w:tc>
        <w:tc>
          <w:tcPr>
            <w:tcW w:w="487" w:type="dxa"/>
          </w:tcPr>
          <w:p w14:paraId="7464C31A">
            <w:pPr>
              <w:kinsoku/>
              <w:rPr>
                <w:rFonts w:ascii="宋体" w:hAnsi="宋体" w:eastAsia="宋体" w:cs="宋体"/>
                <w:color w:val="auto"/>
                <w:highlight w:val="none"/>
              </w:rPr>
            </w:pPr>
          </w:p>
        </w:tc>
        <w:tc>
          <w:tcPr>
            <w:tcW w:w="1135" w:type="dxa"/>
          </w:tcPr>
          <w:p w14:paraId="77038A16">
            <w:pPr>
              <w:kinsoku/>
              <w:rPr>
                <w:rFonts w:ascii="宋体" w:hAnsi="宋体" w:eastAsia="宋体" w:cs="宋体"/>
                <w:color w:val="auto"/>
                <w:highlight w:val="none"/>
              </w:rPr>
            </w:pPr>
          </w:p>
        </w:tc>
        <w:tc>
          <w:tcPr>
            <w:tcW w:w="707" w:type="dxa"/>
          </w:tcPr>
          <w:p w14:paraId="22F8A150">
            <w:pPr>
              <w:kinsoku/>
              <w:rPr>
                <w:rFonts w:ascii="宋体" w:hAnsi="宋体" w:eastAsia="宋体" w:cs="宋体"/>
                <w:color w:val="auto"/>
                <w:highlight w:val="none"/>
              </w:rPr>
            </w:pPr>
          </w:p>
        </w:tc>
        <w:tc>
          <w:tcPr>
            <w:tcW w:w="871" w:type="dxa"/>
          </w:tcPr>
          <w:p w14:paraId="0B018DAA">
            <w:pPr>
              <w:kinsoku/>
              <w:rPr>
                <w:rFonts w:ascii="宋体" w:hAnsi="宋体" w:eastAsia="宋体" w:cs="宋体"/>
                <w:color w:val="auto"/>
                <w:highlight w:val="none"/>
              </w:rPr>
            </w:pPr>
          </w:p>
        </w:tc>
        <w:tc>
          <w:tcPr>
            <w:tcW w:w="1140" w:type="dxa"/>
          </w:tcPr>
          <w:p w14:paraId="64FF23A8">
            <w:pPr>
              <w:kinsoku/>
              <w:rPr>
                <w:rFonts w:ascii="宋体" w:hAnsi="宋体" w:eastAsia="宋体" w:cs="宋体"/>
                <w:color w:val="auto"/>
                <w:highlight w:val="none"/>
              </w:rPr>
            </w:pPr>
          </w:p>
        </w:tc>
      </w:tr>
      <w:tr w14:paraId="2BCB1A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3A5FE647">
            <w:pPr>
              <w:kinsoku/>
              <w:rPr>
                <w:rFonts w:ascii="宋体" w:hAnsi="宋体" w:eastAsia="宋体" w:cs="宋体"/>
                <w:color w:val="auto"/>
                <w:highlight w:val="none"/>
              </w:rPr>
            </w:pPr>
          </w:p>
        </w:tc>
        <w:tc>
          <w:tcPr>
            <w:tcW w:w="1274" w:type="dxa"/>
          </w:tcPr>
          <w:p w14:paraId="727AA048">
            <w:pPr>
              <w:kinsoku/>
              <w:rPr>
                <w:rFonts w:ascii="宋体" w:hAnsi="宋体" w:eastAsia="宋体" w:cs="宋体"/>
                <w:color w:val="auto"/>
                <w:highlight w:val="none"/>
              </w:rPr>
            </w:pPr>
          </w:p>
        </w:tc>
        <w:tc>
          <w:tcPr>
            <w:tcW w:w="902" w:type="dxa"/>
          </w:tcPr>
          <w:p w14:paraId="76F7DE3A">
            <w:pPr>
              <w:kinsoku/>
              <w:rPr>
                <w:rFonts w:ascii="宋体" w:hAnsi="宋体" w:eastAsia="宋体" w:cs="宋体"/>
                <w:color w:val="auto"/>
                <w:highlight w:val="none"/>
              </w:rPr>
            </w:pPr>
          </w:p>
        </w:tc>
        <w:tc>
          <w:tcPr>
            <w:tcW w:w="693" w:type="dxa"/>
          </w:tcPr>
          <w:p w14:paraId="109A7F35">
            <w:pPr>
              <w:kinsoku/>
              <w:rPr>
                <w:rFonts w:ascii="宋体" w:hAnsi="宋体" w:eastAsia="宋体" w:cs="宋体"/>
                <w:color w:val="auto"/>
                <w:highlight w:val="none"/>
              </w:rPr>
            </w:pPr>
          </w:p>
        </w:tc>
        <w:tc>
          <w:tcPr>
            <w:tcW w:w="487" w:type="dxa"/>
          </w:tcPr>
          <w:p w14:paraId="4362EEA8">
            <w:pPr>
              <w:kinsoku/>
              <w:rPr>
                <w:rFonts w:ascii="宋体" w:hAnsi="宋体" w:eastAsia="宋体" w:cs="宋体"/>
                <w:color w:val="auto"/>
                <w:highlight w:val="none"/>
              </w:rPr>
            </w:pPr>
          </w:p>
        </w:tc>
        <w:tc>
          <w:tcPr>
            <w:tcW w:w="1135" w:type="dxa"/>
          </w:tcPr>
          <w:p w14:paraId="6677F5F5">
            <w:pPr>
              <w:kinsoku/>
              <w:rPr>
                <w:rFonts w:ascii="宋体" w:hAnsi="宋体" w:eastAsia="宋体" w:cs="宋体"/>
                <w:color w:val="auto"/>
                <w:highlight w:val="none"/>
              </w:rPr>
            </w:pPr>
          </w:p>
        </w:tc>
        <w:tc>
          <w:tcPr>
            <w:tcW w:w="707" w:type="dxa"/>
          </w:tcPr>
          <w:p w14:paraId="6041788F">
            <w:pPr>
              <w:kinsoku/>
              <w:rPr>
                <w:rFonts w:ascii="宋体" w:hAnsi="宋体" w:eastAsia="宋体" w:cs="宋体"/>
                <w:color w:val="auto"/>
                <w:highlight w:val="none"/>
              </w:rPr>
            </w:pPr>
          </w:p>
        </w:tc>
        <w:tc>
          <w:tcPr>
            <w:tcW w:w="871" w:type="dxa"/>
          </w:tcPr>
          <w:p w14:paraId="513E84A6">
            <w:pPr>
              <w:kinsoku/>
              <w:rPr>
                <w:rFonts w:ascii="宋体" w:hAnsi="宋体" w:eastAsia="宋体" w:cs="宋体"/>
                <w:color w:val="auto"/>
                <w:highlight w:val="none"/>
              </w:rPr>
            </w:pPr>
          </w:p>
        </w:tc>
        <w:tc>
          <w:tcPr>
            <w:tcW w:w="1140" w:type="dxa"/>
          </w:tcPr>
          <w:p w14:paraId="3B48D144">
            <w:pPr>
              <w:kinsoku/>
              <w:rPr>
                <w:rFonts w:ascii="宋体" w:hAnsi="宋体" w:eastAsia="宋体" w:cs="宋体"/>
                <w:color w:val="auto"/>
                <w:highlight w:val="none"/>
              </w:rPr>
            </w:pPr>
          </w:p>
        </w:tc>
      </w:tr>
      <w:tr w14:paraId="79BB6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54BC4EB7">
            <w:pPr>
              <w:kinsoku/>
              <w:rPr>
                <w:rFonts w:ascii="宋体" w:hAnsi="宋体" w:eastAsia="宋体" w:cs="宋体"/>
                <w:color w:val="auto"/>
                <w:highlight w:val="none"/>
              </w:rPr>
            </w:pPr>
          </w:p>
        </w:tc>
        <w:tc>
          <w:tcPr>
            <w:tcW w:w="1274" w:type="dxa"/>
          </w:tcPr>
          <w:p w14:paraId="13CEC9FD">
            <w:pPr>
              <w:kinsoku/>
              <w:rPr>
                <w:rFonts w:ascii="宋体" w:hAnsi="宋体" w:eastAsia="宋体" w:cs="宋体"/>
                <w:color w:val="auto"/>
                <w:highlight w:val="none"/>
              </w:rPr>
            </w:pPr>
          </w:p>
        </w:tc>
        <w:tc>
          <w:tcPr>
            <w:tcW w:w="902" w:type="dxa"/>
          </w:tcPr>
          <w:p w14:paraId="0815C92A">
            <w:pPr>
              <w:kinsoku/>
              <w:rPr>
                <w:rFonts w:ascii="宋体" w:hAnsi="宋体" w:eastAsia="宋体" w:cs="宋体"/>
                <w:color w:val="auto"/>
                <w:highlight w:val="none"/>
              </w:rPr>
            </w:pPr>
          </w:p>
        </w:tc>
        <w:tc>
          <w:tcPr>
            <w:tcW w:w="693" w:type="dxa"/>
          </w:tcPr>
          <w:p w14:paraId="30917AFD">
            <w:pPr>
              <w:kinsoku/>
              <w:rPr>
                <w:rFonts w:ascii="宋体" w:hAnsi="宋体" w:eastAsia="宋体" w:cs="宋体"/>
                <w:color w:val="auto"/>
                <w:highlight w:val="none"/>
              </w:rPr>
            </w:pPr>
          </w:p>
        </w:tc>
        <w:tc>
          <w:tcPr>
            <w:tcW w:w="487" w:type="dxa"/>
          </w:tcPr>
          <w:p w14:paraId="50BDF2D7">
            <w:pPr>
              <w:kinsoku/>
              <w:rPr>
                <w:rFonts w:ascii="宋体" w:hAnsi="宋体" w:eastAsia="宋体" w:cs="宋体"/>
                <w:color w:val="auto"/>
                <w:highlight w:val="none"/>
              </w:rPr>
            </w:pPr>
          </w:p>
        </w:tc>
        <w:tc>
          <w:tcPr>
            <w:tcW w:w="1135" w:type="dxa"/>
          </w:tcPr>
          <w:p w14:paraId="06C3D4AE">
            <w:pPr>
              <w:kinsoku/>
              <w:rPr>
                <w:rFonts w:ascii="宋体" w:hAnsi="宋体" w:eastAsia="宋体" w:cs="宋体"/>
                <w:color w:val="auto"/>
                <w:highlight w:val="none"/>
              </w:rPr>
            </w:pPr>
          </w:p>
        </w:tc>
        <w:tc>
          <w:tcPr>
            <w:tcW w:w="707" w:type="dxa"/>
          </w:tcPr>
          <w:p w14:paraId="450490E8">
            <w:pPr>
              <w:kinsoku/>
              <w:rPr>
                <w:rFonts w:ascii="宋体" w:hAnsi="宋体" w:eastAsia="宋体" w:cs="宋体"/>
                <w:color w:val="auto"/>
                <w:highlight w:val="none"/>
              </w:rPr>
            </w:pPr>
          </w:p>
        </w:tc>
        <w:tc>
          <w:tcPr>
            <w:tcW w:w="871" w:type="dxa"/>
          </w:tcPr>
          <w:p w14:paraId="0EDCB491">
            <w:pPr>
              <w:kinsoku/>
              <w:rPr>
                <w:rFonts w:ascii="宋体" w:hAnsi="宋体" w:eastAsia="宋体" w:cs="宋体"/>
                <w:color w:val="auto"/>
                <w:highlight w:val="none"/>
              </w:rPr>
            </w:pPr>
          </w:p>
        </w:tc>
        <w:tc>
          <w:tcPr>
            <w:tcW w:w="1140" w:type="dxa"/>
          </w:tcPr>
          <w:p w14:paraId="1B56B788">
            <w:pPr>
              <w:kinsoku/>
              <w:rPr>
                <w:rFonts w:ascii="宋体" w:hAnsi="宋体" w:eastAsia="宋体" w:cs="宋体"/>
                <w:color w:val="auto"/>
                <w:highlight w:val="none"/>
              </w:rPr>
            </w:pPr>
          </w:p>
        </w:tc>
      </w:tr>
      <w:tr w14:paraId="3BD6AF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7D4629A8">
            <w:pPr>
              <w:kinsoku/>
              <w:rPr>
                <w:rFonts w:ascii="宋体" w:hAnsi="宋体" w:eastAsia="宋体" w:cs="宋体"/>
                <w:color w:val="auto"/>
                <w:highlight w:val="none"/>
              </w:rPr>
            </w:pPr>
          </w:p>
        </w:tc>
        <w:tc>
          <w:tcPr>
            <w:tcW w:w="1274" w:type="dxa"/>
          </w:tcPr>
          <w:p w14:paraId="557525F3">
            <w:pPr>
              <w:kinsoku/>
              <w:rPr>
                <w:rFonts w:ascii="宋体" w:hAnsi="宋体" w:eastAsia="宋体" w:cs="宋体"/>
                <w:color w:val="auto"/>
                <w:highlight w:val="none"/>
              </w:rPr>
            </w:pPr>
          </w:p>
        </w:tc>
        <w:tc>
          <w:tcPr>
            <w:tcW w:w="902" w:type="dxa"/>
          </w:tcPr>
          <w:p w14:paraId="531761B2">
            <w:pPr>
              <w:kinsoku/>
              <w:rPr>
                <w:rFonts w:ascii="宋体" w:hAnsi="宋体" w:eastAsia="宋体" w:cs="宋体"/>
                <w:color w:val="auto"/>
                <w:highlight w:val="none"/>
              </w:rPr>
            </w:pPr>
          </w:p>
        </w:tc>
        <w:tc>
          <w:tcPr>
            <w:tcW w:w="693" w:type="dxa"/>
          </w:tcPr>
          <w:p w14:paraId="4FEA1F77">
            <w:pPr>
              <w:kinsoku/>
              <w:rPr>
                <w:rFonts w:ascii="宋体" w:hAnsi="宋体" w:eastAsia="宋体" w:cs="宋体"/>
                <w:color w:val="auto"/>
                <w:highlight w:val="none"/>
              </w:rPr>
            </w:pPr>
          </w:p>
        </w:tc>
        <w:tc>
          <w:tcPr>
            <w:tcW w:w="487" w:type="dxa"/>
          </w:tcPr>
          <w:p w14:paraId="13C0D60D">
            <w:pPr>
              <w:kinsoku/>
              <w:rPr>
                <w:rFonts w:ascii="宋体" w:hAnsi="宋体" w:eastAsia="宋体" w:cs="宋体"/>
                <w:color w:val="auto"/>
                <w:highlight w:val="none"/>
              </w:rPr>
            </w:pPr>
          </w:p>
        </w:tc>
        <w:tc>
          <w:tcPr>
            <w:tcW w:w="1135" w:type="dxa"/>
          </w:tcPr>
          <w:p w14:paraId="15CF8A8B">
            <w:pPr>
              <w:kinsoku/>
              <w:rPr>
                <w:rFonts w:ascii="宋体" w:hAnsi="宋体" w:eastAsia="宋体" w:cs="宋体"/>
                <w:color w:val="auto"/>
                <w:highlight w:val="none"/>
              </w:rPr>
            </w:pPr>
          </w:p>
        </w:tc>
        <w:tc>
          <w:tcPr>
            <w:tcW w:w="707" w:type="dxa"/>
          </w:tcPr>
          <w:p w14:paraId="5BFEFA09">
            <w:pPr>
              <w:kinsoku/>
              <w:rPr>
                <w:rFonts w:ascii="宋体" w:hAnsi="宋体" w:eastAsia="宋体" w:cs="宋体"/>
                <w:color w:val="auto"/>
                <w:highlight w:val="none"/>
              </w:rPr>
            </w:pPr>
          </w:p>
        </w:tc>
        <w:tc>
          <w:tcPr>
            <w:tcW w:w="871" w:type="dxa"/>
          </w:tcPr>
          <w:p w14:paraId="165BF223">
            <w:pPr>
              <w:kinsoku/>
              <w:rPr>
                <w:rFonts w:ascii="宋体" w:hAnsi="宋体" w:eastAsia="宋体" w:cs="宋体"/>
                <w:color w:val="auto"/>
                <w:highlight w:val="none"/>
              </w:rPr>
            </w:pPr>
          </w:p>
        </w:tc>
        <w:tc>
          <w:tcPr>
            <w:tcW w:w="1140" w:type="dxa"/>
          </w:tcPr>
          <w:p w14:paraId="5F14619C">
            <w:pPr>
              <w:kinsoku/>
              <w:rPr>
                <w:rFonts w:ascii="宋体" w:hAnsi="宋体" w:eastAsia="宋体" w:cs="宋体"/>
                <w:color w:val="auto"/>
                <w:highlight w:val="none"/>
              </w:rPr>
            </w:pPr>
          </w:p>
        </w:tc>
      </w:tr>
      <w:tr w14:paraId="36DC34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7FF8B07D">
            <w:pPr>
              <w:kinsoku/>
              <w:rPr>
                <w:rFonts w:ascii="宋体" w:hAnsi="宋体" w:eastAsia="宋体" w:cs="宋体"/>
                <w:color w:val="auto"/>
                <w:highlight w:val="none"/>
              </w:rPr>
            </w:pPr>
          </w:p>
        </w:tc>
        <w:tc>
          <w:tcPr>
            <w:tcW w:w="1274" w:type="dxa"/>
          </w:tcPr>
          <w:p w14:paraId="0C0D9AC1">
            <w:pPr>
              <w:kinsoku/>
              <w:rPr>
                <w:rFonts w:ascii="宋体" w:hAnsi="宋体" w:eastAsia="宋体" w:cs="宋体"/>
                <w:color w:val="auto"/>
                <w:highlight w:val="none"/>
              </w:rPr>
            </w:pPr>
          </w:p>
        </w:tc>
        <w:tc>
          <w:tcPr>
            <w:tcW w:w="902" w:type="dxa"/>
          </w:tcPr>
          <w:p w14:paraId="6E5D3411">
            <w:pPr>
              <w:kinsoku/>
              <w:rPr>
                <w:rFonts w:ascii="宋体" w:hAnsi="宋体" w:eastAsia="宋体" w:cs="宋体"/>
                <w:color w:val="auto"/>
                <w:highlight w:val="none"/>
              </w:rPr>
            </w:pPr>
          </w:p>
        </w:tc>
        <w:tc>
          <w:tcPr>
            <w:tcW w:w="693" w:type="dxa"/>
          </w:tcPr>
          <w:p w14:paraId="2FE38365">
            <w:pPr>
              <w:kinsoku/>
              <w:rPr>
                <w:rFonts w:ascii="宋体" w:hAnsi="宋体" w:eastAsia="宋体" w:cs="宋体"/>
                <w:color w:val="auto"/>
                <w:highlight w:val="none"/>
              </w:rPr>
            </w:pPr>
          </w:p>
        </w:tc>
        <w:tc>
          <w:tcPr>
            <w:tcW w:w="487" w:type="dxa"/>
          </w:tcPr>
          <w:p w14:paraId="44429CE8">
            <w:pPr>
              <w:kinsoku/>
              <w:rPr>
                <w:rFonts w:ascii="宋体" w:hAnsi="宋体" w:eastAsia="宋体" w:cs="宋体"/>
                <w:color w:val="auto"/>
                <w:highlight w:val="none"/>
              </w:rPr>
            </w:pPr>
          </w:p>
        </w:tc>
        <w:tc>
          <w:tcPr>
            <w:tcW w:w="1135" w:type="dxa"/>
          </w:tcPr>
          <w:p w14:paraId="3BDC24FC">
            <w:pPr>
              <w:kinsoku/>
              <w:rPr>
                <w:rFonts w:ascii="宋体" w:hAnsi="宋体" w:eastAsia="宋体" w:cs="宋体"/>
                <w:color w:val="auto"/>
                <w:highlight w:val="none"/>
              </w:rPr>
            </w:pPr>
          </w:p>
        </w:tc>
        <w:tc>
          <w:tcPr>
            <w:tcW w:w="707" w:type="dxa"/>
          </w:tcPr>
          <w:p w14:paraId="058A101B">
            <w:pPr>
              <w:kinsoku/>
              <w:rPr>
                <w:rFonts w:ascii="宋体" w:hAnsi="宋体" w:eastAsia="宋体" w:cs="宋体"/>
                <w:color w:val="auto"/>
                <w:highlight w:val="none"/>
              </w:rPr>
            </w:pPr>
          </w:p>
        </w:tc>
        <w:tc>
          <w:tcPr>
            <w:tcW w:w="871" w:type="dxa"/>
          </w:tcPr>
          <w:p w14:paraId="2312A514">
            <w:pPr>
              <w:kinsoku/>
              <w:rPr>
                <w:rFonts w:ascii="宋体" w:hAnsi="宋体" w:eastAsia="宋体" w:cs="宋体"/>
                <w:color w:val="auto"/>
                <w:highlight w:val="none"/>
              </w:rPr>
            </w:pPr>
          </w:p>
        </w:tc>
        <w:tc>
          <w:tcPr>
            <w:tcW w:w="1140" w:type="dxa"/>
          </w:tcPr>
          <w:p w14:paraId="0A07B767">
            <w:pPr>
              <w:kinsoku/>
              <w:rPr>
                <w:rFonts w:ascii="宋体" w:hAnsi="宋体" w:eastAsia="宋体" w:cs="宋体"/>
                <w:color w:val="auto"/>
                <w:highlight w:val="none"/>
              </w:rPr>
            </w:pPr>
          </w:p>
        </w:tc>
      </w:tr>
      <w:tr w14:paraId="58A647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6AF85CF8">
            <w:pPr>
              <w:kinsoku/>
              <w:rPr>
                <w:rFonts w:ascii="宋体" w:hAnsi="宋体" w:eastAsia="宋体" w:cs="宋体"/>
                <w:color w:val="auto"/>
                <w:highlight w:val="none"/>
              </w:rPr>
            </w:pPr>
          </w:p>
        </w:tc>
        <w:tc>
          <w:tcPr>
            <w:tcW w:w="1274" w:type="dxa"/>
          </w:tcPr>
          <w:p w14:paraId="54F28645">
            <w:pPr>
              <w:kinsoku/>
              <w:rPr>
                <w:rFonts w:ascii="宋体" w:hAnsi="宋体" w:eastAsia="宋体" w:cs="宋体"/>
                <w:color w:val="auto"/>
                <w:highlight w:val="none"/>
              </w:rPr>
            </w:pPr>
          </w:p>
        </w:tc>
        <w:tc>
          <w:tcPr>
            <w:tcW w:w="902" w:type="dxa"/>
          </w:tcPr>
          <w:p w14:paraId="1803BD08">
            <w:pPr>
              <w:kinsoku/>
              <w:rPr>
                <w:rFonts w:ascii="宋体" w:hAnsi="宋体" w:eastAsia="宋体" w:cs="宋体"/>
                <w:color w:val="auto"/>
                <w:highlight w:val="none"/>
              </w:rPr>
            </w:pPr>
          </w:p>
        </w:tc>
        <w:tc>
          <w:tcPr>
            <w:tcW w:w="693" w:type="dxa"/>
          </w:tcPr>
          <w:p w14:paraId="7CEBE7FE">
            <w:pPr>
              <w:kinsoku/>
              <w:rPr>
                <w:rFonts w:ascii="宋体" w:hAnsi="宋体" w:eastAsia="宋体" w:cs="宋体"/>
                <w:color w:val="auto"/>
                <w:highlight w:val="none"/>
              </w:rPr>
            </w:pPr>
          </w:p>
        </w:tc>
        <w:tc>
          <w:tcPr>
            <w:tcW w:w="487" w:type="dxa"/>
          </w:tcPr>
          <w:p w14:paraId="2790B1DA">
            <w:pPr>
              <w:kinsoku/>
              <w:rPr>
                <w:rFonts w:ascii="宋体" w:hAnsi="宋体" w:eastAsia="宋体" w:cs="宋体"/>
                <w:color w:val="auto"/>
                <w:highlight w:val="none"/>
              </w:rPr>
            </w:pPr>
          </w:p>
        </w:tc>
        <w:tc>
          <w:tcPr>
            <w:tcW w:w="1135" w:type="dxa"/>
          </w:tcPr>
          <w:p w14:paraId="25A4B267">
            <w:pPr>
              <w:kinsoku/>
              <w:rPr>
                <w:rFonts w:ascii="宋体" w:hAnsi="宋体" w:eastAsia="宋体" w:cs="宋体"/>
                <w:color w:val="auto"/>
                <w:highlight w:val="none"/>
              </w:rPr>
            </w:pPr>
          </w:p>
        </w:tc>
        <w:tc>
          <w:tcPr>
            <w:tcW w:w="707" w:type="dxa"/>
          </w:tcPr>
          <w:p w14:paraId="6ADD2827">
            <w:pPr>
              <w:kinsoku/>
              <w:rPr>
                <w:rFonts w:ascii="宋体" w:hAnsi="宋体" w:eastAsia="宋体" w:cs="宋体"/>
                <w:color w:val="auto"/>
                <w:highlight w:val="none"/>
              </w:rPr>
            </w:pPr>
          </w:p>
        </w:tc>
        <w:tc>
          <w:tcPr>
            <w:tcW w:w="871" w:type="dxa"/>
          </w:tcPr>
          <w:p w14:paraId="2DC2BF1B">
            <w:pPr>
              <w:kinsoku/>
              <w:rPr>
                <w:rFonts w:ascii="宋体" w:hAnsi="宋体" w:eastAsia="宋体" w:cs="宋体"/>
                <w:color w:val="auto"/>
                <w:highlight w:val="none"/>
              </w:rPr>
            </w:pPr>
          </w:p>
        </w:tc>
        <w:tc>
          <w:tcPr>
            <w:tcW w:w="1140" w:type="dxa"/>
          </w:tcPr>
          <w:p w14:paraId="24DEA698">
            <w:pPr>
              <w:kinsoku/>
              <w:rPr>
                <w:rFonts w:ascii="宋体" w:hAnsi="宋体" w:eastAsia="宋体" w:cs="宋体"/>
                <w:color w:val="auto"/>
                <w:highlight w:val="none"/>
              </w:rPr>
            </w:pPr>
          </w:p>
        </w:tc>
      </w:tr>
      <w:tr w14:paraId="36345D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2D0CBDFF">
            <w:pPr>
              <w:kinsoku/>
              <w:rPr>
                <w:rFonts w:ascii="宋体" w:hAnsi="宋体" w:eastAsia="宋体" w:cs="宋体"/>
                <w:color w:val="auto"/>
                <w:highlight w:val="none"/>
              </w:rPr>
            </w:pPr>
          </w:p>
        </w:tc>
        <w:tc>
          <w:tcPr>
            <w:tcW w:w="1274" w:type="dxa"/>
          </w:tcPr>
          <w:p w14:paraId="65984E1A">
            <w:pPr>
              <w:kinsoku/>
              <w:rPr>
                <w:rFonts w:ascii="宋体" w:hAnsi="宋体" w:eastAsia="宋体" w:cs="宋体"/>
                <w:color w:val="auto"/>
                <w:highlight w:val="none"/>
              </w:rPr>
            </w:pPr>
          </w:p>
        </w:tc>
        <w:tc>
          <w:tcPr>
            <w:tcW w:w="902" w:type="dxa"/>
          </w:tcPr>
          <w:p w14:paraId="049C14E8">
            <w:pPr>
              <w:kinsoku/>
              <w:rPr>
                <w:rFonts w:ascii="宋体" w:hAnsi="宋体" w:eastAsia="宋体" w:cs="宋体"/>
                <w:color w:val="auto"/>
                <w:highlight w:val="none"/>
              </w:rPr>
            </w:pPr>
          </w:p>
        </w:tc>
        <w:tc>
          <w:tcPr>
            <w:tcW w:w="693" w:type="dxa"/>
          </w:tcPr>
          <w:p w14:paraId="61CF785E">
            <w:pPr>
              <w:kinsoku/>
              <w:rPr>
                <w:rFonts w:ascii="宋体" w:hAnsi="宋体" w:eastAsia="宋体" w:cs="宋体"/>
                <w:color w:val="auto"/>
                <w:highlight w:val="none"/>
              </w:rPr>
            </w:pPr>
          </w:p>
        </w:tc>
        <w:tc>
          <w:tcPr>
            <w:tcW w:w="487" w:type="dxa"/>
          </w:tcPr>
          <w:p w14:paraId="69506C62">
            <w:pPr>
              <w:kinsoku/>
              <w:rPr>
                <w:rFonts w:ascii="宋体" w:hAnsi="宋体" w:eastAsia="宋体" w:cs="宋体"/>
                <w:color w:val="auto"/>
                <w:highlight w:val="none"/>
              </w:rPr>
            </w:pPr>
          </w:p>
        </w:tc>
        <w:tc>
          <w:tcPr>
            <w:tcW w:w="1135" w:type="dxa"/>
          </w:tcPr>
          <w:p w14:paraId="6D3D1141">
            <w:pPr>
              <w:kinsoku/>
              <w:rPr>
                <w:rFonts w:ascii="宋体" w:hAnsi="宋体" w:eastAsia="宋体" w:cs="宋体"/>
                <w:color w:val="auto"/>
                <w:highlight w:val="none"/>
              </w:rPr>
            </w:pPr>
          </w:p>
        </w:tc>
        <w:tc>
          <w:tcPr>
            <w:tcW w:w="707" w:type="dxa"/>
          </w:tcPr>
          <w:p w14:paraId="62F72C41">
            <w:pPr>
              <w:kinsoku/>
              <w:rPr>
                <w:rFonts w:ascii="宋体" w:hAnsi="宋体" w:eastAsia="宋体" w:cs="宋体"/>
                <w:color w:val="auto"/>
                <w:highlight w:val="none"/>
              </w:rPr>
            </w:pPr>
          </w:p>
        </w:tc>
        <w:tc>
          <w:tcPr>
            <w:tcW w:w="871" w:type="dxa"/>
          </w:tcPr>
          <w:p w14:paraId="7EB8EF0F">
            <w:pPr>
              <w:kinsoku/>
              <w:rPr>
                <w:rFonts w:ascii="宋体" w:hAnsi="宋体" w:eastAsia="宋体" w:cs="宋体"/>
                <w:color w:val="auto"/>
                <w:highlight w:val="none"/>
              </w:rPr>
            </w:pPr>
          </w:p>
        </w:tc>
        <w:tc>
          <w:tcPr>
            <w:tcW w:w="1140" w:type="dxa"/>
          </w:tcPr>
          <w:p w14:paraId="78B6EBAF">
            <w:pPr>
              <w:kinsoku/>
              <w:rPr>
                <w:rFonts w:ascii="宋体" w:hAnsi="宋体" w:eastAsia="宋体" w:cs="宋体"/>
                <w:color w:val="auto"/>
                <w:highlight w:val="none"/>
              </w:rPr>
            </w:pPr>
          </w:p>
        </w:tc>
      </w:tr>
      <w:tr w14:paraId="0215AB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72B9F6E1">
            <w:pPr>
              <w:kinsoku/>
              <w:rPr>
                <w:rFonts w:ascii="宋体" w:hAnsi="宋体" w:eastAsia="宋体" w:cs="宋体"/>
                <w:color w:val="auto"/>
                <w:highlight w:val="none"/>
              </w:rPr>
            </w:pPr>
          </w:p>
        </w:tc>
        <w:tc>
          <w:tcPr>
            <w:tcW w:w="1274" w:type="dxa"/>
          </w:tcPr>
          <w:p w14:paraId="244AEE9C">
            <w:pPr>
              <w:kinsoku/>
              <w:rPr>
                <w:rFonts w:ascii="宋体" w:hAnsi="宋体" w:eastAsia="宋体" w:cs="宋体"/>
                <w:color w:val="auto"/>
                <w:highlight w:val="none"/>
              </w:rPr>
            </w:pPr>
          </w:p>
        </w:tc>
        <w:tc>
          <w:tcPr>
            <w:tcW w:w="902" w:type="dxa"/>
          </w:tcPr>
          <w:p w14:paraId="3BFD795A">
            <w:pPr>
              <w:kinsoku/>
              <w:rPr>
                <w:rFonts w:ascii="宋体" w:hAnsi="宋体" w:eastAsia="宋体" w:cs="宋体"/>
                <w:color w:val="auto"/>
                <w:highlight w:val="none"/>
              </w:rPr>
            </w:pPr>
          </w:p>
        </w:tc>
        <w:tc>
          <w:tcPr>
            <w:tcW w:w="693" w:type="dxa"/>
          </w:tcPr>
          <w:p w14:paraId="6BB6F0C7">
            <w:pPr>
              <w:kinsoku/>
              <w:rPr>
                <w:rFonts w:ascii="宋体" w:hAnsi="宋体" w:eastAsia="宋体" w:cs="宋体"/>
                <w:color w:val="auto"/>
                <w:highlight w:val="none"/>
              </w:rPr>
            </w:pPr>
          </w:p>
        </w:tc>
        <w:tc>
          <w:tcPr>
            <w:tcW w:w="487" w:type="dxa"/>
          </w:tcPr>
          <w:p w14:paraId="4D12E5E4">
            <w:pPr>
              <w:kinsoku/>
              <w:rPr>
                <w:rFonts w:ascii="宋体" w:hAnsi="宋体" w:eastAsia="宋体" w:cs="宋体"/>
                <w:color w:val="auto"/>
                <w:highlight w:val="none"/>
              </w:rPr>
            </w:pPr>
          </w:p>
        </w:tc>
        <w:tc>
          <w:tcPr>
            <w:tcW w:w="1135" w:type="dxa"/>
          </w:tcPr>
          <w:p w14:paraId="2D9D317D">
            <w:pPr>
              <w:kinsoku/>
              <w:rPr>
                <w:rFonts w:ascii="宋体" w:hAnsi="宋体" w:eastAsia="宋体" w:cs="宋体"/>
                <w:color w:val="auto"/>
                <w:highlight w:val="none"/>
              </w:rPr>
            </w:pPr>
          </w:p>
        </w:tc>
        <w:tc>
          <w:tcPr>
            <w:tcW w:w="707" w:type="dxa"/>
          </w:tcPr>
          <w:p w14:paraId="3CFEB73A">
            <w:pPr>
              <w:kinsoku/>
              <w:rPr>
                <w:rFonts w:ascii="宋体" w:hAnsi="宋体" w:eastAsia="宋体" w:cs="宋体"/>
                <w:color w:val="auto"/>
                <w:highlight w:val="none"/>
              </w:rPr>
            </w:pPr>
          </w:p>
        </w:tc>
        <w:tc>
          <w:tcPr>
            <w:tcW w:w="871" w:type="dxa"/>
          </w:tcPr>
          <w:p w14:paraId="6B9DBA9C">
            <w:pPr>
              <w:kinsoku/>
              <w:rPr>
                <w:rFonts w:ascii="宋体" w:hAnsi="宋体" w:eastAsia="宋体" w:cs="宋体"/>
                <w:color w:val="auto"/>
                <w:highlight w:val="none"/>
              </w:rPr>
            </w:pPr>
          </w:p>
        </w:tc>
        <w:tc>
          <w:tcPr>
            <w:tcW w:w="1140" w:type="dxa"/>
          </w:tcPr>
          <w:p w14:paraId="7182647C">
            <w:pPr>
              <w:kinsoku/>
              <w:rPr>
                <w:rFonts w:ascii="宋体" w:hAnsi="宋体" w:eastAsia="宋体" w:cs="宋体"/>
                <w:color w:val="auto"/>
                <w:highlight w:val="none"/>
              </w:rPr>
            </w:pPr>
          </w:p>
        </w:tc>
      </w:tr>
      <w:tr w14:paraId="304810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820" w:type="dxa"/>
          </w:tcPr>
          <w:p w14:paraId="1B2DB27F">
            <w:pPr>
              <w:kinsoku/>
              <w:rPr>
                <w:rFonts w:ascii="宋体" w:hAnsi="宋体" w:eastAsia="宋体" w:cs="宋体"/>
                <w:color w:val="auto"/>
                <w:highlight w:val="none"/>
              </w:rPr>
            </w:pPr>
          </w:p>
        </w:tc>
        <w:tc>
          <w:tcPr>
            <w:tcW w:w="1274" w:type="dxa"/>
          </w:tcPr>
          <w:p w14:paraId="7EC59539">
            <w:pPr>
              <w:kinsoku/>
              <w:rPr>
                <w:rFonts w:ascii="宋体" w:hAnsi="宋体" w:eastAsia="宋体" w:cs="宋体"/>
                <w:color w:val="auto"/>
                <w:highlight w:val="none"/>
              </w:rPr>
            </w:pPr>
          </w:p>
        </w:tc>
        <w:tc>
          <w:tcPr>
            <w:tcW w:w="902" w:type="dxa"/>
          </w:tcPr>
          <w:p w14:paraId="606A5EAF">
            <w:pPr>
              <w:kinsoku/>
              <w:rPr>
                <w:rFonts w:ascii="宋体" w:hAnsi="宋体" w:eastAsia="宋体" w:cs="宋体"/>
                <w:color w:val="auto"/>
                <w:highlight w:val="none"/>
              </w:rPr>
            </w:pPr>
          </w:p>
        </w:tc>
        <w:tc>
          <w:tcPr>
            <w:tcW w:w="693" w:type="dxa"/>
          </w:tcPr>
          <w:p w14:paraId="38543D75">
            <w:pPr>
              <w:kinsoku/>
              <w:rPr>
                <w:rFonts w:ascii="宋体" w:hAnsi="宋体" w:eastAsia="宋体" w:cs="宋体"/>
                <w:color w:val="auto"/>
                <w:highlight w:val="none"/>
              </w:rPr>
            </w:pPr>
          </w:p>
        </w:tc>
        <w:tc>
          <w:tcPr>
            <w:tcW w:w="487" w:type="dxa"/>
          </w:tcPr>
          <w:p w14:paraId="2BB43A1A">
            <w:pPr>
              <w:kinsoku/>
              <w:rPr>
                <w:rFonts w:ascii="宋体" w:hAnsi="宋体" w:eastAsia="宋体" w:cs="宋体"/>
                <w:color w:val="auto"/>
                <w:highlight w:val="none"/>
              </w:rPr>
            </w:pPr>
          </w:p>
        </w:tc>
        <w:tc>
          <w:tcPr>
            <w:tcW w:w="1135" w:type="dxa"/>
          </w:tcPr>
          <w:p w14:paraId="314945FE">
            <w:pPr>
              <w:kinsoku/>
              <w:rPr>
                <w:rFonts w:ascii="宋体" w:hAnsi="宋体" w:eastAsia="宋体" w:cs="宋体"/>
                <w:color w:val="auto"/>
                <w:highlight w:val="none"/>
              </w:rPr>
            </w:pPr>
          </w:p>
        </w:tc>
        <w:tc>
          <w:tcPr>
            <w:tcW w:w="707" w:type="dxa"/>
          </w:tcPr>
          <w:p w14:paraId="654CACBA">
            <w:pPr>
              <w:kinsoku/>
              <w:rPr>
                <w:rFonts w:ascii="宋体" w:hAnsi="宋体" w:eastAsia="宋体" w:cs="宋体"/>
                <w:color w:val="auto"/>
                <w:highlight w:val="none"/>
              </w:rPr>
            </w:pPr>
          </w:p>
        </w:tc>
        <w:tc>
          <w:tcPr>
            <w:tcW w:w="871" w:type="dxa"/>
          </w:tcPr>
          <w:p w14:paraId="6E155F7E">
            <w:pPr>
              <w:kinsoku/>
              <w:rPr>
                <w:rFonts w:ascii="宋体" w:hAnsi="宋体" w:eastAsia="宋体" w:cs="宋体"/>
                <w:color w:val="auto"/>
                <w:highlight w:val="none"/>
              </w:rPr>
            </w:pPr>
          </w:p>
        </w:tc>
        <w:tc>
          <w:tcPr>
            <w:tcW w:w="1140" w:type="dxa"/>
          </w:tcPr>
          <w:p w14:paraId="66522263">
            <w:pPr>
              <w:kinsoku/>
              <w:rPr>
                <w:rFonts w:ascii="宋体" w:hAnsi="宋体" w:eastAsia="宋体" w:cs="宋体"/>
                <w:color w:val="auto"/>
                <w:highlight w:val="none"/>
              </w:rPr>
            </w:pPr>
          </w:p>
        </w:tc>
      </w:tr>
      <w:tr w14:paraId="7D502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820" w:type="dxa"/>
          </w:tcPr>
          <w:p w14:paraId="53A9B7D9">
            <w:pPr>
              <w:kinsoku/>
              <w:rPr>
                <w:rFonts w:ascii="宋体" w:hAnsi="宋体" w:eastAsia="宋体" w:cs="宋体"/>
                <w:color w:val="auto"/>
                <w:highlight w:val="none"/>
              </w:rPr>
            </w:pPr>
          </w:p>
        </w:tc>
        <w:tc>
          <w:tcPr>
            <w:tcW w:w="1274" w:type="dxa"/>
          </w:tcPr>
          <w:p w14:paraId="7C86E060">
            <w:pPr>
              <w:kinsoku/>
              <w:rPr>
                <w:rFonts w:ascii="宋体" w:hAnsi="宋体" w:eastAsia="宋体" w:cs="宋体"/>
                <w:color w:val="auto"/>
                <w:highlight w:val="none"/>
              </w:rPr>
            </w:pPr>
          </w:p>
        </w:tc>
        <w:tc>
          <w:tcPr>
            <w:tcW w:w="902" w:type="dxa"/>
          </w:tcPr>
          <w:p w14:paraId="3BB44556">
            <w:pPr>
              <w:kinsoku/>
              <w:rPr>
                <w:rFonts w:ascii="宋体" w:hAnsi="宋体" w:eastAsia="宋体" w:cs="宋体"/>
                <w:color w:val="auto"/>
                <w:highlight w:val="none"/>
              </w:rPr>
            </w:pPr>
          </w:p>
        </w:tc>
        <w:tc>
          <w:tcPr>
            <w:tcW w:w="693" w:type="dxa"/>
          </w:tcPr>
          <w:p w14:paraId="4F7D04E2">
            <w:pPr>
              <w:kinsoku/>
              <w:rPr>
                <w:rFonts w:ascii="宋体" w:hAnsi="宋体" w:eastAsia="宋体" w:cs="宋体"/>
                <w:color w:val="auto"/>
                <w:highlight w:val="none"/>
              </w:rPr>
            </w:pPr>
          </w:p>
        </w:tc>
        <w:tc>
          <w:tcPr>
            <w:tcW w:w="487" w:type="dxa"/>
          </w:tcPr>
          <w:p w14:paraId="701EB3E8">
            <w:pPr>
              <w:kinsoku/>
              <w:rPr>
                <w:rFonts w:ascii="宋体" w:hAnsi="宋体" w:eastAsia="宋体" w:cs="宋体"/>
                <w:color w:val="auto"/>
                <w:highlight w:val="none"/>
              </w:rPr>
            </w:pPr>
          </w:p>
        </w:tc>
        <w:tc>
          <w:tcPr>
            <w:tcW w:w="1135" w:type="dxa"/>
          </w:tcPr>
          <w:p w14:paraId="395A979F">
            <w:pPr>
              <w:kinsoku/>
              <w:rPr>
                <w:rFonts w:ascii="宋体" w:hAnsi="宋体" w:eastAsia="宋体" w:cs="宋体"/>
                <w:color w:val="auto"/>
                <w:highlight w:val="none"/>
              </w:rPr>
            </w:pPr>
          </w:p>
        </w:tc>
        <w:tc>
          <w:tcPr>
            <w:tcW w:w="707" w:type="dxa"/>
          </w:tcPr>
          <w:p w14:paraId="4303E510">
            <w:pPr>
              <w:kinsoku/>
              <w:rPr>
                <w:rFonts w:ascii="宋体" w:hAnsi="宋体" w:eastAsia="宋体" w:cs="宋体"/>
                <w:color w:val="auto"/>
                <w:highlight w:val="none"/>
              </w:rPr>
            </w:pPr>
          </w:p>
        </w:tc>
        <w:tc>
          <w:tcPr>
            <w:tcW w:w="871" w:type="dxa"/>
          </w:tcPr>
          <w:p w14:paraId="3AE75410">
            <w:pPr>
              <w:kinsoku/>
              <w:rPr>
                <w:rFonts w:ascii="宋体" w:hAnsi="宋体" w:eastAsia="宋体" w:cs="宋体"/>
                <w:color w:val="auto"/>
                <w:highlight w:val="none"/>
              </w:rPr>
            </w:pPr>
          </w:p>
        </w:tc>
        <w:tc>
          <w:tcPr>
            <w:tcW w:w="1140" w:type="dxa"/>
          </w:tcPr>
          <w:p w14:paraId="243FFAFA">
            <w:pPr>
              <w:kinsoku/>
              <w:rPr>
                <w:rFonts w:ascii="宋体" w:hAnsi="宋体" w:eastAsia="宋体" w:cs="宋体"/>
                <w:color w:val="auto"/>
                <w:highlight w:val="none"/>
              </w:rPr>
            </w:pPr>
          </w:p>
        </w:tc>
      </w:tr>
      <w:tr w14:paraId="2C9AE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820" w:type="dxa"/>
          </w:tcPr>
          <w:p w14:paraId="376618BB">
            <w:pPr>
              <w:kinsoku/>
              <w:rPr>
                <w:rFonts w:ascii="宋体" w:hAnsi="宋体" w:eastAsia="宋体" w:cs="宋体"/>
                <w:color w:val="auto"/>
                <w:highlight w:val="none"/>
              </w:rPr>
            </w:pPr>
          </w:p>
        </w:tc>
        <w:tc>
          <w:tcPr>
            <w:tcW w:w="1274" w:type="dxa"/>
          </w:tcPr>
          <w:p w14:paraId="1851D905">
            <w:pPr>
              <w:kinsoku/>
              <w:rPr>
                <w:rFonts w:ascii="宋体" w:hAnsi="宋体" w:eastAsia="宋体" w:cs="宋体"/>
                <w:color w:val="auto"/>
                <w:highlight w:val="none"/>
              </w:rPr>
            </w:pPr>
          </w:p>
        </w:tc>
        <w:tc>
          <w:tcPr>
            <w:tcW w:w="902" w:type="dxa"/>
          </w:tcPr>
          <w:p w14:paraId="17C0BB7F">
            <w:pPr>
              <w:kinsoku/>
              <w:rPr>
                <w:rFonts w:ascii="宋体" w:hAnsi="宋体" w:eastAsia="宋体" w:cs="宋体"/>
                <w:color w:val="auto"/>
                <w:highlight w:val="none"/>
              </w:rPr>
            </w:pPr>
          </w:p>
        </w:tc>
        <w:tc>
          <w:tcPr>
            <w:tcW w:w="693" w:type="dxa"/>
          </w:tcPr>
          <w:p w14:paraId="5B695978">
            <w:pPr>
              <w:kinsoku/>
              <w:rPr>
                <w:rFonts w:ascii="宋体" w:hAnsi="宋体" w:eastAsia="宋体" w:cs="宋体"/>
                <w:color w:val="auto"/>
                <w:highlight w:val="none"/>
              </w:rPr>
            </w:pPr>
          </w:p>
        </w:tc>
        <w:tc>
          <w:tcPr>
            <w:tcW w:w="487" w:type="dxa"/>
          </w:tcPr>
          <w:p w14:paraId="2BD3FCCA">
            <w:pPr>
              <w:kinsoku/>
              <w:rPr>
                <w:rFonts w:ascii="宋体" w:hAnsi="宋体" w:eastAsia="宋体" w:cs="宋体"/>
                <w:color w:val="auto"/>
                <w:highlight w:val="none"/>
              </w:rPr>
            </w:pPr>
          </w:p>
        </w:tc>
        <w:tc>
          <w:tcPr>
            <w:tcW w:w="1135" w:type="dxa"/>
          </w:tcPr>
          <w:p w14:paraId="322ED502">
            <w:pPr>
              <w:kinsoku/>
              <w:rPr>
                <w:rFonts w:ascii="宋体" w:hAnsi="宋体" w:eastAsia="宋体" w:cs="宋体"/>
                <w:color w:val="auto"/>
                <w:highlight w:val="none"/>
              </w:rPr>
            </w:pPr>
          </w:p>
        </w:tc>
        <w:tc>
          <w:tcPr>
            <w:tcW w:w="707" w:type="dxa"/>
          </w:tcPr>
          <w:p w14:paraId="7BE320FE">
            <w:pPr>
              <w:kinsoku/>
              <w:rPr>
                <w:rFonts w:ascii="宋体" w:hAnsi="宋体" w:eastAsia="宋体" w:cs="宋体"/>
                <w:color w:val="auto"/>
                <w:highlight w:val="none"/>
              </w:rPr>
            </w:pPr>
          </w:p>
        </w:tc>
        <w:tc>
          <w:tcPr>
            <w:tcW w:w="871" w:type="dxa"/>
          </w:tcPr>
          <w:p w14:paraId="2FF5F9A4">
            <w:pPr>
              <w:kinsoku/>
              <w:rPr>
                <w:rFonts w:ascii="宋体" w:hAnsi="宋体" w:eastAsia="宋体" w:cs="宋体"/>
                <w:color w:val="auto"/>
                <w:highlight w:val="none"/>
              </w:rPr>
            </w:pPr>
          </w:p>
        </w:tc>
        <w:tc>
          <w:tcPr>
            <w:tcW w:w="1140" w:type="dxa"/>
          </w:tcPr>
          <w:p w14:paraId="3A876C9F">
            <w:pPr>
              <w:kinsoku/>
              <w:rPr>
                <w:rFonts w:ascii="宋体" w:hAnsi="宋体" w:eastAsia="宋体" w:cs="宋体"/>
                <w:color w:val="auto"/>
                <w:highlight w:val="none"/>
              </w:rPr>
            </w:pPr>
          </w:p>
        </w:tc>
      </w:tr>
    </w:tbl>
    <w:p w14:paraId="67B76831">
      <w:pPr>
        <w:kinsoku/>
        <w:spacing w:before="156" w:line="220" w:lineRule="auto"/>
        <w:ind w:left="37"/>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注：本表填报的人员应满足招标文件第二章“投标人须知 ”前附表附录5的要求。</w:t>
      </w:r>
    </w:p>
    <w:p w14:paraId="37C8F335">
      <w:pPr>
        <w:kinsoku/>
        <w:spacing w:line="242" w:lineRule="auto"/>
        <w:rPr>
          <w:rFonts w:ascii="宋体" w:hAnsi="宋体" w:eastAsia="宋体" w:cs="宋体"/>
          <w:color w:val="auto"/>
          <w:highlight w:val="none"/>
          <w:lang w:eastAsia="zh-CN"/>
        </w:rPr>
      </w:pPr>
    </w:p>
    <w:p w14:paraId="10DAED5D">
      <w:pPr>
        <w:kinsoku/>
        <w:spacing w:line="242" w:lineRule="auto"/>
        <w:rPr>
          <w:rFonts w:ascii="宋体" w:hAnsi="宋体" w:eastAsia="宋体" w:cs="宋体"/>
          <w:color w:val="auto"/>
          <w:highlight w:val="none"/>
          <w:lang w:eastAsia="zh-CN"/>
        </w:rPr>
      </w:pPr>
    </w:p>
    <w:p w14:paraId="0CF4258E">
      <w:pPr>
        <w:kinsoku/>
        <w:spacing w:line="242" w:lineRule="auto"/>
        <w:rPr>
          <w:rFonts w:ascii="宋体" w:hAnsi="宋体" w:eastAsia="宋体" w:cs="宋体"/>
          <w:color w:val="auto"/>
          <w:highlight w:val="none"/>
          <w:lang w:eastAsia="zh-CN"/>
        </w:rPr>
      </w:pPr>
    </w:p>
    <w:p w14:paraId="1A44A993">
      <w:pPr>
        <w:kinsoku/>
        <w:spacing w:line="242" w:lineRule="auto"/>
        <w:rPr>
          <w:rFonts w:ascii="宋体" w:hAnsi="宋体" w:eastAsia="宋体" w:cs="宋体"/>
          <w:color w:val="auto"/>
          <w:highlight w:val="none"/>
          <w:lang w:eastAsia="zh-CN"/>
        </w:rPr>
      </w:pPr>
    </w:p>
    <w:p w14:paraId="6FFB9B9E">
      <w:pPr>
        <w:kinsoku/>
        <w:spacing w:line="242" w:lineRule="auto"/>
        <w:rPr>
          <w:rFonts w:ascii="宋体" w:hAnsi="宋体" w:eastAsia="宋体" w:cs="宋体"/>
          <w:color w:val="auto"/>
          <w:highlight w:val="none"/>
          <w:lang w:eastAsia="zh-CN"/>
        </w:rPr>
      </w:pPr>
    </w:p>
    <w:p w14:paraId="7B8093CD">
      <w:pPr>
        <w:kinsoku/>
        <w:spacing w:line="242" w:lineRule="auto"/>
        <w:rPr>
          <w:rFonts w:ascii="宋体" w:hAnsi="宋体" w:eastAsia="宋体" w:cs="宋体"/>
          <w:color w:val="auto"/>
          <w:highlight w:val="none"/>
          <w:lang w:eastAsia="zh-CN"/>
        </w:rPr>
      </w:pPr>
    </w:p>
    <w:p w14:paraId="7ADE77B5">
      <w:pPr>
        <w:kinsoku/>
        <w:spacing w:line="243" w:lineRule="auto"/>
        <w:rPr>
          <w:rFonts w:ascii="宋体" w:hAnsi="宋体" w:eastAsia="宋体" w:cs="宋体"/>
          <w:color w:val="auto"/>
          <w:highlight w:val="none"/>
          <w:lang w:eastAsia="zh-CN"/>
        </w:rPr>
      </w:pPr>
    </w:p>
    <w:p w14:paraId="3093C16E">
      <w:pPr>
        <w:kinsoku/>
        <w:spacing w:line="430" w:lineRule="auto"/>
        <w:rPr>
          <w:rFonts w:ascii="宋体" w:hAnsi="宋体" w:eastAsia="宋体" w:cs="宋体"/>
          <w:color w:val="auto"/>
          <w:highlight w:val="none"/>
          <w:lang w:eastAsia="zh-CN"/>
        </w:rPr>
      </w:pPr>
    </w:p>
    <w:p w14:paraId="47C04F90">
      <w:pPr>
        <w:kinsoku/>
        <w:rPr>
          <w:rFonts w:ascii="宋体" w:hAnsi="宋体" w:eastAsia="宋体" w:cs="宋体"/>
          <w:color w:val="auto"/>
          <w:sz w:val="24"/>
          <w:szCs w:val="24"/>
          <w:highlight w:val="none"/>
          <w:lang w:eastAsia="zh-CN"/>
        </w:rPr>
      </w:pPr>
      <w:bookmarkStart w:id="393" w:name="bookmark299"/>
      <w:bookmarkEnd w:id="393"/>
      <w:bookmarkStart w:id="394" w:name="bookmark300"/>
      <w:bookmarkEnd w:id="394"/>
      <w:r>
        <w:rPr>
          <w:rFonts w:hint="eastAsia" w:ascii="宋体" w:hAnsi="宋体" w:eastAsia="宋体" w:cs="宋体"/>
          <w:color w:val="auto"/>
          <w:sz w:val="24"/>
          <w:szCs w:val="24"/>
          <w:highlight w:val="none"/>
          <w:lang w:eastAsia="zh-CN"/>
        </w:rPr>
        <w:br w:type="page"/>
      </w:r>
    </w:p>
    <w:p w14:paraId="3AFCA52F">
      <w:pPr>
        <w:kinsoku/>
        <w:spacing w:before="78" w:line="224" w:lineRule="auto"/>
        <w:ind w:left="2418"/>
        <w:rPr>
          <w:rFonts w:ascii="宋体" w:hAnsi="宋体" w:eastAsia="宋体" w:cs="宋体"/>
          <w:color w:val="auto"/>
          <w:sz w:val="12"/>
          <w:szCs w:val="12"/>
          <w:highlight w:val="none"/>
          <w:lang w:eastAsia="zh-CN"/>
        </w:rPr>
      </w:pPr>
      <w:r>
        <w:rPr>
          <w:rFonts w:hint="eastAsia" w:ascii="宋体" w:hAnsi="宋体" w:eastAsia="宋体" w:cs="宋体"/>
          <w:color w:val="auto"/>
          <w:sz w:val="24"/>
          <w:szCs w:val="24"/>
          <w:highlight w:val="none"/>
          <w:lang w:eastAsia="zh-CN"/>
        </w:rPr>
        <w:t>（七）拟委任的分项负责人资历表</w:t>
      </w:r>
    </w:p>
    <w:p w14:paraId="1F20784E">
      <w:pPr>
        <w:kinsoku/>
        <w:spacing w:line="234" w:lineRule="exact"/>
        <w:rPr>
          <w:rFonts w:ascii="宋体" w:hAnsi="宋体" w:eastAsia="宋体" w:cs="宋体"/>
          <w:color w:val="auto"/>
          <w:highlight w:val="none"/>
          <w:lang w:eastAsia="zh-CN"/>
        </w:rPr>
      </w:pPr>
    </w:p>
    <w:tbl>
      <w:tblPr>
        <w:tblStyle w:val="21"/>
        <w:tblW w:w="86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23"/>
        <w:gridCol w:w="50"/>
        <w:gridCol w:w="1334"/>
        <w:gridCol w:w="101"/>
        <w:gridCol w:w="1046"/>
        <w:gridCol w:w="1363"/>
        <w:gridCol w:w="333"/>
        <w:gridCol w:w="1521"/>
        <w:gridCol w:w="382"/>
        <w:gridCol w:w="1271"/>
      </w:tblGrid>
      <w:tr w14:paraId="78750B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8" w:hRule="atLeast"/>
        </w:trPr>
        <w:tc>
          <w:tcPr>
            <w:tcW w:w="1223" w:type="dxa"/>
            <w:vAlign w:val="center"/>
          </w:tcPr>
          <w:p w14:paraId="19F28759">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姓    名</w:t>
            </w:r>
          </w:p>
        </w:tc>
        <w:tc>
          <w:tcPr>
            <w:tcW w:w="1485" w:type="dxa"/>
            <w:gridSpan w:val="3"/>
            <w:vAlign w:val="center"/>
          </w:tcPr>
          <w:p w14:paraId="47DF80B7">
            <w:pPr>
              <w:kinsoku/>
              <w:jc w:val="center"/>
              <w:rPr>
                <w:rFonts w:ascii="宋体" w:hAnsi="宋体" w:eastAsia="宋体" w:cs="宋体"/>
                <w:color w:val="auto"/>
                <w:highlight w:val="none"/>
              </w:rPr>
            </w:pPr>
          </w:p>
        </w:tc>
        <w:tc>
          <w:tcPr>
            <w:tcW w:w="1046" w:type="dxa"/>
            <w:vAlign w:val="center"/>
          </w:tcPr>
          <w:p w14:paraId="066B5F23">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年    龄</w:t>
            </w:r>
          </w:p>
        </w:tc>
        <w:tc>
          <w:tcPr>
            <w:tcW w:w="1363" w:type="dxa"/>
            <w:vAlign w:val="center"/>
          </w:tcPr>
          <w:p w14:paraId="40C42DF4">
            <w:pPr>
              <w:kinsoku/>
              <w:jc w:val="center"/>
              <w:rPr>
                <w:rFonts w:ascii="宋体" w:hAnsi="宋体" w:eastAsia="宋体" w:cs="宋体"/>
                <w:color w:val="auto"/>
                <w:highlight w:val="none"/>
              </w:rPr>
            </w:pPr>
          </w:p>
        </w:tc>
        <w:tc>
          <w:tcPr>
            <w:tcW w:w="1854" w:type="dxa"/>
            <w:gridSpan w:val="2"/>
            <w:vAlign w:val="center"/>
          </w:tcPr>
          <w:p w14:paraId="7BB7F07C">
            <w:pPr>
              <w:kinsoku/>
              <w:spacing w:before="219" w:line="307" w:lineRule="auto"/>
              <w:ind w:right="82"/>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执业或职业资格证书名称</w:t>
            </w:r>
          </w:p>
        </w:tc>
        <w:tc>
          <w:tcPr>
            <w:tcW w:w="1653" w:type="dxa"/>
            <w:gridSpan w:val="2"/>
            <w:vAlign w:val="center"/>
          </w:tcPr>
          <w:p w14:paraId="37C8BA73">
            <w:pPr>
              <w:kinsoku/>
              <w:jc w:val="center"/>
              <w:rPr>
                <w:rFonts w:ascii="宋体" w:hAnsi="宋体" w:eastAsia="宋体" w:cs="宋体"/>
                <w:color w:val="auto"/>
                <w:highlight w:val="none"/>
                <w:lang w:eastAsia="zh-CN"/>
              </w:rPr>
            </w:pPr>
          </w:p>
        </w:tc>
      </w:tr>
      <w:tr w14:paraId="2B0962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6" w:hRule="atLeast"/>
        </w:trPr>
        <w:tc>
          <w:tcPr>
            <w:tcW w:w="1223" w:type="dxa"/>
            <w:vAlign w:val="center"/>
          </w:tcPr>
          <w:p w14:paraId="16FAB4D2">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技术职称</w:t>
            </w:r>
          </w:p>
        </w:tc>
        <w:tc>
          <w:tcPr>
            <w:tcW w:w="1485" w:type="dxa"/>
            <w:gridSpan w:val="3"/>
            <w:vAlign w:val="center"/>
          </w:tcPr>
          <w:p w14:paraId="527D3E0A">
            <w:pPr>
              <w:kinsoku/>
              <w:jc w:val="center"/>
              <w:rPr>
                <w:rFonts w:ascii="宋体" w:hAnsi="宋体" w:eastAsia="宋体" w:cs="宋体"/>
                <w:color w:val="auto"/>
                <w:highlight w:val="none"/>
              </w:rPr>
            </w:pPr>
          </w:p>
        </w:tc>
        <w:tc>
          <w:tcPr>
            <w:tcW w:w="1046" w:type="dxa"/>
            <w:vAlign w:val="center"/>
          </w:tcPr>
          <w:p w14:paraId="5B2CDE5E">
            <w:pPr>
              <w:kinsoku/>
              <w:spacing w:before="69" w:line="222" w:lineRule="auto"/>
              <w:jc w:val="center"/>
              <w:rPr>
                <w:rFonts w:ascii="宋体" w:hAnsi="宋体" w:eastAsia="宋体" w:cs="宋体"/>
                <w:color w:val="auto"/>
                <w:highlight w:val="none"/>
              </w:rPr>
            </w:pPr>
            <w:r>
              <w:rPr>
                <w:rFonts w:hint="eastAsia" w:ascii="宋体" w:hAnsi="宋体" w:eastAsia="宋体" w:cs="宋体"/>
                <w:color w:val="auto"/>
                <w:highlight w:val="none"/>
              </w:rPr>
              <w:t>学    历</w:t>
            </w:r>
          </w:p>
        </w:tc>
        <w:tc>
          <w:tcPr>
            <w:tcW w:w="1363" w:type="dxa"/>
            <w:vAlign w:val="center"/>
          </w:tcPr>
          <w:p w14:paraId="773F2477">
            <w:pPr>
              <w:kinsoku/>
              <w:jc w:val="center"/>
              <w:rPr>
                <w:rFonts w:ascii="宋体" w:hAnsi="宋体" w:eastAsia="宋体" w:cs="宋体"/>
                <w:color w:val="auto"/>
                <w:highlight w:val="none"/>
              </w:rPr>
            </w:pPr>
          </w:p>
        </w:tc>
        <w:tc>
          <w:tcPr>
            <w:tcW w:w="1854" w:type="dxa"/>
            <w:gridSpan w:val="2"/>
            <w:vAlign w:val="center"/>
          </w:tcPr>
          <w:p w14:paraId="372E07A2">
            <w:pPr>
              <w:tabs>
                <w:tab w:val="left" w:pos="1830"/>
              </w:tabs>
              <w:kinsoku/>
              <w:spacing w:before="213" w:line="335" w:lineRule="auto"/>
              <w:ind w:right="24"/>
              <w:jc w:val="center"/>
              <w:rPr>
                <w:rFonts w:ascii="宋体" w:hAnsi="宋体" w:eastAsia="宋体" w:cs="宋体"/>
                <w:color w:val="auto"/>
                <w:highlight w:val="none"/>
              </w:rPr>
            </w:pPr>
            <w:r>
              <w:rPr>
                <w:rFonts w:hint="eastAsia" w:ascii="宋体" w:hAnsi="宋体" w:eastAsia="宋体" w:cs="宋体"/>
                <w:color w:val="auto"/>
                <w:highlight w:val="none"/>
              </w:rPr>
              <w:t>拟在本标段工程任职</w:t>
            </w:r>
          </w:p>
        </w:tc>
        <w:tc>
          <w:tcPr>
            <w:tcW w:w="1653" w:type="dxa"/>
            <w:gridSpan w:val="2"/>
            <w:vAlign w:val="center"/>
          </w:tcPr>
          <w:p w14:paraId="7FA0CE94">
            <w:pPr>
              <w:kinsoku/>
              <w:jc w:val="center"/>
              <w:rPr>
                <w:rFonts w:ascii="宋体" w:hAnsi="宋体" w:eastAsia="宋体" w:cs="宋体"/>
                <w:color w:val="auto"/>
                <w:highlight w:val="none"/>
              </w:rPr>
            </w:pPr>
          </w:p>
        </w:tc>
      </w:tr>
      <w:tr w14:paraId="5460DD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1223" w:type="dxa"/>
            <w:vAlign w:val="center"/>
          </w:tcPr>
          <w:p w14:paraId="331DD7D1">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工作年限</w:t>
            </w:r>
          </w:p>
        </w:tc>
        <w:tc>
          <w:tcPr>
            <w:tcW w:w="3894" w:type="dxa"/>
            <w:gridSpan w:val="5"/>
            <w:vAlign w:val="center"/>
          </w:tcPr>
          <w:p w14:paraId="6C47176A">
            <w:pPr>
              <w:kinsoku/>
              <w:jc w:val="center"/>
              <w:rPr>
                <w:rFonts w:ascii="宋体" w:hAnsi="宋体" w:eastAsia="宋体" w:cs="宋体"/>
                <w:color w:val="auto"/>
                <w:highlight w:val="none"/>
              </w:rPr>
            </w:pPr>
          </w:p>
        </w:tc>
        <w:tc>
          <w:tcPr>
            <w:tcW w:w="1854" w:type="dxa"/>
            <w:gridSpan w:val="2"/>
            <w:vAlign w:val="center"/>
          </w:tcPr>
          <w:p w14:paraId="1D2B4421">
            <w:pPr>
              <w:kinsoku/>
              <w:spacing w:before="215" w:line="307" w:lineRule="auto"/>
              <w:ind w:right="81"/>
              <w:jc w:val="center"/>
              <w:rPr>
                <w:rFonts w:ascii="宋体" w:hAnsi="宋体" w:eastAsia="宋体" w:cs="宋体"/>
                <w:color w:val="auto"/>
                <w:highlight w:val="none"/>
              </w:rPr>
            </w:pPr>
            <w:r>
              <w:rPr>
                <w:rFonts w:hint="eastAsia" w:ascii="宋体" w:hAnsi="宋体" w:eastAsia="宋体" w:cs="宋体"/>
                <w:color w:val="auto"/>
                <w:highlight w:val="none"/>
              </w:rPr>
              <w:t>类似设计工作年限</w:t>
            </w:r>
          </w:p>
        </w:tc>
        <w:tc>
          <w:tcPr>
            <w:tcW w:w="1653" w:type="dxa"/>
            <w:gridSpan w:val="2"/>
            <w:vAlign w:val="center"/>
          </w:tcPr>
          <w:p w14:paraId="1E754446">
            <w:pPr>
              <w:kinsoku/>
              <w:jc w:val="center"/>
              <w:rPr>
                <w:rFonts w:ascii="宋体" w:hAnsi="宋体" w:eastAsia="宋体" w:cs="宋体"/>
                <w:color w:val="auto"/>
                <w:highlight w:val="none"/>
              </w:rPr>
            </w:pPr>
          </w:p>
        </w:tc>
      </w:tr>
      <w:tr w14:paraId="287E94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23" w:type="dxa"/>
          </w:tcPr>
          <w:p w14:paraId="04D7679D">
            <w:pPr>
              <w:kinsoku/>
              <w:spacing w:before="215" w:line="221" w:lineRule="auto"/>
              <w:ind w:left="201"/>
              <w:rPr>
                <w:rFonts w:ascii="宋体" w:hAnsi="宋体" w:eastAsia="宋体" w:cs="宋体"/>
                <w:color w:val="auto"/>
                <w:highlight w:val="none"/>
              </w:rPr>
            </w:pPr>
            <w:r>
              <w:rPr>
                <w:rFonts w:hint="eastAsia" w:ascii="宋体" w:hAnsi="宋体" w:eastAsia="宋体" w:cs="宋体"/>
                <w:color w:val="auto"/>
                <w:highlight w:val="none"/>
              </w:rPr>
              <w:t>毕业学校</w:t>
            </w:r>
          </w:p>
        </w:tc>
        <w:tc>
          <w:tcPr>
            <w:tcW w:w="7401" w:type="dxa"/>
            <w:gridSpan w:val="9"/>
          </w:tcPr>
          <w:p w14:paraId="326724B2">
            <w:pPr>
              <w:tabs>
                <w:tab w:val="left" w:pos="529"/>
              </w:tabs>
              <w:kinsoku/>
              <w:spacing w:before="215" w:line="221" w:lineRule="auto"/>
              <w:rPr>
                <w:rFonts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月毕业于</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学校</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专业，学制</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 xml:space="preserve"> 年</w:t>
            </w:r>
          </w:p>
        </w:tc>
      </w:tr>
      <w:tr w14:paraId="6640AE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624" w:type="dxa"/>
            <w:gridSpan w:val="10"/>
          </w:tcPr>
          <w:p w14:paraId="75C65EB7">
            <w:pPr>
              <w:kinsoku/>
              <w:spacing w:before="216" w:line="223" w:lineRule="auto"/>
              <w:ind w:left="3636"/>
              <w:rPr>
                <w:rFonts w:ascii="宋体" w:hAnsi="宋体" w:eastAsia="宋体" w:cs="宋体"/>
                <w:color w:val="auto"/>
                <w:highlight w:val="none"/>
              </w:rPr>
            </w:pPr>
            <w:r>
              <w:rPr>
                <w:rFonts w:hint="eastAsia" w:ascii="宋体" w:hAnsi="宋体" w:eastAsia="宋体" w:cs="宋体"/>
                <w:color w:val="auto"/>
                <w:highlight w:val="none"/>
              </w:rPr>
              <w:t>经         历</w:t>
            </w:r>
          </w:p>
        </w:tc>
      </w:tr>
      <w:tr w14:paraId="0304D4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3" w:hRule="atLeast"/>
        </w:trPr>
        <w:tc>
          <w:tcPr>
            <w:tcW w:w="1273" w:type="dxa"/>
            <w:gridSpan w:val="2"/>
            <w:vAlign w:val="center"/>
          </w:tcPr>
          <w:p w14:paraId="73F5F4B9">
            <w:pPr>
              <w:kinsoku/>
              <w:spacing w:before="69" w:line="223" w:lineRule="auto"/>
              <w:jc w:val="center"/>
              <w:rPr>
                <w:rFonts w:ascii="宋体" w:hAnsi="宋体" w:eastAsia="宋体" w:cs="宋体"/>
                <w:color w:val="auto"/>
                <w:highlight w:val="none"/>
              </w:rPr>
            </w:pPr>
            <w:r>
              <w:rPr>
                <w:rFonts w:hint="eastAsia" w:ascii="宋体" w:hAnsi="宋体" w:eastAsia="宋体" w:cs="宋体"/>
                <w:color w:val="auto"/>
                <w:highlight w:val="none"/>
              </w:rPr>
              <w:t>时  间</w:t>
            </w:r>
          </w:p>
        </w:tc>
        <w:tc>
          <w:tcPr>
            <w:tcW w:w="4177" w:type="dxa"/>
            <w:gridSpan w:val="5"/>
            <w:vAlign w:val="center"/>
          </w:tcPr>
          <w:p w14:paraId="31026BE0">
            <w:pPr>
              <w:kinsoku/>
              <w:spacing w:before="68" w:line="221" w:lineRule="auto"/>
              <w:jc w:val="center"/>
              <w:rPr>
                <w:rFonts w:ascii="宋体" w:hAnsi="宋体" w:eastAsia="宋体" w:cs="宋体"/>
                <w:color w:val="auto"/>
                <w:highlight w:val="none"/>
                <w:lang w:eastAsia="zh-CN"/>
              </w:rPr>
            </w:pPr>
            <w:r>
              <w:rPr>
                <w:rFonts w:hint="eastAsia" w:ascii="宋体" w:hAnsi="宋体" w:eastAsia="宋体" w:cs="宋体"/>
                <w:color w:val="auto"/>
                <w:highlight w:val="none"/>
                <w:lang w:eastAsia="zh-CN"/>
              </w:rPr>
              <w:t>参加过的类似工程项目名称</w:t>
            </w:r>
          </w:p>
        </w:tc>
        <w:tc>
          <w:tcPr>
            <w:tcW w:w="1903" w:type="dxa"/>
            <w:gridSpan w:val="2"/>
            <w:vAlign w:val="center"/>
          </w:tcPr>
          <w:p w14:paraId="5637421B">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担任职务</w:t>
            </w:r>
          </w:p>
        </w:tc>
        <w:tc>
          <w:tcPr>
            <w:tcW w:w="1271" w:type="dxa"/>
            <w:vAlign w:val="center"/>
          </w:tcPr>
          <w:p w14:paraId="7CB220E8">
            <w:pPr>
              <w:kinsoku/>
              <w:spacing w:before="216" w:line="306" w:lineRule="auto"/>
              <w:ind w:right="107"/>
              <w:jc w:val="center"/>
              <w:rPr>
                <w:rFonts w:ascii="宋体" w:hAnsi="宋体" w:eastAsia="宋体" w:cs="宋体"/>
                <w:color w:val="auto"/>
                <w:highlight w:val="none"/>
              </w:rPr>
            </w:pPr>
            <w:r>
              <w:rPr>
                <w:rFonts w:hint="eastAsia" w:ascii="宋体" w:hAnsi="宋体" w:eastAsia="宋体" w:cs="宋体"/>
                <w:color w:val="auto"/>
                <w:highlight w:val="none"/>
              </w:rPr>
              <w:t>发包人及联系电话</w:t>
            </w:r>
          </w:p>
        </w:tc>
      </w:tr>
      <w:tr w14:paraId="367A4C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55F625BE">
            <w:pPr>
              <w:kinsoku/>
              <w:rPr>
                <w:rFonts w:ascii="宋体" w:hAnsi="宋体" w:eastAsia="宋体" w:cs="宋体"/>
                <w:color w:val="auto"/>
                <w:highlight w:val="none"/>
              </w:rPr>
            </w:pPr>
          </w:p>
        </w:tc>
        <w:tc>
          <w:tcPr>
            <w:tcW w:w="4177" w:type="dxa"/>
            <w:gridSpan w:val="5"/>
          </w:tcPr>
          <w:p w14:paraId="1290E87C">
            <w:pPr>
              <w:kinsoku/>
              <w:rPr>
                <w:rFonts w:ascii="宋体" w:hAnsi="宋体" w:eastAsia="宋体" w:cs="宋体"/>
                <w:color w:val="auto"/>
                <w:highlight w:val="none"/>
              </w:rPr>
            </w:pPr>
          </w:p>
        </w:tc>
        <w:tc>
          <w:tcPr>
            <w:tcW w:w="1903" w:type="dxa"/>
            <w:gridSpan w:val="2"/>
          </w:tcPr>
          <w:p w14:paraId="785B0814">
            <w:pPr>
              <w:kinsoku/>
              <w:rPr>
                <w:rFonts w:ascii="宋体" w:hAnsi="宋体" w:eastAsia="宋体" w:cs="宋体"/>
                <w:color w:val="auto"/>
                <w:highlight w:val="none"/>
              </w:rPr>
            </w:pPr>
          </w:p>
        </w:tc>
        <w:tc>
          <w:tcPr>
            <w:tcW w:w="1271" w:type="dxa"/>
          </w:tcPr>
          <w:p w14:paraId="17C3F764">
            <w:pPr>
              <w:kinsoku/>
              <w:rPr>
                <w:rFonts w:ascii="宋体" w:hAnsi="宋体" w:eastAsia="宋体" w:cs="宋体"/>
                <w:color w:val="auto"/>
                <w:highlight w:val="none"/>
              </w:rPr>
            </w:pPr>
          </w:p>
        </w:tc>
      </w:tr>
      <w:tr w14:paraId="7DA4C6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1F4CC122">
            <w:pPr>
              <w:kinsoku/>
              <w:rPr>
                <w:rFonts w:ascii="宋体" w:hAnsi="宋体" w:eastAsia="宋体" w:cs="宋体"/>
                <w:color w:val="auto"/>
                <w:highlight w:val="none"/>
              </w:rPr>
            </w:pPr>
          </w:p>
        </w:tc>
        <w:tc>
          <w:tcPr>
            <w:tcW w:w="4177" w:type="dxa"/>
            <w:gridSpan w:val="5"/>
          </w:tcPr>
          <w:p w14:paraId="4DBE1810">
            <w:pPr>
              <w:kinsoku/>
              <w:rPr>
                <w:rFonts w:ascii="宋体" w:hAnsi="宋体" w:eastAsia="宋体" w:cs="宋体"/>
                <w:color w:val="auto"/>
                <w:highlight w:val="none"/>
              </w:rPr>
            </w:pPr>
          </w:p>
        </w:tc>
        <w:tc>
          <w:tcPr>
            <w:tcW w:w="1903" w:type="dxa"/>
            <w:gridSpan w:val="2"/>
          </w:tcPr>
          <w:p w14:paraId="0C2C4F17">
            <w:pPr>
              <w:kinsoku/>
              <w:rPr>
                <w:rFonts w:ascii="宋体" w:hAnsi="宋体" w:eastAsia="宋体" w:cs="宋体"/>
                <w:color w:val="auto"/>
                <w:highlight w:val="none"/>
              </w:rPr>
            </w:pPr>
          </w:p>
        </w:tc>
        <w:tc>
          <w:tcPr>
            <w:tcW w:w="1271" w:type="dxa"/>
          </w:tcPr>
          <w:p w14:paraId="2B5F48EB">
            <w:pPr>
              <w:kinsoku/>
              <w:rPr>
                <w:rFonts w:ascii="宋体" w:hAnsi="宋体" w:eastAsia="宋体" w:cs="宋体"/>
                <w:color w:val="auto"/>
                <w:highlight w:val="none"/>
              </w:rPr>
            </w:pPr>
          </w:p>
        </w:tc>
      </w:tr>
      <w:tr w14:paraId="6FF0CE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273" w:type="dxa"/>
            <w:gridSpan w:val="2"/>
          </w:tcPr>
          <w:p w14:paraId="0D2EE8CD">
            <w:pPr>
              <w:kinsoku/>
              <w:rPr>
                <w:rFonts w:ascii="宋体" w:hAnsi="宋体" w:eastAsia="宋体" w:cs="宋体"/>
                <w:color w:val="auto"/>
                <w:highlight w:val="none"/>
              </w:rPr>
            </w:pPr>
          </w:p>
        </w:tc>
        <w:tc>
          <w:tcPr>
            <w:tcW w:w="4177" w:type="dxa"/>
            <w:gridSpan w:val="5"/>
          </w:tcPr>
          <w:p w14:paraId="1818B85A">
            <w:pPr>
              <w:kinsoku/>
              <w:rPr>
                <w:rFonts w:ascii="宋体" w:hAnsi="宋体" w:eastAsia="宋体" w:cs="宋体"/>
                <w:color w:val="auto"/>
                <w:highlight w:val="none"/>
              </w:rPr>
            </w:pPr>
          </w:p>
        </w:tc>
        <w:tc>
          <w:tcPr>
            <w:tcW w:w="1903" w:type="dxa"/>
            <w:gridSpan w:val="2"/>
          </w:tcPr>
          <w:p w14:paraId="49025E52">
            <w:pPr>
              <w:kinsoku/>
              <w:rPr>
                <w:rFonts w:ascii="宋体" w:hAnsi="宋体" w:eastAsia="宋体" w:cs="宋体"/>
                <w:color w:val="auto"/>
                <w:highlight w:val="none"/>
              </w:rPr>
            </w:pPr>
          </w:p>
        </w:tc>
        <w:tc>
          <w:tcPr>
            <w:tcW w:w="1271" w:type="dxa"/>
          </w:tcPr>
          <w:p w14:paraId="2D079EBA">
            <w:pPr>
              <w:kinsoku/>
              <w:rPr>
                <w:rFonts w:ascii="宋体" w:hAnsi="宋体" w:eastAsia="宋体" w:cs="宋体"/>
                <w:color w:val="auto"/>
                <w:highlight w:val="none"/>
              </w:rPr>
            </w:pPr>
          </w:p>
        </w:tc>
      </w:tr>
      <w:tr w14:paraId="1D4EF0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0D76E6F7">
            <w:pPr>
              <w:kinsoku/>
              <w:rPr>
                <w:rFonts w:ascii="宋体" w:hAnsi="宋体" w:eastAsia="宋体" w:cs="宋体"/>
                <w:color w:val="auto"/>
                <w:highlight w:val="none"/>
              </w:rPr>
            </w:pPr>
          </w:p>
        </w:tc>
        <w:tc>
          <w:tcPr>
            <w:tcW w:w="4177" w:type="dxa"/>
            <w:gridSpan w:val="5"/>
          </w:tcPr>
          <w:p w14:paraId="25CED0E5">
            <w:pPr>
              <w:kinsoku/>
              <w:rPr>
                <w:rFonts w:ascii="宋体" w:hAnsi="宋体" w:eastAsia="宋体" w:cs="宋体"/>
                <w:color w:val="auto"/>
                <w:highlight w:val="none"/>
              </w:rPr>
            </w:pPr>
          </w:p>
        </w:tc>
        <w:tc>
          <w:tcPr>
            <w:tcW w:w="1903" w:type="dxa"/>
            <w:gridSpan w:val="2"/>
          </w:tcPr>
          <w:p w14:paraId="05722D3F">
            <w:pPr>
              <w:kinsoku/>
              <w:rPr>
                <w:rFonts w:ascii="宋体" w:hAnsi="宋体" w:eastAsia="宋体" w:cs="宋体"/>
                <w:color w:val="auto"/>
                <w:highlight w:val="none"/>
              </w:rPr>
            </w:pPr>
          </w:p>
        </w:tc>
        <w:tc>
          <w:tcPr>
            <w:tcW w:w="1271" w:type="dxa"/>
          </w:tcPr>
          <w:p w14:paraId="6FF26383">
            <w:pPr>
              <w:kinsoku/>
              <w:rPr>
                <w:rFonts w:ascii="宋体" w:hAnsi="宋体" w:eastAsia="宋体" w:cs="宋体"/>
                <w:color w:val="auto"/>
                <w:highlight w:val="none"/>
              </w:rPr>
            </w:pPr>
          </w:p>
        </w:tc>
      </w:tr>
      <w:tr w14:paraId="700DE0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273" w:type="dxa"/>
            <w:gridSpan w:val="2"/>
          </w:tcPr>
          <w:p w14:paraId="5A8BCCFB">
            <w:pPr>
              <w:kinsoku/>
              <w:rPr>
                <w:rFonts w:ascii="宋体" w:hAnsi="宋体" w:eastAsia="宋体" w:cs="宋体"/>
                <w:color w:val="auto"/>
                <w:highlight w:val="none"/>
              </w:rPr>
            </w:pPr>
          </w:p>
        </w:tc>
        <w:tc>
          <w:tcPr>
            <w:tcW w:w="4177" w:type="dxa"/>
            <w:gridSpan w:val="5"/>
          </w:tcPr>
          <w:p w14:paraId="5F43E5BA">
            <w:pPr>
              <w:kinsoku/>
              <w:rPr>
                <w:rFonts w:ascii="宋体" w:hAnsi="宋体" w:eastAsia="宋体" w:cs="宋体"/>
                <w:color w:val="auto"/>
                <w:highlight w:val="none"/>
              </w:rPr>
            </w:pPr>
          </w:p>
        </w:tc>
        <w:tc>
          <w:tcPr>
            <w:tcW w:w="1903" w:type="dxa"/>
            <w:gridSpan w:val="2"/>
          </w:tcPr>
          <w:p w14:paraId="4AB62335">
            <w:pPr>
              <w:kinsoku/>
              <w:rPr>
                <w:rFonts w:ascii="宋体" w:hAnsi="宋体" w:eastAsia="宋体" w:cs="宋体"/>
                <w:color w:val="auto"/>
                <w:highlight w:val="none"/>
              </w:rPr>
            </w:pPr>
          </w:p>
        </w:tc>
        <w:tc>
          <w:tcPr>
            <w:tcW w:w="1271" w:type="dxa"/>
          </w:tcPr>
          <w:p w14:paraId="60410DE5">
            <w:pPr>
              <w:kinsoku/>
              <w:rPr>
                <w:rFonts w:ascii="宋体" w:hAnsi="宋体" w:eastAsia="宋体" w:cs="宋体"/>
                <w:color w:val="auto"/>
                <w:highlight w:val="none"/>
              </w:rPr>
            </w:pPr>
          </w:p>
        </w:tc>
      </w:tr>
      <w:tr w14:paraId="5549F8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51130501">
            <w:pPr>
              <w:kinsoku/>
              <w:rPr>
                <w:rFonts w:ascii="宋体" w:hAnsi="宋体" w:eastAsia="宋体" w:cs="宋体"/>
                <w:color w:val="auto"/>
                <w:highlight w:val="none"/>
              </w:rPr>
            </w:pPr>
          </w:p>
        </w:tc>
        <w:tc>
          <w:tcPr>
            <w:tcW w:w="4177" w:type="dxa"/>
            <w:gridSpan w:val="5"/>
          </w:tcPr>
          <w:p w14:paraId="529BD240">
            <w:pPr>
              <w:kinsoku/>
              <w:rPr>
                <w:rFonts w:ascii="宋体" w:hAnsi="宋体" w:eastAsia="宋体" w:cs="宋体"/>
                <w:color w:val="auto"/>
                <w:highlight w:val="none"/>
              </w:rPr>
            </w:pPr>
          </w:p>
        </w:tc>
        <w:tc>
          <w:tcPr>
            <w:tcW w:w="1903" w:type="dxa"/>
            <w:gridSpan w:val="2"/>
          </w:tcPr>
          <w:p w14:paraId="522546F7">
            <w:pPr>
              <w:kinsoku/>
              <w:rPr>
                <w:rFonts w:ascii="宋体" w:hAnsi="宋体" w:eastAsia="宋体" w:cs="宋体"/>
                <w:color w:val="auto"/>
                <w:highlight w:val="none"/>
              </w:rPr>
            </w:pPr>
          </w:p>
        </w:tc>
        <w:tc>
          <w:tcPr>
            <w:tcW w:w="1271" w:type="dxa"/>
          </w:tcPr>
          <w:p w14:paraId="05EAF82C">
            <w:pPr>
              <w:kinsoku/>
              <w:rPr>
                <w:rFonts w:ascii="宋体" w:hAnsi="宋体" w:eastAsia="宋体" w:cs="宋体"/>
                <w:color w:val="auto"/>
                <w:highlight w:val="none"/>
              </w:rPr>
            </w:pPr>
          </w:p>
        </w:tc>
      </w:tr>
      <w:tr w14:paraId="1CAED5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1273" w:type="dxa"/>
            <w:gridSpan w:val="2"/>
          </w:tcPr>
          <w:p w14:paraId="69E14382">
            <w:pPr>
              <w:kinsoku/>
              <w:rPr>
                <w:rFonts w:ascii="宋体" w:hAnsi="宋体" w:eastAsia="宋体" w:cs="宋体"/>
                <w:color w:val="auto"/>
                <w:highlight w:val="none"/>
              </w:rPr>
            </w:pPr>
          </w:p>
        </w:tc>
        <w:tc>
          <w:tcPr>
            <w:tcW w:w="4177" w:type="dxa"/>
            <w:gridSpan w:val="5"/>
          </w:tcPr>
          <w:p w14:paraId="684A32B8">
            <w:pPr>
              <w:kinsoku/>
              <w:rPr>
                <w:rFonts w:ascii="宋体" w:hAnsi="宋体" w:eastAsia="宋体" w:cs="宋体"/>
                <w:color w:val="auto"/>
                <w:highlight w:val="none"/>
              </w:rPr>
            </w:pPr>
          </w:p>
        </w:tc>
        <w:tc>
          <w:tcPr>
            <w:tcW w:w="1903" w:type="dxa"/>
            <w:gridSpan w:val="2"/>
          </w:tcPr>
          <w:p w14:paraId="4F5891F2">
            <w:pPr>
              <w:kinsoku/>
              <w:rPr>
                <w:rFonts w:ascii="宋体" w:hAnsi="宋体" w:eastAsia="宋体" w:cs="宋体"/>
                <w:color w:val="auto"/>
                <w:highlight w:val="none"/>
              </w:rPr>
            </w:pPr>
          </w:p>
        </w:tc>
        <w:tc>
          <w:tcPr>
            <w:tcW w:w="1271" w:type="dxa"/>
          </w:tcPr>
          <w:p w14:paraId="4C2A9BBC">
            <w:pPr>
              <w:kinsoku/>
              <w:rPr>
                <w:rFonts w:ascii="宋体" w:hAnsi="宋体" w:eastAsia="宋体" w:cs="宋体"/>
                <w:color w:val="auto"/>
                <w:highlight w:val="none"/>
              </w:rPr>
            </w:pPr>
          </w:p>
        </w:tc>
      </w:tr>
      <w:tr w14:paraId="372BA8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2607" w:type="dxa"/>
            <w:gridSpan w:val="3"/>
            <w:vAlign w:val="center"/>
          </w:tcPr>
          <w:p w14:paraId="0B1CBFAC">
            <w:pPr>
              <w:kinsoku/>
              <w:spacing w:before="218" w:line="221" w:lineRule="auto"/>
              <w:jc w:val="center"/>
              <w:rPr>
                <w:rFonts w:ascii="宋体" w:hAnsi="宋体" w:eastAsia="宋体" w:cs="宋体"/>
                <w:color w:val="auto"/>
                <w:highlight w:val="none"/>
              </w:rPr>
            </w:pPr>
            <w:r>
              <w:rPr>
                <w:rFonts w:hint="eastAsia" w:ascii="宋体" w:hAnsi="宋体" w:eastAsia="宋体" w:cs="宋体"/>
                <w:color w:val="auto"/>
                <w:highlight w:val="none"/>
              </w:rPr>
              <w:t>获奖情况</w:t>
            </w:r>
          </w:p>
        </w:tc>
        <w:tc>
          <w:tcPr>
            <w:tcW w:w="6017" w:type="dxa"/>
            <w:gridSpan w:val="7"/>
          </w:tcPr>
          <w:p w14:paraId="7F473829">
            <w:pPr>
              <w:kinsoku/>
              <w:rPr>
                <w:rFonts w:ascii="宋体" w:hAnsi="宋体" w:eastAsia="宋体" w:cs="宋体"/>
                <w:color w:val="auto"/>
                <w:highlight w:val="none"/>
              </w:rPr>
            </w:pPr>
          </w:p>
        </w:tc>
      </w:tr>
      <w:tr w14:paraId="09FD4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0" w:hRule="atLeast"/>
        </w:trPr>
        <w:tc>
          <w:tcPr>
            <w:tcW w:w="2607" w:type="dxa"/>
            <w:gridSpan w:val="3"/>
            <w:vAlign w:val="center"/>
          </w:tcPr>
          <w:p w14:paraId="62CEE082">
            <w:pPr>
              <w:kinsoku/>
              <w:spacing w:before="68" w:line="221" w:lineRule="auto"/>
              <w:jc w:val="center"/>
              <w:rPr>
                <w:rFonts w:ascii="宋体" w:hAnsi="宋体" w:eastAsia="宋体" w:cs="宋体"/>
                <w:color w:val="auto"/>
                <w:highlight w:val="none"/>
              </w:rPr>
            </w:pPr>
            <w:r>
              <w:rPr>
                <w:rFonts w:hint="eastAsia" w:ascii="宋体" w:hAnsi="宋体" w:eastAsia="宋体" w:cs="宋体"/>
                <w:color w:val="auto"/>
                <w:highlight w:val="none"/>
              </w:rPr>
              <w:t>目前承担的任务</w:t>
            </w:r>
          </w:p>
        </w:tc>
        <w:tc>
          <w:tcPr>
            <w:tcW w:w="6017" w:type="dxa"/>
            <w:gridSpan w:val="7"/>
          </w:tcPr>
          <w:p w14:paraId="25B0976A">
            <w:pPr>
              <w:kinsoku/>
              <w:rPr>
                <w:rFonts w:ascii="宋体" w:hAnsi="宋体" w:eastAsia="宋体" w:cs="宋体"/>
                <w:color w:val="auto"/>
                <w:highlight w:val="none"/>
              </w:rPr>
            </w:pPr>
          </w:p>
        </w:tc>
      </w:tr>
      <w:tr w14:paraId="52435B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2" w:hRule="atLeast"/>
        </w:trPr>
        <w:tc>
          <w:tcPr>
            <w:tcW w:w="2607" w:type="dxa"/>
            <w:gridSpan w:val="3"/>
            <w:vAlign w:val="center"/>
          </w:tcPr>
          <w:p w14:paraId="21601256">
            <w:pPr>
              <w:kinsoku/>
              <w:spacing w:before="69" w:line="222" w:lineRule="auto"/>
              <w:jc w:val="center"/>
              <w:rPr>
                <w:rFonts w:ascii="宋体" w:hAnsi="宋体" w:eastAsia="宋体" w:cs="宋体"/>
                <w:color w:val="auto"/>
                <w:highlight w:val="none"/>
              </w:rPr>
            </w:pPr>
            <w:r>
              <w:rPr>
                <w:rFonts w:hint="eastAsia" w:ascii="宋体" w:hAnsi="宋体" w:eastAsia="宋体" w:cs="宋体"/>
                <w:color w:val="auto"/>
                <w:highlight w:val="none"/>
              </w:rPr>
              <w:t>备     注</w:t>
            </w:r>
          </w:p>
        </w:tc>
        <w:tc>
          <w:tcPr>
            <w:tcW w:w="6017" w:type="dxa"/>
            <w:gridSpan w:val="7"/>
          </w:tcPr>
          <w:p w14:paraId="14E3AC44">
            <w:pPr>
              <w:kinsoku/>
              <w:rPr>
                <w:rFonts w:ascii="宋体" w:hAnsi="宋体" w:eastAsia="宋体" w:cs="宋体"/>
                <w:color w:val="auto"/>
                <w:highlight w:val="none"/>
              </w:rPr>
            </w:pPr>
          </w:p>
        </w:tc>
      </w:tr>
    </w:tbl>
    <w:p w14:paraId="2B27E093">
      <w:pPr>
        <w:kinsoku/>
        <w:spacing w:before="156" w:line="220" w:lineRule="auto"/>
        <w:ind w:left="41"/>
        <w:rPr>
          <w:rFonts w:ascii="宋体" w:hAnsi="宋体" w:eastAsia="宋体" w:cs="宋体"/>
          <w:color w:val="auto"/>
          <w:highlight w:val="none"/>
          <w:lang w:eastAsia="zh-CN"/>
        </w:rPr>
      </w:pPr>
      <w:r>
        <w:rPr>
          <w:rFonts w:hint="eastAsia" w:ascii="宋体" w:hAnsi="宋体" w:eastAsia="宋体" w:cs="宋体"/>
          <w:color w:val="auto"/>
          <w:highlight w:val="none"/>
          <w:lang w:eastAsia="zh-CN"/>
        </w:rPr>
        <w:t>注：1.本表人员应与表（六）中所列人员相一致。</w:t>
      </w:r>
    </w:p>
    <w:p w14:paraId="608FD610">
      <w:pPr>
        <w:kinsoku/>
        <w:spacing w:before="52" w:line="220" w:lineRule="auto"/>
        <w:jc w:val="right"/>
        <w:rPr>
          <w:rFonts w:ascii="宋体" w:hAnsi="宋体" w:eastAsia="宋体" w:cs="宋体"/>
          <w:color w:val="auto"/>
          <w:highlight w:val="none"/>
          <w:lang w:eastAsia="zh-CN"/>
        </w:rPr>
      </w:pPr>
      <w:r>
        <w:rPr>
          <w:rFonts w:hint="eastAsia" w:ascii="宋体" w:hAnsi="宋体" w:eastAsia="宋体" w:cs="宋体"/>
          <w:color w:val="auto"/>
          <w:highlight w:val="none"/>
          <w:lang w:eastAsia="zh-CN"/>
        </w:rPr>
        <w:t>2.投标人应根据招标文件第二章“投标人须知 ”第3.5.5项的要求在本表后附相关证明材料。</w:t>
      </w:r>
    </w:p>
    <w:p w14:paraId="72E39E3A">
      <w:pPr>
        <w:kinsoku/>
        <w:spacing w:line="261" w:lineRule="auto"/>
        <w:rPr>
          <w:rFonts w:ascii="宋体" w:hAnsi="宋体" w:eastAsia="宋体" w:cs="宋体"/>
          <w:color w:val="auto"/>
          <w:highlight w:val="none"/>
          <w:lang w:eastAsia="zh-CN"/>
        </w:rPr>
      </w:pPr>
    </w:p>
    <w:p w14:paraId="06CE53E6">
      <w:pPr>
        <w:kinsoku/>
        <w:autoSpaceDE/>
        <w:autoSpaceDN/>
        <w:adjustRightInd/>
        <w:snapToGrid/>
        <w:textAlignment w:val="auto"/>
        <w:rPr>
          <w:rFonts w:ascii="宋体" w:hAnsi="宋体" w:eastAsia="宋体" w:cs="宋体"/>
          <w:color w:val="auto"/>
          <w:sz w:val="28"/>
          <w:szCs w:val="28"/>
          <w:highlight w:val="none"/>
          <w:lang w:eastAsia="zh-CN"/>
        </w:rPr>
      </w:pPr>
      <w:r>
        <w:rPr>
          <w:rFonts w:ascii="宋体" w:hAnsi="宋体" w:eastAsia="宋体" w:cs="宋体"/>
          <w:color w:val="auto"/>
          <w:sz w:val="28"/>
          <w:szCs w:val="28"/>
          <w:highlight w:val="none"/>
          <w:lang w:eastAsia="zh-CN"/>
        </w:rPr>
        <w:br w:type="page"/>
      </w:r>
    </w:p>
    <w:p w14:paraId="29FAE97A">
      <w:pPr>
        <w:kinsoku/>
        <w:spacing w:before="91" w:line="219" w:lineRule="auto"/>
        <w:ind w:left="3478"/>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七、其他资料</w:t>
      </w:r>
    </w:p>
    <w:p w14:paraId="382884C1">
      <w:pPr>
        <w:pStyle w:val="20"/>
        <w:ind w:firstLine="0"/>
        <w:rPr>
          <w:color w:val="auto"/>
          <w:highlight w:val="none"/>
          <w:lang w:eastAsia="zh-CN"/>
        </w:rPr>
      </w:pPr>
    </w:p>
    <w:p w14:paraId="07DBD5DD">
      <w:pPr>
        <w:spacing w:line="360" w:lineRule="auto"/>
        <w:rPr>
          <w:rFonts w:ascii="宋体" w:hAnsi="宋体" w:eastAsia="宋体" w:cs="宋体"/>
          <w:color w:val="auto"/>
          <w:sz w:val="24"/>
          <w:szCs w:val="24"/>
          <w:highlight w:val="none"/>
          <w:lang w:eastAsia="zh-CN"/>
        </w:rPr>
      </w:pPr>
      <w:bookmarkStart w:id="395" w:name="_Toc24696"/>
      <w:r>
        <w:rPr>
          <w:rFonts w:hint="eastAsia" w:ascii="宋体" w:hAnsi="宋体" w:eastAsia="宋体" w:cs="宋体"/>
          <w:color w:val="auto"/>
          <w:sz w:val="24"/>
          <w:szCs w:val="24"/>
          <w:highlight w:val="none"/>
          <w:lang w:eastAsia="zh-CN"/>
        </w:rPr>
        <w:t>1.提供“7‐1使用广东省信用评价等级的申请承诺书及附表”</w:t>
      </w:r>
      <w:bookmarkEnd w:id="395"/>
    </w:p>
    <w:p w14:paraId="0307B44E">
      <w:pPr>
        <w:spacing w:line="360" w:lineRule="auto"/>
        <w:rPr>
          <w:rFonts w:ascii="宋体" w:hAnsi="宋体" w:eastAsia="宋体" w:cs="宋体"/>
          <w:color w:val="auto"/>
          <w:sz w:val="24"/>
          <w:szCs w:val="24"/>
          <w:highlight w:val="none"/>
          <w:lang w:eastAsia="zh-CN"/>
        </w:rPr>
      </w:pPr>
      <w:bookmarkStart w:id="396" w:name="_Toc6667"/>
      <w:bookmarkStart w:id="397" w:name="_Toc2150"/>
      <w:r>
        <w:rPr>
          <w:rFonts w:hint="eastAsia" w:ascii="宋体" w:hAnsi="宋体" w:eastAsia="宋体" w:cs="宋体"/>
          <w:color w:val="auto"/>
          <w:sz w:val="24"/>
          <w:szCs w:val="24"/>
          <w:highlight w:val="none"/>
          <w:lang w:eastAsia="zh-CN"/>
        </w:rPr>
        <w:t>2.“7‐2投标人自评分表”；</w:t>
      </w:r>
      <w:bookmarkEnd w:id="396"/>
      <w:bookmarkEnd w:id="397"/>
    </w:p>
    <w:p w14:paraId="0FAA1321">
      <w:pPr>
        <w:spacing w:line="360" w:lineRule="auto"/>
        <w:rPr>
          <w:rFonts w:ascii="宋体" w:hAnsi="宋体" w:eastAsia="宋体" w:cs="宋体"/>
          <w:color w:val="auto"/>
          <w:sz w:val="24"/>
          <w:szCs w:val="24"/>
          <w:highlight w:val="none"/>
          <w:lang w:eastAsia="zh-CN"/>
        </w:rPr>
      </w:pPr>
      <w:bookmarkStart w:id="398" w:name="_Toc19963"/>
      <w:bookmarkStart w:id="399" w:name="_Toc13721"/>
      <w:r>
        <w:rPr>
          <w:rFonts w:hint="eastAsia" w:ascii="宋体" w:hAnsi="宋体" w:eastAsia="宋体" w:cs="宋体"/>
          <w:color w:val="auto"/>
          <w:sz w:val="24"/>
          <w:szCs w:val="24"/>
          <w:highlight w:val="none"/>
          <w:lang w:eastAsia="zh-CN"/>
        </w:rPr>
        <w:t>3.提供最新年度广东省公路工程从业单位信用评价等级（若有），并</w:t>
      </w:r>
      <w:bookmarkEnd w:id="398"/>
      <w:bookmarkStart w:id="400" w:name="_Toc27293"/>
      <w:r>
        <w:rPr>
          <w:rFonts w:hint="eastAsia" w:ascii="宋体" w:hAnsi="宋体" w:eastAsia="宋体" w:cs="宋体"/>
          <w:color w:val="auto"/>
          <w:sz w:val="24"/>
          <w:szCs w:val="24"/>
          <w:highlight w:val="none"/>
          <w:lang w:eastAsia="zh-CN"/>
        </w:rPr>
        <w:t>标识单位所在位置；</w:t>
      </w:r>
      <w:bookmarkEnd w:id="399"/>
      <w:bookmarkEnd w:id="400"/>
    </w:p>
    <w:p w14:paraId="4C6C943E">
      <w:pPr>
        <w:spacing w:line="360" w:lineRule="auto"/>
        <w:rPr>
          <w:rFonts w:ascii="宋体" w:hAnsi="宋体" w:eastAsia="宋体" w:cs="宋体"/>
          <w:color w:val="auto"/>
          <w:sz w:val="24"/>
          <w:szCs w:val="24"/>
          <w:highlight w:val="none"/>
          <w:lang w:eastAsia="zh-CN"/>
        </w:rPr>
      </w:pPr>
      <w:bookmarkStart w:id="401" w:name="_Toc11797"/>
      <w:bookmarkStart w:id="402" w:name="_Toc13429"/>
      <w:r>
        <w:rPr>
          <w:rFonts w:hint="eastAsia" w:ascii="宋体" w:hAnsi="宋体" w:eastAsia="宋体" w:cs="宋体"/>
          <w:color w:val="auto"/>
          <w:sz w:val="24"/>
          <w:szCs w:val="24"/>
          <w:highlight w:val="none"/>
          <w:lang w:eastAsia="zh-CN"/>
        </w:rPr>
        <w:t>4.初次进入广东省且在在最新年度的全国综合评价结果为C级或D级</w:t>
      </w:r>
      <w:bookmarkEnd w:id="401"/>
      <w:bookmarkStart w:id="403" w:name="_Toc3974"/>
      <w:r>
        <w:rPr>
          <w:rFonts w:hint="eastAsia" w:ascii="宋体" w:hAnsi="宋体" w:eastAsia="宋体" w:cs="宋体"/>
          <w:color w:val="auto"/>
          <w:sz w:val="24"/>
          <w:szCs w:val="24"/>
          <w:highlight w:val="none"/>
          <w:lang w:eastAsia="zh-CN"/>
        </w:rPr>
        <w:t>的，提供最新年度的全国综合评价结果单位查询所在页；</w:t>
      </w:r>
      <w:bookmarkEnd w:id="402"/>
      <w:bookmarkEnd w:id="403"/>
    </w:p>
    <w:p w14:paraId="5ABFD75B">
      <w:pPr>
        <w:spacing w:line="360" w:lineRule="auto"/>
        <w:rPr>
          <w:rFonts w:ascii="宋体" w:hAnsi="宋体" w:eastAsia="宋体" w:cs="宋体"/>
          <w:color w:val="auto"/>
          <w:sz w:val="24"/>
          <w:szCs w:val="24"/>
          <w:highlight w:val="none"/>
          <w:lang w:eastAsia="zh-CN"/>
        </w:rPr>
      </w:pPr>
      <w:bookmarkStart w:id="404" w:name="_Toc16345"/>
      <w:bookmarkStart w:id="405" w:name="_Toc1078"/>
      <w:r>
        <w:rPr>
          <w:rFonts w:hint="eastAsia" w:ascii="宋体" w:hAnsi="宋体" w:eastAsia="宋体" w:cs="宋体"/>
          <w:color w:val="auto"/>
          <w:sz w:val="24"/>
          <w:szCs w:val="24"/>
          <w:highlight w:val="none"/>
          <w:lang w:eastAsia="zh-CN"/>
        </w:rPr>
        <w:t>5.如上一年度有信用评价而最新年度在广东省无信用等级的需提供上</w:t>
      </w:r>
      <w:bookmarkEnd w:id="404"/>
      <w:bookmarkStart w:id="406" w:name="_Toc26715"/>
      <w:r>
        <w:rPr>
          <w:rFonts w:hint="eastAsia" w:ascii="宋体" w:hAnsi="宋体" w:eastAsia="宋体" w:cs="宋体"/>
          <w:color w:val="auto"/>
          <w:sz w:val="24"/>
          <w:szCs w:val="24"/>
          <w:highlight w:val="none"/>
          <w:lang w:eastAsia="zh-CN"/>
        </w:rPr>
        <w:t>一年度有信用评价（若有），并标识单位所在位置。</w:t>
      </w:r>
      <w:bookmarkEnd w:id="405"/>
      <w:bookmarkEnd w:id="406"/>
    </w:p>
    <w:p w14:paraId="6255D947">
      <w:pPr>
        <w:spacing w:line="360" w:lineRule="auto"/>
        <w:rPr>
          <w:rFonts w:ascii="宋体" w:hAnsi="宋体" w:eastAsia="宋体" w:cs="宋体"/>
          <w:color w:val="auto"/>
          <w:sz w:val="24"/>
          <w:szCs w:val="24"/>
          <w:highlight w:val="none"/>
          <w:lang w:eastAsia="zh-CN"/>
        </w:rPr>
      </w:pPr>
      <w:bookmarkStart w:id="407" w:name="_Toc23573"/>
      <w:bookmarkStart w:id="408" w:name="_Toc20713"/>
      <w:r>
        <w:rPr>
          <w:rFonts w:hint="eastAsia" w:ascii="宋体" w:hAnsi="宋体" w:eastAsia="宋体" w:cs="宋体"/>
          <w:color w:val="auto"/>
          <w:sz w:val="24"/>
          <w:szCs w:val="24"/>
          <w:highlight w:val="none"/>
          <w:lang w:eastAsia="zh-CN"/>
        </w:rPr>
        <w:t>6.详细说明投标人在递交投标文件截止日前1年内因公路工程质量、</w:t>
      </w:r>
      <w:bookmarkEnd w:id="407"/>
      <w:bookmarkStart w:id="409" w:name="_Toc11287"/>
      <w:r>
        <w:rPr>
          <w:rFonts w:hint="eastAsia" w:ascii="宋体" w:hAnsi="宋体" w:eastAsia="宋体" w:cs="宋体"/>
          <w:color w:val="auto"/>
          <w:sz w:val="24"/>
          <w:szCs w:val="24"/>
          <w:highlight w:val="none"/>
          <w:lang w:eastAsia="zh-CN"/>
        </w:rPr>
        <w:t>安全、履约问题或招标投标问题等原因被交通运输部、广东省交通运输</w:t>
      </w:r>
      <w:bookmarkEnd w:id="409"/>
      <w:bookmarkStart w:id="410" w:name="_Toc8625"/>
      <w:r>
        <w:rPr>
          <w:rFonts w:hint="eastAsia" w:ascii="宋体" w:hAnsi="宋体" w:eastAsia="宋体" w:cs="宋体"/>
          <w:color w:val="auto"/>
          <w:sz w:val="24"/>
          <w:szCs w:val="24"/>
          <w:highlight w:val="none"/>
          <w:lang w:eastAsia="zh-CN"/>
        </w:rPr>
        <w:t>厅、项目所在地（指广东省）各地市级交通运输局（委）、本项目招标人或招标人上级</w:t>
      </w:r>
      <w:bookmarkEnd w:id="410"/>
      <w:bookmarkStart w:id="411" w:name="_Toc6770"/>
      <w:r>
        <w:rPr>
          <w:rFonts w:hint="eastAsia" w:ascii="宋体" w:hAnsi="宋体" w:eastAsia="宋体" w:cs="宋体"/>
          <w:color w:val="auto"/>
          <w:sz w:val="24"/>
          <w:szCs w:val="24"/>
          <w:highlight w:val="none"/>
          <w:lang w:eastAsia="zh-CN"/>
        </w:rPr>
        <w:t>管理单位通报批评文件。</w:t>
      </w:r>
      <w:bookmarkEnd w:id="408"/>
      <w:bookmarkEnd w:id="411"/>
      <w:bookmarkStart w:id="412" w:name="_Toc17454"/>
      <w:bookmarkStart w:id="413" w:name="_Toc5149"/>
    </w:p>
    <w:p w14:paraId="2EB12A67">
      <w:pPr>
        <w:spacing w:line="360" w:lineRule="auto"/>
        <w:rPr>
          <w:rFonts w:ascii="宋体" w:hAnsi="宋体" w:eastAsia="宋体"/>
          <w:color w:val="auto"/>
          <w:szCs w:val="24"/>
          <w:highlight w:val="none"/>
          <w:lang w:eastAsia="zh-CN"/>
        </w:rPr>
      </w:pPr>
      <w:r>
        <w:rPr>
          <w:rFonts w:hint="eastAsia" w:ascii="宋体" w:hAnsi="宋体" w:eastAsia="宋体" w:cs="宋体"/>
          <w:color w:val="auto"/>
          <w:sz w:val="24"/>
          <w:szCs w:val="24"/>
          <w:highlight w:val="none"/>
          <w:lang w:eastAsia="zh-CN"/>
        </w:rPr>
        <w:t>7.投标人认为需要的其它内容</w:t>
      </w:r>
      <w:bookmarkEnd w:id="412"/>
      <w:r>
        <w:rPr>
          <w:rFonts w:hint="eastAsia" w:ascii="宋体" w:hAnsi="宋体" w:eastAsia="宋体" w:cs="宋体"/>
          <w:color w:val="auto"/>
          <w:sz w:val="24"/>
          <w:szCs w:val="24"/>
          <w:highlight w:val="none"/>
          <w:lang w:eastAsia="zh-CN"/>
        </w:rPr>
        <w:t>。</w:t>
      </w:r>
      <w:bookmarkEnd w:id="413"/>
    </w:p>
    <w:p w14:paraId="2E31D57C">
      <w:pPr>
        <w:rPr>
          <w:color w:val="auto"/>
          <w:highlight w:val="none"/>
          <w:lang w:eastAsia="zh-CN"/>
        </w:rPr>
      </w:pPr>
      <w:r>
        <w:rPr>
          <w:color w:val="auto"/>
          <w:highlight w:val="none"/>
          <w:lang w:eastAsia="zh-CN"/>
        </w:rPr>
        <w:br w:type="page"/>
      </w:r>
    </w:p>
    <w:p w14:paraId="6E542A5D">
      <w:pPr>
        <w:pStyle w:val="32"/>
        <w:spacing w:line="360" w:lineRule="auto"/>
        <w:jc w:val="center"/>
        <w:outlineLvl w:val="9"/>
        <w:rPr>
          <w:rFonts w:asciiTheme="majorEastAsia" w:hAnsiTheme="majorEastAsia" w:eastAsiaTheme="majorEastAsia" w:cstheme="majorEastAsia"/>
          <w:color w:val="auto"/>
          <w:sz w:val="28"/>
          <w:szCs w:val="28"/>
          <w:highlight w:val="none"/>
          <w:lang w:eastAsia="zh-CN"/>
        </w:rPr>
      </w:pPr>
      <w:bookmarkStart w:id="414" w:name="_Toc26863"/>
      <w:bookmarkStart w:id="415" w:name="_Toc30468"/>
      <w:r>
        <w:rPr>
          <w:rFonts w:hint="eastAsia" w:asciiTheme="majorEastAsia" w:hAnsiTheme="majorEastAsia" w:eastAsiaTheme="majorEastAsia" w:cstheme="majorEastAsia"/>
          <w:color w:val="auto"/>
          <w:sz w:val="28"/>
          <w:szCs w:val="28"/>
          <w:highlight w:val="none"/>
          <w:lang w:eastAsia="zh-CN"/>
        </w:rPr>
        <w:t>7-1 使用广东省信用评价等级的申请承诺书（格式）</w:t>
      </w:r>
      <w:bookmarkEnd w:id="414"/>
      <w:bookmarkEnd w:id="415"/>
    </w:p>
    <w:p w14:paraId="31BEE71D">
      <w:pPr>
        <w:pStyle w:val="32"/>
        <w:spacing w:line="360" w:lineRule="auto"/>
        <w:outlineLvl w:val="9"/>
        <w:rPr>
          <w:rFonts w:asciiTheme="majorEastAsia" w:hAnsiTheme="majorEastAsia" w:eastAsiaTheme="majorEastAsia" w:cstheme="majorEastAsia"/>
          <w:color w:val="auto"/>
          <w:szCs w:val="24"/>
          <w:highlight w:val="none"/>
          <w:u w:val="single"/>
          <w:lang w:eastAsia="zh-CN"/>
        </w:rPr>
      </w:pPr>
      <w:bookmarkStart w:id="416" w:name="_Toc15104"/>
      <w:bookmarkStart w:id="417" w:name="_Toc3960"/>
      <w:r>
        <w:rPr>
          <w:rFonts w:hint="eastAsia" w:asciiTheme="majorEastAsia" w:hAnsiTheme="majorEastAsia" w:eastAsiaTheme="majorEastAsia" w:cstheme="majorEastAsia"/>
          <w:color w:val="auto"/>
          <w:szCs w:val="24"/>
          <w:highlight w:val="none"/>
          <w:lang w:eastAsia="zh-CN"/>
        </w:rPr>
        <w:t>致招标人：</w:t>
      </w:r>
      <w:r>
        <w:rPr>
          <w:rFonts w:hint="eastAsia" w:asciiTheme="majorEastAsia" w:hAnsiTheme="majorEastAsia" w:eastAsiaTheme="majorEastAsia" w:cstheme="majorEastAsia"/>
          <w:color w:val="auto"/>
          <w:szCs w:val="24"/>
          <w:highlight w:val="none"/>
          <w:u w:val="single"/>
          <w:lang w:eastAsia="zh-CN"/>
        </w:rPr>
        <w:t xml:space="preserve">      （招标人全称）</w:t>
      </w:r>
      <w:bookmarkEnd w:id="416"/>
      <w:bookmarkEnd w:id="417"/>
    </w:p>
    <w:p w14:paraId="6BB3AC06">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18" w:name="_Toc20801"/>
      <w:bookmarkStart w:id="419" w:name="_Toc28302"/>
      <w:r>
        <w:rPr>
          <w:rFonts w:hint="eastAsia" w:asciiTheme="majorEastAsia" w:hAnsiTheme="majorEastAsia" w:eastAsiaTheme="majorEastAsia" w:cstheme="majorEastAsia"/>
          <w:color w:val="auto"/>
          <w:szCs w:val="24"/>
          <w:highlight w:val="none"/>
          <w:lang w:eastAsia="zh-CN"/>
        </w:rPr>
        <w:t>按照《广东省交通运输厅关于进一步贯彻广东省公路水运工程从业企业信用</w:t>
      </w:r>
      <w:bookmarkEnd w:id="418"/>
      <w:bookmarkStart w:id="420" w:name="_Toc16598"/>
      <w:r>
        <w:rPr>
          <w:rFonts w:hint="eastAsia" w:asciiTheme="majorEastAsia" w:hAnsiTheme="majorEastAsia" w:eastAsiaTheme="majorEastAsia" w:cstheme="majorEastAsia"/>
          <w:color w:val="auto"/>
          <w:szCs w:val="24"/>
          <w:highlight w:val="none"/>
          <w:lang w:eastAsia="zh-CN"/>
        </w:rPr>
        <w:t>评价管理办法的实施意见的通知》（粤交基〔2014〕564号）要求，现我单位对</w:t>
      </w:r>
      <w:bookmarkEnd w:id="420"/>
      <w:bookmarkStart w:id="421" w:name="_Toc5114"/>
      <w:r>
        <w:rPr>
          <w:rFonts w:hint="eastAsia" w:asciiTheme="majorEastAsia" w:hAnsiTheme="majorEastAsia" w:eastAsiaTheme="majorEastAsia" w:cstheme="majorEastAsia"/>
          <w:color w:val="auto"/>
          <w:szCs w:val="24"/>
          <w:highlight w:val="none"/>
          <w:lang w:eastAsia="zh-CN"/>
        </w:rPr>
        <w:t>使用信用等级申请如下：</w:t>
      </w:r>
      <w:bookmarkEnd w:id="419"/>
      <w:bookmarkEnd w:id="421"/>
    </w:p>
    <w:p w14:paraId="248FF473">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22" w:name="_Toc18963"/>
      <w:bookmarkStart w:id="423" w:name="_Toc21546"/>
      <w:r>
        <w:rPr>
          <w:rFonts w:hint="eastAsia" w:asciiTheme="majorEastAsia" w:hAnsiTheme="majorEastAsia" w:eastAsiaTheme="majorEastAsia" w:cstheme="majorEastAsia"/>
          <w:color w:val="auto"/>
          <w:szCs w:val="24"/>
          <w:highlight w:val="none"/>
          <w:lang w:eastAsia="zh-CN"/>
        </w:rPr>
        <w:t>一、我单位在</w:t>
      </w:r>
      <w:r>
        <w:rPr>
          <w:rFonts w:hint="eastAsia" w:asciiTheme="majorEastAsia" w:hAnsiTheme="majorEastAsia" w:eastAsiaTheme="majorEastAsia" w:cstheme="majorEastAsia"/>
          <w:color w:val="auto"/>
          <w:szCs w:val="24"/>
          <w:highlight w:val="none"/>
          <w:u w:val="single"/>
          <w:lang w:eastAsia="zh-CN"/>
        </w:rPr>
        <w:t xml:space="preserve">         项目</w:t>
      </w:r>
      <w:r>
        <w:rPr>
          <w:rFonts w:hint="eastAsia" w:asciiTheme="majorEastAsia" w:hAnsiTheme="majorEastAsia" w:eastAsiaTheme="majorEastAsia" w:cstheme="majorEastAsia"/>
          <w:color w:val="auto"/>
          <w:szCs w:val="24"/>
          <w:highlight w:val="none"/>
          <w:lang w:eastAsia="zh-CN"/>
        </w:rPr>
        <w:t>施工图设计的招标中，</w:t>
      </w:r>
      <w:r>
        <w:rPr>
          <w:rFonts w:hint="eastAsia" w:asciiTheme="majorEastAsia" w:hAnsiTheme="majorEastAsia" w:eastAsiaTheme="majorEastAsia" w:cstheme="majorEastAsia"/>
          <w:b/>
          <w:bCs/>
          <w:color w:val="auto"/>
          <w:szCs w:val="24"/>
          <w:highlight w:val="none"/>
          <w:lang w:eastAsia="zh-CN"/>
        </w:rPr>
        <w:t>第</w:t>
      </w:r>
      <w:r>
        <w:rPr>
          <w:rFonts w:hint="eastAsia" w:asciiTheme="majorEastAsia" w:hAnsiTheme="majorEastAsia" w:eastAsiaTheme="majorEastAsia" w:cstheme="majorEastAsia"/>
          <w:b/>
          <w:bCs/>
          <w:color w:val="auto"/>
          <w:szCs w:val="24"/>
          <w:highlight w:val="none"/>
          <w:u w:val="single"/>
          <w:lang w:eastAsia="zh-CN"/>
        </w:rPr>
        <w:t xml:space="preserve">   </w:t>
      </w:r>
      <w:r>
        <w:rPr>
          <w:rFonts w:hint="eastAsia" w:asciiTheme="majorEastAsia" w:hAnsiTheme="majorEastAsia" w:eastAsiaTheme="majorEastAsia" w:cstheme="majorEastAsia"/>
          <w:b/>
          <w:bCs/>
          <w:color w:val="auto"/>
          <w:szCs w:val="24"/>
          <w:highlight w:val="none"/>
          <w:lang w:eastAsia="zh-CN"/>
        </w:rPr>
        <w:t>次使用（或不使</w:t>
      </w:r>
      <w:bookmarkEnd w:id="422"/>
      <w:bookmarkStart w:id="424" w:name="_Toc6568"/>
      <w:r>
        <w:rPr>
          <w:rFonts w:hint="eastAsia" w:asciiTheme="majorEastAsia" w:hAnsiTheme="majorEastAsia" w:eastAsiaTheme="majorEastAsia" w:cstheme="majorEastAsia"/>
          <w:b/>
          <w:bCs/>
          <w:color w:val="auto"/>
          <w:szCs w:val="24"/>
          <w:highlight w:val="none"/>
          <w:lang w:eastAsia="zh-CN"/>
        </w:rPr>
        <w:t>用）</w:t>
      </w:r>
      <w:bookmarkEnd w:id="424"/>
      <w:bookmarkStart w:id="425" w:name="_Toc28096"/>
      <w:r>
        <w:rPr>
          <w:rFonts w:hint="eastAsia" w:asciiTheme="majorEastAsia" w:hAnsiTheme="majorEastAsia" w:eastAsiaTheme="majorEastAsia" w:cstheme="majorEastAsia"/>
          <w:color w:val="auto"/>
          <w:szCs w:val="24"/>
          <w:highlight w:val="none"/>
          <w:lang w:eastAsia="zh-CN"/>
        </w:rPr>
        <w:t>广东省交通运输厅发布的</w:t>
      </w:r>
      <w:r>
        <w:rPr>
          <w:rFonts w:hint="eastAsia" w:asciiTheme="majorEastAsia" w:hAnsiTheme="majorEastAsia" w:eastAsiaTheme="majorEastAsia" w:cstheme="majorEastAsia"/>
          <w:color w:val="auto"/>
          <w:szCs w:val="24"/>
          <w:highlight w:val="none"/>
          <w:u w:val="single"/>
          <w:lang w:eastAsia="zh-CN"/>
        </w:rPr>
        <w:t xml:space="preserve">    </w:t>
      </w:r>
      <w:r>
        <w:rPr>
          <w:rFonts w:hint="eastAsia" w:asciiTheme="majorEastAsia" w:hAnsiTheme="majorEastAsia" w:eastAsiaTheme="majorEastAsia" w:cstheme="majorEastAsia"/>
          <w:color w:val="auto"/>
          <w:szCs w:val="24"/>
          <w:highlight w:val="none"/>
          <w:lang w:eastAsia="zh-CN"/>
        </w:rPr>
        <w:t>年度信用评价</w:t>
      </w:r>
      <w:r>
        <w:rPr>
          <w:rFonts w:hint="eastAsia" w:asciiTheme="majorEastAsia" w:hAnsiTheme="majorEastAsia" w:eastAsiaTheme="majorEastAsia" w:cstheme="majorEastAsia"/>
          <w:color w:val="auto"/>
          <w:szCs w:val="24"/>
          <w:highlight w:val="none"/>
          <w:u w:val="single"/>
          <w:lang w:eastAsia="zh-CN"/>
        </w:rPr>
        <w:t xml:space="preserve">    </w:t>
      </w:r>
      <w:r>
        <w:rPr>
          <w:rFonts w:hint="eastAsia" w:asciiTheme="majorEastAsia" w:hAnsiTheme="majorEastAsia" w:eastAsiaTheme="majorEastAsia" w:cstheme="majorEastAsia"/>
          <w:color w:val="auto"/>
          <w:szCs w:val="24"/>
          <w:highlight w:val="none"/>
          <w:lang w:eastAsia="zh-CN"/>
        </w:rPr>
        <w:t>等级结果和对应等级分值。</w:t>
      </w:r>
      <w:bookmarkEnd w:id="423"/>
      <w:bookmarkEnd w:id="425"/>
    </w:p>
    <w:p w14:paraId="5E2F5298">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26" w:name="_Toc14949"/>
      <w:bookmarkStart w:id="427" w:name="_Toc26162"/>
      <w:r>
        <w:rPr>
          <w:rFonts w:hint="eastAsia" w:asciiTheme="majorEastAsia" w:hAnsiTheme="majorEastAsia" w:eastAsiaTheme="majorEastAsia" w:cstheme="majorEastAsia"/>
          <w:color w:val="auto"/>
          <w:szCs w:val="24"/>
          <w:highlight w:val="none"/>
          <w:lang w:eastAsia="zh-CN"/>
        </w:rPr>
        <w:t>二、我单位承诺，在递交本次申请后，我单位将失去一次使用</w:t>
      </w:r>
      <w:r>
        <w:rPr>
          <w:rFonts w:hint="eastAsia" w:asciiTheme="majorEastAsia" w:hAnsiTheme="majorEastAsia" w:eastAsiaTheme="majorEastAsia" w:cstheme="majorEastAsia"/>
          <w:color w:val="auto"/>
          <w:szCs w:val="24"/>
          <w:highlight w:val="none"/>
          <w:u w:val="single"/>
          <w:lang w:eastAsia="zh-CN"/>
        </w:rPr>
        <w:t xml:space="preserve">    </w:t>
      </w:r>
      <w:r>
        <w:rPr>
          <w:rFonts w:hint="eastAsia" w:asciiTheme="majorEastAsia" w:hAnsiTheme="majorEastAsia" w:eastAsiaTheme="majorEastAsia" w:cstheme="majorEastAsia"/>
          <w:color w:val="auto"/>
          <w:szCs w:val="24"/>
          <w:highlight w:val="none"/>
          <w:lang w:eastAsia="zh-CN"/>
        </w:rPr>
        <w:t>等级结果</w:t>
      </w:r>
      <w:bookmarkEnd w:id="426"/>
      <w:bookmarkStart w:id="428" w:name="_Toc27150"/>
      <w:r>
        <w:rPr>
          <w:rFonts w:hint="eastAsia" w:asciiTheme="majorEastAsia" w:hAnsiTheme="majorEastAsia" w:eastAsiaTheme="majorEastAsia" w:cstheme="majorEastAsia"/>
          <w:b/>
          <w:bCs/>
          <w:color w:val="auto"/>
          <w:szCs w:val="24"/>
          <w:highlight w:val="none"/>
          <w:lang w:eastAsia="zh-CN"/>
        </w:rPr>
        <w:t>（不使用时上述填“/”）</w:t>
      </w:r>
      <w:r>
        <w:rPr>
          <w:rFonts w:hint="eastAsia" w:asciiTheme="majorEastAsia" w:hAnsiTheme="majorEastAsia" w:eastAsiaTheme="majorEastAsia" w:cstheme="majorEastAsia"/>
          <w:color w:val="auto"/>
          <w:szCs w:val="24"/>
          <w:highlight w:val="none"/>
          <w:lang w:eastAsia="zh-CN"/>
        </w:rPr>
        <w:t>参与投标的机会。当累计使用超过粤交基〔2014〕564</w:t>
      </w:r>
      <w:bookmarkEnd w:id="428"/>
      <w:bookmarkStart w:id="429" w:name="_Toc28661"/>
      <w:r>
        <w:rPr>
          <w:rFonts w:hint="eastAsia" w:asciiTheme="majorEastAsia" w:hAnsiTheme="majorEastAsia" w:eastAsiaTheme="majorEastAsia" w:cstheme="majorEastAsia"/>
          <w:color w:val="auto"/>
          <w:szCs w:val="24"/>
          <w:highlight w:val="none"/>
          <w:lang w:eastAsia="zh-CN"/>
        </w:rPr>
        <w:t>号规定的次数，我单位同意按降低一个信用等级对应分值来认定参与投标评审。</w:t>
      </w:r>
      <w:bookmarkEnd w:id="427"/>
      <w:bookmarkEnd w:id="429"/>
    </w:p>
    <w:p w14:paraId="660BD089">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30" w:name="_Toc24201"/>
      <w:bookmarkStart w:id="431" w:name="_Toc17718"/>
      <w:r>
        <w:rPr>
          <w:rFonts w:hint="eastAsia" w:asciiTheme="majorEastAsia" w:hAnsiTheme="majorEastAsia" w:eastAsiaTheme="majorEastAsia" w:cstheme="majorEastAsia"/>
          <w:color w:val="auto"/>
          <w:szCs w:val="24"/>
          <w:highlight w:val="none"/>
          <w:lang w:eastAsia="zh-CN"/>
        </w:rPr>
        <w:t>三、如果我单位发生违反粤交基〔2014〕564号规定使用信用等级结果的情</w:t>
      </w:r>
      <w:bookmarkEnd w:id="430"/>
      <w:bookmarkStart w:id="432" w:name="_Toc5416"/>
      <w:r>
        <w:rPr>
          <w:rFonts w:hint="eastAsia" w:asciiTheme="majorEastAsia" w:hAnsiTheme="majorEastAsia" w:eastAsiaTheme="majorEastAsia" w:cstheme="majorEastAsia"/>
          <w:color w:val="auto"/>
          <w:szCs w:val="24"/>
          <w:highlight w:val="none"/>
          <w:lang w:eastAsia="zh-CN"/>
        </w:rPr>
        <w:t>形，自愿接受省级交通运输主管部门的处理。</w:t>
      </w:r>
      <w:bookmarkEnd w:id="431"/>
      <w:bookmarkEnd w:id="432"/>
    </w:p>
    <w:p w14:paraId="1BD2A8A0">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33" w:name="_Toc8361"/>
      <w:bookmarkStart w:id="434" w:name="_Toc4035"/>
      <w:r>
        <w:rPr>
          <w:rFonts w:hint="eastAsia" w:asciiTheme="majorEastAsia" w:hAnsiTheme="majorEastAsia" w:eastAsiaTheme="majorEastAsia" w:cstheme="majorEastAsia"/>
          <w:color w:val="auto"/>
          <w:szCs w:val="24"/>
          <w:highlight w:val="none"/>
          <w:lang w:eastAsia="zh-CN"/>
        </w:rPr>
        <w:t>附件：</w:t>
      </w:r>
      <w:r>
        <w:rPr>
          <w:rFonts w:hint="eastAsia" w:asciiTheme="majorEastAsia" w:hAnsiTheme="majorEastAsia" w:eastAsiaTheme="majorEastAsia" w:cstheme="majorEastAsia"/>
          <w:color w:val="auto"/>
          <w:szCs w:val="24"/>
          <w:highlight w:val="none"/>
          <w:u w:val="single"/>
          <w:lang w:eastAsia="zh-CN"/>
        </w:rPr>
        <w:t xml:space="preserve">    </w:t>
      </w:r>
      <w:r>
        <w:rPr>
          <w:rFonts w:hint="eastAsia" w:asciiTheme="majorEastAsia" w:hAnsiTheme="majorEastAsia" w:eastAsiaTheme="majorEastAsia" w:cstheme="majorEastAsia"/>
          <w:color w:val="auto"/>
          <w:szCs w:val="24"/>
          <w:highlight w:val="none"/>
          <w:lang w:eastAsia="zh-CN"/>
        </w:rPr>
        <w:t>单位使用</w:t>
      </w:r>
      <w:r>
        <w:rPr>
          <w:rFonts w:hint="eastAsia" w:asciiTheme="majorEastAsia" w:hAnsiTheme="majorEastAsia" w:eastAsiaTheme="majorEastAsia" w:cstheme="majorEastAsia"/>
          <w:color w:val="auto"/>
          <w:szCs w:val="24"/>
          <w:highlight w:val="none"/>
          <w:u w:val="single"/>
          <w:lang w:eastAsia="zh-CN"/>
        </w:rPr>
        <w:t xml:space="preserve">    </w:t>
      </w:r>
      <w:r>
        <w:rPr>
          <w:rFonts w:hint="eastAsia" w:asciiTheme="majorEastAsia" w:hAnsiTheme="majorEastAsia" w:eastAsiaTheme="majorEastAsia" w:cstheme="majorEastAsia"/>
          <w:color w:val="auto"/>
          <w:szCs w:val="24"/>
          <w:highlight w:val="none"/>
          <w:lang w:eastAsia="zh-CN"/>
        </w:rPr>
        <w:t>年度广东省公路工程从业单位（设计单位）信</w:t>
      </w:r>
      <w:bookmarkEnd w:id="433"/>
      <w:bookmarkStart w:id="435" w:name="_Toc3257"/>
      <w:r>
        <w:rPr>
          <w:rFonts w:hint="eastAsia" w:asciiTheme="majorEastAsia" w:hAnsiTheme="majorEastAsia" w:eastAsiaTheme="majorEastAsia" w:cstheme="majorEastAsia"/>
          <w:color w:val="auto"/>
          <w:szCs w:val="24"/>
          <w:highlight w:val="none"/>
          <w:lang w:eastAsia="zh-CN"/>
        </w:rPr>
        <w:t>用等级情况汇总表</w:t>
      </w:r>
      <w:bookmarkEnd w:id="434"/>
      <w:bookmarkEnd w:id="435"/>
    </w:p>
    <w:p w14:paraId="16BA29A9">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bookmarkStart w:id="436" w:name="_Toc17537"/>
      <w:bookmarkStart w:id="437" w:name="_Toc1732"/>
      <w:r>
        <w:rPr>
          <w:rFonts w:hint="eastAsia" w:asciiTheme="majorEastAsia" w:hAnsiTheme="majorEastAsia" w:eastAsiaTheme="majorEastAsia" w:cstheme="majorEastAsia"/>
          <w:color w:val="auto"/>
          <w:szCs w:val="24"/>
          <w:highlight w:val="none"/>
          <w:lang w:eastAsia="zh-CN"/>
        </w:rPr>
        <w:t>特此承诺</w:t>
      </w:r>
      <w:bookmarkEnd w:id="436"/>
      <w:bookmarkEnd w:id="437"/>
    </w:p>
    <w:p w14:paraId="7A6F74B9">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p>
    <w:p w14:paraId="6E595509">
      <w:pPr>
        <w:pStyle w:val="32"/>
        <w:spacing w:line="360" w:lineRule="auto"/>
        <w:ind w:firstLine="480" w:firstLineChars="200"/>
        <w:outlineLvl w:val="9"/>
        <w:rPr>
          <w:rFonts w:asciiTheme="majorEastAsia" w:hAnsiTheme="majorEastAsia" w:eastAsiaTheme="majorEastAsia" w:cstheme="majorEastAsia"/>
          <w:color w:val="auto"/>
          <w:szCs w:val="24"/>
          <w:highlight w:val="none"/>
          <w:lang w:eastAsia="zh-CN"/>
        </w:rPr>
      </w:pPr>
    </w:p>
    <w:p w14:paraId="659C24A9">
      <w:pPr>
        <w:pStyle w:val="32"/>
        <w:spacing w:line="360" w:lineRule="auto"/>
        <w:jc w:val="center"/>
        <w:outlineLvl w:val="9"/>
        <w:rPr>
          <w:rFonts w:asciiTheme="majorEastAsia" w:hAnsiTheme="majorEastAsia" w:eastAsiaTheme="majorEastAsia" w:cstheme="majorEastAsia"/>
          <w:color w:val="auto"/>
          <w:szCs w:val="24"/>
          <w:highlight w:val="none"/>
          <w:u w:val="single"/>
          <w:lang w:eastAsia="zh-CN"/>
        </w:rPr>
      </w:pPr>
      <w:bookmarkStart w:id="438" w:name="_Toc24610"/>
      <w:r>
        <w:rPr>
          <w:rFonts w:hint="eastAsia" w:asciiTheme="majorEastAsia" w:hAnsiTheme="majorEastAsia" w:eastAsiaTheme="majorEastAsia" w:cstheme="majorEastAsia"/>
          <w:color w:val="auto"/>
          <w:szCs w:val="24"/>
          <w:highlight w:val="none"/>
          <w:lang w:eastAsia="zh-CN"/>
        </w:rPr>
        <w:t xml:space="preserve">   </w:t>
      </w:r>
      <w:bookmarkStart w:id="439" w:name="_Toc18311"/>
      <w:r>
        <w:rPr>
          <w:rFonts w:hint="eastAsia" w:asciiTheme="majorEastAsia" w:hAnsiTheme="majorEastAsia" w:eastAsiaTheme="majorEastAsia" w:cstheme="majorEastAsia"/>
          <w:color w:val="auto"/>
          <w:szCs w:val="24"/>
          <w:highlight w:val="none"/>
          <w:lang w:eastAsia="zh-CN"/>
        </w:rPr>
        <w:t>投标人（单位全称）：</w:t>
      </w:r>
      <w:bookmarkEnd w:id="438"/>
      <w:bookmarkEnd w:id="439"/>
    </w:p>
    <w:p w14:paraId="7D7FEF26">
      <w:pPr>
        <w:pStyle w:val="32"/>
        <w:spacing w:line="360" w:lineRule="auto"/>
        <w:jc w:val="center"/>
        <w:outlineLvl w:val="9"/>
        <w:rPr>
          <w:rFonts w:asciiTheme="majorEastAsia" w:hAnsiTheme="majorEastAsia" w:eastAsiaTheme="majorEastAsia" w:cstheme="majorEastAsia"/>
          <w:color w:val="auto"/>
          <w:szCs w:val="24"/>
          <w:highlight w:val="none"/>
          <w:u w:val="single"/>
          <w:lang w:eastAsia="zh-CN"/>
        </w:rPr>
      </w:pPr>
      <w:bookmarkStart w:id="440" w:name="_Toc14073"/>
      <w:r>
        <w:rPr>
          <w:rFonts w:hint="eastAsia" w:asciiTheme="majorEastAsia" w:hAnsiTheme="majorEastAsia" w:eastAsiaTheme="majorEastAsia" w:cstheme="majorEastAsia"/>
          <w:color w:val="auto"/>
          <w:szCs w:val="24"/>
          <w:highlight w:val="none"/>
          <w:lang w:eastAsia="zh-CN"/>
        </w:rPr>
        <w:t xml:space="preserve">               </w:t>
      </w:r>
      <w:bookmarkStart w:id="441" w:name="_Toc32610"/>
      <w:r>
        <w:rPr>
          <w:rFonts w:hint="eastAsia" w:asciiTheme="majorEastAsia" w:hAnsiTheme="majorEastAsia" w:eastAsiaTheme="majorEastAsia" w:cstheme="majorEastAsia"/>
          <w:color w:val="auto"/>
          <w:szCs w:val="24"/>
          <w:highlight w:val="none"/>
          <w:lang w:eastAsia="zh-CN"/>
        </w:rPr>
        <w:t>投标人的法定代表人或授权人签名：</w:t>
      </w:r>
      <w:bookmarkEnd w:id="440"/>
      <w:bookmarkEnd w:id="441"/>
    </w:p>
    <w:p w14:paraId="146473D9">
      <w:pPr>
        <w:pStyle w:val="32"/>
        <w:spacing w:line="360" w:lineRule="auto"/>
        <w:jc w:val="center"/>
        <w:outlineLvl w:val="9"/>
        <w:rPr>
          <w:rFonts w:asciiTheme="majorEastAsia" w:hAnsiTheme="majorEastAsia" w:eastAsiaTheme="majorEastAsia" w:cstheme="majorEastAsia"/>
          <w:color w:val="auto"/>
          <w:szCs w:val="24"/>
          <w:highlight w:val="none"/>
          <w:lang w:eastAsia="zh-CN"/>
        </w:rPr>
      </w:pPr>
      <w:bookmarkStart w:id="442" w:name="_Toc7503"/>
      <w:r>
        <w:rPr>
          <w:rFonts w:hint="eastAsia" w:asciiTheme="majorEastAsia" w:hAnsiTheme="majorEastAsia" w:eastAsiaTheme="majorEastAsia" w:cstheme="majorEastAsia"/>
          <w:color w:val="auto"/>
          <w:szCs w:val="24"/>
          <w:highlight w:val="none"/>
          <w:lang w:eastAsia="zh-CN"/>
        </w:rPr>
        <w:t xml:space="preserve">                                           </w:t>
      </w:r>
      <w:bookmarkStart w:id="443" w:name="_Toc26365"/>
      <w:r>
        <w:rPr>
          <w:rFonts w:hint="eastAsia" w:asciiTheme="majorEastAsia" w:hAnsiTheme="majorEastAsia" w:eastAsiaTheme="majorEastAsia" w:cstheme="majorEastAsia"/>
          <w:color w:val="auto"/>
          <w:szCs w:val="24"/>
          <w:highlight w:val="none"/>
          <w:lang w:eastAsia="zh-CN"/>
        </w:rPr>
        <w:t>202×年××月××日</w:t>
      </w:r>
      <w:bookmarkEnd w:id="442"/>
      <w:bookmarkEnd w:id="443"/>
    </w:p>
    <w:p w14:paraId="49FC8EC5">
      <w:pPr>
        <w:pStyle w:val="32"/>
        <w:spacing w:line="360" w:lineRule="auto"/>
        <w:outlineLvl w:val="9"/>
        <w:rPr>
          <w:rFonts w:asciiTheme="majorEastAsia" w:hAnsiTheme="majorEastAsia" w:eastAsiaTheme="majorEastAsia" w:cstheme="majorEastAsia"/>
          <w:color w:val="auto"/>
          <w:sz w:val="21"/>
          <w:szCs w:val="21"/>
          <w:highlight w:val="none"/>
          <w:lang w:eastAsia="zh-CN"/>
        </w:rPr>
      </w:pPr>
      <w:bookmarkStart w:id="444" w:name="_Toc11945"/>
    </w:p>
    <w:p w14:paraId="2414DA88">
      <w:pPr>
        <w:pStyle w:val="32"/>
        <w:spacing w:line="360" w:lineRule="auto"/>
        <w:outlineLvl w:val="9"/>
        <w:rPr>
          <w:rFonts w:asciiTheme="majorEastAsia" w:hAnsiTheme="majorEastAsia" w:eastAsiaTheme="majorEastAsia" w:cstheme="majorEastAsia"/>
          <w:color w:val="auto"/>
          <w:sz w:val="21"/>
          <w:szCs w:val="21"/>
          <w:highlight w:val="none"/>
          <w:lang w:eastAsia="zh-CN"/>
        </w:rPr>
      </w:pPr>
      <w:bookmarkStart w:id="445" w:name="_Toc19671"/>
      <w:r>
        <w:rPr>
          <w:rFonts w:hint="eastAsia" w:asciiTheme="majorEastAsia" w:hAnsiTheme="majorEastAsia" w:eastAsiaTheme="majorEastAsia" w:cstheme="majorEastAsia"/>
          <w:color w:val="auto"/>
          <w:sz w:val="21"/>
          <w:szCs w:val="21"/>
          <w:highlight w:val="none"/>
          <w:lang w:eastAsia="zh-CN"/>
        </w:rPr>
        <w:t>注：1、AA、A级信用等级企业必须填写此申请承诺书；选择“使用”时需和附表（</w:t>
      </w:r>
      <w:r>
        <w:rPr>
          <w:rFonts w:hint="eastAsia" w:asciiTheme="majorEastAsia" w:hAnsiTheme="majorEastAsia" w:eastAsiaTheme="majorEastAsia" w:cstheme="majorEastAsia"/>
          <w:color w:val="auto"/>
          <w:sz w:val="21"/>
          <w:szCs w:val="21"/>
          <w:highlight w:val="none"/>
          <w:u w:val="single"/>
          <w:lang w:eastAsia="zh-CN"/>
        </w:rPr>
        <w:t xml:space="preserve">     </w:t>
      </w:r>
      <w:r>
        <w:rPr>
          <w:rFonts w:hint="eastAsia" w:asciiTheme="majorEastAsia" w:hAnsiTheme="majorEastAsia" w:eastAsiaTheme="majorEastAsia" w:cstheme="majorEastAsia"/>
          <w:color w:val="auto"/>
          <w:sz w:val="21"/>
          <w:szCs w:val="21"/>
          <w:highlight w:val="none"/>
          <w:lang w:eastAsia="zh-CN"/>
        </w:rPr>
        <w:t>单</w:t>
      </w:r>
      <w:bookmarkEnd w:id="444"/>
      <w:bookmarkStart w:id="446" w:name="_Toc24250"/>
      <w:r>
        <w:rPr>
          <w:rFonts w:hint="eastAsia" w:asciiTheme="majorEastAsia" w:hAnsiTheme="majorEastAsia" w:eastAsiaTheme="majorEastAsia" w:cstheme="majorEastAsia"/>
          <w:color w:val="auto"/>
          <w:sz w:val="21"/>
          <w:szCs w:val="21"/>
          <w:highlight w:val="none"/>
          <w:lang w:eastAsia="zh-CN"/>
        </w:rPr>
        <w:t>位使用</w:t>
      </w:r>
      <w:r>
        <w:rPr>
          <w:rFonts w:hint="eastAsia" w:asciiTheme="majorEastAsia" w:hAnsiTheme="majorEastAsia" w:eastAsiaTheme="majorEastAsia" w:cstheme="majorEastAsia"/>
          <w:color w:val="auto"/>
          <w:sz w:val="21"/>
          <w:szCs w:val="21"/>
          <w:highlight w:val="none"/>
          <w:u w:val="single"/>
          <w:lang w:eastAsia="zh-CN"/>
        </w:rPr>
        <w:t xml:space="preserve">     </w:t>
      </w:r>
      <w:r>
        <w:rPr>
          <w:rFonts w:hint="eastAsia" w:asciiTheme="majorEastAsia" w:hAnsiTheme="majorEastAsia" w:eastAsiaTheme="majorEastAsia" w:cstheme="majorEastAsia"/>
          <w:color w:val="auto"/>
          <w:sz w:val="21"/>
          <w:szCs w:val="21"/>
          <w:highlight w:val="none"/>
          <w:lang w:eastAsia="zh-CN"/>
        </w:rPr>
        <w:t>年度广东省公路工程从业单位（设计单位）信用等级情况汇总表）一起编入投</w:t>
      </w:r>
      <w:bookmarkEnd w:id="446"/>
      <w:bookmarkStart w:id="447" w:name="_Toc20118"/>
      <w:r>
        <w:rPr>
          <w:rFonts w:hint="eastAsia" w:asciiTheme="majorEastAsia" w:hAnsiTheme="majorEastAsia" w:eastAsiaTheme="majorEastAsia" w:cstheme="majorEastAsia"/>
          <w:color w:val="auto"/>
          <w:sz w:val="21"/>
          <w:szCs w:val="21"/>
          <w:highlight w:val="none"/>
          <w:lang w:eastAsia="zh-CN"/>
        </w:rPr>
        <w:t>标文件中。</w:t>
      </w:r>
      <w:bookmarkEnd w:id="445"/>
      <w:bookmarkEnd w:id="447"/>
    </w:p>
    <w:p w14:paraId="6A59FC55">
      <w:pPr>
        <w:pStyle w:val="32"/>
        <w:spacing w:line="360" w:lineRule="auto"/>
        <w:outlineLvl w:val="9"/>
        <w:rPr>
          <w:rFonts w:asciiTheme="majorEastAsia" w:hAnsiTheme="majorEastAsia" w:eastAsiaTheme="majorEastAsia" w:cstheme="majorEastAsia"/>
          <w:color w:val="auto"/>
          <w:sz w:val="21"/>
          <w:szCs w:val="21"/>
          <w:highlight w:val="none"/>
          <w:lang w:eastAsia="zh-CN"/>
        </w:rPr>
      </w:pPr>
      <w:bookmarkStart w:id="448" w:name="_Toc14726"/>
      <w:bookmarkStart w:id="449" w:name="_Toc9916"/>
      <w:r>
        <w:rPr>
          <w:rFonts w:hint="eastAsia" w:asciiTheme="majorEastAsia" w:hAnsiTheme="majorEastAsia" w:eastAsiaTheme="majorEastAsia" w:cstheme="majorEastAsia"/>
          <w:color w:val="auto"/>
          <w:sz w:val="21"/>
          <w:szCs w:val="21"/>
          <w:highlight w:val="none"/>
          <w:lang w:eastAsia="zh-CN"/>
        </w:rPr>
        <w:t>2、AA、A级信用等级企业应区分标段、分别填写并提交此申请承诺书；如同时对多个标段选择</w:t>
      </w:r>
      <w:bookmarkEnd w:id="448"/>
      <w:bookmarkStart w:id="450" w:name="_Toc22814"/>
      <w:r>
        <w:rPr>
          <w:rFonts w:hint="eastAsia" w:asciiTheme="majorEastAsia" w:hAnsiTheme="majorEastAsia" w:eastAsiaTheme="majorEastAsia" w:cstheme="majorEastAsia"/>
          <w:color w:val="auto"/>
          <w:sz w:val="21"/>
          <w:szCs w:val="21"/>
          <w:highlight w:val="none"/>
          <w:lang w:eastAsia="zh-CN"/>
        </w:rPr>
        <w:t>“使用”时，使用次数应按标段累加（即各个标段申请承诺书的使用次数应不一致）。如同时对</w:t>
      </w:r>
      <w:bookmarkEnd w:id="450"/>
      <w:bookmarkStart w:id="451" w:name="_Toc26963"/>
      <w:r>
        <w:rPr>
          <w:rFonts w:hint="eastAsia" w:asciiTheme="majorEastAsia" w:hAnsiTheme="majorEastAsia" w:eastAsiaTheme="majorEastAsia" w:cstheme="majorEastAsia"/>
          <w:color w:val="auto"/>
          <w:sz w:val="21"/>
          <w:szCs w:val="21"/>
          <w:highlight w:val="none"/>
          <w:lang w:eastAsia="zh-CN"/>
        </w:rPr>
        <w:t>多个标段选择“使用”而多个标段所附申请承诺书的使用次数为同一次时，多个标段均视为未正</w:t>
      </w:r>
      <w:bookmarkEnd w:id="451"/>
      <w:bookmarkStart w:id="452" w:name="_Toc31532"/>
      <w:r>
        <w:rPr>
          <w:rFonts w:hint="eastAsia" w:asciiTheme="majorEastAsia" w:hAnsiTheme="majorEastAsia" w:eastAsiaTheme="majorEastAsia" w:cstheme="majorEastAsia"/>
          <w:color w:val="auto"/>
          <w:sz w:val="21"/>
          <w:szCs w:val="21"/>
          <w:highlight w:val="none"/>
          <w:lang w:eastAsia="zh-CN"/>
        </w:rPr>
        <w:t>确填报申请承诺书，均按不承诺使用对应的信用等级处理。</w:t>
      </w:r>
      <w:bookmarkEnd w:id="449"/>
      <w:bookmarkEnd w:id="452"/>
    </w:p>
    <w:p w14:paraId="44DD709E">
      <w:pPr>
        <w:pStyle w:val="32"/>
        <w:spacing w:line="360" w:lineRule="auto"/>
        <w:outlineLvl w:val="9"/>
        <w:rPr>
          <w:rFonts w:asciiTheme="majorEastAsia" w:hAnsiTheme="majorEastAsia" w:eastAsiaTheme="majorEastAsia" w:cstheme="majorEastAsia"/>
          <w:color w:val="auto"/>
          <w:sz w:val="21"/>
          <w:szCs w:val="21"/>
          <w:highlight w:val="none"/>
          <w:lang w:eastAsia="zh-CN"/>
        </w:rPr>
      </w:pPr>
      <w:bookmarkStart w:id="453" w:name="_Toc4070"/>
      <w:bookmarkStart w:id="454" w:name="_Toc4707"/>
      <w:r>
        <w:rPr>
          <w:rFonts w:hint="eastAsia" w:asciiTheme="majorEastAsia" w:hAnsiTheme="majorEastAsia" w:eastAsiaTheme="majorEastAsia" w:cstheme="majorEastAsia"/>
          <w:color w:val="auto"/>
          <w:sz w:val="21"/>
          <w:szCs w:val="21"/>
          <w:highlight w:val="none"/>
          <w:lang w:eastAsia="zh-CN"/>
        </w:rPr>
        <w:t>3、中标候选人公示中，将对所有承诺使用最新年度 AA、A 级投标人的年度信用等级使用情况进</w:t>
      </w:r>
      <w:bookmarkEnd w:id="453"/>
      <w:bookmarkStart w:id="455" w:name="_Toc32215"/>
      <w:r>
        <w:rPr>
          <w:rFonts w:hint="eastAsia" w:asciiTheme="majorEastAsia" w:hAnsiTheme="majorEastAsia" w:eastAsiaTheme="majorEastAsia" w:cstheme="majorEastAsia"/>
          <w:color w:val="auto"/>
          <w:sz w:val="21"/>
          <w:szCs w:val="21"/>
          <w:highlight w:val="none"/>
          <w:lang w:eastAsia="zh-CN"/>
        </w:rPr>
        <w:t>行公开。</w:t>
      </w:r>
      <w:bookmarkEnd w:id="454"/>
      <w:bookmarkEnd w:id="455"/>
    </w:p>
    <w:p w14:paraId="26D07EA7">
      <w:pPr>
        <w:kinsoku/>
        <w:autoSpaceDE/>
        <w:autoSpaceDN/>
        <w:adjustRightInd/>
        <w:snapToGrid/>
        <w:textAlignment w:val="auto"/>
        <w:rPr>
          <w:rFonts w:asciiTheme="majorEastAsia" w:hAnsiTheme="majorEastAsia" w:eastAsiaTheme="majorEastAsia" w:cstheme="majorEastAsia"/>
          <w:color w:val="auto"/>
          <w:sz w:val="28"/>
          <w:highlight w:val="none"/>
          <w:lang w:eastAsia="zh-CN"/>
        </w:rPr>
      </w:pPr>
      <w:bookmarkStart w:id="456" w:name="_Toc20570"/>
      <w:bookmarkStart w:id="457" w:name="_Toc28100"/>
      <w:r>
        <w:rPr>
          <w:rFonts w:asciiTheme="majorEastAsia" w:hAnsiTheme="majorEastAsia" w:eastAsiaTheme="majorEastAsia" w:cstheme="majorEastAsia"/>
          <w:color w:val="auto"/>
          <w:sz w:val="28"/>
          <w:highlight w:val="none"/>
          <w:lang w:eastAsia="zh-CN"/>
        </w:rPr>
        <w:br w:type="page"/>
      </w:r>
    </w:p>
    <w:p w14:paraId="136F4613">
      <w:pPr>
        <w:pStyle w:val="32"/>
        <w:spacing w:line="240" w:lineRule="auto"/>
        <w:outlineLvl w:val="9"/>
        <w:rPr>
          <w:rFonts w:asciiTheme="majorEastAsia" w:hAnsiTheme="majorEastAsia" w:eastAsiaTheme="majorEastAsia" w:cstheme="majorEastAsia"/>
          <w:color w:val="auto"/>
          <w:sz w:val="28"/>
          <w:szCs w:val="21"/>
          <w:highlight w:val="none"/>
          <w:lang w:eastAsia="zh-CN"/>
        </w:rPr>
      </w:pPr>
      <w:r>
        <w:rPr>
          <w:rFonts w:hint="eastAsia" w:asciiTheme="majorEastAsia" w:hAnsiTheme="majorEastAsia" w:eastAsiaTheme="majorEastAsia" w:cstheme="majorEastAsia"/>
          <w:color w:val="auto"/>
          <w:sz w:val="28"/>
          <w:szCs w:val="21"/>
          <w:highlight w:val="none"/>
          <w:lang w:eastAsia="zh-CN"/>
        </w:rPr>
        <w:t>附表</w:t>
      </w:r>
      <w:bookmarkEnd w:id="456"/>
      <w:bookmarkEnd w:id="457"/>
    </w:p>
    <w:p w14:paraId="2EB7E8A6">
      <w:pPr>
        <w:pStyle w:val="32"/>
        <w:spacing w:line="240" w:lineRule="auto"/>
        <w:jc w:val="center"/>
        <w:outlineLvl w:val="9"/>
        <w:rPr>
          <w:rFonts w:asciiTheme="majorEastAsia" w:hAnsiTheme="majorEastAsia" w:eastAsiaTheme="majorEastAsia" w:cstheme="majorEastAsia"/>
          <w:color w:val="auto"/>
          <w:sz w:val="28"/>
          <w:szCs w:val="21"/>
          <w:highlight w:val="none"/>
          <w:lang w:eastAsia="zh-CN"/>
        </w:rPr>
      </w:pPr>
      <w:bookmarkStart w:id="458" w:name="_Toc29670"/>
      <w:r>
        <w:rPr>
          <w:rFonts w:hint="eastAsia" w:asciiTheme="majorEastAsia" w:hAnsiTheme="majorEastAsia" w:eastAsiaTheme="majorEastAsia" w:cstheme="majorEastAsia"/>
          <w:color w:val="auto"/>
          <w:sz w:val="28"/>
          <w:szCs w:val="21"/>
          <w:highlight w:val="none"/>
          <w:u w:val="single"/>
          <w:lang w:eastAsia="zh-CN"/>
        </w:rPr>
        <w:t xml:space="preserve">     </w:t>
      </w:r>
      <w:bookmarkStart w:id="459" w:name="_Toc3297"/>
      <w:r>
        <w:rPr>
          <w:rFonts w:hint="eastAsia" w:asciiTheme="majorEastAsia" w:hAnsiTheme="majorEastAsia" w:eastAsiaTheme="majorEastAsia" w:cstheme="majorEastAsia"/>
          <w:color w:val="auto"/>
          <w:sz w:val="28"/>
          <w:szCs w:val="21"/>
          <w:highlight w:val="none"/>
          <w:lang w:eastAsia="zh-CN"/>
        </w:rPr>
        <w:t>单位使用</w:t>
      </w:r>
      <w:r>
        <w:rPr>
          <w:rFonts w:hint="eastAsia" w:asciiTheme="majorEastAsia" w:hAnsiTheme="majorEastAsia" w:eastAsiaTheme="majorEastAsia" w:cstheme="majorEastAsia"/>
          <w:color w:val="auto"/>
          <w:sz w:val="28"/>
          <w:szCs w:val="21"/>
          <w:highlight w:val="none"/>
          <w:u w:val="single"/>
          <w:lang w:eastAsia="zh-CN"/>
        </w:rPr>
        <w:t xml:space="preserve">     </w:t>
      </w:r>
      <w:r>
        <w:rPr>
          <w:rFonts w:hint="eastAsia" w:asciiTheme="majorEastAsia" w:hAnsiTheme="majorEastAsia" w:eastAsiaTheme="majorEastAsia" w:cstheme="majorEastAsia"/>
          <w:color w:val="auto"/>
          <w:sz w:val="28"/>
          <w:szCs w:val="21"/>
          <w:highlight w:val="none"/>
          <w:lang w:eastAsia="zh-CN"/>
        </w:rPr>
        <w:t>年度广东省公路工程从业单位（设计单位）</w:t>
      </w:r>
      <w:bookmarkEnd w:id="458"/>
      <w:bookmarkEnd w:id="459"/>
    </w:p>
    <w:p w14:paraId="745384C7">
      <w:pPr>
        <w:pStyle w:val="32"/>
        <w:spacing w:line="240" w:lineRule="auto"/>
        <w:jc w:val="center"/>
        <w:outlineLvl w:val="9"/>
        <w:rPr>
          <w:rFonts w:asciiTheme="majorEastAsia" w:hAnsiTheme="majorEastAsia" w:eastAsiaTheme="majorEastAsia" w:cstheme="majorEastAsia"/>
          <w:color w:val="auto"/>
          <w:sz w:val="28"/>
          <w:szCs w:val="21"/>
          <w:highlight w:val="none"/>
          <w:lang w:eastAsia="zh-CN"/>
        </w:rPr>
      </w:pPr>
      <w:bookmarkStart w:id="460" w:name="_Toc11970"/>
      <w:bookmarkStart w:id="461" w:name="_Toc18557"/>
      <w:r>
        <w:rPr>
          <w:rFonts w:hint="eastAsia" w:asciiTheme="majorEastAsia" w:hAnsiTheme="majorEastAsia" w:eastAsiaTheme="majorEastAsia" w:cstheme="majorEastAsia"/>
          <w:color w:val="auto"/>
          <w:sz w:val="28"/>
          <w:szCs w:val="21"/>
          <w:highlight w:val="none"/>
          <w:lang w:eastAsia="zh-CN"/>
        </w:rPr>
        <w:t>信用等级情况汇总表</w:t>
      </w:r>
      <w:bookmarkEnd w:id="460"/>
      <w:bookmarkEnd w:id="461"/>
    </w:p>
    <w:p w14:paraId="3CBC5035">
      <w:pPr>
        <w:pStyle w:val="32"/>
        <w:spacing w:line="240" w:lineRule="auto"/>
        <w:jc w:val="center"/>
        <w:rPr>
          <w:rFonts w:asciiTheme="majorEastAsia" w:hAnsiTheme="majorEastAsia" w:eastAsiaTheme="majorEastAsia" w:cstheme="majorEastAsia"/>
          <w:color w:val="auto"/>
          <w:sz w:val="28"/>
          <w:szCs w:val="21"/>
          <w:highlight w:val="none"/>
          <w:lang w:eastAsia="zh-CN"/>
        </w:rPr>
      </w:pPr>
    </w:p>
    <w:p w14:paraId="1047F50D">
      <w:pPr>
        <w:pStyle w:val="32"/>
        <w:spacing w:line="360" w:lineRule="auto"/>
        <w:outlineLvl w:val="9"/>
        <w:rPr>
          <w:rFonts w:ascii="宋体" w:hAnsi="宋体" w:eastAsia="宋体"/>
          <w:color w:val="auto"/>
          <w:sz w:val="28"/>
          <w:szCs w:val="21"/>
          <w:highlight w:val="none"/>
          <w:lang w:eastAsia="zh-CN"/>
        </w:rPr>
      </w:pPr>
      <w:bookmarkStart w:id="462" w:name="_Toc1221"/>
      <w:bookmarkStart w:id="463" w:name="_Toc29848"/>
      <w:r>
        <w:rPr>
          <w:rFonts w:hint="eastAsia" w:asciiTheme="majorEastAsia" w:hAnsiTheme="majorEastAsia" w:eastAsiaTheme="majorEastAsia" w:cstheme="majorEastAsia"/>
          <w:color w:val="auto"/>
          <w:sz w:val="28"/>
          <w:szCs w:val="21"/>
          <w:highlight w:val="none"/>
          <w:lang w:eastAsia="zh-CN"/>
        </w:rPr>
        <w:t>单位名称（盖章）：</w:t>
      </w:r>
      <w:bookmarkEnd w:id="462"/>
      <w:bookmarkEnd w:id="463"/>
    </w:p>
    <w:tbl>
      <w:tblPr>
        <w:tblStyle w:val="15"/>
        <w:tblW w:w="9356" w:type="dxa"/>
        <w:jc w:val="center"/>
        <w:tblLayout w:type="fixed"/>
        <w:tblCellMar>
          <w:top w:w="0" w:type="dxa"/>
          <w:left w:w="0" w:type="dxa"/>
          <w:bottom w:w="0" w:type="dxa"/>
          <w:right w:w="0" w:type="dxa"/>
        </w:tblCellMar>
      </w:tblPr>
      <w:tblGrid>
        <w:gridCol w:w="991"/>
        <w:gridCol w:w="2751"/>
        <w:gridCol w:w="1119"/>
        <w:gridCol w:w="1696"/>
        <w:gridCol w:w="1619"/>
        <w:gridCol w:w="1180"/>
      </w:tblGrid>
      <w:tr w14:paraId="733DE31A">
        <w:tblPrEx>
          <w:tblCellMar>
            <w:top w:w="0" w:type="dxa"/>
            <w:left w:w="0" w:type="dxa"/>
            <w:bottom w:w="0" w:type="dxa"/>
            <w:right w:w="0" w:type="dxa"/>
          </w:tblCellMar>
        </w:tblPrEx>
        <w:trPr>
          <w:trHeight w:val="857" w:hRule="atLeast"/>
          <w:jc w:val="center"/>
        </w:trPr>
        <w:tc>
          <w:tcPr>
            <w:tcW w:w="991" w:type="dxa"/>
            <w:tcBorders>
              <w:top w:val="single" w:color="auto" w:sz="12" w:space="0"/>
              <w:left w:val="single" w:color="auto" w:sz="12" w:space="0"/>
              <w:bottom w:val="single" w:color="auto" w:sz="8" w:space="0"/>
              <w:right w:val="single" w:color="auto" w:sz="8" w:space="0"/>
            </w:tcBorders>
            <w:vAlign w:val="center"/>
          </w:tcPr>
          <w:p w14:paraId="6B46EC34">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751" w:type="dxa"/>
            <w:tcBorders>
              <w:top w:val="single" w:color="auto" w:sz="12" w:space="0"/>
              <w:left w:val="single" w:color="auto" w:sz="8" w:space="0"/>
              <w:bottom w:val="single" w:color="auto" w:sz="8" w:space="0"/>
              <w:right w:val="single" w:color="auto" w:sz="8" w:space="0"/>
            </w:tcBorders>
            <w:vAlign w:val="center"/>
          </w:tcPr>
          <w:p w14:paraId="51D96AD1">
            <w:pPr>
              <w:jc w:val="center"/>
              <w:rPr>
                <w:rFonts w:ascii="宋体" w:hAnsi="宋体" w:cs="宋体"/>
                <w:color w:val="auto"/>
                <w:sz w:val="24"/>
                <w:highlight w:val="none"/>
              </w:rPr>
            </w:pPr>
            <w:r>
              <w:rPr>
                <w:rFonts w:hint="eastAsia" w:ascii="宋体" w:hAnsi="宋体" w:cs="宋体"/>
                <w:color w:val="auto"/>
                <w:sz w:val="24"/>
                <w:highlight w:val="none"/>
              </w:rPr>
              <w:t>招标人名称</w:t>
            </w:r>
          </w:p>
        </w:tc>
        <w:tc>
          <w:tcPr>
            <w:tcW w:w="1119" w:type="dxa"/>
            <w:tcBorders>
              <w:top w:val="single" w:color="auto" w:sz="12" w:space="0"/>
              <w:left w:val="single" w:color="auto" w:sz="8" w:space="0"/>
              <w:bottom w:val="single" w:color="auto" w:sz="8" w:space="0"/>
              <w:right w:val="single" w:color="auto" w:sz="8" w:space="0"/>
            </w:tcBorders>
            <w:vAlign w:val="center"/>
          </w:tcPr>
          <w:p w14:paraId="559AF123">
            <w:pPr>
              <w:jc w:val="center"/>
              <w:rPr>
                <w:rFonts w:ascii="宋体" w:hAnsi="宋体" w:cs="宋体"/>
                <w:color w:val="auto"/>
                <w:sz w:val="24"/>
                <w:highlight w:val="none"/>
              </w:rPr>
            </w:pPr>
            <w:r>
              <w:rPr>
                <w:rFonts w:hint="eastAsia" w:ascii="宋体" w:hAnsi="宋体" w:cs="宋体"/>
                <w:color w:val="auto"/>
                <w:sz w:val="24"/>
                <w:highlight w:val="none"/>
              </w:rPr>
              <w:t>标段名称</w:t>
            </w:r>
          </w:p>
        </w:tc>
        <w:tc>
          <w:tcPr>
            <w:tcW w:w="1696" w:type="dxa"/>
            <w:tcBorders>
              <w:top w:val="single" w:color="auto" w:sz="12" w:space="0"/>
              <w:left w:val="single" w:color="auto" w:sz="8" w:space="0"/>
              <w:bottom w:val="single" w:color="auto" w:sz="8" w:space="0"/>
              <w:right w:val="single" w:color="auto" w:sz="4" w:space="0"/>
            </w:tcBorders>
            <w:vAlign w:val="center"/>
          </w:tcPr>
          <w:p w14:paraId="6C517A3B">
            <w:pPr>
              <w:jc w:val="center"/>
              <w:rPr>
                <w:rFonts w:ascii="宋体" w:hAnsi="宋体" w:cs="宋体"/>
                <w:color w:val="auto"/>
                <w:sz w:val="24"/>
                <w:highlight w:val="none"/>
                <w:lang w:eastAsia="zh-CN"/>
              </w:rPr>
            </w:pPr>
            <w:r>
              <w:rPr>
                <w:rFonts w:hint="eastAsia" w:ascii="宋体" w:hAnsi="宋体" w:cs="宋体"/>
                <w:color w:val="auto"/>
                <w:sz w:val="24"/>
                <w:highlight w:val="none"/>
                <w:lang w:eastAsia="zh-CN"/>
              </w:rPr>
              <w:t>递交文件时间</w:t>
            </w:r>
          </w:p>
          <w:p w14:paraId="05E42C05">
            <w:pPr>
              <w:jc w:val="center"/>
              <w:rPr>
                <w:rFonts w:ascii="宋体" w:hAnsi="宋体" w:cs="宋体"/>
                <w:color w:val="auto"/>
                <w:sz w:val="24"/>
                <w:highlight w:val="none"/>
                <w:lang w:eastAsia="zh-CN"/>
              </w:rPr>
            </w:pPr>
            <w:r>
              <w:rPr>
                <w:rFonts w:hint="eastAsia" w:ascii="宋体" w:hAnsi="宋体" w:cs="宋体"/>
                <w:color w:val="auto"/>
                <w:sz w:val="24"/>
                <w:highlight w:val="none"/>
                <w:lang w:eastAsia="zh-CN"/>
              </w:rPr>
              <w:t>（年  月  日）</w:t>
            </w:r>
          </w:p>
        </w:tc>
        <w:tc>
          <w:tcPr>
            <w:tcW w:w="1619" w:type="dxa"/>
            <w:tcBorders>
              <w:top w:val="single" w:color="auto" w:sz="12" w:space="0"/>
              <w:left w:val="single" w:color="auto" w:sz="4" w:space="0"/>
              <w:bottom w:val="single" w:color="auto" w:sz="8" w:space="0"/>
              <w:right w:val="single" w:color="auto" w:sz="8" w:space="0"/>
            </w:tcBorders>
            <w:vAlign w:val="center"/>
          </w:tcPr>
          <w:p w14:paraId="28AD1065">
            <w:pPr>
              <w:jc w:val="center"/>
              <w:rPr>
                <w:rFonts w:ascii="宋体" w:hAnsi="宋体" w:cs="宋体"/>
                <w:color w:val="auto"/>
                <w:sz w:val="24"/>
                <w:highlight w:val="none"/>
              </w:rPr>
            </w:pPr>
            <w:r>
              <w:rPr>
                <w:rFonts w:hint="eastAsia" w:ascii="宋体" w:hAnsi="宋体" w:cs="宋体"/>
                <w:color w:val="auto"/>
                <w:sz w:val="24"/>
                <w:highlight w:val="none"/>
              </w:rPr>
              <w:t>使用信用等级（AA/A)</w:t>
            </w:r>
          </w:p>
        </w:tc>
        <w:tc>
          <w:tcPr>
            <w:tcW w:w="1180" w:type="dxa"/>
            <w:tcBorders>
              <w:top w:val="single" w:color="auto" w:sz="12" w:space="0"/>
              <w:left w:val="single" w:color="auto" w:sz="8" w:space="0"/>
              <w:bottom w:val="single" w:color="auto" w:sz="8" w:space="0"/>
              <w:right w:val="single" w:color="auto" w:sz="12" w:space="0"/>
            </w:tcBorders>
            <w:vAlign w:val="center"/>
          </w:tcPr>
          <w:p w14:paraId="1CCEDFBE">
            <w:pPr>
              <w:jc w:val="center"/>
              <w:rPr>
                <w:rFonts w:ascii="宋体" w:hAnsi="宋体" w:cs="宋体"/>
                <w:color w:val="auto"/>
                <w:sz w:val="24"/>
                <w:highlight w:val="none"/>
              </w:rPr>
            </w:pPr>
            <w:r>
              <w:rPr>
                <w:rFonts w:hint="eastAsia" w:ascii="宋体" w:hAnsi="宋体" w:cs="宋体"/>
                <w:color w:val="auto"/>
                <w:sz w:val="24"/>
                <w:highlight w:val="none"/>
              </w:rPr>
              <w:t>备  注</w:t>
            </w:r>
          </w:p>
        </w:tc>
      </w:tr>
      <w:tr w14:paraId="2E6D3C83">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071F84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2751" w:type="dxa"/>
            <w:tcBorders>
              <w:top w:val="single" w:color="auto" w:sz="8" w:space="0"/>
              <w:left w:val="single" w:color="auto" w:sz="8" w:space="0"/>
              <w:bottom w:val="single" w:color="auto" w:sz="8" w:space="0"/>
              <w:right w:val="single" w:color="auto" w:sz="8" w:space="0"/>
            </w:tcBorders>
            <w:vAlign w:val="center"/>
          </w:tcPr>
          <w:p w14:paraId="47C1EF37">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6E4E2084">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5B65284A">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7BC08DC2">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503275FD">
            <w:pPr>
              <w:spacing w:line="360" w:lineRule="auto"/>
              <w:jc w:val="center"/>
              <w:rPr>
                <w:rFonts w:ascii="宋体" w:hAnsi="宋体" w:cs="宋体"/>
                <w:color w:val="auto"/>
                <w:sz w:val="24"/>
                <w:highlight w:val="none"/>
              </w:rPr>
            </w:pPr>
          </w:p>
        </w:tc>
      </w:tr>
      <w:tr w14:paraId="6933F8EF">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3236ABA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2751" w:type="dxa"/>
            <w:tcBorders>
              <w:top w:val="single" w:color="auto" w:sz="8" w:space="0"/>
              <w:left w:val="single" w:color="auto" w:sz="8" w:space="0"/>
              <w:bottom w:val="single" w:color="auto" w:sz="8" w:space="0"/>
              <w:right w:val="single" w:color="auto" w:sz="8" w:space="0"/>
            </w:tcBorders>
            <w:vAlign w:val="center"/>
          </w:tcPr>
          <w:p w14:paraId="03857E0B">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6F05EB26">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348C4486">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4BCBE7CB">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6A2A941E">
            <w:pPr>
              <w:spacing w:line="360" w:lineRule="auto"/>
              <w:jc w:val="center"/>
              <w:rPr>
                <w:rFonts w:ascii="宋体" w:hAnsi="宋体" w:cs="宋体"/>
                <w:color w:val="auto"/>
                <w:sz w:val="24"/>
                <w:highlight w:val="none"/>
              </w:rPr>
            </w:pPr>
          </w:p>
        </w:tc>
      </w:tr>
      <w:tr w14:paraId="05A55FAC">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1AFD5D0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2751" w:type="dxa"/>
            <w:tcBorders>
              <w:top w:val="single" w:color="auto" w:sz="8" w:space="0"/>
              <w:left w:val="single" w:color="auto" w:sz="8" w:space="0"/>
              <w:bottom w:val="single" w:color="auto" w:sz="8" w:space="0"/>
              <w:right w:val="single" w:color="auto" w:sz="8" w:space="0"/>
            </w:tcBorders>
            <w:vAlign w:val="center"/>
          </w:tcPr>
          <w:p w14:paraId="68A0E673">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4FA8378F">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6A419C6A">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1E1F031C">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12DD1B5C">
            <w:pPr>
              <w:spacing w:line="360" w:lineRule="auto"/>
              <w:jc w:val="center"/>
              <w:rPr>
                <w:rFonts w:ascii="宋体" w:hAnsi="宋体" w:cs="宋体"/>
                <w:color w:val="auto"/>
                <w:sz w:val="24"/>
                <w:highlight w:val="none"/>
              </w:rPr>
            </w:pPr>
          </w:p>
        </w:tc>
      </w:tr>
      <w:tr w14:paraId="6678FA3C">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1C82ECB4">
            <w:pPr>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2751" w:type="dxa"/>
            <w:tcBorders>
              <w:top w:val="single" w:color="auto" w:sz="8" w:space="0"/>
              <w:left w:val="single" w:color="auto" w:sz="8" w:space="0"/>
              <w:bottom w:val="single" w:color="auto" w:sz="8" w:space="0"/>
              <w:right w:val="single" w:color="auto" w:sz="8" w:space="0"/>
            </w:tcBorders>
            <w:vAlign w:val="center"/>
          </w:tcPr>
          <w:p w14:paraId="412C3E98">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609E1AD4">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00532AB4">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021F64D6">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72CF0489">
            <w:pPr>
              <w:spacing w:line="360" w:lineRule="auto"/>
              <w:jc w:val="center"/>
              <w:rPr>
                <w:rFonts w:ascii="宋体" w:hAnsi="宋体" w:cs="宋体"/>
                <w:color w:val="auto"/>
                <w:sz w:val="24"/>
                <w:highlight w:val="none"/>
              </w:rPr>
            </w:pPr>
          </w:p>
        </w:tc>
      </w:tr>
      <w:tr w14:paraId="52DD456A">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772467A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2751" w:type="dxa"/>
            <w:tcBorders>
              <w:top w:val="single" w:color="auto" w:sz="8" w:space="0"/>
              <w:left w:val="single" w:color="auto" w:sz="8" w:space="0"/>
              <w:bottom w:val="single" w:color="auto" w:sz="8" w:space="0"/>
              <w:right w:val="single" w:color="auto" w:sz="8" w:space="0"/>
            </w:tcBorders>
            <w:vAlign w:val="center"/>
          </w:tcPr>
          <w:p w14:paraId="2034D405">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5117A58D">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5480717C">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1C7AAA91">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6E86174B">
            <w:pPr>
              <w:spacing w:line="360" w:lineRule="auto"/>
              <w:jc w:val="center"/>
              <w:rPr>
                <w:rFonts w:ascii="宋体" w:hAnsi="宋体" w:cs="宋体"/>
                <w:color w:val="auto"/>
                <w:sz w:val="24"/>
                <w:highlight w:val="none"/>
              </w:rPr>
            </w:pPr>
          </w:p>
        </w:tc>
      </w:tr>
      <w:tr w14:paraId="7549E879">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598F77B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2751" w:type="dxa"/>
            <w:tcBorders>
              <w:top w:val="single" w:color="auto" w:sz="8" w:space="0"/>
              <w:left w:val="single" w:color="auto" w:sz="8" w:space="0"/>
              <w:bottom w:val="single" w:color="auto" w:sz="8" w:space="0"/>
              <w:right w:val="single" w:color="auto" w:sz="8" w:space="0"/>
            </w:tcBorders>
            <w:vAlign w:val="center"/>
          </w:tcPr>
          <w:p w14:paraId="0757F323">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097975F9">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168AE761">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159B71B6">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705094C9">
            <w:pPr>
              <w:spacing w:line="360" w:lineRule="auto"/>
              <w:jc w:val="center"/>
              <w:rPr>
                <w:rFonts w:ascii="宋体" w:hAnsi="宋体" w:cs="宋体"/>
                <w:color w:val="auto"/>
                <w:sz w:val="24"/>
                <w:highlight w:val="none"/>
              </w:rPr>
            </w:pPr>
          </w:p>
        </w:tc>
      </w:tr>
      <w:tr w14:paraId="0D64D116">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0848138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2751" w:type="dxa"/>
            <w:tcBorders>
              <w:top w:val="single" w:color="auto" w:sz="8" w:space="0"/>
              <w:left w:val="single" w:color="auto" w:sz="8" w:space="0"/>
              <w:bottom w:val="single" w:color="auto" w:sz="8" w:space="0"/>
              <w:right w:val="single" w:color="auto" w:sz="8" w:space="0"/>
            </w:tcBorders>
            <w:vAlign w:val="center"/>
          </w:tcPr>
          <w:p w14:paraId="29286CB5">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3874BE82">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450FBB72">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22C39AF5">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2E11A51C">
            <w:pPr>
              <w:spacing w:line="360" w:lineRule="auto"/>
              <w:jc w:val="center"/>
              <w:rPr>
                <w:rFonts w:ascii="宋体" w:hAnsi="宋体" w:cs="宋体"/>
                <w:color w:val="auto"/>
                <w:sz w:val="24"/>
                <w:highlight w:val="none"/>
              </w:rPr>
            </w:pPr>
          </w:p>
        </w:tc>
      </w:tr>
      <w:tr w14:paraId="09FFD996">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763E341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2751" w:type="dxa"/>
            <w:tcBorders>
              <w:top w:val="single" w:color="auto" w:sz="8" w:space="0"/>
              <w:left w:val="single" w:color="auto" w:sz="8" w:space="0"/>
              <w:bottom w:val="single" w:color="auto" w:sz="8" w:space="0"/>
              <w:right w:val="single" w:color="auto" w:sz="8" w:space="0"/>
            </w:tcBorders>
            <w:vAlign w:val="center"/>
          </w:tcPr>
          <w:p w14:paraId="157B40B6">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095143CE">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6A210904">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629D558A">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7DB9F777">
            <w:pPr>
              <w:spacing w:line="360" w:lineRule="auto"/>
              <w:jc w:val="center"/>
              <w:rPr>
                <w:rFonts w:ascii="宋体" w:hAnsi="宋体" w:cs="宋体"/>
                <w:color w:val="auto"/>
                <w:sz w:val="24"/>
                <w:highlight w:val="none"/>
              </w:rPr>
            </w:pPr>
          </w:p>
        </w:tc>
      </w:tr>
      <w:tr w14:paraId="1DAC635A">
        <w:tblPrEx>
          <w:tblCellMar>
            <w:top w:w="0" w:type="dxa"/>
            <w:left w:w="0" w:type="dxa"/>
            <w:bottom w:w="0" w:type="dxa"/>
            <w:right w:w="0" w:type="dxa"/>
          </w:tblCellMar>
        </w:tblPrEx>
        <w:trPr>
          <w:trHeight w:val="567" w:hRule="atLeast"/>
          <w:jc w:val="center"/>
        </w:trPr>
        <w:tc>
          <w:tcPr>
            <w:tcW w:w="991" w:type="dxa"/>
            <w:tcBorders>
              <w:top w:val="single" w:color="auto" w:sz="8" w:space="0"/>
              <w:left w:val="single" w:color="auto" w:sz="12" w:space="0"/>
              <w:bottom w:val="single" w:color="auto" w:sz="8" w:space="0"/>
              <w:right w:val="single" w:color="auto" w:sz="8" w:space="0"/>
            </w:tcBorders>
            <w:vAlign w:val="center"/>
          </w:tcPr>
          <w:p w14:paraId="533CA82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2751" w:type="dxa"/>
            <w:tcBorders>
              <w:top w:val="single" w:color="auto" w:sz="8" w:space="0"/>
              <w:left w:val="single" w:color="auto" w:sz="8" w:space="0"/>
              <w:bottom w:val="single" w:color="auto" w:sz="8" w:space="0"/>
              <w:right w:val="single" w:color="auto" w:sz="8" w:space="0"/>
            </w:tcBorders>
            <w:vAlign w:val="center"/>
          </w:tcPr>
          <w:p w14:paraId="69EA497B">
            <w:pPr>
              <w:spacing w:line="360" w:lineRule="auto"/>
              <w:jc w:val="center"/>
              <w:rPr>
                <w:rFonts w:ascii="宋体" w:hAnsi="宋体" w:cs="宋体"/>
                <w:color w:val="auto"/>
                <w:sz w:val="24"/>
                <w:highlight w:val="none"/>
              </w:rPr>
            </w:pPr>
          </w:p>
        </w:tc>
        <w:tc>
          <w:tcPr>
            <w:tcW w:w="1119" w:type="dxa"/>
            <w:tcBorders>
              <w:top w:val="single" w:color="auto" w:sz="8" w:space="0"/>
              <w:left w:val="single" w:color="auto" w:sz="8" w:space="0"/>
              <w:bottom w:val="single" w:color="auto" w:sz="8" w:space="0"/>
              <w:right w:val="single" w:color="auto" w:sz="8" w:space="0"/>
            </w:tcBorders>
            <w:vAlign w:val="center"/>
          </w:tcPr>
          <w:p w14:paraId="2D579B3F">
            <w:pPr>
              <w:spacing w:line="360" w:lineRule="auto"/>
              <w:jc w:val="center"/>
              <w:rPr>
                <w:rFonts w:ascii="宋体" w:hAnsi="宋体" w:cs="宋体"/>
                <w:color w:val="auto"/>
                <w:sz w:val="24"/>
                <w:highlight w:val="none"/>
              </w:rPr>
            </w:pPr>
          </w:p>
        </w:tc>
        <w:tc>
          <w:tcPr>
            <w:tcW w:w="1696" w:type="dxa"/>
            <w:tcBorders>
              <w:top w:val="single" w:color="auto" w:sz="8" w:space="0"/>
              <w:left w:val="single" w:color="auto" w:sz="8" w:space="0"/>
              <w:bottom w:val="single" w:color="auto" w:sz="8" w:space="0"/>
              <w:right w:val="single" w:color="auto" w:sz="4" w:space="0"/>
            </w:tcBorders>
            <w:vAlign w:val="center"/>
          </w:tcPr>
          <w:p w14:paraId="4CA23283">
            <w:pPr>
              <w:spacing w:line="360" w:lineRule="auto"/>
              <w:jc w:val="center"/>
              <w:rPr>
                <w:rFonts w:ascii="宋体" w:hAnsi="宋体" w:cs="宋体"/>
                <w:color w:val="auto"/>
                <w:sz w:val="24"/>
                <w:highlight w:val="none"/>
              </w:rPr>
            </w:pPr>
          </w:p>
        </w:tc>
        <w:tc>
          <w:tcPr>
            <w:tcW w:w="1619" w:type="dxa"/>
            <w:tcBorders>
              <w:top w:val="single" w:color="auto" w:sz="8" w:space="0"/>
              <w:left w:val="single" w:color="auto" w:sz="4" w:space="0"/>
              <w:bottom w:val="single" w:color="auto" w:sz="8" w:space="0"/>
              <w:right w:val="single" w:color="auto" w:sz="8" w:space="0"/>
            </w:tcBorders>
            <w:vAlign w:val="center"/>
          </w:tcPr>
          <w:p w14:paraId="36B46847">
            <w:pPr>
              <w:spacing w:line="360" w:lineRule="auto"/>
              <w:jc w:val="center"/>
              <w:rPr>
                <w:rFonts w:ascii="宋体" w:hAnsi="宋体" w:cs="宋体"/>
                <w:color w:val="auto"/>
                <w:sz w:val="24"/>
                <w:highlight w:val="none"/>
              </w:rPr>
            </w:pPr>
          </w:p>
        </w:tc>
        <w:tc>
          <w:tcPr>
            <w:tcW w:w="1180" w:type="dxa"/>
            <w:tcBorders>
              <w:top w:val="single" w:color="auto" w:sz="8" w:space="0"/>
              <w:left w:val="single" w:color="auto" w:sz="8" w:space="0"/>
              <w:bottom w:val="single" w:color="auto" w:sz="8" w:space="0"/>
              <w:right w:val="single" w:color="auto" w:sz="12" w:space="0"/>
            </w:tcBorders>
            <w:vAlign w:val="center"/>
          </w:tcPr>
          <w:p w14:paraId="431185BC">
            <w:pPr>
              <w:spacing w:line="360" w:lineRule="auto"/>
              <w:jc w:val="center"/>
              <w:rPr>
                <w:rFonts w:ascii="宋体" w:hAnsi="宋体" w:cs="宋体"/>
                <w:color w:val="auto"/>
                <w:sz w:val="24"/>
                <w:highlight w:val="none"/>
              </w:rPr>
            </w:pPr>
          </w:p>
        </w:tc>
      </w:tr>
    </w:tbl>
    <w:p w14:paraId="29C3AF53">
      <w:pPr>
        <w:pStyle w:val="32"/>
        <w:spacing w:line="360" w:lineRule="auto"/>
        <w:rPr>
          <w:rFonts w:ascii="宋体" w:hAnsi="宋体" w:eastAsia="宋体"/>
          <w:color w:val="auto"/>
          <w:sz w:val="21"/>
          <w:szCs w:val="21"/>
          <w:highlight w:val="none"/>
        </w:rPr>
      </w:pPr>
    </w:p>
    <w:p w14:paraId="0CC20281">
      <w:pPr>
        <w:pStyle w:val="32"/>
        <w:spacing w:line="360" w:lineRule="auto"/>
        <w:outlineLvl w:val="9"/>
        <w:rPr>
          <w:rFonts w:ascii="宋体" w:hAnsi="宋体" w:eastAsia="宋体"/>
          <w:color w:val="auto"/>
          <w:sz w:val="21"/>
          <w:szCs w:val="21"/>
          <w:highlight w:val="none"/>
          <w:lang w:eastAsia="zh-CN"/>
        </w:rPr>
      </w:pPr>
      <w:bookmarkStart w:id="464" w:name="_Toc31365"/>
      <w:r>
        <w:rPr>
          <w:rFonts w:hint="eastAsia" w:ascii="宋体" w:hAnsi="宋体" w:eastAsia="宋体"/>
          <w:color w:val="auto"/>
          <w:sz w:val="21"/>
          <w:szCs w:val="21"/>
          <w:highlight w:val="none"/>
          <w:lang w:eastAsia="zh-CN"/>
        </w:rPr>
        <w:t>注：</w:t>
      </w:r>
      <w:bookmarkEnd w:id="464"/>
      <w:bookmarkStart w:id="465" w:name="_Toc29102"/>
      <w:r>
        <w:rPr>
          <w:rFonts w:hint="eastAsia" w:ascii="宋体" w:hAnsi="宋体" w:eastAsia="宋体"/>
          <w:color w:val="auto"/>
          <w:sz w:val="21"/>
          <w:szCs w:val="21"/>
          <w:highlight w:val="none"/>
          <w:lang w:eastAsia="zh-CN"/>
        </w:rPr>
        <w:t>应如实填报信用评价等级使用情况。</w:t>
      </w:r>
      <w:bookmarkEnd w:id="465"/>
    </w:p>
    <w:p w14:paraId="10B06F55">
      <w:pPr>
        <w:pStyle w:val="32"/>
        <w:spacing w:line="360" w:lineRule="auto"/>
        <w:rPr>
          <w:rFonts w:ascii="宋体" w:hAnsi="宋体" w:eastAsia="宋体"/>
          <w:color w:val="auto"/>
          <w:sz w:val="21"/>
          <w:szCs w:val="21"/>
          <w:highlight w:val="none"/>
          <w:lang w:eastAsia="zh-CN"/>
        </w:rPr>
      </w:pPr>
    </w:p>
    <w:p w14:paraId="605008F4">
      <w:pPr>
        <w:pStyle w:val="32"/>
        <w:spacing w:line="360" w:lineRule="auto"/>
        <w:rPr>
          <w:rFonts w:ascii="宋体" w:hAnsi="宋体" w:eastAsia="宋体"/>
          <w:color w:val="auto"/>
          <w:sz w:val="21"/>
          <w:szCs w:val="21"/>
          <w:highlight w:val="none"/>
          <w:lang w:eastAsia="zh-CN"/>
        </w:rPr>
      </w:pPr>
    </w:p>
    <w:p w14:paraId="5380031A">
      <w:pPr>
        <w:pStyle w:val="32"/>
        <w:spacing w:line="360" w:lineRule="auto"/>
        <w:jc w:val="center"/>
        <w:rPr>
          <w:rFonts w:ascii="宋体" w:hAnsi="宋体" w:eastAsia="宋体"/>
          <w:color w:val="auto"/>
          <w:sz w:val="28"/>
          <w:szCs w:val="21"/>
          <w:highlight w:val="none"/>
          <w:lang w:eastAsia="zh-CN"/>
        </w:rPr>
      </w:pPr>
      <w:bookmarkStart w:id="466" w:name="_Toc10325"/>
    </w:p>
    <w:bookmarkEnd w:id="466"/>
    <w:p w14:paraId="5DA77251">
      <w:pPr>
        <w:pStyle w:val="32"/>
        <w:spacing w:line="360" w:lineRule="auto"/>
        <w:jc w:val="center"/>
        <w:rPr>
          <w:rFonts w:ascii="宋体" w:hAnsi="宋体" w:eastAsia="宋体"/>
          <w:color w:val="auto"/>
          <w:sz w:val="28"/>
          <w:szCs w:val="21"/>
          <w:highlight w:val="none"/>
          <w:lang w:eastAsia="zh-CN"/>
        </w:rPr>
      </w:pPr>
    </w:p>
    <w:p w14:paraId="1D2AB722">
      <w:pPr>
        <w:pStyle w:val="32"/>
        <w:spacing w:line="360" w:lineRule="auto"/>
        <w:jc w:val="center"/>
        <w:outlineLvl w:val="9"/>
        <w:rPr>
          <w:rFonts w:ascii="宋体" w:hAnsi="宋体" w:eastAsia="宋体"/>
          <w:color w:val="auto"/>
          <w:szCs w:val="24"/>
          <w:highlight w:val="none"/>
          <w:lang w:eastAsia="zh-CN"/>
        </w:rPr>
      </w:pPr>
    </w:p>
    <w:p w14:paraId="57375A8D">
      <w:pPr>
        <w:pStyle w:val="32"/>
        <w:spacing w:line="240" w:lineRule="auto"/>
        <w:jc w:val="center"/>
        <w:outlineLvl w:val="9"/>
        <w:rPr>
          <w:rFonts w:ascii="宋体" w:hAnsi="宋体" w:eastAsia="宋体"/>
          <w:color w:val="auto"/>
          <w:sz w:val="28"/>
          <w:szCs w:val="21"/>
          <w:highlight w:val="none"/>
          <w:lang w:eastAsia="zh-CN"/>
        </w:rPr>
      </w:pPr>
    </w:p>
    <w:p w14:paraId="17E0AB9F">
      <w:pPr>
        <w:jc w:val="center"/>
        <w:rPr>
          <w:rFonts w:ascii="宋体" w:hAnsi="宋体" w:cs="宋体"/>
          <w:color w:val="auto"/>
          <w:sz w:val="32"/>
          <w:szCs w:val="32"/>
          <w:highlight w:val="none"/>
          <w:lang w:eastAsia="zh-CN"/>
        </w:rPr>
      </w:pPr>
    </w:p>
    <w:p w14:paraId="2ABAD891">
      <w:pPr>
        <w:jc w:val="center"/>
        <w:rPr>
          <w:rFonts w:ascii="宋体" w:hAnsi="宋体" w:cs="宋体"/>
          <w:color w:val="auto"/>
          <w:sz w:val="32"/>
          <w:szCs w:val="32"/>
          <w:highlight w:val="none"/>
          <w:lang w:eastAsia="zh-CN"/>
        </w:rPr>
      </w:pPr>
    </w:p>
    <w:p w14:paraId="62031DA1">
      <w:pPr>
        <w:rPr>
          <w:rFonts w:ascii="宋体" w:hAnsi="宋体" w:eastAsia="宋体"/>
          <w:color w:val="auto"/>
          <w:sz w:val="28"/>
          <w:highlight w:val="none"/>
          <w:lang w:eastAsia="zh-CN"/>
        </w:rPr>
      </w:pPr>
      <w:bookmarkStart w:id="467" w:name="_Toc14957"/>
      <w:r>
        <w:rPr>
          <w:rFonts w:hint="eastAsia" w:ascii="宋体" w:hAnsi="宋体" w:eastAsia="宋体"/>
          <w:color w:val="auto"/>
          <w:sz w:val="28"/>
          <w:highlight w:val="none"/>
          <w:lang w:eastAsia="zh-CN"/>
        </w:rPr>
        <w:br w:type="page"/>
      </w:r>
    </w:p>
    <w:p w14:paraId="0E314E32">
      <w:pPr>
        <w:rPr>
          <w:rFonts w:ascii="宋体" w:hAnsi="宋体" w:eastAsia="宋体"/>
          <w:color w:val="auto"/>
          <w:sz w:val="28"/>
          <w:highlight w:val="none"/>
          <w:lang w:eastAsia="zh-CN"/>
        </w:rPr>
      </w:pPr>
      <w:r>
        <w:rPr>
          <w:rFonts w:hint="eastAsia" w:ascii="宋体" w:hAnsi="宋体" w:eastAsia="宋体"/>
          <w:color w:val="auto"/>
          <w:sz w:val="28"/>
          <w:highlight w:val="none"/>
          <w:lang w:eastAsia="zh-CN"/>
        </w:rPr>
        <w:t>7-2 投标人自评分表（格式自拟）</w:t>
      </w:r>
      <w:bookmarkEnd w:id="467"/>
    </w:p>
    <w:p w14:paraId="2ABBF514">
      <w:pPr>
        <w:pStyle w:val="32"/>
        <w:spacing w:line="360" w:lineRule="auto"/>
        <w:jc w:val="center"/>
        <w:outlineLvl w:val="9"/>
        <w:rPr>
          <w:rFonts w:ascii="宋体" w:hAnsi="宋体" w:eastAsia="宋体"/>
          <w:color w:val="auto"/>
          <w:sz w:val="28"/>
          <w:szCs w:val="21"/>
          <w:highlight w:val="none"/>
        </w:rPr>
      </w:pPr>
      <w:bookmarkStart w:id="468" w:name="_Toc28463"/>
      <w:r>
        <w:rPr>
          <w:rFonts w:hint="eastAsia" w:ascii="宋体" w:hAnsi="宋体" w:eastAsia="宋体"/>
          <w:color w:val="auto"/>
          <w:sz w:val="28"/>
          <w:szCs w:val="21"/>
          <w:highlight w:val="none"/>
        </w:rPr>
        <w:t>7-2 投标人自评分表</w:t>
      </w:r>
      <w:bookmarkEnd w:id="468"/>
    </w:p>
    <w:tbl>
      <w:tblPr>
        <w:tblStyle w:val="15"/>
        <w:tblW w:w="87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0"/>
        <w:gridCol w:w="1296"/>
        <w:gridCol w:w="895"/>
        <w:gridCol w:w="1709"/>
        <w:gridCol w:w="1233"/>
        <w:gridCol w:w="1572"/>
        <w:gridCol w:w="1389"/>
      </w:tblGrid>
      <w:tr w14:paraId="3FB6D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610" w:type="dxa"/>
            <w:vAlign w:val="center"/>
          </w:tcPr>
          <w:p w14:paraId="46A20400">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1296" w:type="dxa"/>
            <w:vAlign w:val="center"/>
          </w:tcPr>
          <w:p w14:paraId="50F67AEB">
            <w:pPr>
              <w:jc w:val="center"/>
              <w:rPr>
                <w:rFonts w:ascii="宋体" w:hAnsi="宋体" w:cs="宋体"/>
                <w:color w:val="auto"/>
                <w:sz w:val="24"/>
                <w:highlight w:val="none"/>
              </w:rPr>
            </w:pPr>
            <w:r>
              <w:rPr>
                <w:rFonts w:hint="eastAsia" w:ascii="宋体" w:hAnsi="宋体" w:cs="宋体"/>
                <w:color w:val="auto"/>
                <w:sz w:val="24"/>
                <w:highlight w:val="none"/>
              </w:rPr>
              <w:t>评分因素</w:t>
            </w:r>
          </w:p>
        </w:tc>
        <w:tc>
          <w:tcPr>
            <w:tcW w:w="895" w:type="dxa"/>
            <w:vAlign w:val="center"/>
          </w:tcPr>
          <w:p w14:paraId="7FEB2DBE">
            <w:pPr>
              <w:jc w:val="center"/>
              <w:rPr>
                <w:rFonts w:ascii="宋体" w:hAnsi="宋体" w:cs="宋体"/>
                <w:color w:val="auto"/>
                <w:sz w:val="24"/>
                <w:highlight w:val="none"/>
              </w:rPr>
            </w:pPr>
            <w:r>
              <w:rPr>
                <w:rFonts w:hint="eastAsia" w:ascii="宋体" w:hAnsi="宋体" w:cs="宋体"/>
                <w:color w:val="auto"/>
                <w:sz w:val="24"/>
                <w:highlight w:val="none"/>
              </w:rPr>
              <w:t>满分</w:t>
            </w:r>
          </w:p>
        </w:tc>
        <w:tc>
          <w:tcPr>
            <w:tcW w:w="1709" w:type="dxa"/>
            <w:vAlign w:val="center"/>
          </w:tcPr>
          <w:p w14:paraId="56756C74">
            <w:pPr>
              <w:jc w:val="center"/>
              <w:rPr>
                <w:rFonts w:ascii="宋体" w:hAnsi="宋体" w:cs="宋体"/>
                <w:color w:val="auto"/>
                <w:sz w:val="24"/>
                <w:highlight w:val="none"/>
              </w:rPr>
            </w:pPr>
            <w:r>
              <w:rPr>
                <w:rFonts w:hint="eastAsia" w:ascii="宋体" w:hAnsi="宋体" w:cs="宋体"/>
                <w:color w:val="auto"/>
                <w:sz w:val="24"/>
                <w:highlight w:val="none"/>
              </w:rPr>
              <w:t>评分标准</w:t>
            </w:r>
          </w:p>
        </w:tc>
        <w:tc>
          <w:tcPr>
            <w:tcW w:w="1233" w:type="dxa"/>
            <w:vAlign w:val="center"/>
          </w:tcPr>
          <w:p w14:paraId="782C2FAC">
            <w:pPr>
              <w:jc w:val="center"/>
              <w:rPr>
                <w:rFonts w:ascii="宋体" w:hAnsi="宋体" w:cs="宋体"/>
                <w:color w:val="auto"/>
                <w:sz w:val="24"/>
                <w:highlight w:val="none"/>
              </w:rPr>
            </w:pPr>
            <w:r>
              <w:rPr>
                <w:rFonts w:hint="eastAsia" w:ascii="宋体" w:hAnsi="宋体" w:cs="宋体"/>
                <w:color w:val="auto"/>
                <w:sz w:val="24"/>
                <w:highlight w:val="none"/>
              </w:rPr>
              <w:t>自评分</w:t>
            </w:r>
          </w:p>
        </w:tc>
        <w:tc>
          <w:tcPr>
            <w:tcW w:w="1572" w:type="dxa"/>
            <w:vAlign w:val="center"/>
          </w:tcPr>
          <w:p w14:paraId="43554218">
            <w:pPr>
              <w:jc w:val="center"/>
              <w:rPr>
                <w:rFonts w:ascii="宋体" w:hAnsi="宋体" w:cs="宋体"/>
                <w:color w:val="auto"/>
                <w:sz w:val="24"/>
                <w:highlight w:val="none"/>
              </w:rPr>
            </w:pPr>
            <w:r>
              <w:rPr>
                <w:rFonts w:hint="eastAsia" w:ascii="宋体" w:hAnsi="宋体" w:cs="宋体"/>
                <w:color w:val="auto"/>
                <w:sz w:val="24"/>
                <w:highlight w:val="none"/>
              </w:rPr>
              <w:t>投标人评分情况说明</w:t>
            </w:r>
          </w:p>
        </w:tc>
        <w:tc>
          <w:tcPr>
            <w:tcW w:w="1389" w:type="dxa"/>
            <w:vAlign w:val="center"/>
          </w:tcPr>
          <w:p w14:paraId="20A08331">
            <w:pPr>
              <w:jc w:val="center"/>
              <w:rPr>
                <w:rFonts w:ascii="宋体" w:hAnsi="宋体" w:cs="宋体"/>
                <w:color w:val="auto"/>
                <w:sz w:val="24"/>
                <w:highlight w:val="none"/>
              </w:rPr>
            </w:pPr>
            <w:r>
              <w:rPr>
                <w:rFonts w:hint="eastAsia" w:ascii="宋体" w:hAnsi="宋体" w:cs="宋体"/>
                <w:color w:val="auto"/>
                <w:sz w:val="24"/>
                <w:highlight w:val="none"/>
              </w:rPr>
              <w:t>证明材料所在页码</w:t>
            </w:r>
          </w:p>
        </w:tc>
      </w:tr>
      <w:tr w14:paraId="7DBFC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1745273F">
            <w:pPr>
              <w:jc w:val="center"/>
              <w:rPr>
                <w:rFonts w:ascii="宋体" w:hAnsi="宋体" w:cs="宋体"/>
                <w:color w:val="auto"/>
                <w:sz w:val="24"/>
                <w:highlight w:val="none"/>
              </w:rPr>
            </w:pPr>
          </w:p>
        </w:tc>
        <w:tc>
          <w:tcPr>
            <w:tcW w:w="1296" w:type="dxa"/>
            <w:vAlign w:val="center"/>
          </w:tcPr>
          <w:p w14:paraId="05F6FB28">
            <w:pPr>
              <w:jc w:val="center"/>
              <w:rPr>
                <w:rFonts w:ascii="宋体" w:hAnsi="宋体" w:cs="宋体"/>
                <w:color w:val="auto"/>
                <w:sz w:val="24"/>
                <w:highlight w:val="none"/>
              </w:rPr>
            </w:pPr>
          </w:p>
        </w:tc>
        <w:tc>
          <w:tcPr>
            <w:tcW w:w="895" w:type="dxa"/>
            <w:vAlign w:val="center"/>
          </w:tcPr>
          <w:p w14:paraId="57481B56">
            <w:pPr>
              <w:jc w:val="center"/>
              <w:rPr>
                <w:rFonts w:ascii="宋体" w:hAnsi="宋体" w:cs="宋体"/>
                <w:color w:val="auto"/>
                <w:sz w:val="24"/>
                <w:highlight w:val="none"/>
              </w:rPr>
            </w:pPr>
          </w:p>
        </w:tc>
        <w:tc>
          <w:tcPr>
            <w:tcW w:w="1709" w:type="dxa"/>
            <w:vAlign w:val="center"/>
          </w:tcPr>
          <w:p w14:paraId="1C7463DF">
            <w:pPr>
              <w:jc w:val="center"/>
              <w:rPr>
                <w:rFonts w:ascii="宋体" w:hAnsi="宋体" w:cs="宋体"/>
                <w:color w:val="auto"/>
                <w:sz w:val="24"/>
                <w:highlight w:val="none"/>
              </w:rPr>
            </w:pPr>
          </w:p>
        </w:tc>
        <w:tc>
          <w:tcPr>
            <w:tcW w:w="1233" w:type="dxa"/>
            <w:vAlign w:val="center"/>
          </w:tcPr>
          <w:p w14:paraId="08E0E878">
            <w:pPr>
              <w:jc w:val="center"/>
              <w:rPr>
                <w:rFonts w:ascii="宋体" w:hAnsi="宋体" w:cs="宋体"/>
                <w:color w:val="auto"/>
                <w:sz w:val="24"/>
                <w:highlight w:val="none"/>
              </w:rPr>
            </w:pPr>
          </w:p>
        </w:tc>
        <w:tc>
          <w:tcPr>
            <w:tcW w:w="1572" w:type="dxa"/>
            <w:vAlign w:val="center"/>
          </w:tcPr>
          <w:p w14:paraId="40F96626">
            <w:pPr>
              <w:jc w:val="center"/>
              <w:rPr>
                <w:rFonts w:ascii="宋体" w:hAnsi="宋体" w:cs="宋体"/>
                <w:color w:val="auto"/>
                <w:sz w:val="24"/>
                <w:highlight w:val="none"/>
              </w:rPr>
            </w:pPr>
          </w:p>
        </w:tc>
        <w:tc>
          <w:tcPr>
            <w:tcW w:w="1389" w:type="dxa"/>
            <w:vAlign w:val="center"/>
          </w:tcPr>
          <w:p w14:paraId="6CC76912">
            <w:pPr>
              <w:jc w:val="center"/>
              <w:rPr>
                <w:rFonts w:ascii="宋体" w:hAnsi="宋体" w:cs="宋体"/>
                <w:color w:val="auto"/>
                <w:sz w:val="24"/>
                <w:highlight w:val="none"/>
              </w:rPr>
            </w:pPr>
          </w:p>
        </w:tc>
      </w:tr>
      <w:tr w14:paraId="562B4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529EC8AB">
            <w:pPr>
              <w:jc w:val="center"/>
              <w:rPr>
                <w:rFonts w:ascii="宋体" w:hAnsi="宋体" w:cs="宋体"/>
                <w:color w:val="auto"/>
                <w:sz w:val="24"/>
                <w:highlight w:val="none"/>
              </w:rPr>
            </w:pPr>
          </w:p>
        </w:tc>
        <w:tc>
          <w:tcPr>
            <w:tcW w:w="1296" w:type="dxa"/>
            <w:vAlign w:val="center"/>
          </w:tcPr>
          <w:p w14:paraId="55DD9A1A">
            <w:pPr>
              <w:jc w:val="center"/>
              <w:rPr>
                <w:rFonts w:ascii="宋体" w:hAnsi="宋体" w:cs="宋体"/>
                <w:color w:val="auto"/>
                <w:sz w:val="24"/>
                <w:highlight w:val="none"/>
              </w:rPr>
            </w:pPr>
          </w:p>
        </w:tc>
        <w:tc>
          <w:tcPr>
            <w:tcW w:w="895" w:type="dxa"/>
            <w:vAlign w:val="center"/>
          </w:tcPr>
          <w:p w14:paraId="278DB939">
            <w:pPr>
              <w:jc w:val="center"/>
              <w:rPr>
                <w:rFonts w:ascii="宋体" w:hAnsi="宋体" w:cs="宋体"/>
                <w:color w:val="auto"/>
                <w:sz w:val="24"/>
                <w:highlight w:val="none"/>
              </w:rPr>
            </w:pPr>
          </w:p>
        </w:tc>
        <w:tc>
          <w:tcPr>
            <w:tcW w:w="1709" w:type="dxa"/>
            <w:vAlign w:val="center"/>
          </w:tcPr>
          <w:p w14:paraId="0F2BDBE6">
            <w:pPr>
              <w:jc w:val="center"/>
              <w:rPr>
                <w:rFonts w:ascii="宋体" w:hAnsi="宋体" w:cs="宋体"/>
                <w:color w:val="auto"/>
                <w:sz w:val="24"/>
                <w:highlight w:val="none"/>
              </w:rPr>
            </w:pPr>
          </w:p>
        </w:tc>
        <w:tc>
          <w:tcPr>
            <w:tcW w:w="1233" w:type="dxa"/>
            <w:vAlign w:val="center"/>
          </w:tcPr>
          <w:p w14:paraId="6704F193">
            <w:pPr>
              <w:jc w:val="center"/>
              <w:rPr>
                <w:rFonts w:ascii="宋体" w:hAnsi="宋体" w:cs="宋体"/>
                <w:color w:val="auto"/>
                <w:sz w:val="24"/>
                <w:highlight w:val="none"/>
              </w:rPr>
            </w:pPr>
          </w:p>
        </w:tc>
        <w:tc>
          <w:tcPr>
            <w:tcW w:w="1572" w:type="dxa"/>
            <w:vAlign w:val="center"/>
          </w:tcPr>
          <w:p w14:paraId="4096BAEF">
            <w:pPr>
              <w:jc w:val="center"/>
              <w:rPr>
                <w:rFonts w:ascii="宋体" w:hAnsi="宋体" w:cs="宋体"/>
                <w:color w:val="auto"/>
                <w:sz w:val="24"/>
                <w:highlight w:val="none"/>
              </w:rPr>
            </w:pPr>
          </w:p>
        </w:tc>
        <w:tc>
          <w:tcPr>
            <w:tcW w:w="1389" w:type="dxa"/>
            <w:vAlign w:val="center"/>
          </w:tcPr>
          <w:p w14:paraId="46851EEC">
            <w:pPr>
              <w:jc w:val="center"/>
              <w:rPr>
                <w:rFonts w:ascii="宋体" w:hAnsi="宋体" w:cs="宋体"/>
                <w:color w:val="auto"/>
                <w:sz w:val="24"/>
                <w:highlight w:val="none"/>
              </w:rPr>
            </w:pPr>
          </w:p>
        </w:tc>
      </w:tr>
      <w:tr w14:paraId="6A636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582F8DB1">
            <w:pPr>
              <w:jc w:val="center"/>
              <w:rPr>
                <w:rFonts w:ascii="宋体" w:hAnsi="宋体" w:cs="宋体"/>
                <w:color w:val="auto"/>
                <w:sz w:val="24"/>
                <w:highlight w:val="none"/>
              </w:rPr>
            </w:pPr>
          </w:p>
        </w:tc>
        <w:tc>
          <w:tcPr>
            <w:tcW w:w="1296" w:type="dxa"/>
            <w:vAlign w:val="center"/>
          </w:tcPr>
          <w:p w14:paraId="46D08C92">
            <w:pPr>
              <w:jc w:val="center"/>
              <w:rPr>
                <w:rFonts w:ascii="宋体" w:hAnsi="宋体" w:cs="宋体"/>
                <w:color w:val="auto"/>
                <w:sz w:val="24"/>
                <w:highlight w:val="none"/>
              </w:rPr>
            </w:pPr>
          </w:p>
        </w:tc>
        <w:tc>
          <w:tcPr>
            <w:tcW w:w="895" w:type="dxa"/>
            <w:vAlign w:val="center"/>
          </w:tcPr>
          <w:p w14:paraId="2AB60A4F">
            <w:pPr>
              <w:jc w:val="center"/>
              <w:rPr>
                <w:rFonts w:ascii="宋体" w:hAnsi="宋体" w:cs="宋体"/>
                <w:color w:val="auto"/>
                <w:sz w:val="24"/>
                <w:highlight w:val="none"/>
              </w:rPr>
            </w:pPr>
          </w:p>
        </w:tc>
        <w:tc>
          <w:tcPr>
            <w:tcW w:w="1709" w:type="dxa"/>
            <w:vAlign w:val="center"/>
          </w:tcPr>
          <w:p w14:paraId="5FFA9FF7">
            <w:pPr>
              <w:jc w:val="center"/>
              <w:rPr>
                <w:rFonts w:ascii="宋体" w:hAnsi="宋体" w:cs="宋体"/>
                <w:color w:val="auto"/>
                <w:sz w:val="24"/>
                <w:highlight w:val="none"/>
              </w:rPr>
            </w:pPr>
          </w:p>
        </w:tc>
        <w:tc>
          <w:tcPr>
            <w:tcW w:w="1233" w:type="dxa"/>
            <w:vAlign w:val="center"/>
          </w:tcPr>
          <w:p w14:paraId="16720192">
            <w:pPr>
              <w:jc w:val="center"/>
              <w:rPr>
                <w:rFonts w:ascii="宋体" w:hAnsi="宋体" w:cs="宋体"/>
                <w:color w:val="auto"/>
                <w:sz w:val="24"/>
                <w:highlight w:val="none"/>
              </w:rPr>
            </w:pPr>
          </w:p>
        </w:tc>
        <w:tc>
          <w:tcPr>
            <w:tcW w:w="1572" w:type="dxa"/>
            <w:vAlign w:val="center"/>
          </w:tcPr>
          <w:p w14:paraId="503D7D3A">
            <w:pPr>
              <w:jc w:val="center"/>
              <w:rPr>
                <w:rFonts w:ascii="宋体" w:hAnsi="宋体" w:cs="宋体"/>
                <w:color w:val="auto"/>
                <w:sz w:val="24"/>
                <w:highlight w:val="none"/>
              </w:rPr>
            </w:pPr>
          </w:p>
        </w:tc>
        <w:tc>
          <w:tcPr>
            <w:tcW w:w="1389" w:type="dxa"/>
            <w:vAlign w:val="center"/>
          </w:tcPr>
          <w:p w14:paraId="29B3B9E2">
            <w:pPr>
              <w:jc w:val="center"/>
              <w:rPr>
                <w:rFonts w:ascii="宋体" w:hAnsi="宋体" w:cs="宋体"/>
                <w:color w:val="auto"/>
                <w:sz w:val="24"/>
                <w:highlight w:val="none"/>
              </w:rPr>
            </w:pPr>
          </w:p>
        </w:tc>
      </w:tr>
      <w:tr w14:paraId="54238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10554D46">
            <w:pPr>
              <w:jc w:val="center"/>
              <w:rPr>
                <w:rFonts w:ascii="宋体" w:hAnsi="宋体" w:cs="宋体"/>
                <w:color w:val="auto"/>
                <w:sz w:val="24"/>
                <w:highlight w:val="none"/>
              </w:rPr>
            </w:pPr>
          </w:p>
        </w:tc>
        <w:tc>
          <w:tcPr>
            <w:tcW w:w="1296" w:type="dxa"/>
            <w:vAlign w:val="center"/>
          </w:tcPr>
          <w:p w14:paraId="45A20BB2">
            <w:pPr>
              <w:jc w:val="center"/>
              <w:rPr>
                <w:rFonts w:ascii="宋体" w:hAnsi="宋体" w:cs="宋体"/>
                <w:color w:val="auto"/>
                <w:sz w:val="24"/>
                <w:highlight w:val="none"/>
              </w:rPr>
            </w:pPr>
          </w:p>
        </w:tc>
        <w:tc>
          <w:tcPr>
            <w:tcW w:w="895" w:type="dxa"/>
            <w:vAlign w:val="center"/>
          </w:tcPr>
          <w:p w14:paraId="0C486F3C">
            <w:pPr>
              <w:jc w:val="center"/>
              <w:rPr>
                <w:rFonts w:ascii="宋体" w:hAnsi="宋体" w:cs="宋体"/>
                <w:color w:val="auto"/>
                <w:sz w:val="24"/>
                <w:highlight w:val="none"/>
              </w:rPr>
            </w:pPr>
          </w:p>
        </w:tc>
        <w:tc>
          <w:tcPr>
            <w:tcW w:w="1709" w:type="dxa"/>
            <w:vAlign w:val="center"/>
          </w:tcPr>
          <w:p w14:paraId="5503E94C">
            <w:pPr>
              <w:jc w:val="center"/>
              <w:rPr>
                <w:rFonts w:ascii="宋体" w:hAnsi="宋体" w:cs="宋体"/>
                <w:color w:val="auto"/>
                <w:sz w:val="24"/>
                <w:highlight w:val="none"/>
              </w:rPr>
            </w:pPr>
          </w:p>
        </w:tc>
        <w:tc>
          <w:tcPr>
            <w:tcW w:w="1233" w:type="dxa"/>
            <w:vAlign w:val="center"/>
          </w:tcPr>
          <w:p w14:paraId="448F1591">
            <w:pPr>
              <w:jc w:val="center"/>
              <w:rPr>
                <w:rFonts w:ascii="宋体" w:hAnsi="宋体" w:cs="宋体"/>
                <w:color w:val="auto"/>
                <w:sz w:val="24"/>
                <w:highlight w:val="none"/>
              </w:rPr>
            </w:pPr>
          </w:p>
        </w:tc>
        <w:tc>
          <w:tcPr>
            <w:tcW w:w="1572" w:type="dxa"/>
            <w:vAlign w:val="center"/>
          </w:tcPr>
          <w:p w14:paraId="711AC219">
            <w:pPr>
              <w:jc w:val="center"/>
              <w:rPr>
                <w:rFonts w:ascii="宋体" w:hAnsi="宋体" w:cs="宋体"/>
                <w:color w:val="auto"/>
                <w:sz w:val="24"/>
                <w:highlight w:val="none"/>
              </w:rPr>
            </w:pPr>
          </w:p>
        </w:tc>
        <w:tc>
          <w:tcPr>
            <w:tcW w:w="1389" w:type="dxa"/>
            <w:vAlign w:val="center"/>
          </w:tcPr>
          <w:p w14:paraId="3F541292">
            <w:pPr>
              <w:jc w:val="center"/>
              <w:rPr>
                <w:rFonts w:ascii="宋体" w:hAnsi="宋体" w:cs="宋体"/>
                <w:color w:val="auto"/>
                <w:sz w:val="24"/>
                <w:highlight w:val="none"/>
              </w:rPr>
            </w:pPr>
          </w:p>
        </w:tc>
      </w:tr>
      <w:tr w14:paraId="3AEF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392D2CE7">
            <w:pPr>
              <w:jc w:val="center"/>
              <w:rPr>
                <w:rFonts w:ascii="宋体" w:hAnsi="宋体" w:cs="宋体"/>
                <w:color w:val="auto"/>
                <w:sz w:val="24"/>
                <w:highlight w:val="none"/>
              </w:rPr>
            </w:pPr>
          </w:p>
        </w:tc>
        <w:tc>
          <w:tcPr>
            <w:tcW w:w="1296" w:type="dxa"/>
            <w:vAlign w:val="center"/>
          </w:tcPr>
          <w:p w14:paraId="3982D5B4">
            <w:pPr>
              <w:jc w:val="center"/>
              <w:rPr>
                <w:rFonts w:ascii="宋体" w:hAnsi="宋体" w:cs="宋体"/>
                <w:color w:val="auto"/>
                <w:sz w:val="24"/>
                <w:highlight w:val="none"/>
              </w:rPr>
            </w:pPr>
          </w:p>
        </w:tc>
        <w:tc>
          <w:tcPr>
            <w:tcW w:w="895" w:type="dxa"/>
            <w:vAlign w:val="center"/>
          </w:tcPr>
          <w:p w14:paraId="2FD4B108">
            <w:pPr>
              <w:jc w:val="center"/>
              <w:rPr>
                <w:rFonts w:ascii="宋体" w:hAnsi="宋体" w:cs="宋体"/>
                <w:color w:val="auto"/>
                <w:sz w:val="24"/>
                <w:highlight w:val="none"/>
              </w:rPr>
            </w:pPr>
          </w:p>
        </w:tc>
        <w:tc>
          <w:tcPr>
            <w:tcW w:w="1709" w:type="dxa"/>
            <w:vAlign w:val="center"/>
          </w:tcPr>
          <w:p w14:paraId="2D8E2C4C">
            <w:pPr>
              <w:jc w:val="center"/>
              <w:rPr>
                <w:rFonts w:ascii="宋体" w:hAnsi="宋体" w:cs="宋体"/>
                <w:color w:val="auto"/>
                <w:sz w:val="24"/>
                <w:highlight w:val="none"/>
              </w:rPr>
            </w:pPr>
          </w:p>
        </w:tc>
        <w:tc>
          <w:tcPr>
            <w:tcW w:w="1233" w:type="dxa"/>
            <w:vAlign w:val="center"/>
          </w:tcPr>
          <w:p w14:paraId="1CB2AC89">
            <w:pPr>
              <w:jc w:val="center"/>
              <w:rPr>
                <w:rFonts w:ascii="宋体" w:hAnsi="宋体" w:cs="宋体"/>
                <w:color w:val="auto"/>
                <w:sz w:val="24"/>
                <w:highlight w:val="none"/>
              </w:rPr>
            </w:pPr>
          </w:p>
        </w:tc>
        <w:tc>
          <w:tcPr>
            <w:tcW w:w="1572" w:type="dxa"/>
            <w:vAlign w:val="center"/>
          </w:tcPr>
          <w:p w14:paraId="3FA9B55B">
            <w:pPr>
              <w:jc w:val="center"/>
              <w:rPr>
                <w:rFonts w:ascii="宋体" w:hAnsi="宋体" w:cs="宋体"/>
                <w:color w:val="auto"/>
                <w:sz w:val="24"/>
                <w:highlight w:val="none"/>
              </w:rPr>
            </w:pPr>
          </w:p>
        </w:tc>
        <w:tc>
          <w:tcPr>
            <w:tcW w:w="1389" w:type="dxa"/>
            <w:vAlign w:val="center"/>
          </w:tcPr>
          <w:p w14:paraId="4B945F6E">
            <w:pPr>
              <w:jc w:val="center"/>
              <w:rPr>
                <w:rFonts w:ascii="宋体" w:hAnsi="宋体" w:cs="宋体"/>
                <w:color w:val="auto"/>
                <w:sz w:val="24"/>
                <w:highlight w:val="none"/>
              </w:rPr>
            </w:pPr>
          </w:p>
        </w:tc>
      </w:tr>
      <w:tr w14:paraId="33213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2A47AE6B">
            <w:pPr>
              <w:jc w:val="center"/>
              <w:rPr>
                <w:rFonts w:ascii="宋体" w:hAnsi="宋体" w:cs="宋体"/>
                <w:color w:val="auto"/>
                <w:sz w:val="24"/>
                <w:highlight w:val="none"/>
              </w:rPr>
            </w:pPr>
          </w:p>
        </w:tc>
        <w:tc>
          <w:tcPr>
            <w:tcW w:w="1296" w:type="dxa"/>
            <w:vAlign w:val="center"/>
          </w:tcPr>
          <w:p w14:paraId="25B9A4C9">
            <w:pPr>
              <w:jc w:val="center"/>
              <w:rPr>
                <w:rFonts w:ascii="宋体" w:hAnsi="宋体" w:cs="宋体"/>
                <w:color w:val="auto"/>
                <w:sz w:val="24"/>
                <w:highlight w:val="none"/>
              </w:rPr>
            </w:pPr>
          </w:p>
        </w:tc>
        <w:tc>
          <w:tcPr>
            <w:tcW w:w="895" w:type="dxa"/>
            <w:vAlign w:val="center"/>
          </w:tcPr>
          <w:p w14:paraId="5A438C9E">
            <w:pPr>
              <w:jc w:val="center"/>
              <w:rPr>
                <w:rFonts w:ascii="宋体" w:hAnsi="宋体" w:cs="宋体"/>
                <w:color w:val="auto"/>
                <w:sz w:val="24"/>
                <w:highlight w:val="none"/>
              </w:rPr>
            </w:pPr>
          </w:p>
        </w:tc>
        <w:tc>
          <w:tcPr>
            <w:tcW w:w="1709" w:type="dxa"/>
            <w:vAlign w:val="center"/>
          </w:tcPr>
          <w:p w14:paraId="7C820A5B">
            <w:pPr>
              <w:jc w:val="center"/>
              <w:rPr>
                <w:rFonts w:ascii="宋体" w:hAnsi="宋体" w:cs="宋体"/>
                <w:color w:val="auto"/>
                <w:sz w:val="24"/>
                <w:highlight w:val="none"/>
              </w:rPr>
            </w:pPr>
          </w:p>
        </w:tc>
        <w:tc>
          <w:tcPr>
            <w:tcW w:w="1233" w:type="dxa"/>
            <w:vAlign w:val="center"/>
          </w:tcPr>
          <w:p w14:paraId="10AB1425">
            <w:pPr>
              <w:jc w:val="center"/>
              <w:rPr>
                <w:rFonts w:ascii="宋体" w:hAnsi="宋体" w:cs="宋体"/>
                <w:color w:val="auto"/>
                <w:sz w:val="24"/>
                <w:highlight w:val="none"/>
              </w:rPr>
            </w:pPr>
          </w:p>
        </w:tc>
        <w:tc>
          <w:tcPr>
            <w:tcW w:w="1572" w:type="dxa"/>
            <w:vAlign w:val="center"/>
          </w:tcPr>
          <w:p w14:paraId="6840F8A2">
            <w:pPr>
              <w:jc w:val="center"/>
              <w:rPr>
                <w:rFonts w:ascii="宋体" w:hAnsi="宋体" w:cs="宋体"/>
                <w:color w:val="auto"/>
                <w:sz w:val="24"/>
                <w:highlight w:val="none"/>
              </w:rPr>
            </w:pPr>
          </w:p>
        </w:tc>
        <w:tc>
          <w:tcPr>
            <w:tcW w:w="1389" w:type="dxa"/>
            <w:vAlign w:val="center"/>
          </w:tcPr>
          <w:p w14:paraId="68E4DF8C">
            <w:pPr>
              <w:jc w:val="center"/>
              <w:rPr>
                <w:rFonts w:ascii="宋体" w:hAnsi="宋体" w:cs="宋体"/>
                <w:color w:val="auto"/>
                <w:sz w:val="24"/>
                <w:highlight w:val="none"/>
              </w:rPr>
            </w:pPr>
          </w:p>
        </w:tc>
      </w:tr>
      <w:tr w14:paraId="74BDC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10" w:type="dxa"/>
            <w:vAlign w:val="center"/>
          </w:tcPr>
          <w:p w14:paraId="22B3706A">
            <w:pPr>
              <w:jc w:val="center"/>
              <w:rPr>
                <w:rFonts w:ascii="宋体" w:hAnsi="宋体" w:cs="宋体"/>
                <w:color w:val="auto"/>
                <w:sz w:val="24"/>
                <w:highlight w:val="none"/>
              </w:rPr>
            </w:pPr>
          </w:p>
        </w:tc>
        <w:tc>
          <w:tcPr>
            <w:tcW w:w="1296" w:type="dxa"/>
            <w:vAlign w:val="center"/>
          </w:tcPr>
          <w:p w14:paraId="51FBA053">
            <w:pPr>
              <w:jc w:val="center"/>
              <w:rPr>
                <w:rFonts w:ascii="宋体" w:hAnsi="宋体" w:cs="宋体"/>
                <w:color w:val="auto"/>
                <w:sz w:val="24"/>
                <w:highlight w:val="none"/>
              </w:rPr>
            </w:pPr>
          </w:p>
        </w:tc>
        <w:tc>
          <w:tcPr>
            <w:tcW w:w="895" w:type="dxa"/>
            <w:vAlign w:val="center"/>
          </w:tcPr>
          <w:p w14:paraId="2B3AC9DB">
            <w:pPr>
              <w:jc w:val="center"/>
              <w:rPr>
                <w:rFonts w:ascii="宋体" w:hAnsi="宋体" w:cs="宋体"/>
                <w:color w:val="auto"/>
                <w:sz w:val="24"/>
                <w:highlight w:val="none"/>
              </w:rPr>
            </w:pPr>
          </w:p>
        </w:tc>
        <w:tc>
          <w:tcPr>
            <w:tcW w:w="1709" w:type="dxa"/>
            <w:vAlign w:val="center"/>
          </w:tcPr>
          <w:p w14:paraId="430D29D9">
            <w:pPr>
              <w:jc w:val="center"/>
              <w:rPr>
                <w:rFonts w:ascii="宋体" w:hAnsi="宋体" w:cs="宋体"/>
                <w:color w:val="auto"/>
                <w:sz w:val="24"/>
                <w:highlight w:val="none"/>
              </w:rPr>
            </w:pPr>
          </w:p>
        </w:tc>
        <w:tc>
          <w:tcPr>
            <w:tcW w:w="1233" w:type="dxa"/>
            <w:vAlign w:val="center"/>
          </w:tcPr>
          <w:p w14:paraId="6F4EE54D">
            <w:pPr>
              <w:jc w:val="center"/>
              <w:rPr>
                <w:rFonts w:ascii="宋体" w:hAnsi="宋体" w:cs="宋体"/>
                <w:color w:val="auto"/>
                <w:sz w:val="24"/>
                <w:highlight w:val="none"/>
              </w:rPr>
            </w:pPr>
          </w:p>
        </w:tc>
        <w:tc>
          <w:tcPr>
            <w:tcW w:w="1572" w:type="dxa"/>
            <w:vAlign w:val="center"/>
          </w:tcPr>
          <w:p w14:paraId="7244791D">
            <w:pPr>
              <w:jc w:val="center"/>
              <w:rPr>
                <w:rFonts w:ascii="宋体" w:hAnsi="宋体" w:cs="宋体"/>
                <w:color w:val="auto"/>
                <w:sz w:val="24"/>
                <w:highlight w:val="none"/>
              </w:rPr>
            </w:pPr>
          </w:p>
        </w:tc>
        <w:tc>
          <w:tcPr>
            <w:tcW w:w="1389" w:type="dxa"/>
            <w:vAlign w:val="center"/>
          </w:tcPr>
          <w:p w14:paraId="2AEFBC87">
            <w:pPr>
              <w:jc w:val="center"/>
              <w:rPr>
                <w:rFonts w:ascii="宋体" w:hAnsi="宋体" w:cs="宋体"/>
                <w:color w:val="auto"/>
                <w:sz w:val="24"/>
                <w:highlight w:val="none"/>
              </w:rPr>
            </w:pPr>
          </w:p>
        </w:tc>
      </w:tr>
      <w:tr w14:paraId="0AD0B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1906" w:type="dxa"/>
            <w:gridSpan w:val="2"/>
            <w:vAlign w:val="center"/>
          </w:tcPr>
          <w:p w14:paraId="66175D68">
            <w:pPr>
              <w:jc w:val="center"/>
              <w:rPr>
                <w:rFonts w:ascii="宋体" w:hAnsi="宋体" w:cs="宋体"/>
                <w:color w:val="auto"/>
                <w:sz w:val="24"/>
                <w:highlight w:val="none"/>
              </w:rPr>
            </w:pPr>
            <w:r>
              <w:rPr>
                <w:rFonts w:hint="eastAsia" w:ascii="宋体" w:hAnsi="宋体" w:cs="宋体"/>
                <w:color w:val="auto"/>
                <w:sz w:val="24"/>
                <w:highlight w:val="none"/>
              </w:rPr>
              <w:t>合计</w:t>
            </w:r>
          </w:p>
        </w:tc>
        <w:tc>
          <w:tcPr>
            <w:tcW w:w="895" w:type="dxa"/>
            <w:vAlign w:val="center"/>
          </w:tcPr>
          <w:p w14:paraId="62051B2E">
            <w:pPr>
              <w:jc w:val="center"/>
              <w:rPr>
                <w:rFonts w:ascii="宋体" w:hAnsi="宋体" w:cs="宋体"/>
                <w:color w:val="auto"/>
                <w:sz w:val="24"/>
                <w:highlight w:val="none"/>
              </w:rPr>
            </w:pPr>
          </w:p>
        </w:tc>
        <w:tc>
          <w:tcPr>
            <w:tcW w:w="1709" w:type="dxa"/>
            <w:vAlign w:val="center"/>
          </w:tcPr>
          <w:p w14:paraId="44372DB9">
            <w:pPr>
              <w:jc w:val="center"/>
              <w:rPr>
                <w:rFonts w:ascii="宋体" w:hAnsi="宋体" w:cs="宋体"/>
                <w:color w:val="auto"/>
                <w:sz w:val="24"/>
                <w:highlight w:val="none"/>
              </w:rPr>
            </w:pPr>
            <w:r>
              <w:rPr>
                <w:rFonts w:hint="eastAsia" w:ascii="宋体" w:hAnsi="宋体" w:cs="宋体"/>
                <w:color w:val="auto"/>
                <w:sz w:val="24"/>
                <w:highlight w:val="none"/>
              </w:rPr>
              <w:t>-</w:t>
            </w:r>
          </w:p>
        </w:tc>
        <w:tc>
          <w:tcPr>
            <w:tcW w:w="1233" w:type="dxa"/>
            <w:vAlign w:val="center"/>
          </w:tcPr>
          <w:p w14:paraId="79CEDC04">
            <w:pPr>
              <w:jc w:val="center"/>
              <w:rPr>
                <w:rFonts w:ascii="宋体" w:hAnsi="宋体" w:cs="宋体"/>
                <w:color w:val="auto"/>
                <w:sz w:val="24"/>
                <w:highlight w:val="none"/>
              </w:rPr>
            </w:pPr>
          </w:p>
        </w:tc>
        <w:tc>
          <w:tcPr>
            <w:tcW w:w="1572" w:type="dxa"/>
            <w:vAlign w:val="center"/>
          </w:tcPr>
          <w:p w14:paraId="72F288A1">
            <w:pPr>
              <w:jc w:val="center"/>
              <w:rPr>
                <w:rFonts w:ascii="宋体" w:hAnsi="宋体" w:cs="宋体"/>
                <w:color w:val="auto"/>
                <w:sz w:val="24"/>
                <w:highlight w:val="none"/>
              </w:rPr>
            </w:pPr>
            <w:r>
              <w:rPr>
                <w:rFonts w:hint="eastAsia" w:ascii="宋体" w:hAnsi="宋体" w:cs="宋体"/>
                <w:color w:val="auto"/>
                <w:sz w:val="24"/>
                <w:highlight w:val="none"/>
              </w:rPr>
              <w:t>-</w:t>
            </w:r>
          </w:p>
        </w:tc>
        <w:tc>
          <w:tcPr>
            <w:tcW w:w="1389" w:type="dxa"/>
            <w:vAlign w:val="center"/>
          </w:tcPr>
          <w:p w14:paraId="6F042FDA">
            <w:pPr>
              <w:jc w:val="center"/>
              <w:rPr>
                <w:rFonts w:ascii="宋体" w:hAnsi="宋体" w:cs="宋体"/>
                <w:color w:val="auto"/>
                <w:sz w:val="24"/>
                <w:highlight w:val="none"/>
              </w:rPr>
            </w:pPr>
            <w:r>
              <w:rPr>
                <w:rFonts w:hint="eastAsia" w:ascii="宋体" w:hAnsi="宋体" w:cs="宋体"/>
                <w:color w:val="auto"/>
                <w:sz w:val="24"/>
                <w:highlight w:val="none"/>
              </w:rPr>
              <w:t>-</w:t>
            </w:r>
          </w:p>
        </w:tc>
      </w:tr>
    </w:tbl>
    <w:p w14:paraId="6B34C9EE">
      <w:pPr>
        <w:jc w:val="center"/>
        <w:rPr>
          <w:rFonts w:ascii="宋体" w:hAnsi="宋体" w:cs="宋体"/>
          <w:color w:val="auto"/>
          <w:sz w:val="32"/>
          <w:szCs w:val="32"/>
          <w:highlight w:val="none"/>
        </w:rPr>
      </w:pPr>
    </w:p>
    <w:p w14:paraId="4F105C76">
      <w:pPr>
        <w:jc w:val="center"/>
        <w:rPr>
          <w:rFonts w:ascii="宋体" w:hAnsi="宋体" w:cs="宋体"/>
          <w:color w:val="auto"/>
          <w:sz w:val="32"/>
          <w:szCs w:val="32"/>
          <w:highlight w:val="none"/>
        </w:rPr>
      </w:pPr>
    </w:p>
    <w:p w14:paraId="043F5C24">
      <w:pPr>
        <w:ind w:firstLine="2400" w:firstLineChars="1000"/>
        <w:jc w:val="both"/>
        <w:rPr>
          <w:rFonts w:ascii="宋体" w:hAnsi="宋体" w:cs="宋体"/>
          <w:color w:val="auto"/>
          <w:sz w:val="24"/>
          <w:highlight w:val="none"/>
        </w:rPr>
      </w:pPr>
      <w:r>
        <w:rPr>
          <w:rFonts w:hint="eastAsia" w:ascii="宋体" w:hAnsi="宋体" w:cs="宋体"/>
          <w:color w:val="auto"/>
          <w:sz w:val="24"/>
          <w:highlight w:val="none"/>
        </w:rPr>
        <w:t>投标人：</w:t>
      </w:r>
      <w:r>
        <w:rPr>
          <w:rFonts w:hint="eastAsia" w:ascii="宋体" w:hAnsi="宋体" w:cs="宋体"/>
          <w:color w:val="auto"/>
          <w:sz w:val="24"/>
          <w:highlight w:val="none"/>
          <w:u w:val="single"/>
          <w:lang w:eastAsia="zh-CN"/>
        </w:rPr>
        <w:t xml:space="preserve">                    </w:t>
      </w:r>
      <w:r>
        <w:rPr>
          <w:rFonts w:hint="eastAsia" w:ascii="宋体" w:hAnsi="宋体" w:cs="宋体"/>
          <w:color w:val="auto"/>
          <w:sz w:val="24"/>
          <w:highlight w:val="none"/>
        </w:rPr>
        <w:t>（盖章位章）</w:t>
      </w:r>
    </w:p>
    <w:p w14:paraId="31B7EA1A">
      <w:pPr>
        <w:pStyle w:val="20"/>
        <w:rPr>
          <w:color w:val="auto"/>
          <w:highlight w:val="none"/>
          <w:lang w:eastAsia="zh-CN"/>
        </w:rPr>
        <w:sectPr>
          <w:headerReference r:id="rId57" w:type="default"/>
          <w:footerReference r:id="rId58" w:type="default"/>
          <w:pgSz w:w="11907" w:h="16839"/>
          <w:pgMar w:top="1173" w:right="1613" w:bottom="1254" w:left="1673" w:header="862" w:footer="1093" w:gutter="0"/>
          <w:cols w:space="720" w:num="1"/>
        </w:sectPr>
      </w:pPr>
      <w:r>
        <w:rPr>
          <w:rFonts w:hint="eastAsia" w:ascii="宋体" w:hAnsi="宋体" w:cs="宋体"/>
          <w:color w:val="auto"/>
          <w:sz w:val="24"/>
          <w:szCs w:val="24"/>
          <w:highlight w:val="none"/>
          <w:lang w:eastAsia="zh-CN"/>
        </w:rPr>
        <w:t xml:space="preserve">               法定代表人或其委托代理人：</w:t>
      </w:r>
      <w:r>
        <w:rPr>
          <w:rFonts w:hint="eastAsia" w:ascii="宋体" w:hAnsi="宋体" w:cs="宋体"/>
          <w:color w:val="auto"/>
          <w:sz w:val="24"/>
          <w:szCs w:val="24"/>
          <w:highlight w:val="none"/>
          <w:u w:val="single"/>
          <w:lang w:eastAsia="zh-CN"/>
        </w:rPr>
        <w:t xml:space="preserve">      </w:t>
      </w:r>
      <w:r>
        <w:rPr>
          <w:rFonts w:hint="eastAsia" w:ascii="宋体" w:hAnsi="宋体" w:cs="宋体"/>
          <w:color w:val="auto"/>
          <w:sz w:val="24"/>
          <w:szCs w:val="24"/>
          <w:highlight w:val="none"/>
          <w:lang w:eastAsia="zh-CN"/>
        </w:rPr>
        <w:t>（签字）</w:t>
      </w:r>
    </w:p>
    <w:p w14:paraId="7EAC941E">
      <w:pPr>
        <w:kinsoku/>
        <w:spacing w:line="261" w:lineRule="auto"/>
        <w:rPr>
          <w:rFonts w:ascii="宋体" w:hAnsi="宋体" w:eastAsia="宋体" w:cs="宋体"/>
          <w:color w:val="auto"/>
          <w:highlight w:val="none"/>
          <w:lang w:eastAsia="zh-CN"/>
        </w:rPr>
      </w:pPr>
    </w:p>
    <w:p w14:paraId="1D9E3AD3">
      <w:pPr>
        <w:kinsoku/>
        <w:spacing w:line="261" w:lineRule="auto"/>
        <w:rPr>
          <w:rFonts w:ascii="宋体" w:hAnsi="宋体" w:eastAsia="宋体" w:cs="宋体"/>
          <w:color w:val="auto"/>
          <w:highlight w:val="none"/>
          <w:lang w:eastAsia="zh-CN"/>
        </w:rPr>
      </w:pPr>
    </w:p>
    <w:p w14:paraId="72CA8831">
      <w:pPr>
        <w:kinsoku/>
        <w:spacing w:line="261" w:lineRule="auto"/>
        <w:rPr>
          <w:rFonts w:ascii="宋体" w:hAnsi="宋体" w:eastAsia="宋体" w:cs="宋体"/>
          <w:color w:val="auto"/>
          <w:highlight w:val="none"/>
          <w:lang w:eastAsia="zh-CN"/>
        </w:rPr>
      </w:pPr>
    </w:p>
    <w:p w14:paraId="717D7696">
      <w:pPr>
        <w:tabs>
          <w:tab w:val="left" w:pos="3281"/>
        </w:tabs>
        <w:kinsoku/>
        <w:spacing w:before="98" w:line="225" w:lineRule="auto"/>
        <w:ind w:left="1732"/>
        <w:rPr>
          <w:rFonts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u w:val="single"/>
          <w:lang w:eastAsia="zh-CN"/>
        </w:rPr>
        <w:tab/>
      </w:r>
      <w:r>
        <w:rPr>
          <w:rFonts w:hint="eastAsia" w:ascii="宋体" w:hAnsi="宋体" w:eastAsia="宋体" w:cs="宋体"/>
          <w:color w:val="auto"/>
          <w:sz w:val="30"/>
          <w:szCs w:val="30"/>
          <w:highlight w:val="none"/>
          <w:lang w:eastAsia="zh-CN"/>
        </w:rPr>
        <w:t xml:space="preserve"> 省（自治区、直辖市）</w:t>
      </w:r>
    </w:p>
    <w:p w14:paraId="3A55D7C0">
      <w:pPr>
        <w:kinsoku/>
        <w:spacing w:line="256" w:lineRule="auto"/>
        <w:rPr>
          <w:rFonts w:ascii="宋体" w:hAnsi="宋体" w:eastAsia="宋体" w:cs="宋体"/>
          <w:color w:val="auto"/>
          <w:highlight w:val="none"/>
          <w:lang w:eastAsia="zh-CN"/>
        </w:rPr>
      </w:pPr>
    </w:p>
    <w:p w14:paraId="12B50B58">
      <w:pPr>
        <w:kinsoku/>
        <w:spacing w:line="256" w:lineRule="auto"/>
        <w:rPr>
          <w:rFonts w:ascii="宋体" w:hAnsi="宋体" w:eastAsia="宋体" w:cs="宋体"/>
          <w:color w:val="auto"/>
          <w:highlight w:val="none"/>
          <w:lang w:eastAsia="zh-CN"/>
        </w:rPr>
      </w:pPr>
    </w:p>
    <w:p w14:paraId="261C881B">
      <w:pPr>
        <w:kinsoku/>
        <w:spacing w:line="257" w:lineRule="auto"/>
        <w:rPr>
          <w:rFonts w:ascii="宋体" w:hAnsi="宋体" w:eastAsia="宋体" w:cs="宋体"/>
          <w:color w:val="auto"/>
          <w:highlight w:val="none"/>
          <w:lang w:eastAsia="zh-CN"/>
        </w:rPr>
      </w:pPr>
    </w:p>
    <w:p w14:paraId="21390F4C">
      <w:pPr>
        <w:kinsoku/>
        <w:spacing w:line="257" w:lineRule="auto"/>
        <w:rPr>
          <w:rFonts w:ascii="宋体" w:hAnsi="宋体" w:eastAsia="宋体" w:cs="宋体"/>
          <w:color w:val="auto"/>
          <w:highlight w:val="none"/>
          <w:lang w:eastAsia="zh-CN"/>
        </w:rPr>
      </w:pPr>
    </w:p>
    <w:p w14:paraId="4ED43B2C">
      <w:pPr>
        <w:tabs>
          <w:tab w:val="left" w:pos="3287"/>
        </w:tabs>
        <w:kinsoku/>
        <w:spacing w:before="78" w:line="219" w:lineRule="auto"/>
        <w:ind w:left="0" w:leftChars="0" w:firstLine="0" w:firstLineChars="0"/>
        <w:jc w:val="center"/>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韶关市</w:t>
      </w:r>
      <w:r>
        <w:rPr>
          <w:rFonts w:ascii="宋体" w:hAnsi="宋体" w:eastAsia="宋体" w:cs="宋体"/>
          <w:color w:val="auto"/>
          <w:sz w:val="24"/>
          <w:szCs w:val="24"/>
          <w:highlight w:val="none"/>
          <w:u w:val="single"/>
          <w:lang w:eastAsia="zh-CN"/>
        </w:rPr>
        <w:t>S246</w:t>
      </w:r>
      <w:r>
        <w:rPr>
          <w:rFonts w:hint="eastAsia" w:ascii="宋体" w:hAnsi="宋体" w:eastAsia="宋体" w:cs="宋体"/>
          <w:color w:val="auto"/>
          <w:sz w:val="24"/>
          <w:szCs w:val="24"/>
          <w:highlight w:val="none"/>
          <w:u w:val="single"/>
          <w:lang w:eastAsia="zh-CN"/>
        </w:rPr>
        <w:t>线十里亭大桥至糖寮段公路改线工程、乳源县桂头镇至韶关丹霞机场公路新建工程（韶关机场进场道路）施工图设计</w:t>
      </w:r>
      <w:r>
        <w:rPr>
          <w:rFonts w:hint="eastAsia" w:ascii="宋体" w:hAnsi="宋体" w:eastAsia="宋体" w:cs="宋体"/>
          <w:color w:val="auto"/>
          <w:sz w:val="24"/>
          <w:szCs w:val="24"/>
          <w:highlight w:val="none"/>
          <w:lang w:eastAsia="zh-CN"/>
        </w:rPr>
        <w:t>招标</w:t>
      </w:r>
    </w:p>
    <w:p w14:paraId="73EEF0DF">
      <w:pPr>
        <w:kinsoku/>
        <w:spacing w:line="264" w:lineRule="auto"/>
        <w:rPr>
          <w:rFonts w:ascii="宋体" w:hAnsi="宋体" w:eastAsia="宋体" w:cs="宋体"/>
          <w:color w:val="auto"/>
          <w:highlight w:val="none"/>
          <w:lang w:eastAsia="zh-CN"/>
        </w:rPr>
      </w:pPr>
    </w:p>
    <w:p w14:paraId="168CE447">
      <w:pPr>
        <w:kinsoku/>
        <w:spacing w:line="264" w:lineRule="auto"/>
        <w:rPr>
          <w:rFonts w:ascii="宋体" w:hAnsi="宋体" w:eastAsia="宋体" w:cs="宋体"/>
          <w:color w:val="auto"/>
          <w:highlight w:val="none"/>
          <w:lang w:eastAsia="zh-CN"/>
        </w:rPr>
      </w:pPr>
    </w:p>
    <w:p w14:paraId="3BF2B6C8">
      <w:pPr>
        <w:kinsoku/>
        <w:spacing w:line="264" w:lineRule="auto"/>
        <w:rPr>
          <w:rFonts w:ascii="宋体" w:hAnsi="宋体" w:eastAsia="宋体" w:cs="宋体"/>
          <w:color w:val="auto"/>
          <w:highlight w:val="none"/>
          <w:lang w:eastAsia="zh-CN"/>
        </w:rPr>
      </w:pPr>
    </w:p>
    <w:p w14:paraId="528B2191">
      <w:pPr>
        <w:kinsoku/>
        <w:spacing w:line="264" w:lineRule="auto"/>
        <w:rPr>
          <w:rFonts w:ascii="宋体" w:hAnsi="宋体" w:eastAsia="宋体" w:cs="宋体"/>
          <w:color w:val="auto"/>
          <w:highlight w:val="none"/>
          <w:lang w:eastAsia="zh-CN"/>
        </w:rPr>
      </w:pPr>
    </w:p>
    <w:p w14:paraId="7B94E6F2">
      <w:pPr>
        <w:kinsoku/>
        <w:spacing w:line="264" w:lineRule="auto"/>
        <w:rPr>
          <w:rFonts w:ascii="宋体" w:hAnsi="宋体" w:eastAsia="宋体" w:cs="宋体"/>
          <w:color w:val="auto"/>
          <w:highlight w:val="none"/>
          <w:lang w:eastAsia="zh-CN"/>
        </w:rPr>
      </w:pPr>
    </w:p>
    <w:p w14:paraId="6FE356E2">
      <w:pPr>
        <w:kinsoku/>
        <w:spacing w:line="264" w:lineRule="auto"/>
        <w:rPr>
          <w:rFonts w:ascii="宋体" w:hAnsi="宋体" w:eastAsia="宋体" w:cs="宋体"/>
          <w:color w:val="auto"/>
          <w:highlight w:val="none"/>
          <w:lang w:eastAsia="zh-CN"/>
        </w:rPr>
      </w:pPr>
    </w:p>
    <w:p w14:paraId="460B0C77">
      <w:pPr>
        <w:kinsoku/>
        <w:spacing w:line="265" w:lineRule="auto"/>
        <w:rPr>
          <w:rFonts w:ascii="宋体" w:hAnsi="宋体" w:eastAsia="宋体" w:cs="宋体"/>
          <w:color w:val="auto"/>
          <w:highlight w:val="none"/>
          <w:lang w:eastAsia="zh-CN"/>
        </w:rPr>
      </w:pPr>
    </w:p>
    <w:p w14:paraId="2DC71FB8">
      <w:pPr>
        <w:kinsoku/>
        <w:spacing w:line="265" w:lineRule="auto"/>
        <w:rPr>
          <w:rFonts w:ascii="宋体" w:hAnsi="宋体" w:eastAsia="宋体" w:cs="宋体"/>
          <w:color w:val="auto"/>
          <w:highlight w:val="none"/>
          <w:lang w:eastAsia="zh-CN"/>
        </w:rPr>
      </w:pPr>
    </w:p>
    <w:p w14:paraId="47B0D24E">
      <w:pPr>
        <w:kinsoku/>
        <w:spacing w:before="159" w:line="332" w:lineRule="auto"/>
        <w:ind w:left="3265" w:right="2563" w:hanging="691"/>
        <w:rPr>
          <w:rFonts w:ascii="宋体" w:hAnsi="宋体" w:eastAsia="宋体" w:cs="宋体"/>
          <w:color w:val="auto"/>
          <w:sz w:val="36"/>
          <w:szCs w:val="36"/>
          <w:highlight w:val="none"/>
          <w:lang w:eastAsia="zh-CN"/>
        </w:rPr>
      </w:pPr>
      <w:bookmarkStart w:id="469" w:name="bookmark304"/>
      <w:bookmarkEnd w:id="469"/>
      <w:r>
        <w:rPr>
          <w:rFonts w:hint="eastAsia" w:ascii="宋体" w:hAnsi="宋体" w:eastAsia="宋体" w:cs="宋体"/>
          <w:color w:val="auto"/>
          <w:sz w:val="49"/>
          <w:szCs w:val="49"/>
          <w:highlight w:val="none"/>
          <w:lang w:eastAsia="zh-CN"/>
        </w:rPr>
        <w:t xml:space="preserve">投  标  文  件 </w:t>
      </w:r>
      <w:bookmarkStart w:id="470" w:name="bookmark303"/>
      <w:bookmarkEnd w:id="470"/>
      <w:r>
        <w:rPr>
          <w:rFonts w:hint="eastAsia" w:ascii="宋体" w:hAnsi="宋体" w:eastAsia="宋体" w:cs="宋体"/>
          <w:color w:val="auto"/>
          <w:sz w:val="36"/>
          <w:szCs w:val="36"/>
          <w:highlight w:val="none"/>
          <w:lang w:eastAsia="zh-CN"/>
        </w:rPr>
        <w:t>（技术文件）</w:t>
      </w:r>
    </w:p>
    <w:p w14:paraId="6A6946D3">
      <w:pPr>
        <w:kinsoku/>
        <w:rPr>
          <w:rFonts w:ascii="宋体" w:hAnsi="宋体" w:eastAsia="宋体" w:cs="宋体"/>
          <w:color w:val="auto"/>
          <w:highlight w:val="none"/>
          <w:lang w:eastAsia="zh-CN"/>
        </w:rPr>
      </w:pPr>
    </w:p>
    <w:p w14:paraId="07128462">
      <w:pPr>
        <w:kinsoku/>
        <w:spacing w:line="241" w:lineRule="auto"/>
        <w:rPr>
          <w:rFonts w:ascii="宋体" w:hAnsi="宋体" w:eastAsia="宋体" w:cs="宋体"/>
          <w:color w:val="auto"/>
          <w:highlight w:val="none"/>
          <w:lang w:eastAsia="zh-CN"/>
        </w:rPr>
      </w:pPr>
    </w:p>
    <w:p w14:paraId="145B9B66">
      <w:pPr>
        <w:kinsoku/>
        <w:spacing w:line="241" w:lineRule="auto"/>
        <w:rPr>
          <w:rFonts w:ascii="宋体" w:hAnsi="宋体" w:eastAsia="宋体" w:cs="宋体"/>
          <w:color w:val="auto"/>
          <w:highlight w:val="none"/>
          <w:lang w:eastAsia="zh-CN"/>
        </w:rPr>
      </w:pPr>
    </w:p>
    <w:p w14:paraId="79B166F9">
      <w:pPr>
        <w:kinsoku/>
        <w:spacing w:line="241" w:lineRule="auto"/>
        <w:rPr>
          <w:rFonts w:ascii="宋体" w:hAnsi="宋体" w:eastAsia="宋体" w:cs="宋体"/>
          <w:color w:val="auto"/>
          <w:highlight w:val="none"/>
          <w:lang w:eastAsia="zh-CN"/>
        </w:rPr>
      </w:pPr>
    </w:p>
    <w:p w14:paraId="036D266F">
      <w:pPr>
        <w:kinsoku/>
        <w:spacing w:line="241" w:lineRule="auto"/>
        <w:rPr>
          <w:rFonts w:ascii="宋体" w:hAnsi="宋体" w:eastAsia="宋体" w:cs="宋体"/>
          <w:color w:val="auto"/>
          <w:highlight w:val="none"/>
          <w:lang w:eastAsia="zh-CN"/>
        </w:rPr>
      </w:pPr>
    </w:p>
    <w:p w14:paraId="4D41331C">
      <w:pPr>
        <w:kinsoku/>
        <w:spacing w:line="241" w:lineRule="auto"/>
        <w:rPr>
          <w:rFonts w:ascii="宋体" w:hAnsi="宋体" w:eastAsia="宋体" w:cs="宋体"/>
          <w:color w:val="auto"/>
          <w:highlight w:val="none"/>
          <w:lang w:eastAsia="zh-CN"/>
        </w:rPr>
      </w:pPr>
    </w:p>
    <w:p w14:paraId="5610D5C1">
      <w:pPr>
        <w:kinsoku/>
        <w:spacing w:line="241" w:lineRule="auto"/>
        <w:rPr>
          <w:rFonts w:ascii="宋体" w:hAnsi="宋体" w:eastAsia="宋体" w:cs="宋体"/>
          <w:color w:val="auto"/>
          <w:highlight w:val="none"/>
          <w:lang w:eastAsia="zh-CN"/>
        </w:rPr>
      </w:pPr>
    </w:p>
    <w:p w14:paraId="2568DF82">
      <w:pPr>
        <w:kinsoku/>
        <w:spacing w:line="241" w:lineRule="auto"/>
        <w:rPr>
          <w:rFonts w:ascii="宋体" w:hAnsi="宋体" w:eastAsia="宋体" w:cs="宋体"/>
          <w:color w:val="auto"/>
          <w:highlight w:val="none"/>
          <w:lang w:eastAsia="zh-CN"/>
        </w:rPr>
      </w:pPr>
    </w:p>
    <w:p w14:paraId="54A23C73">
      <w:pPr>
        <w:kinsoku/>
        <w:spacing w:line="241" w:lineRule="auto"/>
        <w:rPr>
          <w:rFonts w:ascii="宋体" w:hAnsi="宋体" w:eastAsia="宋体" w:cs="宋体"/>
          <w:color w:val="auto"/>
          <w:highlight w:val="none"/>
          <w:lang w:eastAsia="zh-CN"/>
        </w:rPr>
      </w:pPr>
    </w:p>
    <w:p w14:paraId="1948320B">
      <w:pPr>
        <w:kinsoku/>
        <w:spacing w:line="241" w:lineRule="auto"/>
        <w:rPr>
          <w:rFonts w:ascii="宋体" w:hAnsi="宋体" w:eastAsia="宋体" w:cs="宋体"/>
          <w:color w:val="auto"/>
          <w:highlight w:val="none"/>
          <w:lang w:eastAsia="zh-CN"/>
        </w:rPr>
      </w:pPr>
    </w:p>
    <w:p w14:paraId="141FAAE2">
      <w:pPr>
        <w:kinsoku/>
        <w:spacing w:line="241" w:lineRule="auto"/>
        <w:rPr>
          <w:rFonts w:ascii="宋体" w:hAnsi="宋体" w:eastAsia="宋体" w:cs="宋体"/>
          <w:color w:val="auto"/>
          <w:highlight w:val="none"/>
          <w:lang w:eastAsia="zh-CN"/>
        </w:rPr>
      </w:pPr>
    </w:p>
    <w:p w14:paraId="78A7F6DE">
      <w:pPr>
        <w:kinsoku/>
        <w:spacing w:line="241" w:lineRule="auto"/>
        <w:rPr>
          <w:rFonts w:ascii="宋体" w:hAnsi="宋体" w:eastAsia="宋体" w:cs="宋体"/>
          <w:color w:val="auto"/>
          <w:highlight w:val="none"/>
          <w:lang w:eastAsia="zh-CN"/>
        </w:rPr>
      </w:pPr>
    </w:p>
    <w:p w14:paraId="189B9923">
      <w:pPr>
        <w:kinsoku/>
        <w:spacing w:line="241" w:lineRule="auto"/>
        <w:rPr>
          <w:rFonts w:ascii="宋体" w:hAnsi="宋体" w:eastAsia="宋体" w:cs="宋体"/>
          <w:color w:val="auto"/>
          <w:highlight w:val="none"/>
          <w:lang w:eastAsia="zh-CN"/>
        </w:rPr>
      </w:pPr>
    </w:p>
    <w:p w14:paraId="1D9E528E">
      <w:pPr>
        <w:kinsoku/>
        <w:spacing w:line="241" w:lineRule="auto"/>
        <w:rPr>
          <w:rFonts w:ascii="宋体" w:hAnsi="宋体" w:eastAsia="宋体" w:cs="宋体"/>
          <w:color w:val="auto"/>
          <w:highlight w:val="none"/>
          <w:lang w:eastAsia="zh-CN"/>
        </w:rPr>
      </w:pPr>
    </w:p>
    <w:p w14:paraId="066DE30C">
      <w:pPr>
        <w:kinsoku/>
        <w:spacing w:line="241" w:lineRule="auto"/>
        <w:rPr>
          <w:rFonts w:ascii="宋体" w:hAnsi="宋体" w:eastAsia="宋体" w:cs="宋体"/>
          <w:color w:val="auto"/>
          <w:highlight w:val="none"/>
          <w:lang w:eastAsia="zh-CN"/>
        </w:rPr>
      </w:pPr>
    </w:p>
    <w:p w14:paraId="50F2F1C8">
      <w:pPr>
        <w:kinsoku/>
        <w:spacing w:line="241" w:lineRule="auto"/>
        <w:rPr>
          <w:rFonts w:ascii="宋体" w:hAnsi="宋体" w:eastAsia="宋体" w:cs="宋体"/>
          <w:color w:val="auto"/>
          <w:highlight w:val="none"/>
          <w:lang w:eastAsia="zh-CN"/>
        </w:rPr>
      </w:pPr>
    </w:p>
    <w:p w14:paraId="28368DE0">
      <w:pPr>
        <w:kinsoku/>
        <w:spacing w:line="241" w:lineRule="auto"/>
        <w:rPr>
          <w:rFonts w:ascii="宋体" w:hAnsi="宋体" w:eastAsia="宋体" w:cs="宋体"/>
          <w:color w:val="auto"/>
          <w:highlight w:val="none"/>
          <w:lang w:eastAsia="zh-CN"/>
        </w:rPr>
      </w:pPr>
    </w:p>
    <w:p w14:paraId="3DE25BDF">
      <w:pPr>
        <w:kinsoku/>
        <w:spacing w:line="241" w:lineRule="auto"/>
        <w:rPr>
          <w:rFonts w:ascii="宋体" w:hAnsi="宋体" w:eastAsia="宋体" w:cs="宋体"/>
          <w:color w:val="auto"/>
          <w:highlight w:val="none"/>
          <w:lang w:eastAsia="zh-CN"/>
        </w:rPr>
      </w:pPr>
    </w:p>
    <w:p w14:paraId="2A717475">
      <w:pPr>
        <w:kinsoku/>
        <w:spacing w:line="241" w:lineRule="auto"/>
        <w:rPr>
          <w:rFonts w:ascii="宋体" w:hAnsi="宋体" w:eastAsia="宋体" w:cs="宋体"/>
          <w:color w:val="auto"/>
          <w:highlight w:val="none"/>
          <w:lang w:eastAsia="zh-CN"/>
        </w:rPr>
      </w:pPr>
    </w:p>
    <w:p w14:paraId="2BA8B77A">
      <w:pPr>
        <w:kinsoku/>
        <w:spacing w:line="241" w:lineRule="auto"/>
        <w:rPr>
          <w:rFonts w:ascii="宋体" w:hAnsi="宋体" w:eastAsia="宋体" w:cs="宋体"/>
          <w:color w:val="auto"/>
          <w:highlight w:val="none"/>
          <w:lang w:eastAsia="zh-CN"/>
        </w:rPr>
      </w:pPr>
    </w:p>
    <w:p w14:paraId="45822B8C">
      <w:pPr>
        <w:tabs>
          <w:tab w:val="left" w:pos="3257"/>
        </w:tabs>
        <w:kinsoku/>
        <w:spacing w:before="91" w:line="568" w:lineRule="auto"/>
        <w:ind w:left="2138" w:right="556" w:hanging="1602"/>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投标人：</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（盖单位章） </w:t>
      </w:r>
      <w:r>
        <w:rPr>
          <w:rFonts w:hint="eastAsia" w:ascii="宋体" w:hAnsi="宋体" w:eastAsia="宋体" w:cs="宋体"/>
          <w:color w:val="auto"/>
          <w:sz w:val="28"/>
          <w:szCs w:val="28"/>
          <w:highlight w:val="none"/>
          <w:u w:val="single"/>
          <w:lang w:eastAsia="zh-CN"/>
        </w:rPr>
        <w:tab/>
      </w:r>
      <w:r>
        <w:rPr>
          <w:rFonts w:hint="eastAsia" w:ascii="宋体" w:hAnsi="宋体" w:eastAsia="宋体" w:cs="宋体"/>
          <w:color w:val="auto"/>
          <w:sz w:val="28"/>
          <w:szCs w:val="28"/>
          <w:highlight w:val="none"/>
          <w:lang w:eastAsia="zh-CN"/>
        </w:rPr>
        <w:t xml:space="preserve"> 年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月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日</w:t>
      </w:r>
    </w:p>
    <w:p w14:paraId="642372A7">
      <w:pPr>
        <w:kinsoku/>
        <w:spacing w:line="568" w:lineRule="auto"/>
        <w:rPr>
          <w:rFonts w:ascii="宋体" w:hAnsi="宋体" w:eastAsia="宋体" w:cs="宋体"/>
          <w:color w:val="auto"/>
          <w:sz w:val="28"/>
          <w:szCs w:val="28"/>
          <w:highlight w:val="none"/>
          <w:lang w:eastAsia="zh-CN"/>
        </w:rPr>
        <w:sectPr>
          <w:footerReference r:id="rId59" w:type="default"/>
          <w:pgSz w:w="11907" w:h="16839"/>
          <w:pgMar w:top="1173" w:right="1613" w:bottom="1254" w:left="1673" w:header="862" w:footer="1093" w:gutter="0"/>
          <w:cols w:space="720" w:num="1"/>
        </w:sectPr>
      </w:pPr>
    </w:p>
    <w:p w14:paraId="65747B85">
      <w:pPr>
        <w:kinsoku/>
        <w:spacing w:before="91" w:line="225" w:lineRule="auto"/>
        <w:ind w:left="3198"/>
        <w:rPr>
          <w:rFonts w:ascii="宋体" w:hAnsi="宋体" w:eastAsia="宋体" w:cs="宋体"/>
          <w:color w:val="auto"/>
          <w:sz w:val="13"/>
          <w:szCs w:val="13"/>
          <w:highlight w:val="none"/>
          <w:lang w:eastAsia="zh-CN"/>
        </w:rPr>
      </w:pPr>
      <w:bookmarkStart w:id="471" w:name="bookmark305"/>
      <w:bookmarkEnd w:id="471"/>
      <w:bookmarkStart w:id="472" w:name="bookmark306"/>
      <w:bookmarkEnd w:id="472"/>
      <w:r>
        <w:rPr>
          <w:rFonts w:hint="eastAsia" w:ascii="宋体" w:hAnsi="宋体" w:eastAsia="宋体" w:cs="宋体"/>
          <w:color w:val="auto"/>
          <w:sz w:val="28"/>
          <w:szCs w:val="28"/>
          <w:highlight w:val="none"/>
          <w:lang w:eastAsia="zh-CN"/>
        </w:rPr>
        <w:t>八、技术建议书</w:t>
      </w:r>
    </w:p>
    <w:p w14:paraId="7B758D46">
      <w:pPr>
        <w:kinsoku/>
        <w:rPr>
          <w:rFonts w:ascii="宋体" w:hAnsi="宋体" w:eastAsia="宋体" w:cs="宋体"/>
          <w:color w:val="auto"/>
          <w:highlight w:val="none"/>
          <w:lang w:eastAsia="zh-CN"/>
        </w:rPr>
      </w:pPr>
    </w:p>
    <w:p w14:paraId="6D9C110B">
      <w:pPr>
        <w:kinsoku/>
        <w:spacing w:before="78" w:line="360" w:lineRule="auto"/>
        <w:ind w:left="-19" w:leftChars="-9"/>
        <w:rPr>
          <w:rFonts w:ascii="宋体" w:hAnsi="宋体" w:eastAsia="宋体" w:cs="宋体"/>
          <w:color w:val="auto"/>
          <w:sz w:val="24"/>
          <w:szCs w:val="24"/>
          <w:highlight w:val="none"/>
          <w:lang w:eastAsia="zh-CN"/>
        </w:rPr>
      </w:pPr>
    </w:p>
    <w:p w14:paraId="07638C85">
      <w:pPr>
        <w:kinsoku/>
        <w:spacing w:before="78" w:line="360" w:lineRule="auto"/>
        <w:ind w:left="-19" w:leftChars="-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主要内容包括：</w:t>
      </w:r>
    </w:p>
    <w:p w14:paraId="230D77DE">
      <w:pPr>
        <w:kinsoku/>
        <w:spacing w:before="153" w:line="360" w:lineRule="auto"/>
        <w:ind w:left="-19" w:leftChars="-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1.对招标项目的理解和总体设计思路</w:t>
      </w:r>
    </w:p>
    <w:p w14:paraId="367EDB4A">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2.对招标项目</w:t>
      </w:r>
      <w:r>
        <w:rPr>
          <w:rFonts w:hint="eastAsia" w:ascii="宋体" w:hAnsi="宋体" w:cs="宋体"/>
          <w:color w:val="auto"/>
          <w:sz w:val="24"/>
          <w:highlight w:val="none"/>
          <w:lang w:eastAsia="zh-CN"/>
        </w:rPr>
        <w:t>勘察</w:t>
      </w:r>
      <w:r>
        <w:rPr>
          <w:rFonts w:hint="eastAsia" w:ascii="宋体" w:hAnsi="宋体" w:eastAsia="宋体" w:cs="宋体"/>
          <w:color w:val="auto"/>
          <w:sz w:val="24"/>
          <w:szCs w:val="24"/>
          <w:highlight w:val="none"/>
          <w:lang w:eastAsia="zh-CN"/>
        </w:rPr>
        <w:t>设计的特点、关键性技术问题的认识及其对策措施</w:t>
      </w:r>
    </w:p>
    <w:p w14:paraId="67183B36">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3.对前一阶段工作技术结论及技术方案的不同看法及建议</w:t>
      </w:r>
    </w:p>
    <w:p w14:paraId="685491EF">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4.</w:t>
      </w:r>
      <w:r>
        <w:rPr>
          <w:rFonts w:hint="eastAsia" w:ascii="宋体" w:hAnsi="宋体" w:cs="宋体"/>
          <w:color w:val="auto"/>
          <w:sz w:val="24"/>
          <w:highlight w:val="none"/>
          <w:lang w:eastAsia="zh-CN"/>
        </w:rPr>
        <w:t>勘察</w:t>
      </w:r>
      <w:r>
        <w:rPr>
          <w:rFonts w:hint="eastAsia" w:ascii="宋体" w:hAnsi="宋体" w:eastAsia="宋体" w:cs="宋体"/>
          <w:color w:val="auto"/>
          <w:sz w:val="24"/>
          <w:szCs w:val="24"/>
          <w:highlight w:val="none"/>
          <w:lang w:eastAsia="zh-CN"/>
        </w:rPr>
        <w:t>设计工作量及计划安排</w:t>
      </w:r>
    </w:p>
    <w:p w14:paraId="003B617C">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5.</w:t>
      </w:r>
      <w:r>
        <w:rPr>
          <w:rFonts w:hint="eastAsia" w:ascii="宋体" w:hAnsi="宋体" w:cs="宋体"/>
          <w:color w:val="auto"/>
          <w:sz w:val="24"/>
          <w:highlight w:val="none"/>
          <w:lang w:eastAsia="zh-CN"/>
        </w:rPr>
        <w:t>勘察</w:t>
      </w:r>
      <w:r>
        <w:rPr>
          <w:rFonts w:hint="eastAsia" w:ascii="宋体" w:hAnsi="宋体" w:eastAsia="宋体" w:cs="宋体"/>
          <w:color w:val="auto"/>
          <w:sz w:val="24"/>
          <w:szCs w:val="24"/>
          <w:highlight w:val="none"/>
          <w:lang w:eastAsia="zh-CN"/>
        </w:rPr>
        <w:t>设计的质量保证措施、进度保证措施、安全保证措施</w:t>
      </w:r>
    </w:p>
    <w:p w14:paraId="300B3E04">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6.后续服务的安排及保证措施</w:t>
      </w:r>
    </w:p>
    <w:p w14:paraId="7772B095">
      <w:pPr>
        <w:kinsoku/>
        <w:spacing w:before="155" w:line="360" w:lineRule="auto"/>
        <w:ind w:left="-19" w:leftChars="-9" w:right="1450"/>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7.其他建议</w:t>
      </w:r>
    </w:p>
    <w:p w14:paraId="4FFD68FB">
      <w:pPr>
        <w:kinsoku/>
        <w:spacing w:before="153" w:line="360" w:lineRule="auto"/>
        <w:ind w:left="-19" w:leftChars="-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（附必要的图纸）</w:t>
      </w:r>
    </w:p>
    <w:p w14:paraId="1C4439A3">
      <w:pPr>
        <w:kinsoku/>
        <w:spacing w:line="245" w:lineRule="auto"/>
        <w:rPr>
          <w:rFonts w:ascii="宋体" w:hAnsi="宋体" w:eastAsia="宋体" w:cs="宋体"/>
          <w:color w:val="auto"/>
          <w:sz w:val="24"/>
          <w:szCs w:val="24"/>
          <w:highlight w:val="none"/>
          <w:lang w:eastAsia="zh-CN"/>
        </w:rPr>
      </w:pPr>
    </w:p>
    <w:p w14:paraId="640325B6">
      <w:pPr>
        <w:kinsoku/>
        <w:spacing w:line="245" w:lineRule="auto"/>
        <w:rPr>
          <w:rFonts w:ascii="宋体" w:hAnsi="宋体" w:eastAsia="宋体" w:cs="宋体"/>
          <w:color w:val="auto"/>
          <w:highlight w:val="none"/>
          <w:lang w:eastAsia="zh-CN"/>
        </w:rPr>
      </w:pPr>
    </w:p>
    <w:p w14:paraId="65859E4D">
      <w:pPr>
        <w:kinsoku/>
        <w:spacing w:line="245" w:lineRule="auto"/>
        <w:rPr>
          <w:rFonts w:ascii="宋体" w:hAnsi="宋体" w:eastAsia="宋体" w:cs="宋体"/>
          <w:color w:val="auto"/>
          <w:highlight w:val="none"/>
          <w:lang w:eastAsia="zh-CN"/>
        </w:rPr>
      </w:pPr>
      <w:r>
        <w:rPr>
          <w:rFonts w:hint="eastAsia" w:ascii="宋体" w:hAnsi="宋体" w:eastAsia="宋体" w:cs="宋体"/>
          <w:color w:val="auto"/>
          <w:sz w:val="21"/>
          <w:szCs w:val="21"/>
          <w:highlight w:val="none"/>
          <w:lang w:eastAsia="zh-CN"/>
        </w:rPr>
        <w:t>注:技术建议书采用标准图框A3幅面(含文字说明在内，总页数不超过100页)。</w:t>
      </w:r>
    </w:p>
    <w:p w14:paraId="4514F753">
      <w:pPr>
        <w:kinsoku/>
        <w:spacing w:line="245" w:lineRule="auto"/>
        <w:rPr>
          <w:rFonts w:ascii="宋体" w:hAnsi="宋体" w:eastAsia="宋体" w:cs="宋体"/>
          <w:color w:val="auto"/>
          <w:highlight w:val="none"/>
          <w:lang w:eastAsia="zh-CN"/>
        </w:rPr>
      </w:pPr>
    </w:p>
    <w:p w14:paraId="3F998B3F">
      <w:pPr>
        <w:kinsoku/>
        <w:spacing w:line="245" w:lineRule="auto"/>
        <w:rPr>
          <w:rFonts w:ascii="宋体" w:hAnsi="宋体" w:eastAsia="宋体" w:cs="宋体"/>
          <w:color w:val="auto"/>
          <w:highlight w:val="none"/>
          <w:lang w:eastAsia="zh-CN"/>
        </w:rPr>
      </w:pPr>
    </w:p>
    <w:p w14:paraId="16176EEC">
      <w:pPr>
        <w:kinsoku/>
        <w:spacing w:line="245" w:lineRule="auto"/>
        <w:rPr>
          <w:rFonts w:ascii="宋体" w:hAnsi="宋体" w:eastAsia="宋体" w:cs="宋体"/>
          <w:color w:val="auto"/>
          <w:highlight w:val="none"/>
          <w:lang w:eastAsia="zh-CN"/>
        </w:rPr>
      </w:pPr>
    </w:p>
    <w:p w14:paraId="361C48B4">
      <w:pPr>
        <w:kinsoku/>
        <w:spacing w:line="245" w:lineRule="auto"/>
        <w:rPr>
          <w:rFonts w:ascii="宋体" w:hAnsi="宋体" w:eastAsia="宋体" w:cs="宋体"/>
          <w:color w:val="auto"/>
          <w:highlight w:val="none"/>
          <w:lang w:eastAsia="zh-CN"/>
        </w:rPr>
      </w:pPr>
    </w:p>
    <w:p w14:paraId="42FB59D7">
      <w:pPr>
        <w:kinsoku/>
        <w:spacing w:line="245" w:lineRule="auto"/>
        <w:rPr>
          <w:rFonts w:ascii="宋体" w:hAnsi="宋体" w:eastAsia="宋体" w:cs="宋体"/>
          <w:color w:val="auto"/>
          <w:highlight w:val="none"/>
          <w:lang w:eastAsia="zh-CN"/>
        </w:rPr>
      </w:pPr>
    </w:p>
    <w:p w14:paraId="05F2042C">
      <w:pPr>
        <w:kinsoku/>
        <w:spacing w:line="245" w:lineRule="auto"/>
        <w:rPr>
          <w:rFonts w:ascii="宋体" w:hAnsi="宋体" w:eastAsia="宋体" w:cs="宋体"/>
          <w:color w:val="auto"/>
          <w:highlight w:val="none"/>
          <w:lang w:eastAsia="zh-CN"/>
        </w:rPr>
      </w:pPr>
    </w:p>
    <w:p w14:paraId="0E907403">
      <w:pPr>
        <w:kinsoku/>
        <w:spacing w:line="245" w:lineRule="auto"/>
        <w:rPr>
          <w:rFonts w:ascii="宋体" w:hAnsi="宋体" w:eastAsia="宋体" w:cs="宋体"/>
          <w:color w:val="auto"/>
          <w:highlight w:val="none"/>
          <w:lang w:eastAsia="zh-CN"/>
        </w:rPr>
      </w:pPr>
    </w:p>
    <w:p w14:paraId="61F15205">
      <w:pPr>
        <w:kinsoku/>
        <w:spacing w:line="245" w:lineRule="auto"/>
        <w:rPr>
          <w:rFonts w:ascii="宋体" w:hAnsi="宋体" w:eastAsia="宋体" w:cs="宋体"/>
          <w:color w:val="auto"/>
          <w:highlight w:val="none"/>
          <w:lang w:eastAsia="zh-CN"/>
        </w:rPr>
      </w:pPr>
    </w:p>
    <w:p w14:paraId="148BCEF1">
      <w:pPr>
        <w:kinsoku/>
        <w:spacing w:line="246" w:lineRule="auto"/>
        <w:rPr>
          <w:rFonts w:ascii="宋体" w:hAnsi="宋体" w:eastAsia="宋体" w:cs="宋体"/>
          <w:color w:val="auto"/>
          <w:highlight w:val="none"/>
          <w:lang w:eastAsia="zh-CN"/>
        </w:rPr>
      </w:pPr>
    </w:p>
    <w:p w14:paraId="550FAF87">
      <w:pPr>
        <w:kinsoku/>
        <w:spacing w:line="246" w:lineRule="auto"/>
        <w:rPr>
          <w:rFonts w:ascii="宋体" w:hAnsi="宋体" w:eastAsia="宋体" w:cs="宋体"/>
          <w:color w:val="auto"/>
          <w:highlight w:val="none"/>
          <w:lang w:eastAsia="zh-CN"/>
        </w:rPr>
      </w:pPr>
    </w:p>
    <w:p w14:paraId="36A0588A">
      <w:pPr>
        <w:kinsoku/>
        <w:spacing w:line="246" w:lineRule="auto"/>
        <w:rPr>
          <w:rFonts w:ascii="宋体" w:hAnsi="宋体" w:eastAsia="宋体" w:cs="宋体"/>
          <w:color w:val="auto"/>
          <w:highlight w:val="none"/>
          <w:lang w:eastAsia="zh-CN"/>
        </w:rPr>
      </w:pPr>
    </w:p>
    <w:p w14:paraId="2E39133A">
      <w:pPr>
        <w:kinsoku/>
        <w:spacing w:line="246" w:lineRule="auto"/>
        <w:rPr>
          <w:rFonts w:ascii="宋体" w:hAnsi="宋体" w:eastAsia="宋体" w:cs="宋体"/>
          <w:color w:val="auto"/>
          <w:highlight w:val="none"/>
          <w:lang w:eastAsia="zh-CN"/>
        </w:rPr>
      </w:pPr>
    </w:p>
    <w:p w14:paraId="4BFB2E17">
      <w:pPr>
        <w:kinsoku/>
        <w:spacing w:line="246" w:lineRule="auto"/>
        <w:rPr>
          <w:rFonts w:ascii="宋体" w:hAnsi="宋体" w:eastAsia="宋体" w:cs="宋体"/>
          <w:color w:val="auto"/>
          <w:highlight w:val="none"/>
          <w:lang w:eastAsia="zh-CN"/>
        </w:rPr>
      </w:pPr>
    </w:p>
    <w:p w14:paraId="6F089EA3">
      <w:pPr>
        <w:kinsoku/>
        <w:spacing w:line="246" w:lineRule="auto"/>
        <w:rPr>
          <w:rFonts w:ascii="宋体" w:hAnsi="宋体" w:eastAsia="宋体" w:cs="宋体"/>
          <w:color w:val="auto"/>
          <w:highlight w:val="none"/>
          <w:lang w:eastAsia="zh-CN"/>
        </w:rPr>
      </w:pPr>
    </w:p>
    <w:p w14:paraId="3DE78EC7">
      <w:pPr>
        <w:kinsoku/>
        <w:spacing w:line="246" w:lineRule="auto"/>
        <w:rPr>
          <w:rFonts w:ascii="宋体" w:hAnsi="宋体" w:eastAsia="宋体" w:cs="宋体"/>
          <w:color w:val="auto"/>
          <w:highlight w:val="none"/>
          <w:lang w:eastAsia="zh-CN"/>
        </w:rPr>
      </w:pPr>
    </w:p>
    <w:p w14:paraId="6C4F8AA2">
      <w:pPr>
        <w:kinsoku/>
        <w:spacing w:line="246" w:lineRule="auto"/>
        <w:rPr>
          <w:rFonts w:ascii="宋体" w:hAnsi="宋体" w:eastAsia="宋体" w:cs="宋体"/>
          <w:color w:val="auto"/>
          <w:highlight w:val="none"/>
          <w:lang w:eastAsia="zh-CN"/>
        </w:rPr>
      </w:pPr>
    </w:p>
    <w:p w14:paraId="53D9805A">
      <w:pPr>
        <w:kinsoku/>
        <w:spacing w:line="246" w:lineRule="auto"/>
        <w:rPr>
          <w:rFonts w:ascii="宋体" w:hAnsi="宋体" w:eastAsia="宋体" w:cs="宋体"/>
          <w:color w:val="auto"/>
          <w:highlight w:val="none"/>
          <w:lang w:eastAsia="zh-CN"/>
        </w:rPr>
      </w:pPr>
    </w:p>
    <w:p w14:paraId="24F28DD4">
      <w:pPr>
        <w:kinsoku/>
        <w:spacing w:line="246" w:lineRule="auto"/>
        <w:rPr>
          <w:rFonts w:ascii="宋体" w:hAnsi="宋体" w:eastAsia="宋体" w:cs="宋体"/>
          <w:color w:val="auto"/>
          <w:highlight w:val="none"/>
          <w:lang w:eastAsia="zh-CN"/>
        </w:rPr>
      </w:pPr>
    </w:p>
    <w:p w14:paraId="26E468DF">
      <w:pPr>
        <w:kinsoku/>
        <w:spacing w:line="246" w:lineRule="auto"/>
        <w:rPr>
          <w:rFonts w:ascii="宋体" w:hAnsi="宋体" w:eastAsia="宋体" w:cs="宋体"/>
          <w:color w:val="auto"/>
          <w:highlight w:val="none"/>
          <w:lang w:eastAsia="zh-CN"/>
        </w:rPr>
      </w:pPr>
    </w:p>
    <w:p w14:paraId="1BD6DB03">
      <w:pPr>
        <w:kinsoku/>
        <w:spacing w:line="246" w:lineRule="auto"/>
        <w:rPr>
          <w:rFonts w:ascii="宋体" w:hAnsi="宋体" w:eastAsia="宋体" w:cs="宋体"/>
          <w:color w:val="auto"/>
          <w:highlight w:val="none"/>
          <w:lang w:eastAsia="zh-CN"/>
        </w:rPr>
      </w:pPr>
    </w:p>
    <w:p w14:paraId="36FA900E">
      <w:pPr>
        <w:kinsoku/>
        <w:spacing w:line="246" w:lineRule="auto"/>
        <w:rPr>
          <w:rFonts w:ascii="宋体" w:hAnsi="宋体" w:eastAsia="宋体" w:cs="宋体"/>
          <w:color w:val="auto"/>
          <w:highlight w:val="none"/>
          <w:lang w:eastAsia="zh-CN"/>
        </w:rPr>
      </w:pPr>
    </w:p>
    <w:p w14:paraId="4723155A">
      <w:pPr>
        <w:kinsoku/>
        <w:rPr>
          <w:rFonts w:ascii="宋体" w:hAnsi="宋体" w:eastAsia="宋体" w:cs="宋体"/>
          <w:color w:val="auto"/>
          <w:highlight w:val="none"/>
          <w:lang w:eastAsia="zh-CN"/>
        </w:rPr>
      </w:pPr>
      <w:r>
        <w:rPr>
          <w:rFonts w:hint="eastAsia" w:ascii="宋体" w:hAnsi="宋体" w:eastAsia="宋体" w:cs="宋体"/>
          <w:color w:val="auto"/>
          <w:highlight w:val="none"/>
          <w:lang w:eastAsia="zh-CN"/>
        </w:rPr>
        <w:br w:type="page"/>
      </w:r>
    </w:p>
    <w:p w14:paraId="618E0CD9">
      <w:pPr>
        <w:kinsoku/>
        <w:spacing w:line="263" w:lineRule="auto"/>
        <w:rPr>
          <w:rFonts w:ascii="宋体" w:hAnsi="宋体" w:eastAsia="宋体" w:cs="宋体"/>
          <w:color w:val="auto"/>
          <w:highlight w:val="none"/>
          <w:lang w:eastAsia="zh-CN"/>
        </w:rPr>
      </w:pPr>
    </w:p>
    <w:p w14:paraId="7D5799C9">
      <w:pPr>
        <w:kinsoku/>
        <w:spacing w:line="263" w:lineRule="auto"/>
        <w:rPr>
          <w:rFonts w:ascii="宋体" w:hAnsi="宋体" w:eastAsia="宋体" w:cs="宋体"/>
          <w:color w:val="auto"/>
          <w:highlight w:val="none"/>
          <w:lang w:eastAsia="zh-CN"/>
        </w:rPr>
      </w:pPr>
    </w:p>
    <w:p w14:paraId="46D9F1CF">
      <w:pPr>
        <w:kinsoku/>
        <w:spacing w:line="263" w:lineRule="auto"/>
        <w:rPr>
          <w:rFonts w:ascii="宋体" w:hAnsi="宋体" w:eastAsia="宋体" w:cs="宋体"/>
          <w:color w:val="auto"/>
          <w:highlight w:val="none"/>
          <w:lang w:eastAsia="zh-CN"/>
        </w:rPr>
      </w:pPr>
    </w:p>
    <w:p w14:paraId="5E6325B1">
      <w:pPr>
        <w:kinsoku/>
        <w:spacing w:line="263" w:lineRule="auto"/>
        <w:rPr>
          <w:rFonts w:ascii="宋体" w:hAnsi="宋体" w:eastAsia="宋体" w:cs="宋体"/>
          <w:color w:val="auto"/>
          <w:highlight w:val="none"/>
          <w:lang w:eastAsia="zh-CN"/>
        </w:rPr>
      </w:pPr>
    </w:p>
    <w:p w14:paraId="5B3199A2">
      <w:pPr>
        <w:kinsoku/>
        <w:spacing w:line="263" w:lineRule="auto"/>
        <w:rPr>
          <w:rFonts w:ascii="宋体" w:hAnsi="宋体" w:eastAsia="宋体" w:cs="宋体"/>
          <w:color w:val="auto"/>
          <w:highlight w:val="none"/>
          <w:lang w:eastAsia="zh-CN"/>
        </w:rPr>
      </w:pPr>
    </w:p>
    <w:p w14:paraId="407BA437">
      <w:pPr>
        <w:kinsoku/>
        <w:spacing w:line="263" w:lineRule="auto"/>
        <w:rPr>
          <w:rFonts w:ascii="宋体" w:hAnsi="宋体" w:eastAsia="宋体" w:cs="宋体"/>
          <w:color w:val="auto"/>
          <w:highlight w:val="none"/>
          <w:lang w:eastAsia="zh-CN"/>
        </w:rPr>
      </w:pPr>
    </w:p>
    <w:p w14:paraId="4E258DB8">
      <w:pPr>
        <w:tabs>
          <w:tab w:val="left" w:pos="3281"/>
        </w:tabs>
        <w:kinsoku/>
        <w:spacing w:before="97" w:line="225" w:lineRule="auto"/>
        <w:ind w:left="1732"/>
        <w:rPr>
          <w:rFonts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u w:val="single"/>
          <w:lang w:eastAsia="zh-CN"/>
        </w:rPr>
        <w:tab/>
      </w:r>
      <w:r>
        <w:rPr>
          <w:rFonts w:hint="eastAsia" w:ascii="宋体" w:hAnsi="宋体" w:eastAsia="宋体" w:cs="宋体"/>
          <w:color w:val="auto"/>
          <w:sz w:val="30"/>
          <w:szCs w:val="30"/>
          <w:highlight w:val="none"/>
          <w:lang w:eastAsia="zh-CN"/>
        </w:rPr>
        <w:t xml:space="preserve"> 省（自治区、直辖市）</w:t>
      </w:r>
    </w:p>
    <w:p w14:paraId="207E3D5F">
      <w:pPr>
        <w:kinsoku/>
        <w:spacing w:line="256" w:lineRule="auto"/>
        <w:rPr>
          <w:rFonts w:ascii="宋体" w:hAnsi="宋体" w:eastAsia="宋体" w:cs="宋体"/>
          <w:color w:val="auto"/>
          <w:highlight w:val="none"/>
          <w:lang w:eastAsia="zh-CN"/>
        </w:rPr>
      </w:pPr>
    </w:p>
    <w:p w14:paraId="46CA20B4">
      <w:pPr>
        <w:kinsoku/>
        <w:spacing w:line="256" w:lineRule="auto"/>
        <w:rPr>
          <w:rFonts w:ascii="宋体" w:hAnsi="宋体" w:eastAsia="宋体" w:cs="宋体"/>
          <w:color w:val="auto"/>
          <w:highlight w:val="none"/>
          <w:lang w:eastAsia="zh-CN"/>
        </w:rPr>
      </w:pPr>
    </w:p>
    <w:p w14:paraId="2B381FF7">
      <w:pPr>
        <w:kinsoku/>
        <w:spacing w:line="257" w:lineRule="auto"/>
        <w:rPr>
          <w:rFonts w:ascii="宋体" w:hAnsi="宋体" w:eastAsia="宋体" w:cs="宋体"/>
          <w:color w:val="auto"/>
          <w:highlight w:val="none"/>
          <w:lang w:eastAsia="zh-CN"/>
        </w:rPr>
      </w:pPr>
    </w:p>
    <w:p w14:paraId="27026E4E">
      <w:pPr>
        <w:kinsoku/>
        <w:spacing w:line="257" w:lineRule="auto"/>
        <w:rPr>
          <w:rFonts w:ascii="宋体" w:hAnsi="宋体" w:eastAsia="宋体" w:cs="宋体"/>
          <w:color w:val="auto"/>
          <w:highlight w:val="none"/>
          <w:lang w:eastAsia="zh-CN"/>
        </w:rPr>
      </w:pPr>
    </w:p>
    <w:p w14:paraId="477E3C47">
      <w:pPr>
        <w:tabs>
          <w:tab w:val="left" w:pos="3287"/>
        </w:tabs>
        <w:kinsoku/>
        <w:spacing w:before="78" w:line="219" w:lineRule="auto"/>
        <w:ind w:left="0" w:leftChars="0" w:firstLine="0" w:firstLineChars="0"/>
        <w:jc w:val="center"/>
        <w:rPr>
          <w:rFonts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single"/>
          <w:lang w:eastAsia="zh-CN"/>
        </w:rPr>
        <w:t>韶关市</w:t>
      </w:r>
      <w:r>
        <w:rPr>
          <w:rFonts w:ascii="宋体" w:hAnsi="宋体" w:eastAsia="宋体" w:cs="宋体"/>
          <w:color w:val="auto"/>
          <w:sz w:val="24"/>
          <w:szCs w:val="24"/>
          <w:highlight w:val="none"/>
          <w:u w:val="single"/>
          <w:lang w:eastAsia="zh-CN"/>
        </w:rPr>
        <w:t>S246</w:t>
      </w:r>
      <w:r>
        <w:rPr>
          <w:rFonts w:hint="eastAsia" w:ascii="宋体" w:hAnsi="宋体" w:eastAsia="宋体" w:cs="宋体"/>
          <w:color w:val="auto"/>
          <w:sz w:val="24"/>
          <w:szCs w:val="24"/>
          <w:highlight w:val="none"/>
          <w:u w:val="single"/>
          <w:lang w:eastAsia="zh-CN"/>
        </w:rPr>
        <w:t>线十里亭大桥至糖寮段公路改线工程、乳源县桂头镇至韶关丹霞机场公路新建工程（韶关机场进场道路）施工图设计</w:t>
      </w:r>
      <w:r>
        <w:rPr>
          <w:rFonts w:hint="eastAsia" w:ascii="宋体" w:hAnsi="宋体" w:eastAsia="宋体" w:cs="宋体"/>
          <w:color w:val="auto"/>
          <w:sz w:val="24"/>
          <w:szCs w:val="24"/>
          <w:highlight w:val="none"/>
          <w:u w:val="none"/>
          <w:lang w:eastAsia="zh-CN"/>
        </w:rPr>
        <w:t>招标</w:t>
      </w:r>
    </w:p>
    <w:p w14:paraId="7A7E80C1">
      <w:pPr>
        <w:kinsoku/>
        <w:spacing w:line="261" w:lineRule="auto"/>
        <w:ind w:left="0" w:leftChars="0" w:firstLine="0" w:firstLineChars="0"/>
        <w:jc w:val="center"/>
        <w:rPr>
          <w:rFonts w:ascii="宋体" w:hAnsi="宋体" w:eastAsia="宋体" w:cs="宋体"/>
          <w:color w:val="auto"/>
          <w:highlight w:val="none"/>
          <w:u w:val="none"/>
          <w:lang w:eastAsia="zh-CN"/>
        </w:rPr>
      </w:pPr>
    </w:p>
    <w:p w14:paraId="3B1C78DB">
      <w:pPr>
        <w:kinsoku/>
        <w:spacing w:line="261" w:lineRule="auto"/>
        <w:rPr>
          <w:rFonts w:ascii="宋体" w:hAnsi="宋体" w:eastAsia="宋体" w:cs="宋体"/>
          <w:color w:val="auto"/>
          <w:highlight w:val="none"/>
          <w:lang w:eastAsia="zh-CN"/>
        </w:rPr>
      </w:pPr>
    </w:p>
    <w:p w14:paraId="557036C2">
      <w:pPr>
        <w:kinsoku/>
        <w:spacing w:line="261" w:lineRule="auto"/>
        <w:rPr>
          <w:rFonts w:ascii="宋体" w:hAnsi="宋体" w:eastAsia="宋体" w:cs="宋体"/>
          <w:color w:val="auto"/>
          <w:highlight w:val="none"/>
          <w:lang w:eastAsia="zh-CN"/>
        </w:rPr>
      </w:pPr>
    </w:p>
    <w:p w14:paraId="4F886867">
      <w:pPr>
        <w:kinsoku/>
        <w:spacing w:line="261" w:lineRule="auto"/>
        <w:rPr>
          <w:rFonts w:ascii="宋体" w:hAnsi="宋体" w:eastAsia="宋体" w:cs="宋体"/>
          <w:color w:val="auto"/>
          <w:highlight w:val="none"/>
          <w:lang w:eastAsia="zh-CN"/>
        </w:rPr>
      </w:pPr>
    </w:p>
    <w:p w14:paraId="63299F96">
      <w:pPr>
        <w:kinsoku/>
        <w:spacing w:line="261" w:lineRule="auto"/>
        <w:rPr>
          <w:rFonts w:ascii="宋体" w:hAnsi="宋体" w:eastAsia="宋体" w:cs="宋体"/>
          <w:color w:val="auto"/>
          <w:highlight w:val="none"/>
          <w:lang w:eastAsia="zh-CN"/>
        </w:rPr>
      </w:pPr>
    </w:p>
    <w:p w14:paraId="3D694022">
      <w:pPr>
        <w:kinsoku/>
        <w:spacing w:line="261" w:lineRule="auto"/>
        <w:rPr>
          <w:rFonts w:ascii="宋体" w:hAnsi="宋体" w:eastAsia="宋体" w:cs="宋体"/>
          <w:color w:val="auto"/>
          <w:highlight w:val="none"/>
          <w:lang w:eastAsia="zh-CN"/>
        </w:rPr>
      </w:pPr>
    </w:p>
    <w:p w14:paraId="2B89CE94">
      <w:pPr>
        <w:kinsoku/>
        <w:spacing w:line="261" w:lineRule="auto"/>
        <w:rPr>
          <w:rFonts w:ascii="宋体" w:hAnsi="宋体" w:eastAsia="宋体" w:cs="宋体"/>
          <w:color w:val="auto"/>
          <w:highlight w:val="none"/>
          <w:lang w:eastAsia="zh-CN"/>
        </w:rPr>
      </w:pPr>
    </w:p>
    <w:p w14:paraId="0D637F10">
      <w:pPr>
        <w:kinsoku/>
        <w:spacing w:line="262" w:lineRule="auto"/>
        <w:rPr>
          <w:rFonts w:ascii="宋体" w:hAnsi="宋体" w:eastAsia="宋体" w:cs="宋体"/>
          <w:color w:val="auto"/>
          <w:highlight w:val="none"/>
          <w:lang w:eastAsia="zh-CN"/>
        </w:rPr>
      </w:pPr>
    </w:p>
    <w:p w14:paraId="742E7C90">
      <w:pPr>
        <w:kinsoku/>
        <w:spacing w:line="262" w:lineRule="auto"/>
        <w:rPr>
          <w:rFonts w:ascii="宋体" w:hAnsi="宋体" w:eastAsia="宋体" w:cs="宋体"/>
          <w:color w:val="auto"/>
          <w:highlight w:val="none"/>
          <w:lang w:eastAsia="zh-CN"/>
        </w:rPr>
      </w:pPr>
    </w:p>
    <w:p w14:paraId="3CDE90B2">
      <w:pPr>
        <w:kinsoku/>
        <w:spacing w:before="159" w:line="372" w:lineRule="auto"/>
        <w:ind w:left="3322" w:right="2621" w:hanging="691"/>
        <w:rPr>
          <w:rFonts w:ascii="宋体" w:hAnsi="宋体" w:eastAsia="宋体" w:cs="宋体"/>
          <w:color w:val="auto"/>
          <w:sz w:val="36"/>
          <w:szCs w:val="36"/>
          <w:highlight w:val="none"/>
          <w:lang w:eastAsia="zh-CN"/>
        </w:rPr>
      </w:pPr>
      <w:bookmarkStart w:id="473" w:name="bookmark308"/>
      <w:bookmarkEnd w:id="473"/>
      <w:r>
        <w:rPr>
          <w:rFonts w:hint="eastAsia" w:ascii="宋体" w:hAnsi="宋体" w:eastAsia="宋体" w:cs="宋体"/>
          <w:color w:val="auto"/>
          <w:sz w:val="49"/>
          <w:szCs w:val="49"/>
          <w:highlight w:val="none"/>
          <w:lang w:eastAsia="zh-CN"/>
        </w:rPr>
        <w:t xml:space="preserve">投  标  文  件 </w:t>
      </w:r>
      <w:bookmarkStart w:id="474" w:name="bookmark307"/>
      <w:bookmarkEnd w:id="474"/>
      <w:r>
        <w:rPr>
          <w:rFonts w:hint="eastAsia" w:ascii="宋体" w:hAnsi="宋体" w:eastAsia="宋体" w:cs="宋体"/>
          <w:color w:val="auto"/>
          <w:sz w:val="36"/>
          <w:szCs w:val="36"/>
          <w:highlight w:val="none"/>
          <w:lang w:eastAsia="zh-CN"/>
        </w:rPr>
        <w:t>（报价文件）</w:t>
      </w:r>
    </w:p>
    <w:p w14:paraId="71E13B67">
      <w:pPr>
        <w:kinsoku/>
        <w:spacing w:line="247" w:lineRule="auto"/>
        <w:rPr>
          <w:rFonts w:ascii="宋体" w:hAnsi="宋体" w:eastAsia="宋体" w:cs="宋体"/>
          <w:color w:val="auto"/>
          <w:highlight w:val="none"/>
          <w:lang w:eastAsia="zh-CN"/>
        </w:rPr>
      </w:pPr>
    </w:p>
    <w:p w14:paraId="32533647">
      <w:pPr>
        <w:kinsoku/>
        <w:spacing w:line="247" w:lineRule="auto"/>
        <w:rPr>
          <w:rFonts w:ascii="宋体" w:hAnsi="宋体" w:eastAsia="宋体" w:cs="宋体"/>
          <w:color w:val="auto"/>
          <w:highlight w:val="none"/>
          <w:lang w:eastAsia="zh-CN"/>
        </w:rPr>
      </w:pPr>
    </w:p>
    <w:p w14:paraId="64D7C381">
      <w:pPr>
        <w:kinsoku/>
        <w:spacing w:line="247" w:lineRule="auto"/>
        <w:rPr>
          <w:rFonts w:ascii="宋体" w:hAnsi="宋体" w:eastAsia="宋体" w:cs="宋体"/>
          <w:color w:val="auto"/>
          <w:highlight w:val="none"/>
          <w:lang w:eastAsia="zh-CN"/>
        </w:rPr>
      </w:pPr>
    </w:p>
    <w:p w14:paraId="4BA81791">
      <w:pPr>
        <w:kinsoku/>
        <w:spacing w:line="247" w:lineRule="auto"/>
        <w:rPr>
          <w:rFonts w:ascii="宋体" w:hAnsi="宋体" w:eastAsia="宋体" w:cs="宋体"/>
          <w:color w:val="auto"/>
          <w:highlight w:val="none"/>
          <w:lang w:eastAsia="zh-CN"/>
        </w:rPr>
      </w:pPr>
    </w:p>
    <w:p w14:paraId="29ACD2FE">
      <w:pPr>
        <w:kinsoku/>
        <w:spacing w:line="247" w:lineRule="auto"/>
        <w:rPr>
          <w:rFonts w:ascii="宋体" w:hAnsi="宋体" w:eastAsia="宋体" w:cs="宋体"/>
          <w:color w:val="auto"/>
          <w:highlight w:val="none"/>
          <w:lang w:eastAsia="zh-CN"/>
        </w:rPr>
      </w:pPr>
    </w:p>
    <w:p w14:paraId="36ED842F">
      <w:pPr>
        <w:kinsoku/>
        <w:spacing w:line="247" w:lineRule="auto"/>
        <w:rPr>
          <w:rFonts w:ascii="宋体" w:hAnsi="宋体" w:eastAsia="宋体" w:cs="宋体"/>
          <w:color w:val="auto"/>
          <w:highlight w:val="none"/>
          <w:lang w:eastAsia="zh-CN"/>
        </w:rPr>
      </w:pPr>
    </w:p>
    <w:p w14:paraId="72FE7401">
      <w:pPr>
        <w:kinsoku/>
        <w:spacing w:line="247" w:lineRule="auto"/>
        <w:rPr>
          <w:rFonts w:ascii="宋体" w:hAnsi="宋体" w:eastAsia="宋体" w:cs="宋体"/>
          <w:color w:val="auto"/>
          <w:highlight w:val="none"/>
          <w:lang w:eastAsia="zh-CN"/>
        </w:rPr>
      </w:pPr>
    </w:p>
    <w:p w14:paraId="29591C80">
      <w:pPr>
        <w:kinsoku/>
        <w:spacing w:line="247" w:lineRule="auto"/>
        <w:rPr>
          <w:rFonts w:ascii="宋体" w:hAnsi="宋体" w:eastAsia="宋体" w:cs="宋体"/>
          <w:color w:val="auto"/>
          <w:highlight w:val="none"/>
          <w:lang w:eastAsia="zh-CN"/>
        </w:rPr>
      </w:pPr>
    </w:p>
    <w:p w14:paraId="6FD900D5">
      <w:pPr>
        <w:kinsoku/>
        <w:spacing w:line="247" w:lineRule="auto"/>
        <w:rPr>
          <w:rFonts w:ascii="宋体" w:hAnsi="宋体" w:eastAsia="宋体" w:cs="宋体"/>
          <w:color w:val="auto"/>
          <w:highlight w:val="none"/>
          <w:lang w:eastAsia="zh-CN"/>
        </w:rPr>
      </w:pPr>
    </w:p>
    <w:p w14:paraId="7361D4F7">
      <w:pPr>
        <w:kinsoku/>
        <w:spacing w:line="247" w:lineRule="auto"/>
        <w:rPr>
          <w:rFonts w:ascii="宋体" w:hAnsi="宋体" w:eastAsia="宋体" w:cs="宋体"/>
          <w:color w:val="auto"/>
          <w:highlight w:val="none"/>
          <w:lang w:eastAsia="zh-CN"/>
        </w:rPr>
      </w:pPr>
    </w:p>
    <w:p w14:paraId="1467F637">
      <w:pPr>
        <w:kinsoku/>
        <w:spacing w:line="247" w:lineRule="auto"/>
        <w:rPr>
          <w:rFonts w:ascii="宋体" w:hAnsi="宋体" w:eastAsia="宋体" w:cs="宋体"/>
          <w:color w:val="auto"/>
          <w:highlight w:val="none"/>
          <w:lang w:eastAsia="zh-CN"/>
        </w:rPr>
      </w:pPr>
    </w:p>
    <w:p w14:paraId="47AE4E02">
      <w:pPr>
        <w:kinsoku/>
        <w:spacing w:line="247" w:lineRule="auto"/>
        <w:rPr>
          <w:rFonts w:ascii="宋体" w:hAnsi="宋体" w:eastAsia="宋体" w:cs="宋体"/>
          <w:color w:val="auto"/>
          <w:highlight w:val="none"/>
          <w:lang w:eastAsia="zh-CN"/>
        </w:rPr>
      </w:pPr>
    </w:p>
    <w:p w14:paraId="78B9A96C">
      <w:pPr>
        <w:kinsoku/>
        <w:spacing w:line="247" w:lineRule="auto"/>
        <w:rPr>
          <w:rFonts w:ascii="宋体" w:hAnsi="宋体" w:eastAsia="宋体" w:cs="宋体"/>
          <w:color w:val="auto"/>
          <w:highlight w:val="none"/>
          <w:lang w:eastAsia="zh-CN"/>
        </w:rPr>
      </w:pPr>
    </w:p>
    <w:p w14:paraId="18B1A4D8">
      <w:pPr>
        <w:kinsoku/>
        <w:spacing w:line="247" w:lineRule="auto"/>
        <w:rPr>
          <w:rFonts w:ascii="宋体" w:hAnsi="宋体" w:eastAsia="宋体" w:cs="宋体"/>
          <w:color w:val="auto"/>
          <w:highlight w:val="none"/>
          <w:lang w:eastAsia="zh-CN"/>
        </w:rPr>
      </w:pPr>
    </w:p>
    <w:p w14:paraId="31DFC719">
      <w:pPr>
        <w:kinsoku/>
        <w:spacing w:line="248" w:lineRule="auto"/>
        <w:rPr>
          <w:rFonts w:ascii="宋体" w:hAnsi="宋体" w:eastAsia="宋体" w:cs="宋体"/>
          <w:color w:val="auto"/>
          <w:highlight w:val="none"/>
          <w:lang w:eastAsia="zh-CN"/>
        </w:rPr>
      </w:pPr>
    </w:p>
    <w:p w14:paraId="05D65672">
      <w:pPr>
        <w:kinsoku/>
        <w:spacing w:line="248" w:lineRule="auto"/>
        <w:rPr>
          <w:rFonts w:ascii="宋体" w:hAnsi="宋体" w:eastAsia="宋体" w:cs="宋体"/>
          <w:color w:val="auto"/>
          <w:highlight w:val="none"/>
          <w:lang w:eastAsia="zh-CN"/>
        </w:rPr>
      </w:pPr>
    </w:p>
    <w:p w14:paraId="2033AFEB">
      <w:pPr>
        <w:tabs>
          <w:tab w:val="left" w:pos="3313"/>
        </w:tabs>
        <w:kinsoku/>
        <w:spacing w:before="91" w:line="568" w:lineRule="auto"/>
        <w:ind w:left="2196" w:right="614" w:hanging="1602"/>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投标人：</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（盖单位章） </w:t>
      </w:r>
      <w:r>
        <w:rPr>
          <w:rFonts w:hint="eastAsia" w:ascii="宋体" w:hAnsi="宋体" w:eastAsia="宋体" w:cs="宋体"/>
          <w:color w:val="auto"/>
          <w:sz w:val="28"/>
          <w:szCs w:val="28"/>
          <w:highlight w:val="none"/>
          <w:u w:val="single"/>
          <w:lang w:eastAsia="zh-CN"/>
        </w:rPr>
        <w:tab/>
      </w:r>
      <w:r>
        <w:rPr>
          <w:rFonts w:hint="eastAsia" w:ascii="宋体" w:hAnsi="宋体" w:eastAsia="宋体" w:cs="宋体"/>
          <w:color w:val="auto"/>
          <w:sz w:val="28"/>
          <w:szCs w:val="28"/>
          <w:highlight w:val="none"/>
          <w:lang w:eastAsia="zh-CN"/>
        </w:rPr>
        <w:t xml:space="preserve"> 年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月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 xml:space="preserve"> 日</w:t>
      </w:r>
    </w:p>
    <w:p w14:paraId="31D00301">
      <w:pPr>
        <w:kinsoku/>
        <w:spacing w:line="568" w:lineRule="auto"/>
        <w:rPr>
          <w:rFonts w:ascii="宋体" w:hAnsi="宋体" w:eastAsia="宋体" w:cs="宋体"/>
          <w:color w:val="auto"/>
          <w:sz w:val="28"/>
          <w:szCs w:val="28"/>
          <w:highlight w:val="none"/>
          <w:lang w:eastAsia="zh-CN"/>
        </w:rPr>
        <w:sectPr>
          <w:headerReference r:id="rId60" w:type="default"/>
          <w:footerReference r:id="rId61" w:type="default"/>
          <w:pgSz w:w="11907" w:h="16841"/>
          <w:pgMar w:top="1173" w:right="1555" w:bottom="1014" w:left="1615" w:header="862" w:footer="853" w:gutter="0"/>
          <w:cols w:space="720" w:num="1"/>
        </w:sectPr>
      </w:pPr>
    </w:p>
    <w:p w14:paraId="186E173E">
      <w:pPr>
        <w:kinsoku/>
        <w:spacing w:before="97" w:line="219" w:lineRule="auto"/>
        <w:ind w:left="3966"/>
        <w:rPr>
          <w:rFonts w:ascii="宋体" w:hAnsi="宋体" w:eastAsia="宋体" w:cs="宋体"/>
          <w:color w:val="auto"/>
          <w:sz w:val="30"/>
          <w:szCs w:val="30"/>
          <w:highlight w:val="none"/>
          <w:lang w:eastAsia="zh-CN"/>
        </w:rPr>
      </w:pPr>
      <w:bookmarkStart w:id="475" w:name="bookmark309"/>
      <w:bookmarkEnd w:id="475"/>
      <w:bookmarkStart w:id="476" w:name="bookmark310"/>
      <w:bookmarkEnd w:id="476"/>
      <w:r>
        <w:rPr>
          <w:rFonts w:hint="eastAsia" w:ascii="宋体" w:hAnsi="宋体" w:eastAsia="宋体" w:cs="宋体"/>
          <w:color w:val="auto"/>
          <w:sz w:val="30"/>
          <w:szCs w:val="30"/>
          <w:highlight w:val="none"/>
          <w:lang w:eastAsia="zh-CN"/>
        </w:rPr>
        <w:t>目  录</w:t>
      </w:r>
    </w:p>
    <w:p w14:paraId="2FD13251">
      <w:pPr>
        <w:kinsoku/>
        <w:spacing w:line="287" w:lineRule="auto"/>
        <w:rPr>
          <w:rFonts w:ascii="宋体" w:hAnsi="宋体" w:eastAsia="宋体" w:cs="宋体"/>
          <w:color w:val="auto"/>
          <w:highlight w:val="none"/>
          <w:lang w:eastAsia="zh-CN"/>
        </w:rPr>
      </w:pPr>
    </w:p>
    <w:p w14:paraId="200B04EE">
      <w:pPr>
        <w:kinsoku/>
        <w:spacing w:line="287" w:lineRule="auto"/>
        <w:rPr>
          <w:rFonts w:ascii="宋体" w:hAnsi="宋体" w:eastAsia="宋体" w:cs="宋体"/>
          <w:color w:val="auto"/>
          <w:highlight w:val="none"/>
          <w:lang w:eastAsia="zh-CN"/>
        </w:rPr>
      </w:pPr>
    </w:p>
    <w:p w14:paraId="2919854C">
      <w:pPr>
        <w:kinsoku/>
        <w:spacing w:line="287" w:lineRule="auto"/>
        <w:rPr>
          <w:rFonts w:ascii="宋体" w:hAnsi="宋体" w:eastAsia="宋体" w:cs="宋体"/>
          <w:color w:val="auto"/>
          <w:highlight w:val="none"/>
          <w:lang w:eastAsia="zh-CN"/>
        </w:rPr>
      </w:pPr>
    </w:p>
    <w:p w14:paraId="53ACAC54">
      <w:pPr>
        <w:kinsoku/>
        <w:spacing w:line="288" w:lineRule="auto"/>
        <w:rPr>
          <w:rFonts w:ascii="宋体" w:hAnsi="宋体" w:eastAsia="宋体" w:cs="宋体"/>
          <w:color w:val="auto"/>
          <w:highlight w:val="none"/>
          <w:lang w:eastAsia="zh-CN"/>
        </w:rPr>
      </w:pPr>
    </w:p>
    <w:p w14:paraId="6CEBD956">
      <w:pPr>
        <w:kinsoku/>
        <w:spacing w:before="91" w:line="220" w:lineRule="auto"/>
        <w:ind w:left="840" w:leftChars="400"/>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一、投标函</w:t>
      </w:r>
    </w:p>
    <w:p w14:paraId="7016492E">
      <w:pPr>
        <w:kinsoku/>
        <w:spacing w:line="274" w:lineRule="auto"/>
        <w:ind w:left="840" w:leftChars="400"/>
        <w:rPr>
          <w:rFonts w:ascii="宋体" w:hAnsi="宋体" w:eastAsia="宋体" w:cs="宋体"/>
          <w:color w:val="auto"/>
          <w:highlight w:val="none"/>
          <w:lang w:eastAsia="zh-CN"/>
        </w:rPr>
      </w:pPr>
    </w:p>
    <w:p w14:paraId="36AAC921">
      <w:pPr>
        <w:kinsoku/>
        <w:spacing w:before="91" w:line="219" w:lineRule="auto"/>
        <w:ind w:left="840" w:leftChars="400"/>
        <w:rPr>
          <w:rFonts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二、勘察设计费用清单</w:t>
      </w:r>
    </w:p>
    <w:p w14:paraId="76E127F2">
      <w:pPr>
        <w:kinsoku/>
        <w:spacing w:line="219" w:lineRule="auto"/>
        <w:rPr>
          <w:rFonts w:ascii="宋体" w:hAnsi="宋体" w:eastAsia="宋体" w:cs="宋体"/>
          <w:color w:val="auto"/>
          <w:sz w:val="28"/>
          <w:szCs w:val="28"/>
          <w:highlight w:val="none"/>
          <w:lang w:eastAsia="zh-CN"/>
        </w:rPr>
        <w:sectPr>
          <w:footerReference r:id="rId62" w:type="default"/>
          <w:pgSz w:w="11907" w:h="16841"/>
          <w:pgMar w:top="1173" w:right="1555" w:bottom="1014" w:left="1615" w:header="862" w:footer="853" w:gutter="0"/>
          <w:cols w:space="720" w:num="1"/>
        </w:sectPr>
      </w:pPr>
    </w:p>
    <w:p w14:paraId="4E6CE347">
      <w:pPr>
        <w:kinsoku/>
        <w:spacing w:before="98" w:line="220" w:lineRule="auto"/>
        <w:ind w:left="3633"/>
        <w:rPr>
          <w:rFonts w:ascii="宋体" w:hAnsi="宋体" w:eastAsia="宋体" w:cs="宋体"/>
          <w:color w:val="auto"/>
          <w:sz w:val="30"/>
          <w:szCs w:val="30"/>
          <w:highlight w:val="none"/>
          <w:lang w:eastAsia="zh-CN"/>
        </w:rPr>
      </w:pPr>
      <w:bookmarkStart w:id="477" w:name="bookmark312"/>
      <w:bookmarkEnd w:id="477"/>
      <w:bookmarkStart w:id="478" w:name="bookmark311"/>
      <w:bookmarkEnd w:id="478"/>
      <w:r>
        <w:rPr>
          <w:rFonts w:hint="eastAsia" w:ascii="宋体" w:hAnsi="宋体" w:eastAsia="宋体" w:cs="宋体"/>
          <w:color w:val="auto"/>
          <w:sz w:val="30"/>
          <w:szCs w:val="30"/>
          <w:highlight w:val="none"/>
          <w:lang w:eastAsia="zh-CN"/>
        </w:rPr>
        <w:t>一、投标函</w:t>
      </w:r>
    </w:p>
    <w:p w14:paraId="60B0BE00">
      <w:pPr>
        <w:kinsoku/>
        <w:spacing w:line="302" w:lineRule="auto"/>
        <w:rPr>
          <w:rFonts w:ascii="宋体" w:hAnsi="宋体" w:eastAsia="宋体" w:cs="宋体"/>
          <w:color w:val="auto"/>
          <w:highlight w:val="none"/>
          <w:lang w:eastAsia="zh-CN"/>
        </w:rPr>
      </w:pPr>
    </w:p>
    <w:p w14:paraId="7F907037">
      <w:pPr>
        <w:kinsoku/>
        <w:spacing w:line="302" w:lineRule="auto"/>
        <w:rPr>
          <w:rFonts w:ascii="宋体" w:hAnsi="宋体" w:eastAsia="宋体" w:cs="宋体"/>
          <w:color w:val="auto"/>
          <w:highlight w:val="none"/>
          <w:lang w:eastAsia="zh-CN"/>
        </w:rPr>
      </w:pPr>
    </w:p>
    <w:p w14:paraId="3E8B0BA0">
      <w:pPr>
        <w:kinsoku/>
        <w:spacing w:line="303" w:lineRule="auto"/>
        <w:rPr>
          <w:rFonts w:ascii="宋体" w:hAnsi="宋体" w:eastAsia="宋体" w:cs="宋体"/>
          <w:color w:val="auto"/>
          <w:highlight w:val="none"/>
          <w:lang w:eastAsia="zh-CN"/>
        </w:rPr>
      </w:pPr>
    </w:p>
    <w:p w14:paraId="1AECF440">
      <w:pPr>
        <w:tabs>
          <w:tab w:val="left" w:pos="3028"/>
        </w:tabs>
        <w:kinsoku/>
        <w:spacing w:before="78" w:line="220" w:lineRule="auto"/>
        <w:ind w:left="14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（招标人名称）：</w:t>
      </w:r>
    </w:p>
    <w:p w14:paraId="7D000340">
      <w:pPr>
        <w:kinsoku/>
        <w:spacing w:before="237" w:line="302" w:lineRule="auto"/>
        <w:ind w:left="39" w:right="28" w:firstLine="497"/>
        <w:jc w:val="both"/>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 xml:space="preserve">1.我方已仔细研究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（项目名称）施工图设计招标文件的全部内容（含补遗书第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号至第</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号），在考察工程现场后，愿意以人民币（大写）</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元(¥</w:t>
      </w:r>
      <w:r>
        <w:rPr>
          <w:rFonts w:hint="eastAsia" w:ascii="宋体" w:hAnsi="宋体" w:eastAsia="宋体" w:cs="宋体"/>
          <w:color w:val="auto"/>
          <w:sz w:val="24"/>
          <w:szCs w:val="24"/>
          <w:highlight w:val="none"/>
          <w:lang w:eastAsia="zh-CN"/>
        </w:rPr>
        <w:drawing>
          <wp:inline distT="0" distB="0" distL="0" distR="0">
            <wp:extent cx="571500" cy="7620"/>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67" cstate="print"/>
                    <a:stretch>
                      <a:fillRect/>
                    </a:stretch>
                  </pic:blipFill>
                  <pic:spPr>
                    <a:xfrm>
                      <a:off x="0" y="0"/>
                      <a:ext cx="571805" cy="7620"/>
                    </a:xfrm>
                    <a:prstGeom prst="rect">
                      <a:avLst/>
                    </a:prstGeom>
                  </pic:spPr>
                </pic:pic>
              </a:graphicData>
            </a:graphic>
          </wp:inline>
        </w:drawing>
      </w:r>
      <w:r>
        <w:rPr>
          <w:rFonts w:hint="eastAsia" w:ascii="宋体" w:hAnsi="宋体" w:eastAsia="宋体" w:cs="宋体"/>
          <w:color w:val="auto"/>
          <w:sz w:val="24"/>
          <w:szCs w:val="24"/>
          <w:highlight w:val="none"/>
          <w:lang w:eastAsia="zh-CN"/>
        </w:rPr>
        <w:t xml:space="preserve">)的投标总报价（或根据招标文件规定修正核实后确定的另一金额，其中，增值税税率为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），按合同约定完成施工设计工作。</w:t>
      </w:r>
    </w:p>
    <w:p w14:paraId="3D74CFEC">
      <w:pPr>
        <w:kinsoku/>
        <w:spacing w:before="33" w:line="264" w:lineRule="auto"/>
        <w:ind w:left="38" w:right="31" w:firstLine="475"/>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2.在合同协议书正式签署生效之前，本投标函连同你方的中标通知书将构成我们双方之间共同遵守的文件，对双方具有约束力。</w:t>
      </w:r>
    </w:p>
    <w:p w14:paraId="66170E89">
      <w:pPr>
        <w:kinsoku/>
        <w:spacing w:before="114" w:line="220" w:lineRule="auto"/>
        <w:ind w:left="518"/>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（其他补充说明）。</w:t>
      </w:r>
    </w:p>
    <w:p w14:paraId="6A34FE46">
      <w:pPr>
        <w:kinsoku/>
        <w:spacing w:line="422" w:lineRule="auto"/>
        <w:rPr>
          <w:rFonts w:ascii="宋体" w:hAnsi="宋体" w:eastAsia="宋体" w:cs="宋体"/>
          <w:color w:val="auto"/>
          <w:highlight w:val="none"/>
          <w:lang w:eastAsia="zh-CN"/>
        </w:rPr>
      </w:pPr>
    </w:p>
    <w:p w14:paraId="57717C7B">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投 标 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（盖单位章）</w:t>
      </w:r>
      <w:r>
        <w:rPr>
          <w:rFonts w:hint="eastAsia" w:ascii="宋体" w:hAnsi="宋体" w:eastAsia="宋体" w:cs="宋体"/>
          <w:color w:val="auto"/>
          <w:sz w:val="12"/>
          <w:szCs w:val="12"/>
          <w:highlight w:val="none"/>
          <w:lang w:eastAsia="zh-CN"/>
        </w:rPr>
        <w:t xml:space="preserve"> </w:t>
      </w:r>
      <w:r>
        <w:rPr>
          <w:rFonts w:hint="eastAsia" w:ascii="宋体" w:hAnsi="宋体" w:eastAsia="宋体" w:cs="宋体"/>
          <w:color w:val="auto"/>
          <w:sz w:val="24"/>
          <w:szCs w:val="24"/>
          <w:highlight w:val="none"/>
          <w:lang w:eastAsia="zh-CN"/>
        </w:rPr>
        <w:t>法定代表人或其委托代理人：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2B13E480">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地    址：</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7260DD3D">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网    址：</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4782A392">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电    话：</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4B5CFDEC">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传    真：</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w:t>
      </w:r>
    </w:p>
    <w:p w14:paraId="16216450">
      <w:pPr>
        <w:kinsoku/>
        <w:spacing w:before="79" w:line="305" w:lineRule="auto"/>
        <w:ind w:left="3456" w:right="28" w:firstLine="4"/>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邮政编码：</w:t>
      </w:r>
      <w:r>
        <w:rPr>
          <w:rFonts w:hint="eastAsia" w:ascii="宋体" w:hAnsi="宋体" w:eastAsia="宋体" w:cs="宋体"/>
          <w:color w:val="auto"/>
          <w:sz w:val="24"/>
          <w:szCs w:val="24"/>
          <w:highlight w:val="none"/>
          <w:u w:val="single"/>
          <w:lang w:eastAsia="zh-CN"/>
        </w:rPr>
        <w:t xml:space="preserve">                                  </w:t>
      </w:r>
    </w:p>
    <w:p w14:paraId="0E0DAD31">
      <w:pPr>
        <w:kinsoku/>
        <w:spacing w:line="354" w:lineRule="auto"/>
        <w:rPr>
          <w:rFonts w:ascii="宋体" w:hAnsi="宋体" w:eastAsia="宋体" w:cs="宋体"/>
          <w:color w:val="auto"/>
          <w:highlight w:val="none"/>
          <w:lang w:eastAsia="zh-CN"/>
        </w:rPr>
      </w:pPr>
    </w:p>
    <w:p w14:paraId="29301DEA">
      <w:pPr>
        <w:tabs>
          <w:tab w:val="left" w:pos="5849"/>
        </w:tabs>
        <w:kinsoku/>
        <w:spacing w:before="78" w:line="220" w:lineRule="auto"/>
        <w:ind w:left="4769"/>
        <w:rPr>
          <w:rFonts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 xml:space="preserve"> 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 xml:space="preserve"> 日</w:t>
      </w:r>
    </w:p>
    <w:p w14:paraId="1324B7D4">
      <w:pPr>
        <w:kinsoku/>
        <w:spacing w:line="243" w:lineRule="auto"/>
        <w:rPr>
          <w:rFonts w:ascii="宋体" w:hAnsi="宋体" w:eastAsia="宋体" w:cs="宋体"/>
          <w:color w:val="auto"/>
          <w:highlight w:val="none"/>
          <w:lang w:eastAsia="zh-CN"/>
        </w:rPr>
      </w:pPr>
    </w:p>
    <w:p w14:paraId="124D2F98">
      <w:pPr>
        <w:kinsoku/>
        <w:spacing w:line="243" w:lineRule="auto"/>
        <w:rPr>
          <w:rFonts w:ascii="宋体" w:hAnsi="宋体" w:eastAsia="宋体" w:cs="宋体"/>
          <w:color w:val="auto"/>
          <w:highlight w:val="none"/>
          <w:lang w:eastAsia="zh-CN"/>
        </w:rPr>
      </w:pPr>
    </w:p>
    <w:p w14:paraId="0FC813FF">
      <w:pPr>
        <w:kinsoku/>
        <w:spacing w:line="243" w:lineRule="auto"/>
        <w:rPr>
          <w:rFonts w:ascii="宋体" w:hAnsi="宋体" w:eastAsia="宋体" w:cs="宋体"/>
          <w:color w:val="auto"/>
          <w:highlight w:val="none"/>
          <w:lang w:eastAsia="zh-CN"/>
        </w:rPr>
      </w:pPr>
    </w:p>
    <w:p w14:paraId="1EF7A064">
      <w:pPr>
        <w:kinsoku/>
        <w:spacing w:line="243" w:lineRule="auto"/>
        <w:rPr>
          <w:rFonts w:ascii="宋体" w:hAnsi="宋体" w:eastAsia="宋体" w:cs="宋体"/>
          <w:color w:val="auto"/>
          <w:highlight w:val="none"/>
          <w:lang w:eastAsia="zh-CN"/>
        </w:rPr>
      </w:pPr>
    </w:p>
    <w:p w14:paraId="351A5AB0">
      <w:pPr>
        <w:kinsoku/>
        <w:spacing w:line="243" w:lineRule="auto"/>
        <w:rPr>
          <w:rFonts w:ascii="宋体" w:hAnsi="宋体" w:eastAsia="宋体" w:cs="宋体"/>
          <w:color w:val="auto"/>
          <w:highlight w:val="none"/>
          <w:lang w:eastAsia="zh-CN"/>
        </w:rPr>
      </w:pPr>
    </w:p>
    <w:p w14:paraId="000131F3">
      <w:pPr>
        <w:kinsoku/>
        <w:spacing w:line="243" w:lineRule="auto"/>
        <w:rPr>
          <w:rFonts w:ascii="宋体" w:hAnsi="宋体" w:eastAsia="宋体" w:cs="宋体"/>
          <w:color w:val="auto"/>
          <w:highlight w:val="none"/>
          <w:lang w:eastAsia="zh-CN"/>
        </w:rPr>
      </w:pPr>
    </w:p>
    <w:p w14:paraId="30ECDE87">
      <w:pPr>
        <w:kinsoku/>
        <w:spacing w:line="243" w:lineRule="auto"/>
        <w:rPr>
          <w:rFonts w:ascii="宋体" w:hAnsi="宋体" w:eastAsia="宋体" w:cs="宋体"/>
          <w:color w:val="auto"/>
          <w:highlight w:val="none"/>
          <w:lang w:eastAsia="zh-CN"/>
        </w:rPr>
      </w:pPr>
    </w:p>
    <w:p w14:paraId="4187EDB6">
      <w:pPr>
        <w:kinsoku/>
        <w:spacing w:line="347" w:lineRule="auto"/>
        <w:rPr>
          <w:rFonts w:ascii="宋体" w:hAnsi="宋体" w:eastAsia="宋体" w:cs="宋体"/>
          <w:color w:val="auto"/>
          <w:highlight w:val="none"/>
          <w:lang w:eastAsia="zh-CN"/>
        </w:rPr>
      </w:pPr>
    </w:p>
    <w:p w14:paraId="55484D06">
      <w:pPr>
        <w:pStyle w:val="6"/>
        <w:spacing w:line="360" w:lineRule="auto"/>
        <w:jc w:val="center"/>
        <w:outlineLvl w:val="9"/>
        <w:rPr>
          <w:b/>
          <w:color w:val="auto"/>
          <w:spacing w:val="-3"/>
          <w:sz w:val="28"/>
          <w:szCs w:val="28"/>
          <w:highlight w:val="none"/>
          <w:lang w:eastAsia="zh-CN"/>
        </w:rPr>
      </w:pPr>
      <w:bookmarkStart w:id="479" w:name="bookmark313"/>
      <w:bookmarkEnd w:id="479"/>
      <w:bookmarkStart w:id="480" w:name="bookmark314"/>
      <w:bookmarkEnd w:id="480"/>
      <w:r>
        <w:rPr>
          <w:rFonts w:hint="eastAsia" w:ascii="宋体" w:hAnsi="宋体" w:eastAsia="宋体" w:cs="宋体"/>
          <w:color w:val="auto"/>
          <w:sz w:val="30"/>
          <w:szCs w:val="30"/>
          <w:highlight w:val="none"/>
          <w:lang w:eastAsia="zh-CN"/>
        </w:rPr>
        <w:br w:type="page"/>
      </w:r>
      <w:r>
        <w:rPr>
          <w:b/>
          <w:color w:val="auto"/>
          <w:spacing w:val="-3"/>
          <w:sz w:val="28"/>
          <w:szCs w:val="28"/>
          <w:highlight w:val="none"/>
          <w:lang w:eastAsia="zh-CN"/>
        </w:rPr>
        <w:t>二、勘察设计费用清单</w:t>
      </w:r>
    </w:p>
    <w:p w14:paraId="78979323">
      <w:pPr>
        <w:jc w:val="center"/>
        <w:outlineLvl w:val="9"/>
        <w:rPr>
          <w:b/>
          <w:color w:val="auto"/>
          <w:spacing w:val="-3"/>
          <w:sz w:val="28"/>
          <w:szCs w:val="28"/>
          <w:highlight w:val="none"/>
          <w:lang w:eastAsia="zh-CN"/>
        </w:rPr>
      </w:pPr>
      <w:r>
        <w:rPr>
          <w:b/>
          <w:color w:val="auto"/>
          <w:spacing w:val="-3"/>
          <w:sz w:val="28"/>
          <w:szCs w:val="28"/>
          <w:highlight w:val="none"/>
          <w:lang w:eastAsia="zh-CN"/>
        </w:rPr>
        <w:t>（一）报价清单说明</w:t>
      </w:r>
    </w:p>
    <w:p w14:paraId="34132D93">
      <w:pPr>
        <w:spacing w:line="316" w:lineRule="auto"/>
        <w:rPr>
          <w:color w:val="auto"/>
          <w:highlight w:val="none"/>
          <w:lang w:eastAsia="zh-CN"/>
        </w:rPr>
      </w:pPr>
    </w:p>
    <w:p w14:paraId="548FA373">
      <w:pPr>
        <w:spacing w:line="360" w:lineRule="auto"/>
        <w:ind w:firstLine="504"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6"/>
          <w:sz w:val="24"/>
          <w:szCs w:val="24"/>
          <w:highlight w:val="none"/>
          <w:lang w:eastAsia="zh-CN"/>
        </w:rPr>
        <w:t>1、“报价文件”应与“投标人须知”、“通用合同条款”、“专用合同条款”和“发包人要</w:t>
      </w:r>
      <w:r>
        <w:rPr>
          <w:rFonts w:hint="eastAsia" w:ascii="宋体" w:hAnsi="宋体" w:eastAsia="宋体" w:cs="宋体"/>
          <w:color w:val="auto"/>
          <w:spacing w:val="9"/>
          <w:sz w:val="24"/>
          <w:szCs w:val="24"/>
          <w:highlight w:val="none"/>
          <w:lang w:eastAsia="zh-CN"/>
        </w:rPr>
        <w:t>求”一起使用。投标人应根据本招标项目前一阶段（工可阶段或初步设计阶段）</w:t>
      </w:r>
      <w:r>
        <w:rPr>
          <w:rFonts w:hint="eastAsia" w:ascii="宋体" w:hAnsi="宋体" w:eastAsia="宋体" w:cs="宋体"/>
          <w:color w:val="auto"/>
          <w:spacing w:val="8"/>
          <w:sz w:val="24"/>
          <w:szCs w:val="24"/>
          <w:highlight w:val="none"/>
          <w:lang w:eastAsia="zh-CN"/>
        </w:rPr>
        <w:t>批复意见和强制性</w:t>
      </w:r>
      <w:r>
        <w:rPr>
          <w:rFonts w:hint="eastAsia" w:ascii="宋体" w:hAnsi="宋体" w:eastAsia="宋体" w:cs="宋体"/>
          <w:color w:val="auto"/>
          <w:spacing w:val="10"/>
          <w:sz w:val="24"/>
          <w:szCs w:val="24"/>
          <w:highlight w:val="none"/>
          <w:lang w:eastAsia="zh-CN"/>
        </w:rPr>
        <w:t>要求，按照本招标文件规定的勘察设计工作内容和</w:t>
      </w:r>
      <w:r>
        <w:rPr>
          <w:rFonts w:hint="eastAsia" w:ascii="宋体" w:hAnsi="宋体" w:eastAsia="宋体" w:cs="宋体"/>
          <w:color w:val="auto"/>
          <w:spacing w:val="9"/>
          <w:sz w:val="24"/>
          <w:szCs w:val="24"/>
          <w:highlight w:val="none"/>
          <w:lang w:eastAsia="zh-CN"/>
        </w:rPr>
        <w:t>计划工作量，认真阅读分析本招标项目勘察设计原始资料，在编制完成技术建议书的前提下，慎重提出“报价文件”，并</w:t>
      </w:r>
      <w:r>
        <w:rPr>
          <w:rFonts w:hint="eastAsia" w:ascii="宋体" w:hAnsi="宋体" w:eastAsia="宋体" w:cs="宋体"/>
          <w:color w:val="auto"/>
          <w:spacing w:val="8"/>
          <w:sz w:val="24"/>
          <w:szCs w:val="24"/>
          <w:highlight w:val="none"/>
          <w:lang w:eastAsia="zh-CN"/>
        </w:rPr>
        <w:t>以此做为本招标项目勘察</w:t>
      </w:r>
      <w:r>
        <w:rPr>
          <w:rFonts w:hint="eastAsia" w:ascii="宋体" w:hAnsi="宋体" w:eastAsia="宋体" w:cs="宋体"/>
          <w:color w:val="auto"/>
          <w:spacing w:val="6"/>
          <w:sz w:val="24"/>
          <w:szCs w:val="24"/>
          <w:highlight w:val="none"/>
          <w:lang w:eastAsia="zh-CN"/>
        </w:rPr>
        <w:t>设计费的基础。</w:t>
      </w:r>
    </w:p>
    <w:p w14:paraId="3AA88112">
      <w:pPr>
        <w:spacing w:line="360" w:lineRule="auto"/>
        <w:ind w:firstLine="520"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10"/>
          <w:sz w:val="24"/>
          <w:szCs w:val="24"/>
          <w:highlight w:val="none"/>
          <w:lang w:eastAsia="zh-CN"/>
        </w:rPr>
        <w:t>2、设计人应按照国家有关工程建设标准强制性条</w:t>
      </w:r>
      <w:r>
        <w:rPr>
          <w:rFonts w:hint="eastAsia" w:ascii="宋体" w:hAnsi="宋体" w:eastAsia="宋体" w:cs="宋体"/>
          <w:color w:val="auto"/>
          <w:spacing w:val="9"/>
          <w:sz w:val="24"/>
          <w:szCs w:val="24"/>
          <w:highlight w:val="none"/>
          <w:lang w:eastAsia="zh-CN"/>
        </w:rPr>
        <w:t>文和交通运输部有关标准、规范、规程、定</w:t>
      </w:r>
      <w:r>
        <w:rPr>
          <w:rFonts w:hint="eastAsia" w:ascii="宋体" w:hAnsi="宋体" w:eastAsia="宋体" w:cs="宋体"/>
          <w:color w:val="auto"/>
          <w:spacing w:val="10"/>
          <w:sz w:val="24"/>
          <w:szCs w:val="24"/>
          <w:highlight w:val="none"/>
          <w:lang w:eastAsia="zh-CN"/>
        </w:rPr>
        <w:t>额、办法、示例等要求的内容和深度，开展本招标项</w:t>
      </w:r>
      <w:r>
        <w:rPr>
          <w:rFonts w:hint="eastAsia" w:ascii="宋体" w:hAnsi="宋体" w:eastAsia="宋体" w:cs="宋体"/>
          <w:color w:val="auto"/>
          <w:spacing w:val="9"/>
          <w:sz w:val="24"/>
          <w:szCs w:val="24"/>
          <w:highlight w:val="none"/>
          <w:lang w:eastAsia="zh-CN"/>
        </w:rPr>
        <w:t>目的勘察设计工作，并将勘察设计费计入相应的报价项目中。“报价文件”所列的报价，应包括测量、勘察、测试、设计、专题</w:t>
      </w:r>
      <w:r>
        <w:rPr>
          <w:rFonts w:hint="eastAsia" w:ascii="宋体" w:hAnsi="宋体" w:eastAsia="宋体" w:cs="宋体"/>
          <w:color w:val="auto"/>
          <w:spacing w:val="8"/>
          <w:sz w:val="24"/>
          <w:szCs w:val="24"/>
          <w:highlight w:val="none"/>
          <w:lang w:eastAsia="zh-CN"/>
        </w:rPr>
        <w:t>研究等为完成本</w:t>
      </w:r>
      <w:r>
        <w:rPr>
          <w:rFonts w:hint="eastAsia" w:ascii="宋体" w:hAnsi="宋体" w:eastAsia="宋体" w:cs="宋体"/>
          <w:color w:val="auto"/>
          <w:spacing w:val="10"/>
          <w:sz w:val="24"/>
          <w:szCs w:val="24"/>
          <w:highlight w:val="none"/>
          <w:lang w:eastAsia="zh-CN"/>
        </w:rPr>
        <w:t>招标项目勘察设计全过程的一切费用，包括按合同规</w:t>
      </w:r>
      <w:r>
        <w:rPr>
          <w:rFonts w:hint="eastAsia" w:ascii="宋体" w:hAnsi="宋体" w:eastAsia="宋体" w:cs="宋体"/>
          <w:color w:val="auto"/>
          <w:spacing w:val="9"/>
          <w:sz w:val="24"/>
          <w:szCs w:val="24"/>
          <w:highlight w:val="none"/>
          <w:lang w:eastAsia="zh-CN"/>
        </w:rPr>
        <w:t>定应完成的勘察设计费和后续服务费（招标配</w:t>
      </w:r>
      <w:r>
        <w:rPr>
          <w:rFonts w:hint="eastAsia" w:ascii="宋体" w:hAnsi="宋体" w:eastAsia="宋体" w:cs="宋体"/>
          <w:color w:val="auto"/>
          <w:spacing w:val="6"/>
          <w:sz w:val="24"/>
          <w:szCs w:val="24"/>
          <w:highlight w:val="none"/>
          <w:lang w:eastAsia="zh-CN"/>
        </w:rPr>
        <w:t>合和施工配合）、与勘察设计文件审查有关的各种会议的会务费以及设计人自行委托咨询的咨询费、</w:t>
      </w:r>
      <w:r>
        <w:rPr>
          <w:rFonts w:hint="eastAsia" w:ascii="宋体" w:hAnsi="宋体" w:eastAsia="宋体" w:cs="宋体"/>
          <w:color w:val="auto"/>
          <w:spacing w:val="8"/>
          <w:sz w:val="24"/>
          <w:szCs w:val="24"/>
          <w:highlight w:val="none"/>
          <w:lang w:eastAsia="zh-CN"/>
        </w:rPr>
        <w:t>利润、税金等与此有关的一切费用。</w:t>
      </w:r>
    </w:p>
    <w:p w14:paraId="478106A4">
      <w:pPr>
        <w:spacing w:line="360" w:lineRule="auto"/>
        <w:ind w:firstLine="516"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9"/>
          <w:sz w:val="24"/>
          <w:szCs w:val="24"/>
          <w:highlight w:val="none"/>
          <w:lang w:eastAsia="zh-CN"/>
        </w:rPr>
        <w:t>3、“报价文件”为通用表格，投标人应根据</w:t>
      </w:r>
      <w:r>
        <w:rPr>
          <w:rFonts w:hint="eastAsia" w:ascii="宋体" w:hAnsi="宋体" w:eastAsia="宋体" w:cs="宋体"/>
          <w:color w:val="auto"/>
          <w:spacing w:val="8"/>
          <w:sz w:val="24"/>
          <w:szCs w:val="24"/>
          <w:highlight w:val="none"/>
          <w:lang w:eastAsia="zh-CN"/>
        </w:rPr>
        <w:t>本招标项目工作内容，按照表格格式详细填写，</w:t>
      </w:r>
      <w:r>
        <w:rPr>
          <w:rFonts w:hint="eastAsia" w:ascii="宋体" w:hAnsi="宋体" w:eastAsia="宋体" w:cs="宋体"/>
          <w:color w:val="auto"/>
          <w:spacing w:val="9"/>
          <w:sz w:val="24"/>
          <w:szCs w:val="24"/>
          <w:highlight w:val="none"/>
          <w:lang w:eastAsia="zh-CN"/>
        </w:rPr>
        <w:t>以免遗漏或有误。投标人没有报价的项目，发包人将认为有关费用已包含在其它项目之中，不另行</w:t>
      </w:r>
      <w:r>
        <w:rPr>
          <w:rFonts w:hint="eastAsia" w:ascii="宋体" w:hAnsi="宋体" w:eastAsia="宋体" w:cs="宋体"/>
          <w:color w:val="auto"/>
          <w:spacing w:val="10"/>
          <w:sz w:val="24"/>
          <w:szCs w:val="24"/>
          <w:highlight w:val="none"/>
          <w:lang w:eastAsia="zh-CN"/>
        </w:rPr>
        <w:t>支付。凡清单项目中未包含的但在勘察设计</w:t>
      </w:r>
      <w:r>
        <w:rPr>
          <w:rFonts w:hint="eastAsia" w:ascii="宋体" w:hAnsi="宋体" w:eastAsia="宋体" w:cs="宋体"/>
          <w:color w:val="auto"/>
          <w:spacing w:val="9"/>
          <w:sz w:val="24"/>
          <w:szCs w:val="24"/>
          <w:highlight w:val="none"/>
          <w:lang w:eastAsia="zh-CN"/>
        </w:rPr>
        <w:t>中又必须完成的工作内容，均被认为已包含在清单各项</w:t>
      </w:r>
      <w:r>
        <w:rPr>
          <w:rFonts w:hint="eastAsia" w:ascii="宋体" w:hAnsi="宋体" w:eastAsia="宋体" w:cs="宋体"/>
          <w:color w:val="auto"/>
          <w:spacing w:val="8"/>
          <w:sz w:val="24"/>
          <w:szCs w:val="24"/>
          <w:highlight w:val="none"/>
          <w:lang w:eastAsia="zh-CN"/>
        </w:rPr>
        <w:t>目报价中，发包人不另行支付。</w:t>
      </w:r>
    </w:p>
    <w:p w14:paraId="6A83B448">
      <w:pPr>
        <w:spacing w:line="360" w:lineRule="auto"/>
        <w:ind w:firstLine="508"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7"/>
          <w:sz w:val="24"/>
          <w:szCs w:val="24"/>
          <w:highlight w:val="none"/>
          <w:lang w:eastAsia="zh-CN"/>
        </w:rPr>
        <w:t>4、投标人在“报价文件”中报价应以人民币为单位。</w:t>
      </w:r>
    </w:p>
    <w:p w14:paraId="7FB06B23">
      <w:pPr>
        <w:spacing w:line="360" w:lineRule="auto"/>
        <w:ind w:firstLine="512" w:firstLineChars="200"/>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8"/>
          <w:sz w:val="24"/>
          <w:szCs w:val="24"/>
          <w:highlight w:val="none"/>
          <w:lang w:eastAsia="zh-CN"/>
        </w:rPr>
        <w:t>5、“报价文件”应单独密封在第二个信封中，并注明“投标文件“报价文件”。</w:t>
      </w:r>
    </w:p>
    <w:p w14:paraId="1E33972A">
      <w:pPr>
        <w:spacing w:line="360" w:lineRule="auto"/>
        <w:ind w:firstLine="520" w:firstLineChars="200"/>
        <w:jc w:val="both"/>
        <w:rPr>
          <w:color w:val="auto"/>
          <w:sz w:val="24"/>
          <w:szCs w:val="24"/>
          <w:highlight w:val="none"/>
          <w:lang w:eastAsia="zh-CN"/>
        </w:rPr>
      </w:pPr>
      <w:r>
        <w:rPr>
          <w:rFonts w:hint="eastAsia" w:ascii="宋体" w:hAnsi="宋体" w:eastAsia="宋体" w:cs="宋体"/>
          <w:color w:val="auto"/>
          <w:spacing w:val="10"/>
          <w:sz w:val="24"/>
          <w:szCs w:val="24"/>
          <w:highlight w:val="none"/>
          <w:lang w:eastAsia="zh-CN"/>
        </w:rPr>
        <w:t>6、对于发包人向政府部门申报的前期专</w:t>
      </w:r>
      <w:r>
        <w:rPr>
          <w:rFonts w:hint="eastAsia" w:ascii="宋体" w:hAnsi="宋体" w:eastAsia="宋体" w:cs="宋体"/>
          <w:color w:val="auto"/>
          <w:spacing w:val="9"/>
          <w:sz w:val="24"/>
          <w:szCs w:val="24"/>
          <w:highlight w:val="none"/>
          <w:lang w:eastAsia="zh-CN"/>
        </w:rPr>
        <w:t>项工作，设计人应积极配合发包人和前期专项编制单</w:t>
      </w:r>
      <w:r>
        <w:rPr>
          <w:rFonts w:hint="eastAsia" w:ascii="宋体" w:hAnsi="宋体" w:eastAsia="宋体" w:cs="宋体"/>
          <w:color w:val="auto"/>
          <w:spacing w:val="6"/>
          <w:sz w:val="24"/>
          <w:szCs w:val="24"/>
          <w:highlight w:val="none"/>
          <w:lang w:eastAsia="zh-CN"/>
        </w:rPr>
        <w:t>位，同时，设计人应充分考虑到政府部门审批可能导致的时间延误，合理调配好各阶段的设计工作，</w:t>
      </w:r>
      <w:r>
        <w:rPr>
          <w:rFonts w:hint="eastAsia" w:ascii="宋体" w:hAnsi="宋体" w:eastAsia="宋体" w:cs="宋体"/>
          <w:color w:val="auto"/>
          <w:spacing w:val="9"/>
          <w:sz w:val="24"/>
          <w:szCs w:val="24"/>
          <w:highlight w:val="none"/>
          <w:lang w:eastAsia="zh-CN"/>
        </w:rPr>
        <w:t>努力降低所产生的影响，由此可能产生的费用已包含在投标报价中，发包人不另行支付。</w:t>
      </w:r>
    </w:p>
    <w:p w14:paraId="7F1111A4">
      <w:pPr>
        <w:rPr>
          <w:rFonts w:hint="eastAsia"/>
          <w:b/>
          <w:color w:val="auto"/>
          <w:spacing w:val="-3"/>
          <w:sz w:val="28"/>
          <w:szCs w:val="28"/>
          <w:highlight w:val="none"/>
          <w:lang w:eastAsia="zh-CN"/>
        </w:rPr>
      </w:pPr>
      <w:r>
        <w:rPr>
          <w:rFonts w:hint="eastAsia"/>
          <w:b/>
          <w:color w:val="auto"/>
          <w:spacing w:val="-3"/>
          <w:sz w:val="28"/>
          <w:szCs w:val="28"/>
          <w:highlight w:val="none"/>
          <w:lang w:eastAsia="zh-CN"/>
        </w:rPr>
        <w:br w:type="page"/>
      </w:r>
    </w:p>
    <w:p w14:paraId="5E785F61">
      <w:pPr>
        <w:jc w:val="center"/>
        <w:outlineLvl w:val="9"/>
        <w:rPr>
          <w:b/>
          <w:color w:val="auto"/>
          <w:spacing w:val="-3"/>
          <w:sz w:val="28"/>
          <w:szCs w:val="28"/>
          <w:highlight w:val="none"/>
          <w:lang w:eastAsia="zh-CN"/>
        </w:rPr>
      </w:pPr>
      <w:r>
        <w:rPr>
          <w:rFonts w:hint="eastAsia"/>
          <w:b/>
          <w:color w:val="auto"/>
          <w:spacing w:val="-3"/>
          <w:sz w:val="28"/>
          <w:szCs w:val="28"/>
          <w:highlight w:val="none"/>
          <w:lang w:eastAsia="zh-CN"/>
        </w:rPr>
        <w:t>（二）公路工程勘察工作报价清单表</w:t>
      </w:r>
    </w:p>
    <w:p w14:paraId="2E0952FE">
      <w:pPr>
        <w:rPr>
          <w:color w:val="auto"/>
          <w:sz w:val="24"/>
          <w:szCs w:val="24"/>
          <w:highlight w:val="none"/>
        </w:rPr>
      </w:pPr>
      <w:r>
        <w:rPr>
          <w:rFonts w:hint="eastAsia"/>
          <w:color w:val="auto"/>
          <w:highlight w:val="none"/>
          <w:lang w:eastAsia="zh-CN"/>
        </w:rPr>
        <w:t xml:space="preserve">  </w:t>
      </w:r>
      <w:r>
        <w:rPr>
          <w:color w:val="auto"/>
          <w:highlight w:val="none"/>
          <w:lang w:eastAsia="zh-CN"/>
        </w:rPr>
        <w:t xml:space="preserve">    </w:t>
      </w:r>
      <w:r>
        <w:rPr>
          <w:rFonts w:hint="eastAsia"/>
          <w:color w:val="auto"/>
          <w:highlight w:val="none"/>
          <w:lang w:eastAsia="zh-CN"/>
        </w:rPr>
        <w:t xml:space="preserve">                                           </w:t>
      </w:r>
      <w:r>
        <w:rPr>
          <w:rFonts w:hint="eastAsia"/>
          <w:color w:val="auto"/>
          <w:highlight w:val="none"/>
        </w:rPr>
        <w:t>单位：元（人民币）</w:t>
      </w:r>
    </w:p>
    <w:tbl>
      <w:tblPr>
        <w:tblStyle w:val="15"/>
        <w:tblW w:w="0" w:type="auto"/>
        <w:jc w:val="center"/>
        <w:tblLayout w:type="fixed"/>
        <w:tblCellMar>
          <w:top w:w="0" w:type="dxa"/>
          <w:left w:w="0" w:type="dxa"/>
          <w:bottom w:w="0" w:type="dxa"/>
          <w:right w:w="0" w:type="dxa"/>
        </w:tblCellMar>
      </w:tblPr>
      <w:tblGrid>
        <w:gridCol w:w="1111"/>
        <w:gridCol w:w="2125"/>
        <w:gridCol w:w="923"/>
        <w:gridCol w:w="1389"/>
        <w:gridCol w:w="1388"/>
        <w:gridCol w:w="1386"/>
      </w:tblGrid>
      <w:tr w14:paraId="07B4165B">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00564ED">
            <w:pPr>
              <w:jc w:val="center"/>
              <w:rPr>
                <w:rFonts w:ascii="Times New Roman" w:hAnsi="Times New Roman"/>
                <w:b/>
                <w:color w:val="auto"/>
                <w:kern w:val="2"/>
                <w:highlight w:val="none"/>
              </w:rPr>
            </w:pPr>
            <w:r>
              <w:rPr>
                <w:b/>
                <w:color w:val="auto"/>
                <w:kern w:val="2"/>
                <w:highlight w:val="none"/>
              </w:rPr>
              <w:t>序号</w:t>
            </w:r>
          </w:p>
        </w:tc>
        <w:tc>
          <w:tcPr>
            <w:tcW w:w="2125" w:type="dxa"/>
            <w:tcBorders>
              <w:top w:val="single" w:color="000000" w:sz="4" w:space="0"/>
              <w:left w:val="nil"/>
              <w:bottom w:val="single" w:color="000000" w:sz="4" w:space="0"/>
              <w:right w:val="single" w:color="000000" w:sz="4" w:space="0"/>
            </w:tcBorders>
            <w:vAlign w:val="center"/>
          </w:tcPr>
          <w:p w14:paraId="79CF13BF">
            <w:pPr>
              <w:jc w:val="center"/>
              <w:rPr>
                <w:b/>
                <w:color w:val="auto"/>
                <w:kern w:val="2"/>
                <w:highlight w:val="none"/>
              </w:rPr>
            </w:pPr>
            <w:r>
              <w:rPr>
                <w:b/>
                <w:color w:val="auto"/>
                <w:kern w:val="2"/>
                <w:highlight w:val="none"/>
              </w:rPr>
              <w:t>项目名称</w:t>
            </w:r>
          </w:p>
        </w:tc>
        <w:tc>
          <w:tcPr>
            <w:tcW w:w="923" w:type="dxa"/>
            <w:tcBorders>
              <w:top w:val="single" w:color="000000" w:sz="4" w:space="0"/>
              <w:left w:val="nil"/>
              <w:bottom w:val="single" w:color="000000" w:sz="4" w:space="0"/>
              <w:right w:val="single" w:color="000000" w:sz="4" w:space="0"/>
            </w:tcBorders>
            <w:vAlign w:val="center"/>
          </w:tcPr>
          <w:p w14:paraId="04775F8C">
            <w:pPr>
              <w:jc w:val="center"/>
              <w:rPr>
                <w:b/>
                <w:color w:val="auto"/>
                <w:kern w:val="2"/>
                <w:highlight w:val="none"/>
              </w:rPr>
            </w:pPr>
            <w:r>
              <w:rPr>
                <w:b/>
                <w:color w:val="auto"/>
                <w:kern w:val="2"/>
                <w:highlight w:val="none"/>
              </w:rPr>
              <w:t>计量单位</w:t>
            </w:r>
          </w:p>
        </w:tc>
        <w:tc>
          <w:tcPr>
            <w:tcW w:w="1389" w:type="dxa"/>
            <w:tcBorders>
              <w:top w:val="single" w:color="000000" w:sz="4" w:space="0"/>
              <w:left w:val="nil"/>
              <w:bottom w:val="single" w:color="000000" w:sz="4" w:space="0"/>
              <w:right w:val="single" w:color="000000" w:sz="4" w:space="0"/>
            </w:tcBorders>
            <w:vAlign w:val="center"/>
          </w:tcPr>
          <w:p w14:paraId="3C077F02">
            <w:pPr>
              <w:jc w:val="center"/>
              <w:rPr>
                <w:b/>
                <w:color w:val="auto"/>
                <w:kern w:val="2"/>
                <w:highlight w:val="none"/>
              </w:rPr>
            </w:pPr>
            <w:r>
              <w:rPr>
                <w:b/>
                <w:color w:val="auto"/>
                <w:kern w:val="2"/>
                <w:highlight w:val="none"/>
              </w:rPr>
              <w:t>实物工作量</w:t>
            </w:r>
          </w:p>
        </w:tc>
        <w:tc>
          <w:tcPr>
            <w:tcW w:w="1388" w:type="dxa"/>
            <w:tcBorders>
              <w:top w:val="single" w:color="000000" w:sz="4" w:space="0"/>
              <w:left w:val="nil"/>
              <w:bottom w:val="single" w:color="000000" w:sz="4" w:space="0"/>
              <w:right w:val="single" w:color="000000" w:sz="4" w:space="0"/>
            </w:tcBorders>
            <w:vAlign w:val="center"/>
          </w:tcPr>
          <w:p w14:paraId="12FD8F18">
            <w:pPr>
              <w:jc w:val="center"/>
              <w:rPr>
                <w:b/>
                <w:color w:val="auto"/>
                <w:kern w:val="2"/>
                <w:highlight w:val="none"/>
              </w:rPr>
            </w:pPr>
            <w:r>
              <w:rPr>
                <w:b/>
                <w:color w:val="auto"/>
                <w:kern w:val="2"/>
                <w:highlight w:val="none"/>
              </w:rPr>
              <w:t>单价金额</w:t>
            </w:r>
          </w:p>
        </w:tc>
        <w:tc>
          <w:tcPr>
            <w:tcW w:w="1386" w:type="dxa"/>
            <w:tcBorders>
              <w:top w:val="single" w:color="000000" w:sz="4" w:space="0"/>
              <w:left w:val="nil"/>
              <w:bottom w:val="single" w:color="000000" w:sz="4" w:space="0"/>
              <w:right w:val="single" w:color="000000" w:sz="4" w:space="0"/>
            </w:tcBorders>
            <w:vAlign w:val="center"/>
          </w:tcPr>
          <w:p w14:paraId="5C861747">
            <w:pPr>
              <w:jc w:val="center"/>
              <w:rPr>
                <w:b/>
                <w:color w:val="auto"/>
                <w:kern w:val="2"/>
                <w:highlight w:val="none"/>
              </w:rPr>
            </w:pPr>
            <w:r>
              <w:rPr>
                <w:b/>
                <w:color w:val="auto"/>
                <w:kern w:val="2"/>
                <w:highlight w:val="none"/>
              </w:rPr>
              <w:t>合价金额</w:t>
            </w:r>
          </w:p>
        </w:tc>
      </w:tr>
      <w:tr w14:paraId="452B34A8">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245B0D8F">
            <w:pPr>
              <w:rPr>
                <w:b/>
                <w:color w:val="auto"/>
                <w:kern w:val="2"/>
                <w:highlight w:val="none"/>
              </w:rPr>
            </w:pPr>
            <w:r>
              <w:rPr>
                <w:b/>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36F25C51">
            <w:pPr>
              <w:jc w:val="center"/>
              <w:rPr>
                <w:b/>
                <w:color w:val="auto"/>
                <w:kern w:val="2"/>
                <w:highlight w:val="none"/>
              </w:rPr>
            </w:pPr>
            <w:r>
              <w:rPr>
                <w:b/>
                <w:color w:val="auto"/>
                <w:kern w:val="2"/>
                <w:highlight w:val="none"/>
              </w:rPr>
              <w:t>控制测量</w:t>
            </w:r>
          </w:p>
        </w:tc>
        <w:tc>
          <w:tcPr>
            <w:tcW w:w="923" w:type="dxa"/>
            <w:tcBorders>
              <w:top w:val="single" w:color="000000" w:sz="4" w:space="0"/>
              <w:left w:val="nil"/>
              <w:bottom w:val="single" w:color="000000" w:sz="4" w:space="0"/>
              <w:right w:val="single" w:color="000000" w:sz="4" w:space="0"/>
            </w:tcBorders>
            <w:vAlign w:val="center"/>
          </w:tcPr>
          <w:p w14:paraId="0917E58E">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7FB48FE0">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71155BB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F5CEE32">
            <w:pPr>
              <w:jc w:val="center"/>
              <w:rPr>
                <w:color w:val="auto"/>
                <w:kern w:val="2"/>
                <w:highlight w:val="none"/>
              </w:rPr>
            </w:pPr>
          </w:p>
        </w:tc>
      </w:tr>
      <w:tr w14:paraId="43F1409F">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AE61978">
            <w:pPr>
              <w:jc w:val="center"/>
              <w:rPr>
                <w:color w:val="auto"/>
                <w:kern w:val="2"/>
                <w:highlight w:val="none"/>
              </w:rPr>
            </w:pPr>
            <w:r>
              <w:rPr>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19686C49">
            <w:pPr>
              <w:jc w:val="center"/>
              <w:rPr>
                <w:color w:val="auto"/>
                <w:kern w:val="2"/>
                <w:highlight w:val="none"/>
              </w:rPr>
            </w:pPr>
            <w:r>
              <w:rPr>
                <w:color w:val="auto"/>
                <w:kern w:val="2"/>
                <w:highlight w:val="none"/>
              </w:rPr>
              <w:t>一级</w:t>
            </w:r>
          </w:p>
        </w:tc>
        <w:tc>
          <w:tcPr>
            <w:tcW w:w="923" w:type="dxa"/>
            <w:tcBorders>
              <w:top w:val="single" w:color="000000" w:sz="4" w:space="0"/>
              <w:left w:val="nil"/>
              <w:bottom w:val="single" w:color="000000" w:sz="4" w:space="0"/>
              <w:right w:val="single" w:color="000000" w:sz="4" w:space="0"/>
            </w:tcBorders>
            <w:vAlign w:val="center"/>
          </w:tcPr>
          <w:p w14:paraId="17FAA98C">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207D7E87">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8BC6F5E">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0D65DA4C">
            <w:pPr>
              <w:jc w:val="center"/>
              <w:rPr>
                <w:color w:val="auto"/>
                <w:kern w:val="2"/>
                <w:highlight w:val="none"/>
              </w:rPr>
            </w:pPr>
          </w:p>
        </w:tc>
      </w:tr>
      <w:tr w14:paraId="7A1D619F">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A77A7D2">
            <w:pPr>
              <w:jc w:val="center"/>
              <w:rPr>
                <w:color w:val="auto"/>
                <w:kern w:val="2"/>
                <w:highlight w:val="none"/>
              </w:rPr>
            </w:pPr>
            <w:r>
              <w:rPr>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0DFB4817">
            <w:pPr>
              <w:jc w:val="center"/>
              <w:rPr>
                <w:color w:val="auto"/>
                <w:kern w:val="2"/>
                <w:highlight w:val="none"/>
              </w:rPr>
            </w:pPr>
            <w:r>
              <w:rPr>
                <w:color w:val="auto"/>
                <w:kern w:val="2"/>
                <w:highlight w:val="none"/>
              </w:rPr>
              <w:t>二级</w:t>
            </w:r>
          </w:p>
        </w:tc>
        <w:tc>
          <w:tcPr>
            <w:tcW w:w="923" w:type="dxa"/>
            <w:tcBorders>
              <w:top w:val="single" w:color="000000" w:sz="4" w:space="0"/>
              <w:left w:val="nil"/>
              <w:bottom w:val="single" w:color="000000" w:sz="4" w:space="0"/>
              <w:right w:val="single" w:color="000000" w:sz="4" w:space="0"/>
            </w:tcBorders>
            <w:vAlign w:val="center"/>
          </w:tcPr>
          <w:p w14:paraId="03BC2624">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618B90AD">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C7F2DC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3257CFF7">
            <w:pPr>
              <w:jc w:val="center"/>
              <w:rPr>
                <w:color w:val="auto"/>
                <w:kern w:val="2"/>
                <w:highlight w:val="none"/>
              </w:rPr>
            </w:pPr>
          </w:p>
        </w:tc>
      </w:tr>
      <w:tr w14:paraId="5BB0C2FC">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1CB69416">
            <w:pPr>
              <w:jc w:val="center"/>
              <w:rPr>
                <w:color w:val="auto"/>
                <w:kern w:val="2"/>
                <w:highlight w:val="none"/>
              </w:rPr>
            </w:pPr>
            <w:r>
              <w:rPr>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737FC2D3">
            <w:pPr>
              <w:jc w:val="center"/>
              <w:rPr>
                <w:color w:val="auto"/>
                <w:kern w:val="2"/>
                <w:highlight w:val="none"/>
              </w:rPr>
            </w:pPr>
            <w:r>
              <w:rPr>
                <w:color w:val="auto"/>
                <w:kern w:val="2"/>
                <w:highlight w:val="none"/>
              </w:rPr>
              <w:t>二等</w:t>
            </w:r>
          </w:p>
        </w:tc>
        <w:tc>
          <w:tcPr>
            <w:tcW w:w="923" w:type="dxa"/>
            <w:tcBorders>
              <w:top w:val="single" w:color="000000" w:sz="4" w:space="0"/>
              <w:left w:val="nil"/>
              <w:bottom w:val="single" w:color="000000" w:sz="4" w:space="0"/>
              <w:right w:val="single" w:color="000000" w:sz="4" w:space="0"/>
            </w:tcBorders>
            <w:vAlign w:val="center"/>
          </w:tcPr>
          <w:p w14:paraId="1E315CC8">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2E40DA5D">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2027F5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6670AD1E">
            <w:pPr>
              <w:jc w:val="center"/>
              <w:rPr>
                <w:color w:val="auto"/>
                <w:kern w:val="2"/>
                <w:highlight w:val="none"/>
              </w:rPr>
            </w:pPr>
          </w:p>
        </w:tc>
      </w:tr>
      <w:tr w14:paraId="6F9DCF57">
        <w:tblPrEx>
          <w:tblCellMar>
            <w:top w:w="0" w:type="dxa"/>
            <w:left w:w="0" w:type="dxa"/>
            <w:bottom w:w="0" w:type="dxa"/>
            <w:right w:w="0" w:type="dxa"/>
          </w:tblCellMar>
        </w:tblPrEx>
        <w:trPr>
          <w:trHeight w:val="452"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34899E2">
            <w:pPr>
              <w:jc w:val="center"/>
              <w:rPr>
                <w:color w:val="auto"/>
                <w:kern w:val="2"/>
                <w:highlight w:val="none"/>
              </w:rPr>
            </w:pPr>
            <w:r>
              <w:rPr>
                <w:color w:val="auto"/>
                <w:kern w:val="2"/>
                <w:highlight w:val="none"/>
              </w:rPr>
              <w:t>-4</w:t>
            </w:r>
          </w:p>
        </w:tc>
        <w:tc>
          <w:tcPr>
            <w:tcW w:w="2125" w:type="dxa"/>
            <w:tcBorders>
              <w:top w:val="single" w:color="000000" w:sz="4" w:space="0"/>
              <w:left w:val="nil"/>
              <w:bottom w:val="single" w:color="000000" w:sz="4" w:space="0"/>
              <w:right w:val="single" w:color="000000" w:sz="4" w:space="0"/>
            </w:tcBorders>
            <w:vAlign w:val="center"/>
          </w:tcPr>
          <w:p w14:paraId="4E110745">
            <w:pPr>
              <w:jc w:val="center"/>
              <w:rPr>
                <w:color w:val="auto"/>
                <w:kern w:val="2"/>
                <w:highlight w:val="none"/>
              </w:rPr>
            </w:pPr>
            <w:r>
              <w:rPr>
                <w:color w:val="auto"/>
                <w:kern w:val="2"/>
                <w:highlight w:val="none"/>
              </w:rPr>
              <w:t>三等</w:t>
            </w:r>
          </w:p>
        </w:tc>
        <w:tc>
          <w:tcPr>
            <w:tcW w:w="923" w:type="dxa"/>
            <w:tcBorders>
              <w:top w:val="single" w:color="000000" w:sz="4" w:space="0"/>
              <w:left w:val="nil"/>
              <w:bottom w:val="single" w:color="000000" w:sz="4" w:space="0"/>
              <w:right w:val="single" w:color="000000" w:sz="4" w:space="0"/>
            </w:tcBorders>
            <w:vAlign w:val="center"/>
          </w:tcPr>
          <w:p w14:paraId="06562B8D">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3C0D9A7B">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8E7F45E">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802B11B">
            <w:pPr>
              <w:jc w:val="center"/>
              <w:rPr>
                <w:color w:val="auto"/>
                <w:kern w:val="2"/>
                <w:highlight w:val="none"/>
              </w:rPr>
            </w:pPr>
          </w:p>
        </w:tc>
      </w:tr>
      <w:tr w14:paraId="3C2E51C2">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2856AB15">
            <w:pPr>
              <w:jc w:val="center"/>
              <w:rPr>
                <w:color w:val="auto"/>
                <w:kern w:val="2"/>
                <w:highlight w:val="none"/>
              </w:rPr>
            </w:pPr>
            <w:r>
              <w:rPr>
                <w:color w:val="auto"/>
                <w:kern w:val="2"/>
                <w:highlight w:val="none"/>
              </w:rPr>
              <w:t>-5</w:t>
            </w:r>
          </w:p>
        </w:tc>
        <w:tc>
          <w:tcPr>
            <w:tcW w:w="2125" w:type="dxa"/>
            <w:tcBorders>
              <w:top w:val="single" w:color="000000" w:sz="4" w:space="0"/>
              <w:left w:val="nil"/>
              <w:bottom w:val="single" w:color="000000" w:sz="4" w:space="0"/>
              <w:right w:val="single" w:color="000000" w:sz="4" w:space="0"/>
            </w:tcBorders>
            <w:vAlign w:val="center"/>
          </w:tcPr>
          <w:p w14:paraId="4B5A9312">
            <w:pPr>
              <w:jc w:val="center"/>
              <w:rPr>
                <w:color w:val="auto"/>
                <w:kern w:val="2"/>
                <w:highlight w:val="none"/>
              </w:rPr>
            </w:pPr>
            <w:r>
              <w:rPr>
                <w:color w:val="auto"/>
                <w:kern w:val="2"/>
                <w:highlight w:val="none"/>
              </w:rPr>
              <w:t>四等</w:t>
            </w:r>
          </w:p>
        </w:tc>
        <w:tc>
          <w:tcPr>
            <w:tcW w:w="923" w:type="dxa"/>
            <w:tcBorders>
              <w:top w:val="single" w:color="000000" w:sz="4" w:space="0"/>
              <w:left w:val="nil"/>
              <w:bottom w:val="single" w:color="000000" w:sz="4" w:space="0"/>
              <w:right w:val="single" w:color="000000" w:sz="4" w:space="0"/>
            </w:tcBorders>
            <w:vAlign w:val="center"/>
          </w:tcPr>
          <w:p w14:paraId="15118848">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691B02EA">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A4E2A68">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0287DE75">
            <w:pPr>
              <w:jc w:val="center"/>
              <w:rPr>
                <w:color w:val="auto"/>
                <w:kern w:val="2"/>
                <w:highlight w:val="none"/>
              </w:rPr>
            </w:pPr>
          </w:p>
        </w:tc>
      </w:tr>
      <w:tr w14:paraId="39C316FD">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DB3912B">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6845D461">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3825326F">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0C83A0B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BC6CFE5">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DE8CA00">
            <w:pPr>
              <w:jc w:val="center"/>
              <w:rPr>
                <w:color w:val="auto"/>
                <w:kern w:val="2"/>
                <w:highlight w:val="none"/>
              </w:rPr>
            </w:pPr>
          </w:p>
        </w:tc>
      </w:tr>
      <w:tr w14:paraId="4DC7A9E0">
        <w:tblPrEx>
          <w:tblCellMar>
            <w:top w:w="0" w:type="dxa"/>
            <w:left w:w="0" w:type="dxa"/>
            <w:bottom w:w="0" w:type="dxa"/>
            <w:right w:w="0" w:type="dxa"/>
          </w:tblCellMar>
        </w:tblPrEx>
        <w:trPr>
          <w:trHeight w:val="636"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627FBA2">
            <w:pPr>
              <w:rPr>
                <w:color w:val="auto"/>
                <w:kern w:val="2"/>
                <w:highlight w:val="none"/>
              </w:rPr>
            </w:pPr>
            <w:r>
              <w:rPr>
                <w:b/>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17C8699B">
            <w:pPr>
              <w:jc w:val="center"/>
              <w:rPr>
                <w:b/>
                <w:color w:val="auto"/>
                <w:kern w:val="2"/>
                <w:highlight w:val="none"/>
              </w:rPr>
            </w:pPr>
            <w:r>
              <w:rPr>
                <w:b/>
                <w:color w:val="auto"/>
                <w:kern w:val="2"/>
                <w:highlight w:val="none"/>
              </w:rPr>
              <w:t>地形图测绘（陆地）</w:t>
            </w:r>
          </w:p>
        </w:tc>
        <w:tc>
          <w:tcPr>
            <w:tcW w:w="923" w:type="dxa"/>
            <w:tcBorders>
              <w:top w:val="single" w:color="000000" w:sz="4" w:space="0"/>
              <w:left w:val="nil"/>
              <w:bottom w:val="single" w:color="000000" w:sz="4" w:space="0"/>
              <w:right w:val="single" w:color="000000" w:sz="4" w:space="0"/>
            </w:tcBorders>
            <w:vAlign w:val="center"/>
          </w:tcPr>
          <w:p w14:paraId="12116AAC">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7AA6E54E">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54FECE4A">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B0E5F22">
            <w:pPr>
              <w:jc w:val="center"/>
              <w:rPr>
                <w:color w:val="auto"/>
                <w:kern w:val="2"/>
                <w:highlight w:val="none"/>
              </w:rPr>
            </w:pPr>
          </w:p>
        </w:tc>
      </w:tr>
      <w:tr w14:paraId="34A21B89">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91B4306">
            <w:pPr>
              <w:jc w:val="center"/>
              <w:rPr>
                <w:color w:val="auto"/>
                <w:kern w:val="2"/>
                <w:highlight w:val="none"/>
              </w:rPr>
            </w:pPr>
            <w:r>
              <w:rPr>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7C9461B5">
            <w:pPr>
              <w:jc w:val="center"/>
              <w:rPr>
                <w:color w:val="auto"/>
                <w:kern w:val="2"/>
                <w:highlight w:val="none"/>
              </w:rPr>
            </w:pPr>
            <w:r>
              <w:rPr>
                <w:color w:val="auto"/>
                <w:kern w:val="2"/>
                <w:highlight w:val="none"/>
              </w:rPr>
              <w:t>1：500</w:t>
            </w:r>
          </w:p>
        </w:tc>
        <w:tc>
          <w:tcPr>
            <w:tcW w:w="923" w:type="dxa"/>
            <w:tcBorders>
              <w:top w:val="single" w:color="000000" w:sz="4" w:space="0"/>
              <w:left w:val="nil"/>
              <w:bottom w:val="single" w:color="000000" w:sz="4" w:space="0"/>
              <w:right w:val="single" w:color="000000" w:sz="4" w:space="0"/>
            </w:tcBorders>
            <w:vAlign w:val="center"/>
          </w:tcPr>
          <w:p w14:paraId="3F878A71">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239C32B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F84C2F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1D8BBE58">
            <w:pPr>
              <w:jc w:val="center"/>
              <w:rPr>
                <w:color w:val="auto"/>
                <w:kern w:val="2"/>
                <w:highlight w:val="none"/>
              </w:rPr>
            </w:pPr>
          </w:p>
        </w:tc>
      </w:tr>
      <w:tr w14:paraId="43F7C64D">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EC7FAD2">
            <w:pPr>
              <w:jc w:val="center"/>
              <w:rPr>
                <w:color w:val="auto"/>
                <w:kern w:val="2"/>
                <w:highlight w:val="none"/>
              </w:rPr>
            </w:pPr>
            <w:r>
              <w:rPr>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5DE0E478">
            <w:pPr>
              <w:jc w:val="center"/>
              <w:rPr>
                <w:color w:val="auto"/>
                <w:kern w:val="2"/>
                <w:highlight w:val="none"/>
              </w:rPr>
            </w:pPr>
            <w:r>
              <w:rPr>
                <w:color w:val="auto"/>
                <w:kern w:val="2"/>
                <w:highlight w:val="none"/>
              </w:rPr>
              <w:t>1：1000</w:t>
            </w:r>
          </w:p>
        </w:tc>
        <w:tc>
          <w:tcPr>
            <w:tcW w:w="923" w:type="dxa"/>
            <w:tcBorders>
              <w:top w:val="single" w:color="000000" w:sz="4" w:space="0"/>
              <w:left w:val="nil"/>
              <w:bottom w:val="single" w:color="000000" w:sz="4" w:space="0"/>
              <w:right w:val="single" w:color="000000" w:sz="4" w:space="0"/>
            </w:tcBorders>
            <w:vAlign w:val="center"/>
          </w:tcPr>
          <w:p w14:paraId="7705B84D">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1D3D692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E757584">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42F9AE2">
            <w:pPr>
              <w:jc w:val="center"/>
              <w:rPr>
                <w:color w:val="auto"/>
                <w:kern w:val="2"/>
                <w:highlight w:val="none"/>
              </w:rPr>
            </w:pPr>
          </w:p>
        </w:tc>
      </w:tr>
      <w:tr w14:paraId="5F7FA6D6">
        <w:tblPrEx>
          <w:tblCellMar>
            <w:top w:w="0" w:type="dxa"/>
            <w:left w:w="0" w:type="dxa"/>
            <w:bottom w:w="0" w:type="dxa"/>
            <w:right w:w="0" w:type="dxa"/>
          </w:tblCellMar>
        </w:tblPrEx>
        <w:trPr>
          <w:trHeight w:val="452"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8E6C9CD">
            <w:pPr>
              <w:jc w:val="center"/>
              <w:rPr>
                <w:color w:val="auto"/>
                <w:kern w:val="2"/>
                <w:highlight w:val="none"/>
              </w:rPr>
            </w:pPr>
            <w:r>
              <w:rPr>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5ED9A880">
            <w:pPr>
              <w:jc w:val="center"/>
              <w:rPr>
                <w:color w:val="auto"/>
                <w:kern w:val="2"/>
                <w:highlight w:val="none"/>
              </w:rPr>
            </w:pPr>
            <w:r>
              <w:rPr>
                <w:color w:val="auto"/>
                <w:kern w:val="2"/>
                <w:highlight w:val="none"/>
              </w:rPr>
              <w:t>1：2000</w:t>
            </w:r>
          </w:p>
        </w:tc>
        <w:tc>
          <w:tcPr>
            <w:tcW w:w="923" w:type="dxa"/>
            <w:tcBorders>
              <w:top w:val="single" w:color="000000" w:sz="4" w:space="0"/>
              <w:left w:val="nil"/>
              <w:bottom w:val="single" w:color="000000" w:sz="4" w:space="0"/>
              <w:right w:val="single" w:color="000000" w:sz="4" w:space="0"/>
            </w:tcBorders>
            <w:vAlign w:val="center"/>
          </w:tcPr>
          <w:p w14:paraId="349C822F">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233E915C">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CE298DE">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003FF367">
            <w:pPr>
              <w:jc w:val="center"/>
              <w:rPr>
                <w:color w:val="auto"/>
                <w:kern w:val="2"/>
                <w:highlight w:val="none"/>
              </w:rPr>
            </w:pPr>
          </w:p>
        </w:tc>
      </w:tr>
      <w:tr w14:paraId="6DD8825E">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2C5CD15">
            <w:pPr>
              <w:jc w:val="center"/>
              <w:rPr>
                <w:color w:val="auto"/>
                <w:kern w:val="2"/>
                <w:highlight w:val="none"/>
              </w:rPr>
            </w:pPr>
            <w:r>
              <w:rPr>
                <w:color w:val="auto"/>
                <w:kern w:val="2"/>
                <w:highlight w:val="none"/>
              </w:rPr>
              <w:t>-4</w:t>
            </w:r>
          </w:p>
        </w:tc>
        <w:tc>
          <w:tcPr>
            <w:tcW w:w="2125" w:type="dxa"/>
            <w:tcBorders>
              <w:top w:val="single" w:color="000000" w:sz="4" w:space="0"/>
              <w:left w:val="nil"/>
              <w:bottom w:val="single" w:color="000000" w:sz="4" w:space="0"/>
              <w:right w:val="single" w:color="000000" w:sz="4" w:space="0"/>
            </w:tcBorders>
            <w:vAlign w:val="center"/>
          </w:tcPr>
          <w:p w14:paraId="5C67E4A0">
            <w:pPr>
              <w:jc w:val="center"/>
              <w:rPr>
                <w:color w:val="auto"/>
                <w:kern w:val="2"/>
                <w:highlight w:val="none"/>
              </w:rPr>
            </w:pPr>
            <w:r>
              <w:rPr>
                <w:color w:val="auto"/>
                <w:kern w:val="2"/>
                <w:highlight w:val="none"/>
              </w:rPr>
              <w:t>1：5000</w:t>
            </w:r>
          </w:p>
        </w:tc>
        <w:tc>
          <w:tcPr>
            <w:tcW w:w="923" w:type="dxa"/>
            <w:tcBorders>
              <w:top w:val="single" w:color="000000" w:sz="4" w:space="0"/>
              <w:left w:val="nil"/>
              <w:bottom w:val="single" w:color="000000" w:sz="4" w:space="0"/>
              <w:right w:val="single" w:color="000000" w:sz="4" w:space="0"/>
            </w:tcBorders>
            <w:vAlign w:val="center"/>
          </w:tcPr>
          <w:p w14:paraId="21DC7001">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51DB8D40">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0290F8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40028DD">
            <w:pPr>
              <w:jc w:val="center"/>
              <w:rPr>
                <w:color w:val="auto"/>
                <w:kern w:val="2"/>
                <w:highlight w:val="none"/>
              </w:rPr>
            </w:pPr>
          </w:p>
        </w:tc>
      </w:tr>
      <w:tr w14:paraId="09AD0FF5">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33AAD56">
            <w:pPr>
              <w:jc w:val="center"/>
              <w:rPr>
                <w:color w:val="auto"/>
                <w:kern w:val="2"/>
                <w:highlight w:val="none"/>
              </w:rPr>
            </w:pPr>
            <w:r>
              <w:rPr>
                <w:color w:val="auto"/>
                <w:kern w:val="2"/>
                <w:highlight w:val="none"/>
              </w:rPr>
              <w:t>-5</w:t>
            </w:r>
          </w:p>
        </w:tc>
        <w:tc>
          <w:tcPr>
            <w:tcW w:w="2125" w:type="dxa"/>
            <w:tcBorders>
              <w:top w:val="single" w:color="000000" w:sz="4" w:space="0"/>
              <w:left w:val="nil"/>
              <w:bottom w:val="single" w:color="000000" w:sz="4" w:space="0"/>
              <w:right w:val="single" w:color="000000" w:sz="4" w:space="0"/>
            </w:tcBorders>
            <w:vAlign w:val="center"/>
          </w:tcPr>
          <w:p w14:paraId="73842731">
            <w:pPr>
              <w:jc w:val="center"/>
              <w:rPr>
                <w:color w:val="auto"/>
                <w:kern w:val="2"/>
                <w:highlight w:val="none"/>
              </w:rPr>
            </w:pPr>
            <w:r>
              <w:rPr>
                <w:color w:val="auto"/>
                <w:kern w:val="2"/>
                <w:highlight w:val="none"/>
              </w:rPr>
              <w:t>1：10000</w:t>
            </w:r>
          </w:p>
        </w:tc>
        <w:tc>
          <w:tcPr>
            <w:tcW w:w="923" w:type="dxa"/>
            <w:tcBorders>
              <w:top w:val="single" w:color="000000" w:sz="4" w:space="0"/>
              <w:left w:val="nil"/>
              <w:bottom w:val="single" w:color="000000" w:sz="4" w:space="0"/>
              <w:right w:val="single" w:color="000000" w:sz="4" w:space="0"/>
            </w:tcBorders>
            <w:vAlign w:val="center"/>
          </w:tcPr>
          <w:p w14:paraId="114C6B57">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77A9716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77F1DDE9">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0CBDEC7">
            <w:pPr>
              <w:jc w:val="center"/>
              <w:rPr>
                <w:color w:val="auto"/>
                <w:kern w:val="2"/>
                <w:highlight w:val="none"/>
              </w:rPr>
            </w:pPr>
          </w:p>
        </w:tc>
      </w:tr>
      <w:tr w14:paraId="631C0D34">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40B8302">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2074993D">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051F7A71">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CD938EF">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569E94E6">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06042B76">
            <w:pPr>
              <w:jc w:val="center"/>
              <w:rPr>
                <w:color w:val="auto"/>
                <w:kern w:val="2"/>
                <w:highlight w:val="none"/>
              </w:rPr>
            </w:pPr>
          </w:p>
        </w:tc>
      </w:tr>
      <w:tr w14:paraId="77C94BDC">
        <w:tblPrEx>
          <w:tblCellMar>
            <w:top w:w="0" w:type="dxa"/>
            <w:left w:w="0" w:type="dxa"/>
            <w:bottom w:w="0" w:type="dxa"/>
            <w:right w:w="0" w:type="dxa"/>
          </w:tblCellMar>
        </w:tblPrEx>
        <w:trPr>
          <w:trHeight w:val="626"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08D6E06">
            <w:pPr>
              <w:rPr>
                <w:b/>
                <w:color w:val="auto"/>
                <w:kern w:val="2"/>
                <w:highlight w:val="none"/>
              </w:rPr>
            </w:pPr>
            <w:r>
              <w:rPr>
                <w:b/>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482F2A64">
            <w:pPr>
              <w:jc w:val="center"/>
              <w:rPr>
                <w:b/>
                <w:color w:val="auto"/>
                <w:kern w:val="2"/>
                <w:highlight w:val="none"/>
              </w:rPr>
            </w:pPr>
            <w:r>
              <w:rPr>
                <w:b/>
                <w:color w:val="auto"/>
                <w:kern w:val="2"/>
                <w:highlight w:val="none"/>
              </w:rPr>
              <w:t>水下地形图测绘</w:t>
            </w:r>
          </w:p>
        </w:tc>
        <w:tc>
          <w:tcPr>
            <w:tcW w:w="923" w:type="dxa"/>
            <w:tcBorders>
              <w:top w:val="single" w:color="000000" w:sz="4" w:space="0"/>
              <w:left w:val="nil"/>
              <w:bottom w:val="single" w:color="000000" w:sz="4" w:space="0"/>
              <w:right w:val="single" w:color="000000" w:sz="4" w:space="0"/>
            </w:tcBorders>
            <w:vAlign w:val="center"/>
          </w:tcPr>
          <w:p w14:paraId="3869DCFE">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98DEFE1">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80550A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7F50A00">
            <w:pPr>
              <w:jc w:val="center"/>
              <w:rPr>
                <w:color w:val="auto"/>
                <w:kern w:val="2"/>
                <w:highlight w:val="none"/>
              </w:rPr>
            </w:pPr>
          </w:p>
        </w:tc>
      </w:tr>
      <w:tr w14:paraId="7A6F8ADB">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7A15E54">
            <w:pPr>
              <w:jc w:val="center"/>
              <w:rPr>
                <w:color w:val="auto"/>
                <w:kern w:val="2"/>
                <w:highlight w:val="none"/>
              </w:rPr>
            </w:pPr>
            <w:r>
              <w:rPr>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1CBD66CA">
            <w:pPr>
              <w:jc w:val="center"/>
              <w:rPr>
                <w:color w:val="auto"/>
                <w:kern w:val="2"/>
                <w:highlight w:val="none"/>
              </w:rPr>
            </w:pPr>
            <w:r>
              <w:rPr>
                <w:color w:val="auto"/>
                <w:kern w:val="2"/>
                <w:highlight w:val="none"/>
              </w:rPr>
              <w:t>1：200</w:t>
            </w:r>
          </w:p>
        </w:tc>
        <w:tc>
          <w:tcPr>
            <w:tcW w:w="923" w:type="dxa"/>
            <w:tcBorders>
              <w:top w:val="single" w:color="000000" w:sz="4" w:space="0"/>
              <w:left w:val="nil"/>
              <w:bottom w:val="single" w:color="000000" w:sz="4" w:space="0"/>
              <w:right w:val="single" w:color="000000" w:sz="4" w:space="0"/>
            </w:tcBorders>
            <w:vAlign w:val="center"/>
          </w:tcPr>
          <w:p w14:paraId="1795362D">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642244A3">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74FCFAD">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340F57D">
            <w:pPr>
              <w:jc w:val="center"/>
              <w:rPr>
                <w:color w:val="auto"/>
                <w:kern w:val="2"/>
                <w:highlight w:val="none"/>
              </w:rPr>
            </w:pPr>
          </w:p>
        </w:tc>
      </w:tr>
      <w:tr w14:paraId="43265A5D">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27A01E3">
            <w:pPr>
              <w:jc w:val="center"/>
              <w:rPr>
                <w:color w:val="auto"/>
                <w:kern w:val="2"/>
                <w:highlight w:val="none"/>
              </w:rPr>
            </w:pPr>
            <w:r>
              <w:rPr>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3F4B1CB8">
            <w:pPr>
              <w:jc w:val="center"/>
              <w:rPr>
                <w:color w:val="auto"/>
                <w:kern w:val="2"/>
                <w:highlight w:val="none"/>
              </w:rPr>
            </w:pPr>
            <w:r>
              <w:rPr>
                <w:color w:val="auto"/>
                <w:kern w:val="2"/>
                <w:highlight w:val="none"/>
              </w:rPr>
              <w:t>1：500</w:t>
            </w:r>
          </w:p>
        </w:tc>
        <w:tc>
          <w:tcPr>
            <w:tcW w:w="923" w:type="dxa"/>
            <w:tcBorders>
              <w:top w:val="single" w:color="000000" w:sz="4" w:space="0"/>
              <w:left w:val="nil"/>
              <w:bottom w:val="single" w:color="000000" w:sz="4" w:space="0"/>
              <w:right w:val="single" w:color="000000" w:sz="4" w:space="0"/>
            </w:tcBorders>
            <w:vAlign w:val="center"/>
          </w:tcPr>
          <w:p w14:paraId="77BAF9DC">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386D8E2A">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D679BE7">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CC51E31">
            <w:pPr>
              <w:jc w:val="center"/>
              <w:rPr>
                <w:color w:val="auto"/>
                <w:kern w:val="2"/>
                <w:highlight w:val="none"/>
              </w:rPr>
            </w:pPr>
          </w:p>
        </w:tc>
      </w:tr>
      <w:tr w14:paraId="68F49D01">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87AAB8C">
            <w:pPr>
              <w:jc w:val="center"/>
              <w:rPr>
                <w:color w:val="auto"/>
                <w:kern w:val="2"/>
                <w:highlight w:val="none"/>
              </w:rPr>
            </w:pPr>
            <w:r>
              <w:rPr>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2DC9D702">
            <w:pPr>
              <w:jc w:val="center"/>
              <w:rPr>
                <w:color w:val="auto"/>
                <w:kern w:val="2"/>
                <w:highlight w:val="none"/>
              </w:rPr>
            </w:pPr>
            <w:r>
              <w:rPr>
                <w:color w:val="auto"/>
                <w:kern w:val="2"/>
                <w:highlight w:val="none"/>
              </w:rPr>
              <w:t>1：1000</w:t>
            </w:r>
          </w:p>
        </w:tc>
        <w:tc>
          <w:tcPr>
            <w:tcW w:w="923" w:type="dxa"/>
            <w:tcBorders>
              <w:top w:val="single" w:color="000000" w:sz="4" w:space="0"/>
              <w:left w:val="nil"/>
              <w:bottom w:val="single" w:color="000000" w:sz="4" w:space="0"/>
              <w:right w:val="single" w:color="000000" w:sz="4" w:space="0"/>
            </w:tcBorders>
            <w:vAlign w:val="center"/>
          </w:tcPr>
          <w:p w14:paraId="44EE54FC">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241F537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1F13B40">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0C4AB9A">
            <w:pPr>
              <w:jc w:val="center"/>
              <w:rPr>
                <w:color w:val="auto"/>
                <w:kern w:val="2"/>
                <w:highlight w:val="none"/>
              </w:rPr>
            </w:pPr>
          </w:p>
        </w:tc>
      </w:tr>
      <w:tr w14:paraId="12FFBA70">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F047126">
            <w:pPr>
              <w:jc w:val="center"/>
              <w:rPr>
                <w:color w:val="auto"/>
                <w:kern w:val="2"/>
                <w:highlight w:val="none"/>
              </w:rPr>
            </w:pPr>
            <w:r>
              <w:rPr>
                <w:color w:val="auto"/>
                <w:kern w:val="2"/>
                <w:highlight w:val="none"/>
              </w:rPr>
              <w:t>-4</w:t>
            </w:r>
          </w:p>
        </w:tc>
        <w:tc>
          <w:tcPr>
            <w:tcW w:w="2125" w:type="dxa"/>
            <w:tcBorders>
              <w:top w:val="single" w:color="000000" w:sz="4" w:space="0"/>
              <w:left w:val="nil"/>
              <w:bottom w:val="single" w:color="000000" w:sz="4" w:space="0"/>
              <w:right w:val="single" w:color="000000" w:sz="4" w:space="0"/>
            </w:tcBorders>
            <w:vAlign w:val="center"/>
          </w:tcPr>
          <w:p w14:paraId="4E5556AD">
            <w:pPr>
              <w:jc w:val="center"/>
              <w:rPr>
                <w:color w:val="auto"/>
                <w:kern w:val="2"/>
                <w:highlight w:val="none"/>
              </w:rPr>
            </w:pPr>
            <w:r>
              <w:rPr>
                <w:color w:val="auto"/>
                <w:kern w:val="2"/>
                <w:highlight w:val="none"/>
              </w:rPr>
              <w:t>1：2000</w:t>
            </w:r>
          </w:p>
        </w:tc>
        <w:tc>
          <w:tcPr>
            <w:tcW w:w="923" w:type="dxa"/>
            <w:tcBorders>
              <w:top w:val="single" w:color="000000" w:sz="4" w:space="0"/>
              <w:left w:val="nil"/>
              <w:bottom w:val="single" w:color="000000" w:sz="4" w:space="0"/>
              <w:right w:val="single" w:color="000000" w:sz="4" w:space="0"/>
            </w:tcBorders>
            <w:vAlign w:val="center"/>
          </w:tcPr>
          <w:p w14:paraId="7EF0D4C0">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603A858F">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79F91667">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48C69EF">
            <w:pPr>
              <w:jc w:val="center"/>
              <w:rPr>
                <w:color w:val="auto"/>
                <w:kern w:val="2"/>
                <w:highlight w:val="none"/>
              </w:rPr>
            </w:pPr>
          </w:p>
        </w:tc>
      </w:tr>
      <w:tr w14:paraId="0C42F720">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9E76966">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5D632BB8">
            <w:pPr>
              <w:jc w:val="center"/>
              <w:rPr>
                <w:color w:val="auto"/>
                <w:kern w:val="2"/>
                <w:highlight w:val="none"/>
              </w:rPr>
            </w:pPr>
          </w:p>
          <w:p w14:paraId="398C07B7">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7A8693C4">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4EEB7B29">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9EB8066">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B60CB6E">
            <w:pPr>
              <w:jc w:val="center"/>
              <w:rPr>
                <w:color w:val="auto"/>
                <w:kern w:val="2"/>
                <w:highlight w:val="none"/>
              </w:rPr>
            </w:pPr>
          </w:p>
        </w:tc>
      </w:tr>
      <w:tr w14:paraId="45734D19">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124DEEE4">
            <w:pPr>
              <w:rPr>
                <w:b/>
                <w:color w:val="auto"/>
                <w:kern w:val="2"/>
                <w:highlight w:val="none"/>
              </w:rPr>
            </w:pPr>
            <w:r>
              <w:rPr>
                <w:b/>
                <w:color w:val="auto"/>
                <w:kern w:val="2"/>
                <w:highlight w:val="none"/>
              </w:rPr>
              <w:t>4</w:t>
            </w:r>
          </w:p>
        </w:tc>
        <w:tc>
          <w:tcPr>
            <w:tcW w:w="2125" w:type="dxa"/>
            <w:tcBorders>
              <w:top w:val="single" w:color="000000" w:sz="4" w:space="0"/>
              <w:left w:val="nil"/>
              <w:bottom w:val="single" w:color="000000" w:sz="4" w:space="0"/>
              <w:right w:val="single" w:color="000000" w:sz="4" w:space="0"/>
            </w:tcBorders>
            <w:vAlign w:val="center"/>
          </w:tcPr>
          <w:p w14:paraId="6E08E757">
            <w:pPr>
              <w:jc w:val="center"/>
              <w:rPr>
                <w:b/>
                <w:color w:val="auto"/>
                <w:kern w:val="2"/>
                <w:highlight w:val="none"/>
              </w:rPr>
            </w:pPr>
            <w:r>
              <w:rPr>
                <w:b/>
                <w:color w:val="auto"/>
                <w:kern w:val="2"/>
                <w:highlight w:val="none"/>
              </w:rPr>
              <w:t>航空测绘</w:t>
            </w:r>
          </w:p>
        </w:tc>
        <w:tc>
          <w:tcPr>
            <w:tcW w:w="923" w:type="dxa"/>
            <w:tcBorders>
              <w:top w:val="single" w:color="000000" w:sz="4" w:space="0"/>
              <w:left w:val="nil"/>
              <w:bottom w:val="single" w:color="000000" w:sz="4" w:space="0"/>
              <w:right w:val="single" w:color="000000" w:sz="4" w:space="0"/>
            </w:tcBorders>
            <w:vAlign w:val="center"/>
          </w:tcPr>
          <w:p w14:paraId="19AED51D">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1346C8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3643BC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3FBBFE16">
            <w:pPr>
              <w:jc w:val="center"/>
              <w:rPr>
                <w:color w:val="auto"/>
                <w:kern w:val="2"/>
                <w:highlight w:val="none"/>
              </w:rPr>
            </w:pPr>
          </w:p>
        </w:tc>
      </w:tr>
      <w:tr w14:paraId="13EE173C">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BB04E99">
            <w:pPr>
              <w:jc w:val="center"/>
              <w:rPr>
                <w:color w:val="auto"/>
                <w:kern w:val="2"/>
                <w:highlight w:val="none"/>
              </w:rPr>
            </w:pPr>
            <w:r>
              <w:rPr>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01C573EE">
            <w:pPr>
              <w:jc w:val="center"/>
              <w:rPr>
                <w:color w:val="auto"/>
                <w:kern w:val="2"/>
                <w:highlight w:val="none"/>
              </w:rPr>
            </w:pPr>
            <w:r>
              <w:rPr>
                <w:color w:val="auto"/>
                <w:kern w:val="2"/>
                <w:highlight w:val="none"/>
              </w:rPr>
              <w:t>1：500</w:t>
            </w:r>
          </w:p>
        </w:tc>
        <w:tc>
          <w:tcPr>
            <w:tcW w:w="923" w:type="dxa"/>
            <w:tcBorders>
              <w:top w:val="single" w:color="000000" w:sz="4" w:space="0"/>
              <w:left w:val="nil"/>
              <w:bottom w:val="single" w:color="000000" w:sz="4" w:space="0"/>
              <w:right w:val="single" w:color="000000" w:sz="4" w:space="0"/>
            </w:tcBorders>
            <w:vAlign w:val="center"/>
          </w:tcPr>
          <w:p w14:paraId="2724F7C6">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59F0F2D1">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9EE4F74">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5FDAFD6">
            <w:pPr>
              <w:jc w:val="center"/>
              <w:rPr>
                <w:color w:val="auto"/>
                <w:kern w:val="2"/>
                <w:highlight w:val="none"/>
              </w:rPr>
            </w:pPr>
          </w:p>
        </w:tc>
      </w:tr>
      <w:tr w14:paraId="1EC00F14">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21FB1AB4">
            <w:pPr>
              <w:jc w:val="center"/>
              <w:rPr>
                <w:color w:val="auto"/>
                <w:kern w:val="2"/>
                <w:highlight w:val="none"/>
              </w:rPr>
            </w:pPr>
            <w:r>
              <w:rPr>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2EE979BB">
            <w:pPr>
              <w:jc w:val="center"/>
              <w:rPr>
                <w:color w:val="auto"/>
                <w:kern w:val="2"/>
                <w:highlight w:val="none"/>
              </w:rPr>
            </w:pPr>
            <w:r>
              <w:rPr>
                <w:color w:val="auto"/>
                <w:kern w:val="2"/>
                <w:highlight w:val="none"/>
              </w:rPr>
              <w:t>1：1000</w:t>
            </w:r>
          </w:p>
        </w:tc>
        <w:tc>
          <w:tcPr>
            <w:tcW w:w="923" w:type="dxa"/>
            <w:tcBorders>
              <w:top w:val="single" w:color="000000" w:sz="4" w:space="0"/>
              <w:left w:val="nil"/>
              <w:bottom w:val="single" w:color="000000" w:sz="4" w:space="0"/>
              <w:right w:val="single" w:color="000000" w:sz="4" w:space="0"/>
            </w:tcBorders>
            <w:vAlign w:val="center"/>
          </w:tcPr>
          <w:p w14:paraId="7D1E88CB">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3A145C7C">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1358E58E">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844F3F6">
            <w:pPr>
              <w:jc w:val="center"/>
              <w:rPr>
                <w:color w:val="auto"/>
                <w:kern w:val="2"/>
                <w:highlight w:val="none"/>
              </w:rPr>
            </w:pPr>
          </w:p>
        </w:tc>
      </w:tr>
      <w:tr w14:paraId="7CB81629">
        <w:tblPrEx>
          <w:tblCellMar>
            <w:top w:w="0" w:type="dxa"/>
            <w:left w:w="0" w:type="dxa"/>
            <w:bottom w:w="0" w:type="dxa"/>
            <w:right w:w="0" w:type="dxa"/>
          </w:tblCellMar>
        </w:tblPrEx>
        <w:trPr>
          <w:trHeight w:val="451"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3C2B66C9">
            <w:pPr>
              <w:jc w:val="center"/>
              <w:rPr>
                <w:color w:val="auto"/>
                <w:kern w:val="2"/>
                <w:highlight w:val="none"/>
              </w:rPr>
            </w:pPr>
            <w:r>
              <w:rPr>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45ACEA61">
            <w:pPr>
              <w:jc w:val="center"/>
              <w:rPr>
                <w:color w:val="auto"/>
                <w:kern w:val="2"/>
                <w:highlight w:val="none"/>
              </w:rPr>
            </w:pPr>
            <w:r>
              <w:rPr>
                <w:color w:val="auto"/>
                <w:kern w:val="2"/>
                <w:highlight w:val="none"/>
              </w:rPr>
              <w:t>1：2000</w:t>
            </w:r>
          </w:p>
        </w:tc>
        <w:tc>
          <w:tcPr>
            <w:tcW w:w="923" w:type="dxa"/>
            <w:tcBorders>
              <w:top w:val="single" w:color="000000" w:sz="4" w:space="0"/>
              <w:left w:val="nil"/>
              <w:bottom w:val="single" w:color="000000" w:sz="4" w:space="0"/>
              <w:right w:val="single" w:color="000000" w:sz="4" w:space="0"/>
            </w:tcBorders>
            <w:vAlign w:val="center"/>
          </w:tcPr>
          <w:p w14:paraId="2E6BB181">
            <w:pPr>
              <w:jc w:val="center"/>
              <w:rPr>
                <w:color w:val="auto"/>
                <w:kern w:val="2"/>
                <w:highlight w:val="none"/>
              </w:rPr>
            </w:pPr>
            <w:r>
              <w:rPr>
                <w:color w:val="auto"/>
                <w:kern w:val="2"/>
                <w:highlight w:val="none"/>
              </w:rPr>
              <w:t>km</w:t>
            </w:r>
            <w:r>
              <w:rPr>
                <w:color w:val="auto"/>
                <w:kern w:val="2"/>
                <w:highlight w:val="none"/>
                <w:vertAlign w:val="superscript"/>
              </w:rPr>
              <w:t>2</w:t>
            </w:r>
          </w:p>
        </w:tc>
        <w:tc>
          <w:tcPr>
            <w:tcW w:w="1389" w:type="dxa"/>
            <w:tcBorders>
              <w:top w:val="single" w:color="000000" w:sz="4" w:space="0"/>
              <w:left w:val="nil"/>
              <w:bottom w:val="single" w:color="000000" w:sz="4" w:space="0"/>
              <w:right w:val="single" w:color="000000" w:sz="4" w:space="0"/>
            </w:tcBorders>
            <w:vAlign w:val="center"/>
          </w:tcPr>
          <w:p w14:paraId="11EFBB0B">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B3EF296">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E5460CF">
            <w:pPr>
              <w:jc w:val="center"/>
              <w:rPr>
                <w:color w:val="auto"/>
                <w:kern w:val="2"/>
                <w:highlight w:val="none"/>
              </w:rPr>
            </w:pPr>
          </w:p>
        </w:tc>
      </w:tr>
      <w:tr w14:paraId="724114FB">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1EC37E7E">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0277ACB7">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4683A560">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E384EA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E6C0CC1">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3B56C40E">
            <w:pPr>
              <w:jc w:val="center"/>
              <w:rPr>
                <w:color w:val="auto"/>
                <w:kern w:val="2"/>
                <w:highlight w:val="none"/>
              </w:rPr>
            </w:pPr>
          </w:p>
        </w:tc>
      </w:tr>
      <w:tr w14:paraId="504C1991">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317FAFC5">
            <w:pPr>
              <w:jc w:val="center"/>
              <w:rPr>
                <w:color w:val="auto"/>
                <w:kern w:val="2"/>
                <w:highlight w:val="none"/>
              </w:rPr>
            </w:pPr>
            <w:r>
              <w:rPr>
                <w:color w:val="auto"/>
                <w:kern w:val="2"/>
                <w:highlight w:val="none"/>
              </w:rPr>
              <w:t>5</w:t>
            </w:r>
          </w:p>
        </w:tc>
        <w:tc>
          <w:tcPr>
            <w:tcW w:w="2125" w:type="dxa"/>
            <w:tcBorders>
              <w:top w:val="single" w:color="000000" w:sz="4" w:space="0"/>
              <w:left w:val="nil"/>
              <w:bottom w:val="single" w:color="000000" w:sz="4" w:space="0"/>
              <w:right w:val="single" w:color="000000" w:sz="4" w:space="0"/>
            </w:tcBorders>
            <w:vAlign w:val="center"/>
          </w:tcPr>
          <w:p w14:paraId="2119B472">
            <w:pPr>
              <w:jc w:val="center"/>
              <w:rPr>
                <w:color w:val="auto"/>
                <w:kern w:val="2"/>
                <w:highlight w:val="none"/>
              </w:rPr>
            </w:pPr>
            <w:r>
              <w:rPr>
                <w:color w:val="auto"/>
                <w:kern w:val="2"/>
                <w:highlight w:val="none"/>
              </w:rPr>
              <w:t>勘探</w:t>
            </w:r>
          </w:p>
        </w:tc>
        <w:tc>
          <w:tcPr>
            <w:tcW w:w="923" w:type="dxa"/>
            <w:tcBorders>
              <w:top w:val="single" w:color="000000" w:sz="4" w:space="0"/>
              <w:left w:val="nil"/>
              <w:bottom w:val="single" w:color="000000" w:sz="4" w:space="0"/>
              <w:right w:val="single" w:color="000000" w:sz="4" w:space="0"/>
            </w:tcBorders>
            <w:vAlign w:val="center"/>
          </w:tcPr>
          <w:p w14:paraId="5D14A41F">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0CC265C">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E019E6F">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36F4CB91">
            <w:pPr>
              <w:jc w:val="center"/>
              <w:rPr>
                <w:color w:val="auto"/>
                <w:kern w:val="2"/>
                <w:highlight w:val="none"/>
              </w:rPr>
            </w:pPr>
          </w:p>
        </w:tc>
      </w:tr>
      <w:tr w14:paraId="6FBEE166">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8CAD79B">
            <w:pPr>
              <w:jc w:val="center"/>
              <w:rPr>
                <w:color w:val="auto"/>
                <w:kern w:val="2"/>
                <w:highlight w:val="none"/>
              </w:rPr>
            </w:pPr>
            <w:r>
              <w:rPr>
                <w:color w:val="auto"/>
                <w:kern w:val="2"/>
                <w:highlight w:val="none"/>
              </w:rPr>
              <w:t>-1</w:t>
            </w:r>
          </w:p>
        </w:tc>
        <w:tc>
          <w:tcPr>
            <w:tcW w:w="2125" w:type="dxa"/>
            <w:tcBorders>
              <w:top w:val="single" w:color="000000" w:sz="4" w:space="0"/>
              <w:left w:val="nil"/>
              <w:bottom w:val="single" w:color="000000" w:sz="4" w:space="0"/>
              <w:right w:val="single" w:color="000000" w:sz="4" w:space="0"/>
            </w:tcBorders>
            <w:vAlign w:val="center"/>
          </w:tcPr>
          <w:p w14:paraId="1C09F726">
            <w:pPr>
              <w:jc w:val="center"/>
              <w:rPr>
                <w:color w:val="auto"/>
                <w:kern w:val="2"/>
                <w:highlight w:val="none"/>
              </w:rPr>
            </w:pPr>
            <w:r>
              <w:rPr>
                <w:color w:val="auto"/>
                <w:kern w:val="2"/>
                <w:highlight w:val="none"/>
              </w:rPr>
              <w:t>钻孔</w:t>
            </w:r>
          </w:p>
        </w:tc>
        <w:tc>
          <w:tcPr>
            <w:tcW w:w="923" w:type="dxa"/>
            <w:tcBorders>
              <w:top w:val="single" w:color="000000" w:sz="4" w:space="0"/>
              <w:left w:val="nil"/>
              <w:bottom w:val="single" w:color="000000" w:sz="4" w:space="0"/>
              <w:right w:val="single" w:color="000000" w:sz="4" w:space="0"/>
            </w:tcBorders>
            <w:vAlign w:val="center"/>
          </w:tcPr>
          <w:p w14:paraId="5394D393">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55433B87">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FDD31BA">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11AA37E2">
            <w:pPr>
              <w:jc w:val="center"/>
              <w:rPr>
                <w:color w:val="auto"/>
                <w:kern w:val="2"/>
                <w:highlight w:val="none"/>
              </w:rPr>
            </w:pPr>
          </w:p>
        </w:tc>
      </w:tr>
      <w:tr w14:paraId="45286FF0">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3CB2CB8D">
            <w:pPr>
              <w:jc w:val="center"/>
              <w:rPr>
                <w:color w:val="auto"/>
                <w:kern w:val="2"/>
                <w:highlight w:val="none"/>
              </w:rPr>
            </w:pPr>
            <w:r>
              <w:rPr>
                <w:color w:val="auto"/>
                <w:kern w:val="2"/>
                <w:highlight w:val="none"/>
              </w:rPr>
              <w:t>-2</w:t>
            </w:r>
          </w:p>
        </w:tc>
        <w:tc>
          <w:tcPr>
            <w:tcW w:w="2125" w:type="dxa"/>
            <w:tcBorders>
              <w:top w:val="single" w:color="000000" w:sz="4" w:space="0"/>
              <w:left w:val="nil"/>
              <w:bottom w:val="single" w:color="000000" w:sz="4" w:space="0"/>
              <w:right w:val="single" w:color="000000" w:sz="4" w:space="0"/>
            </w:tcBorders>
            <w:vAlign w:val="center"/>
          </w:tcPr>
          <w:p w14:paraId="6773917A">
            <w:pPr>
              <w:jc w:val="center"/>
              <w:rPr>
                <w:color w:val="auto"/>
                <w:kern w:val="2"/>
                <w:highlight w:val="none"/>
              </w:rPr>
            </w:pPr>
            <w:r>
              <w:rPr>
                <w:color w:val="auto"/>
                <w:kern w:val="2"/>
                <w:highlight w:val="none"/>
              </w:rPr>
              <w:t>井探</w:t>
            </w:r>
          </w:p>
        </w:tc>
        <w:tc>
          <w:tcPr>
            <w:tcW w:w="923" w:type="dxa"/>
            <w:tcBorders>
              <w:top w:val="single" w:color="000000" w:sz="4" w:space="0"/>
              <w:left w:val="nil"/>
              <w:bottom w:val="single" w:color="000000" w:sz="4" w:space="0"/>
              <w:right w:val="single" w:color="000000" w:sz="4" w:space="0"/>
            </w:tcBorders>
            <w:vAlign w:val="center"/>
          </w:tcPr>
          <w:p w14:paraId="23C3713D">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7BC47F9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5269D33">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3C91EBD">
            <w:pPr>
              <w:jc w:val="center"/>
              <w:rPr>
                <w:color w:val="auto"/>
                <w:kern w:val="2"/>
                <w:highlight w:val="none"/>
              </w:rPr>
            </w:pPr>
          </w:p>
        </w:tc>
      </w:tr>
      <w:tr w14:paraId="10CFC920">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252DF5E1">
            <w:pPr>
              <w:jc w:val="center"/>
              <w:rPr>
                <w:color w:val="auto"/>
                <w:kern w:val="2"/>
                <w:highlight w:val="none"/>
              </w:rPr>
            </w:pPr>
            <w:r>
              <w:rPr>
                <w:color w:val="auto"/>
                <w:kern w:val="2"/>
                <w:highlight w:val="none"/>
              </w:rPr>
              <w:t>-3</w:t>
            </w:r>
          </w:p>
        </w:tc>
        <w:tc>
          <w:tcPr>
            <w:tcW w:w="2125" w:type="dxa"/>
            <w:tcBorders>
              <w:top w:val="single" w:color="000000" w:sz="4" w:space="0"/>
              <w:left w:val="nil"/>
              <w:bottom w:val="single" w:color="000000" w:sz="4" w:space="0"/>
              <w:right w:val="single" w:color="000000" w:sz="4" w:space="0"/>
            </w:tcBorders>
            <w:vAlign w:val="center"/>
          </w:tcPr>
          <w:p w14:paraId="482640C4">
            <w:pPr>
              <w:jc w:val="center"/>
              <w:rPr>
                <w:color w:val="auto"/>
                <w:kern w:val="2"/>
                <w:highlight w:val="none"/>
              </w:rPr>
            </w:pPr>
            <w:r>
              <w:rPr>
                <w:color w:val="auto"/>
                <w:kern w:val="2"/>
                <w:highlight w:val="none"/>
              </w:rPr>
              <w:t>槽探</w:t>
            </w:r>
          </w:p>
        </w:tc>
        <w:tc>
          <w:tcPr>
            <w:tcW w:w="923" w:type="dxa"/>
            <w:tcBorders>
              <w:top w:val="single" w:color="000000" w:sz="4" w:space="0"/>
              <w:left w:val="nil"/>
              <w:bottom w:val="single" w:color="000000" w:sz="4" w:space="0"/>
              <w:right w:val="single" w:color="000000" w:sz="4" w:space="0"/>
            </w:tcBorders>
            <w:vAlign w:val="center"/>
          </w:tcPr>
          <w:p w14:paraId="18988A61">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2C8D5E88">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4A9584E">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B7027E5">
            <w:pPr>
              <w:jc w:val="center"/>
              <w:rPr>
                <w:color w:val="auto"/>
                <w:kern w:val="2"/>
                <w:highlight w:val="none"/>
              </w:rPr>
            </w:pPr>
          </w:p>
        </w:tc>
      </w:tr>
      <w:tr w14:paraId="12EFE981">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7DD8145">
            <w:pPr>
              <w:jc w:val="center"/>
              <w:rPr>
                <w:color w:val="auto"/>
                <w:kern w:val="2"/>
                <w:highlight w:val="none"/>
              </w:rPr>
            </w:pPr>
            <w:r>
              <w:rPr>
                <w:color w:val="auto"/>
                <w:kern w:val="2"/>
                <w:highlight w:val="none"/>
              </w:rPr>
              <w:t>-4</w:t>
            </w:r>
          </w:p>
        </w:tc>
        <w:tc>
          <w:tcPr>
            <w:tcW w:w="2125" w:type="dxa"/>
            <w:tcBorders>
              <w:top w:val="single" w:color="000000" w:sz="4" w:space="0"/>
              <w:left w:val="nil"/>
              <w:bottom w:val="single" w:color="000000" w:sz="4" w:space="0"/>
              <w:right w:val="single" w:color="000000" w:sz="4" w:space="0"/>
            </w:tcBorders>
            <w:vAlign w:val="center"/>
          </w:tcPr>
          <w:p w14:paraId="5F20F0DE">
            <w:pPr>
              <w:jc w:val="center"/>
              <w:rPr>
                <w:color w:val="auto"/>
                <w:kern w:val="2"/>
                <w:highlight w:val="none"/>
              </w:rPr>
            </w:pPr>
            <w:r>
              <w:rPr>
                <w:color w:val="auto"/>
                <w:kern w:val="2"/>
                <w:highlight w:val="none"/>
              </w:rPr>
              <w:t>洞探</w:t>
            </w:r>
          </w:p>
        </w:tc>
        <w:tc>
          <w:tcPr>
            <w:tcW w:w="923" w:type="dxa"/>
            <w:tcBorders>
              <w:top w:val="single" w:color="000000" w:sz="4" w:space="0"/>
              <w:left w:val="nil"/>
              <w:bottom w:val="single" w:color="000000" w:sz="4" w:space="0"/>
              <w:right w:val="single" w:color="000000" w:sz="4" w:space="0"/>
            </w:tcBorders>
            <w:vAlign w:val="center"/>
          </w:tcPr>
          <w:p w14:paraId="2AB3A164">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057E3F2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AA9C905">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D6F0CF6">
            <w:pPr>
              <w:jc w:val="center"/>
              <w:rPr>
                <w:color w:val="auto"/>
                <w:kern w:val="2"/>
                <w:highlight w:val="none"/>
              </w:rPr>
            </w:pPr>
          </w:p>
        </w:tc>
      </w:tr>
      <w:tr w14:paraId="33BC951A">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C4BA055">
            <w:pPr>
              <w:jc w:val="center"/>
              <w:rPr>
                <w:color w:val="auto"/>
                <w:kern w:val="2"/>
                <w:highlight w:val="none"/>
              </w:rPr>
            </w:pPr>
            <w:r>
              <w:rPr>
                <w:color w:val="auto"/>
                <w:kern w:val="2"/>
                <w:highlight w:val="none"/>
              </w:rPr>
              <w:t>-5</w:t>
            </w:r>
          </w:p>
        </w:tc>
        <w:tc>
          <w:tcPr>
            <w:tcW w:w="2125" w:type="dxa"/>
            <w:tcBorders>
              <w:top w:val="single" w:color="000000" w:sz="4" w:space="0"/>
              <w:left w:val="nil"/>
              <w:bottom w:val="single" w:color="000000" w:sz="4" w:space="0"/>
              <w:right w:val="single" w:color="000000" w:sz="4" w:space="0"/>
            </w:tcBorders>
            <w:vAlign w:val="center"/>
          </w:tcPr>
          <w:p w14:paraId="0892454F">
            <w:pPr>
              <w:jc w:val="center"/>
              <w:rPr>
                <w:color w:val="auto"/>
                <w:kern w:val="2"/>
                <w:highlight w:val="none"/>
              </w:rPr>
            </w:pPr>
            <w:r>
              <w:rPr>
                <w:color w:val="auto"/>
                <w:kern w:val="2"/>
                <w:highlight w:val="none"/>
              </w:rPr>
              <w:t>标准贯入试验</w:t>
            </w:r>
          </w:p>
        </w:tc>
        <w:tc>
          <w:tcPr>
            <w:tcW w:w="923" w:type="dxa"/>
            <w:tcBorders>
              <w:top w:val="single" w:color="000000" w:sz="4" w:space="0"/>
              <w:left w:val="nil"/>
              <w:bottom w:val="single" w:color="000000" w:sz="4" w:space="0"/>
              <w:right w:val="single" w:color="000000" w:sz="4" w:space="0"/>
            </w:tcBorders>
            <w:vAlign w:val="center"/>
          </w:tcPr>
          <w:p w14:paraId="38B54653">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5E8599E9">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9FCB8DD">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1F745EA">
            <w:pPr>
              <w:jc w:val="center"/>
              <w:rPr>
                <w:color w:val="auto"/>
                <w:kern w:val="2"/>
                <w:highlight w:val="none"/>
              </w:rPr>
            </w:pPr>
          </w:p>
        </w:tc>
      </w:tr>
      <w:tr w14:paraId="3AE552FF">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73FFBFF">
            <w:pPr>
              <w:jc w:val="center"/>
              <w:rPr>
                <w:color w:val="auto"/>
                <w:kern w:val="2"/>
                <w:highlight w:val="none"/>
              </w:rPr>
            </w:pPr>
            <w:r>
              <w:rPr>
                <w:color w:val="auto"/>
                <w:kern w:val="2"/>
                <w:highlight w:val="none"/>
              </w:rPr>
              <w:t>-6</w:t>
            </w:r>
          </w:p>
        </w:tc>
        <w:tc>
          <w:tcPr>
            <w:tcW w:w="2125" w:type="dxa"/>
            <w:tcBorders>
              <w:top w:val="single" w:color="000000" w:sz="4" w:space="0"/>
              <w:left w:val="nil"/>
              <w:bottom w:val="single" w:color="000000" w:sz="4" w:space="0"/>
              <w:right w:val="single" w:color="000000" w:sz="4" w:space="0"/>
            </w:tcBorders>
            <w:vAlign w:val="center"/>
          </w:tcPr>
          <w:p w14:paraId="07D3C28C">
            <w:pPr>
              <w:jc w:val="center"/>
              <w:rPr>
                <w:color w:val="auto"/>
                <w:kern w:val="2"/>
                <w:highlight w:val="none"/>
              </w:rPr>
            </w:pPr>
            <w:r>
              <w:rPr>
                <w:color w:val="auto"/>
                <w:kern w:val="2"/>
                <w:highlight w:val="none"/>
              </w:rPr>
              <w:t>动力触探</w:t>
            </w:r>
          </w:p>
        </w:tc>
        <w:tc>
          <w:tcPr>
            <w:tcW w:w="923" w:type="dxa"/>
            <w:tcBorders>
              <w:top w:val="single" w:color="000000" w:sz="4" w:space="0"/>
              <w:left w:val="nil"/>
              <w:bottom w:val="single" w:color="000000" w:sz="4" w:space="0"/>
              <w:right w:val="single" w:color="000000" w:sz="4" w:space="0"/>
            </w:tcBorders>
            <w:vAlign w:val="center"/>
          </w:tcPr>
          <w:p w14:paraId="4CF975B9">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456CA69F">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15A6A321">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2A5301D">
            <w:pPr>
              <w:jc w:val="center"/>
              <w:rPr>
                <w:color w:val="auto"/>
                <w:kern w:val="2"/>
                <w:highlight w:val="none"/>
              </w:rPr>
            </w:pPr>
          </w:p>
        </w:tc>
      </w:tr>
      <w:tr w14:paraId="72F07A1A">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A815FB1">
            <w:pPr>
              <w:jc w:val="center"/>
              <w:rPr>
                <w:color w:val="auto"/>
                <w:kern w:val="2"/>
                <w:highlight w:val="none"/>
              </w:rPr>
            </w:pPr>
            <w:r>
              <w:rPr>
                <w:color w:val="auto"/>
                <w:kern w:val="2"/>
                <w:highlight w:val="none"/>
              </w:rPr>
              <w:t>-7</w:t>
            </w:r>
          </w:p>
        </w:tc>
        <w:tc>
          <w:tcPr>
            <w:tcW w:w="2125" w:type="dxa"/>
            <w:tcBorders>
              <w:top w:val="single" w:color="000000" w:sz="4" w:space="0"/>
              <w:left w:val="nil"/>
              <w:bottom w:val="single" w:color="000000" w:sz="4" w:space="0"/>
              <w:right w:val="single" w:color="000000" w:sz="4" w:space="0"/>
            </w:tcBorders>
            <w:vAlign w:val="center"/>
          </w:tcPr>
          <w:p w14:paraId="56FB745F">
            <w:pPr>
              <w:jc w:val="center"/>
              <w:rPr>
                <w:color w:val="auto"/>
                <w:kern w:val="2"/>
                <w:highlight w:val="none"/>
              </w:rPr>
            </w:pPr>
            <w:r>
              <w:rPr>
                <w:color w:val="auto"/>
                <w:kern w:val="2"/>
                <w:highlight w:val="none"/>
              </w:rPr>
              <w:t>静力触探</w:t>
            </w:r>
          </w:p>
        </w:tc>
        <w:tc>
          <w:tcPr>
            <w:tcW w:w="923" w:type="dxa"/>
            <w:tcBorders>
              <w:top w:val="single" w:color="000000" w:sz="4" w:space="0"/>
              <w:left w:val="nil"/>
              <w:bottom w:val="single" w:color="000000" w:sz="4" w:space="0"/>
              <w:right w:val="single" w:color="000000" w:sz="4" w:space="0"/>
            </w:tcBorders>
            <w:vAlign w:val="center"/>
          </w:tcPr>
          <w:p w14:paraId="4FAE81D3">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467BC189">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760D9573">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0EB227A">
            <w:pPr>
              <w:jc w:val="center"/>
              <w:rPr>
                <w:color w:val="auto"/>
                <w:kern w:val="2"/>
                <w:highlight w:val="none"/>
              </w:rPr>
            </w:pPr>
          </w:p>
        </w:tc>
      </w:tr>
      <w:tr w14:paraId="6C00B237">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19CDF0B4">
            <w:pPr>
              <w:jc w:val="center"/>
              <w:rPr>
                <w:color w:val="auto"/>
                <w:kern w:val="2"/>
                <w:highlight w:val="none"/>
              </w:rPr>
            </w:pPr>
            <w:r>
              <w:rPr>
                <w:color w:val="auto"/>
                <w:kern w:val="2"/>
                <w:highlight w:val="none"/>
              </w:rPr>
              <w:t>-8</w:t>
            </w:r>
          </w:p>
        </w:tc>
        <w:tc>
          <w:tcPr>
            <w:tcW w:w="2125" w:type="dxa"/>
            <w:tcBorders>
              <w:top w:val="single" w:color="000000" w:sz="4" w:space="0"/>
              <w:left w:val="nil"/>
              <w:bottom w:val="single" w:color="000000" w:sz="4" w:space="0"/>
              <w:right w:val="single" w:color="000000" w:sz="4" w:space="0"/>
            </w:tcBorders>
            <w:vAlign w:val="center"/>
          </w:tcPr>
          <w:p w14:paraId="2308B675">
            <w:pPr>
              <w:jc w:val="center"/>
              <w:rPr>
                <w:color w:val="auto"/>
                <w:kern w:val="2"/>
                <w:highlight w:val="none"/>
              </w:rPr>
            </w:pPr>
            <w:r>
              <w:rPr>
                <w:color w:val="auto"/>
                <w:kern w:val="2"/>
                <w:highlight w:val="none"/>
              </w:rPr>
              <w:t>地质雷达</w:t>
            </w:r>
          </w:p>
        </w:tc>
        <w:tc>
          <w:tcPr>
            <w:tcW w:w="923" w:type="dxa"/>
            <w:tcBorders>
              <w:top w:val="single" w:color="000000" w:sz="4" w:space="0"/>
              <w:left w:val="nil"/>
              <w:bottom w:val="single" w:color="000000" w:sz="4" w:space="0"/>
              <w:right w:val="single" w:color="000000" w:sz="4" w:space="0"/>
            </w:tcBorders>
            <w:vAlign w:val="center"/>
          </w:tcPr>
          <w:p w14:paraId="01ACF6B0">
            <w:pPr>
              <w:jc w:val="center"/>
              <w:rPr>
                <w:color w:val="auto"/>
                <w:kern w:val="2"/>
                <w:highlight w:val="none"/>
              </w:rPr>
            </w:pPr>
            <w:r>
              <w:rPr>
                <w:color w:val="auto"/>
                <w:kern w:val="2"/>
                <w:highlight w:val="none"/>
              </w:rPr>
              <w:t>点</w:t>
            </w:r>
          </w:p>
        </w:tc>
        <w:tc>
          <w:tcPr>
            <w:tcW w:w="1389" w:type="dxa"/>
            <w:tcBorders>
              <w:top w:val="single" w:color="000000" w:sz="4" w:space="0"/>
              <w:left w:val="nil"/>
              <w:bottom w:val="single" w:color="000000" w:sz="4" w:space="0"/>
              <w:right w:val="single" w:color="000000" w:sz="4" w:space="0"/>
            </w:tcBorders>
            <w:vAlign w:val="center"/>
          </w:tcPr>
          <w:p w14:paraId="66E247F1">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1BEF7F78">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618CA3E0">
            <w:pPr>
              <w:jc w:val="center"/>
              <w:rPr>
                <w:color w:val="auto"/>
                <w:kern w:val="2"/>
                <w:highlight w:val="none"/>
              </w:rPr>
            </w:pPr>
          </w:p>
        </w:tc>
      </w:tr>
      <w:tr w14:paraId="3E861556">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2EB5D547">
            <w:pPr>
              <w:jc w:val="center"/>
              <w:rPr>
                <w:color w:val="auto"/>
                <w:kern w:val="2"/>
                <w:highlight w:val="none"/>
              </w:rPr>
            </w:pPr>
            <w:r>
              <w:rPr>
                <w:color w:val="auto"/>
                <w:kern w:val="2"/>
                <w:highlight w:val="none"/>
              </w:rPr>
              <w:t>-9</w:t>
            </w:r>
          </w:p>
        </w:tc>
        <w:tc>
          <w:tcPr>
            <w:tcW w:w="2125" w:type="dxa"/>
            <w:tcBorders>
              <w:top w:val="single" w:color="000000" w:sz="4" w:space="0"/>
              <w:left w:val="nil"/>
              <w:bottom w:val="single" w:color="000000" w:sz="4" w:space="0"/>
              <w:right w:val="single" w:color="000000" w:sz="4" w:space="0"/>
            </w:tcBorders>
            <w:vAlign w:val="center"/>
          </w:tcPr>
          <w:p w14:paraId="769E3E00">
            <w:pPr>
              <w:jc w:val="center"/>
              <w:rPr>
                <w:color w:val="auto"/>
                <w:kern w:val="2"/>
                <w:highlight w:val="none"/>
              </w:rPr>
            </w:pPr>
            <w:r>
              <w:rPr>
                <w:color w:val="auto"/>
                <w:kern w:val="2"/>
                <w:highlight w:val="none"/>
              </w:rPr>
              <w:t>地质雷达</w:t>
            </w:r>
          </w:p>
        </w:tc>
        <w:tc>
          <w:tcPr>
            <w:tcW w:w="923" w:type="dxa"/>
            <w:tcBorders>
              <w:top w:val="single" w:color="000000" w:sz="4" w:space="0"/>
              <w:left w:val="nil"/>
              <w:bottom w:val="single" w:color="000000" w:sz="4" w:space="0"/>
              <w:right w:val="single" w:color="000000" w:sz="4" w:space="0"/>
            </w:tcBorders>
            <w:vAlign w:val="center"/>
          </w:tcPr>
          <w:p w14:paraId="7B74AE0F">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5E8B4968">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C47CDF5">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34F71D68">
            <w:pPr>
              <w:jc w:val="center"/>
              <w:rPr>
                <w:color w:val="auto"/>
                <w:kern w:val="2"/>
                <w:highlight w:val="none"/>
              </w:rPr>
            </w:pPr>
          </w:p>
        </w:tc>
      </w:tr>
      <w:tr w14:paraId="39A95823">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62E9CB7">
            <w:pPr>
              <w:jc w:val="center"/>
              <w:rPr>
                <w:color w:val="auto"/>
                <w:kern w:val="2"/>
                <w:highlight w:val="none"/>
              </w:rPr>
            </w:pPr>
            <w:r>
              <w:rPr>
                <w:color w:val="auto"/>
                <w:kern w:val="2"/>
                <w:highlight w:val="none"/>
              </w:rPr>
              <w:t>-10</w:t>
            </w:r>
          </w:p>
        </w:tc>
        <w:tc>
          <w:tcPr>
            <w:tcW w:w="2125" w:type="dxa"/>
            <w:tcBorders>
              <w:top w:val="single" w:color="000000" w:sz="4" w:space="0"/>
              <w:left w:val="nil"/>
              <w:bottom w:val="single" w:color="000000" w:sz="4" w:space="0"/>
              <w:right w:val="single" w:color="000000" w:sz="4" w:space="0"/>
            </w:tcBorders>
            <w:vAlign w:val="center"/>
          </w:tcPr>
          <w:p w14:paraId="1C729896">
            <w:pPr>
              <w:jc w:val="center"/>
              <w:rPr>
                <w:color w:val="auto"/>
                <w:kern w:val="2"/>
                <w:highlight w:val="none"/>
              </w:rPr>
            </w:pPr>
            <w:r>
              <w:rPr>
                <w:color w:val="auto"/>
                <w:kern w:val="2"/>
                <w:highlight w:val="none"/>
              </w:rPr>
              <w:t>物探</w:t>
            </w:r>
          </w:p>
        </w:tc>
        <w:tc>
          <w:tcPr>
            <w:tcW w:w="923" w:type="dxa"/>
            <w:tcBorders>
              <w:top w:val="single" w:color="000000" w:sz="4" w:space="0"/>
              <w:left w:val="nil"/>
              <w:bottom w:val="single" w:color="000000" w:sz="4" w:space="0"/>
              <w:right w:val="single" w:color="000000" w:sz="4" w:space="0"/>
            </w:tcBorders>
            <w:vAlign w:val="center"/>
          </w:tcPr>
          <w:p w14:paraId="1E5935E6">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3824439B">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4A083F4">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450A1E1">
            <w:pPr>
              <w:jc w:val="center"/>
              <w:rPr>
                <w:color w:val="auto"/>
                <w:kern w:val="2"/>
                <w:highlight w:val="none"/>
              </w:rPr>
            </w:pPr>
          </w:p>
        </w:tc>
      </w:tr>
      <w:tr w14:paraId="56F17A10">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A5C7DA3">
            <w:pPr>
              <w:jc w:val="center"/>
              <w:rPr>
                <w:color w:val="auto"/>
                <w:kern w:val="2"/>
                <w:highlight w:val="none"/>
              </w:rPr>
            </w:pPr>
            <w:r>
              <w:rPr>
                <w:color w:val="auto"/>
                <w:kern w:val="2"/>
                <w:highlight w:val="none"/>
              </w:rPr>
              <w:t>-a</w:t>
            </w:r>
          </w:p>
        </w:tc>
        <w:tc>
          <w:tcPr>
            <w:tcW w:w="2125" w:type="dxa"/>
            <w:tcBorders>
              <w:top w:val="single" w:color="000000" w:sz="4" w:space="0"/>
              <w:left w:val="nil"/>
              <w:bottom w:val="single" w:color="000000" w:sz="4" w:space="0"/>
              <w:right w:val="single" w:color="000000" w:sz="4" w:space="0"/>
            </w:tcBorders>
            <w:vAlign w:val="center"/>
          </w:tcPr>
          <w:p w14:paraId="2F4175A5">
            <w:pPr>
              <w:jc w:val="center"/>
              <w:rPr>
                <w:color w:val="auto"/>
                <w:kern w:val="2"/>
                <w:highlight w:val="none"/>
              </w:rPr>
            </w:pPr>
            <w:r>
              <w:rPr>
                <w:color w:val="auto"/>
                <w:kern w:val="2"/>
                <w:highlight w:val="none"/>
              </w:rPr>
              <w:t>-电法</w:t>
            </w:r>
          </w:p>
        </w:tc>
        <w:tc>
          <w:tcPr>
            <w:tcW w:w="923" w:type="dxa"/>
            <w:tcBorders>
              <w:top w:val="single" w:color="000000" w:sz="4" w:space="0"/>
              <w:left w:val="nil"/>
              <w:bottom w:val="single" w:color="000000" w:sz="4" w:space="0"/>
              <w:right w:val="single" w:color="000000" w:sz="4" w:space="0"/>
            </w:tcBorders>
            <w:vAlign w:val="center"/>
          </w:tcPr>
          <w:p w14:paraId="1C086D74">
            <w:pPr>
              <w:jc w:val="center"/>
              <w:rPr>
                <w:color w:val="auto"/>
                <w:kern w:val="2"/>
                <w:highlight w:val="none"/>
              </w:rPr>
            </w:pPr>
            <w:r>
              <w:rPr>
                <w:color w:val="auto"/>
                <w:kern w:val="2"/>
                <w:highlight w:val="none"/>
              </w:rPr>
              <w:t>点</w:t>
            </w:r>
          </w:p>
        </w:tc>
        <w:tc>
          <w:tcPr>
            <w:tcW w:w="1389" w:type="dxa"/>
            <w:tcBorders>
              <w:top w:val="single" w:color="000000" w:sz="4" w:space="0"/>
              <w:left w:val="nil"/>
              <w:bottom w:val="single" w:color="000000" w:sz="4" w:space="0"/>
              <w:right w:val="single" w:color="000000" w:sz="4" w:space="0"/>
            </w:tcBorders>
            <w:vAlign w:val="center"/>
          </w:tcPr>
          <w:p w14:paraId="5479ABC8">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1C41979">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D61EB43">
            <w:pPr>
              <w:jc w:val="center"/>
              <w:rPr>
                <w:color w:val="auto"/>
                <w:kern w:val="2"/>
                <w:highlight w:val="none"/>
              </w:rPr>
            </w:pPr>
          </w:p>
        </w:tc>
      </w:tr>
      <w:tr w14:paraId="67C17882">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1FC8581">
            <w:pPr>
              <w:jc w:val="center"/>
              <w:rPr>
                <w:color w:val="auto"/>
                <w:kern w:val="2"/>
                <w:highlight w:val="none"/>
              </w:rPr>
            </w:pPr>
            <w:r>
              <w:rPr>
                <w:color w:val="auto"/>
                <w:kern w:val="2"/>
                <w:highlight w:val="none"/>
              </w:rPr>
              <w:t>-b</w:t>
            </w:r>
          </w:p>
        </w:tc>
        <w:tc>
          <w:tcPr>
            <w:tcW w:w="2125" w:type="dxa"/>
            <w:tcBorders>
              <w:top w:val="single" w:color="000000" w:sz="4" w:space="0"/>
              <w:left w:val="nil"/>
              <w:bottom w:val="single" w:color="000000" w:sz="4" w:space="0"/>
              <w:right w:val="single" w:color="000000" w:sz="4" w:space="0"/>
            </w:tcBorders>
            <w:vAlign w:val="center"/>
          </w:tcPr>
          <w:p w14:paraId="329B0CDF">
            <w:pPr>
              <w:jc w:val="center"/>
              <w:rPr>
                <w:color w:val="auto"/>
                <w:kern w:val="2"/>
                <w:highlight w:val="none"/>
              </w:rPr>
            </w:pPr>
            <w:r>
              <w:rPr>
                <w:color w:val="auto"/>
                <w:kern w:val="2"/>
                <w:highlight w:val="none"/>
              </w:rPr>
              <w:t>-地震法</w:t>
            </w:r>
          </w:p>
        </w:tc>
        <w:tc>
          <w:tcPr>
            <w:tcW w:w="923" w:type="dxa"/>
            <w:tcBorders>
              <w:top w:val="single" w:color="000000" w:sz="4" w:space="0"/>
              <w:left w:val="nil"/>
              <w:bottom w:val="single" w:color="000000" w:sz="4" w:space="0"/>
              <w:right w:val="single" w:color="000000" w:sz="4" w:space="0"/>
            </w:tcBorders>
            <w:vAlign w:val="center"/>
          </w:tcPr>
          <w:p w14:paraId="340BC182">
            <w:pPr>
              <w:jc w:val="center"/>
              <w:rPr>
                <w:color w:val="auto"/>
                <w:kern w:val="2"/>
                <w:highlight w:val="none"/>
              </w:rPr>
            </w:pPr>
            <w:r>
              <w:rPr>
                <w:color w:val="auto"/>
                <w:kern w:val="2"/>
                <w:highlight w:val="none"/>
              </w:rPr>
              <w:t>点</w:t>
            </w:r>
          </w:p>
        </w:tc>
        <w:tc>
          <w:tcPr>
            <w:tcW w:w="1389" w:type="dxa"/>
            <w:tcBorders>
              <w:top w:val="single" w:color="000000" w:sz="4" w:space="0"/>
              <w:left w:val="nil"/>
              <w:bottom w:val="single" w:color="000000" w:sz="4" w:space="0"/>
              <w:right w:val="single" w:color="000000" w:sz="4" w:space="0"/>
            </w:tcBorders>
            <w:vAlign w:val="center"/>
          </w:tcPr>
          <w:p w14:paraId="564D1BCD">
            <w:pPr>
              <w:jc w:val="center"/>
              <w:rPr>
                <w:rFonts w:ascii="Times New Roman" w:hAnsi="Times New Roman"/>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20964FAA">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582B1B92">
            <w:pPr>
              <w:jc w:val="center"/>
              <w:rPr>
                <w:color w:val="auto"/>
                <w:kern w:val="2"/>
                <w:highlight w:val="none"/>
              </w:rPr>
            </w:pPr>
          </w:p>
        </w:tc>
      </w:tr>
      <w:tr w14:paraId="23A8999E">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E54534C">
            <w:pPr>
              <w:jc w:val="center"/>
              <w:rPr>
                <w:color w:val="auto"/>
                <w:kern w:val="2"/>
                <w:highlight w:val="none"/>
              </w:rPr>
            </w:pPr>
            <w:r>
              <w:rPr>
                <w:color w:val="auto"/>
                <w:kern w:val="2"/>
                <w:highlight w:val="none"/>
              </w:rPr>
              <w:t>-c</w:t>
            </w:r>
          </w:p>
        </w:tc>
        <w:tc>
          <w:tcPr>
            <w:tcW w:w="2125" w:type="dxa"/>
            <w:tcBorders>
              <w:top w:val="single" w:color="000000" w:sz="4" w:space="0"/>
              <w:left w:val="nil"/>
              <w:bottom w:val="single" w:color="000000" w:sz="4" w:space="0"/>
              <w:right w:val="single" w:color="000000" w:sz="4" w:space="0"/>
            </w:tcBorders>
            <w:vAlign w:val="center"/>
          </w:tcPr>
          <w:p w14:paraId="1EB64B4A">
            <w:pPr>
              <w:jc w:val="center"/>
              <w:rPr>
                <w:color w:val="auto"/>
                <w:kern w:val="2"/>
                <w:highlight w:val="none"/>
              </w:rPr>
            </w:pPr>
            <w:r>
              <w:rPr>
                <w:color w:val="auto"/>
                <w:kern w:val="2"/>
                <w:highlight w:val="none"/>
              </w:rPr>
              <w:t>地震法</w:t>
            </w:r>
          </w:p>
        </w:tc>
        <w:tc>
          <w:tcPr>
            <w:tcW w:w="923" w:type="dxa"/>
            <w:tcBorders>
              <w:top w:val="single" w:color="000000" w:sz="4" w:space="0"/>
              <w:left w:val="nil"/>
              <w:bottom w:val="single" w:color="000000" w:sz="4" w:space="0"/>
              <w:right w:val="single" w:color="000000" w:sz="4" w:space="0"/>
            </w:tcBorders>
            <w:vAlign w:val="center"/>
          </w:tcPr>
          <w:p w14:paraId="13EBC04B">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520F49E8">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C44FF09">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1551A6FC">
            <w:pPr>
              <w:jc w:val="center"/>
              <w:rPr>
                <w:color w:val="auto"/>
                <w:kern w:val="2"/>
                <w:highlight w:val="none"/>
              </w:rPr>
            </w:pPr>
          </w:p>
        </w:tc>
      </w:tr>
      <w:tr w14:paraId="13302AB0">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A4CDBB5">
            <w:pPr>
              <w:jc w:val="center"/>
              <w:rPr>
                <w:color w:val="auto"/>
                <w:kern w:val="2"/>
                <w:highlight w:val="none"/>
              </w:rPr>
            </w:pPr>
            <w:r>
              <w:rPr>
                <w:color w:val="auto"/>
                <w:kern w:val="2"/>
                <w:highlight w:val="none"/>
              </w:rPr>
              <w:t>-d</w:t>
            </w:r>
          </w:p>
        </w:tc>
        <w:tc>
          <w:tcPr>
            <w:tcW w:w="2125" w:type="dxa"/>
            <w:tcBorders>
              <w:top w:val="single" w:color="000000" w:sz="4" w:space="0"/>
              <w:left w:val="nil"/>
              <w:bottom w:val="single" w:color="000000" w:sz="4" w:space="0"/>
              <w:right w:val="single" w:color="000000" w:sz="4" w:space="0"/>
            </w:tcBorders>
            <w:vAlign w:val="center"/>
          </w:tcPr>
          <w:p w14:paraId="752D911C">
            <w:pPr>
              <w:jc w:val="center"/>
              <w:rPr>
                <w:color w:val="auto"/>
                <w:kern w:val="2"/>
                <w:highlight w:val="none"/>
              </w:rPr>
            </w:pPr>
            <w:r>
              <w:rPr>
                <w:color w:val="auto"/>
                <w:kern w:val="2"/>
                <w:highlight w:val="none"/>
              </w:rPr>
              <w:t>-声波</w:t>
            </w:r>
          </w:p>
        </w:tc>
        <w:tc>
          <w:tcPr>
            <w:tcW w:w="923" w:type="dxa"/>
            <w:tcBorders>
              <w:top w:val="single" w:color="000000" w:sz="4" w:space="0"/>
              <w:left w:val="nil"/>
              <w:bottom w:val="single" w:color="000000" w:sz="4" w:space="0"/>
              <w:right w:val="single" w:color="000000" w:sz="4" w:space="0"/>
            </w:tcBorders>
            <w:vAlign w:val="center"/>
          </w:tcPr>
          <w:p w14:paraId="2D13B929">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2AEE7024">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3453EF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658859E5">
            <w:pPr>
              <w:jc w:val="center"/>
              <w:rPr>
                <w:color w:val="auto"/>
                <w:kern w:val="2"/>
                <w:highlight w:val="none"/>
              </w:rPr>
            </w:pPr>
          </w:p>
        </w:tc>
      </w:tr>
      <w:tr w14:paraId="0189094C">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0664F24">
            <w:pPr>
              <w:jc w:val="center"/>
              <w:rPr>
                <w:color w:val="auto"/>
                <w:kern w:val="2"/>
                <w:highlight w:val="none"/>
              </w:rPr>
            </w:pPr>
            <w:r>
              <w:rPr>
                <w:color w:val="auto"/>
                <w:kern w:val="2"/>
                <w:highlight w:val="none"/>
              </w:rPr>
              <w:t>-e</w:t>
            </w:r>
          </w:p>
        </w:tc>
        <w:tc>
          <w:tcPr>
            <w:tcW w:w="2125" w:type="dxa"/>
            <w:tcBorders>
              <w:top w:val="single" w:color="000000" w:sz="4" w:space="0"/>
              <w:left w:val="nil"/>
              <w:bottom w:val="single" w:color="000000" w:sz="4" w:space="0"/>
              <w:right w:val="single" w:color="000000" w:sz="4" w:space="0"/>
            </w:tcBorders>
            <w:vAlign w:val="center"/>
          </w:tcPr>
          <w:p w14:paraId="16CFFBCF">
            <w:pPr>
              <w:jc w:val="center"/>
              <w:rPr>
                <w:color w:val="auto"/>
                <w:kern w:val="2"/>
                <w:highlight w:val="none"/>
              </w:rPr>
            </w:pPr>
            <w:r>
              <w:rPr>
                <w:color w:val="auto"/>
                <w:kern w:val="2"/>
                <w:highlight w:val="none"/>
              </w:rPr>
              <w:t>-测井</w:t>
            </w:r>
          </w:p>
        </w:tc>
        <w:tc>
          <w:tcPr>
            <w:tcW w:w="923" w:type="dxa"/>
            <w:tcBorders>
              <w:top w:val="single" w:color="000000" w:sz="4" w:space="0"/>
              <w:left w:val="nil"/>
              <w:bottom w:val="single" w:color="000000" w:sz="4" w:space="0"/>
              <w:right w:val="single" w:color="000000" w:sz="4" w:space="0"/>
            </w:tcBorders>
            <w:vAlign w:val="center"/>
          </w:tcPr>
          <w:p w14:paraId="1AB885CB">
            <w:pPr>
              <w:jc w:val="center"/>
              <w:rPr>
                <w:color w:val="auto"/>
                <w:kern w:val="2"/>
                <w:highlight w:val="none"/>
              </w:rPr>
            </w:pPr>
            <w:r>
              <w:rPr>
                <w:color w:val="auto"/>
                <w:kern w:val="2"/>
                <w:highlight w:val="none"/>
              </w:rPr>
              <w:t>点</w:t>
            </w:r>
          </w:p>
        </w:tc>
        <w:tc>
          <w:tcPr>
            <w:tcW w:w="1389" w:type="dxa"/>
            <w:tcBorders>
              <w:top w:val="single" w:color="000000" w:sz="4" w:space="0"/>
              <w:left w:val="nil"/>
              <w:bottom w:val="single" w:color="000000" w:sz="4" w:space="0"/>
              <w:right w:val="single" w:color="000000" w:sz="4" w:space="0"/>
            </w:tcBorders>
            <w:vAlign w:val="center"/>
          </w:tcPr>
          <w:p w14:paraId="07764C05">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12CE84F7">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FEAE474">
            <w:pPr>
              <w:jc w:val="center"/>
              <w:rPr>
                <w:color w:val="auto"/>
                <w:kern w:val="2"/>
                <w:highlight w:val="none"/>
              </w:rPr>
            </w:pPr>
          </w:p>
        </w:tc>
      </w:tr>
      <w:tr w14:paraId="5E0E2FEE">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97BD1A3">
            <w:pPr>
              <w:jc w:val="center"/>
              <w:rPr>
                <w:color w:val="auto"/>
                <w:kern w:val="2"/>
                <w:highlight w:val="none"/>
              </w:rPr>
            </w:pPr>
            <w:r>
              <w:rPr>
                <w:color w:val="auto"/>
                <w:kern w:val="2"/>
                <w:highlight w:val="none"/>
              </w:rPr>
              <w:t>-f</w:t>
            </w:r>
          </w:p>
        </w:tc>
        <w:tc>
          <w:tcPr>
            <w:tcW w:w="2125" w:type="dxa"/>
            <w:tcBorders>
              <w:top w:val="single" w:color="000000" w:sz="4" w:space="0"/>
              <w:left w:val="nil"/>
              <w:bottom w:val="single" w:color="000000" w:sz="4" w:space="0"/>
              <w:right w:val="single" w:color="000000" w:sz="4" w:space="0"/>
            </w:tcBorders>
            <w:vAlign w:val="center"/>
          </w:tcPr>
          <w:p w14:paraId="7B734CE0">
            <w:pPr>
              <w:jc w:val="center"/>
              <w:rPr>
                <w:color w:val="auto"/>
                <w:kern w:val="2"/>
                <w:highlight w:val="none"/>
              </w:rPr>
            </w:pPr>
            <w:r>
              <w:rPr>
                <w:color w:val="auto"/>
                <w:kern w:val="2"/>
                <w:highlight w:val="none"/>
              </w:rPr>
              <w:t>测井</w:t>
            </w:r>
          </w:p>
        </w:tc>
        <w:tc>
          <w:tcPr>
            <w:tcW w:w="923" w:type="dxa"/>
            <w:tcBorders>
              <w:top w:val="single" w:color="000000" w:sz="4" w:space="0"/>
              <w:left w:val="nil"/>
              <w:bottom w:val="single" w:color="000000" w:sz="4" w:space="0"/>
              <w:right w:val="single" w:color="000000" w:sz="4" w:space="0"/>
            </w:tcBorders>
            <w:vAlign w:val="center"/>
          </w:tcPr>
          <w:p w14:paraId="3E17D7CB">
            <w:pPr>
              <w:jc w:val="center"/>
              <w:rPr>
                <w:color w:val="auto"/>
                <w:kern w:val="2"/>
                <w:highlight w:val="none"/>
              </w:rPr>
            </w:pPr>
            <w:r>
              <w:rPr>
                <w:color w:val="auto"/>
                <w:kern w:val="2"/>
                <w:highlight w:val="none"/>
              </w:rPr>
              <w:t>M</w:t>
            </w:r>
          </w:p>
        </w:tc>
        <w:tc>
          <w:tcPr>
            <w:tcW w:w="1389" w:type="dxa"/>
            <w:tcBorders>
              <w:top w:val="single" w:color="000000" w:sz="4" w:space="0"/>
              <w:left w:val="nil"/>
              <w:bottom w:val="single" w:color="000000" w:sz="4" w:space="0"/>
              <w:right w:val="single" w:color="000000" w:sz="4" w:space="0"/>
            </w:tcBorders>
            <w:vAlign w:val="center"/>
          </w:tcPr>
          <w:p w14:paraId="0B3B18D0">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1A294CD">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04B8A71">
            <w:pPr>
              <w:jc w:val="center"/>
              <w:rPr>
                <w:color w:val="auto"/>
                <w:kern w:val="2"/>
                <w:highlight w:val="none"/>
              </w:rPr>
            </w:pPr>
          </w:p>
        </w:tc>
      </w:tr>
      <w:tr w14:paraId="4CCDD7FF">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A790BB4">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5F84CCC1">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3CBF4FDD">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2205ACEA">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35036CA3">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61A42EC0">
            <w:pPr>
              <w:jc w:val="center"/>
              <w:rPr>
                <w:color w:val="auto"/>
                <w:kern w:val="2"/>
                <w:highlight w:val="none"/>
              </w:rPr>
            </w:pPr>
          </w:p>
        </w:tc>
      </w:tr>
      <w:tr w14:paraId="217FBFB9">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07E7DB9E">
            <w:pPr>
              <w:jc w:val="center"/>
              <w:rPr>
                <w:color w:val="auto"/>
                <w:kern w:val="2"/>
                <w:highlight w:val="none"/>
              </w:rPr>
            </w:pPr>
            <w:r>
              <w:rPr>
                <w:color w:val="auto"/>
                <w:kern w:val="2"/>
                <w:highlight w:val="none"/>
              </w:rPr>
              <w:t>6</w:t>
            </w:r>
          </w:p>
        </w:tc>
        <w:tc>
          <w:tcPr>
            <w:tcW w:w="2125" w:type="dxa"/>
            <w:tcBorders>
              <w:top w:val="single" w:color="000000" w:sz="4" w:space="0"/>
              <w:left w:val="nil"/>
              <w:bottom w:val="single" w:color="000000" w:sz="4" w:space="0"/>
              <w:right w:val="single" w:color="000000" w:sz="4" w:space="0"/>
            </w:tcBorders>
            <w:vAlign w:val="center"/>
          </w:tcPr>
          <w:p w14:paraId="3C62FD1B">
            <w:pPr>
              <w:jc w:val="center"/>
              <w:rPr>
                <w:color w:val="auto"/>
                <w:kern w:val="2"/>
                <w:highlight w:val="none"/>
              </w:rPr>
            </w:pPr>
            <w:r>
              <w:rPr>
                <w:color w:val="auto"/>
                <w:kern w:val="2"/>
                <w:highlight w:val="none"/>
              </w:rPr>
              <w:t>初测</w:t>
            </w:r>
          </w:p>
        </w:tc>
        <w:tc>
          <w:tcPr>
            <w:tcW w:w="923" w:type="dxa"/>
            <w:tcBorders>
              <w:top w:val="single" w:color="000000" w:sz="4" w:space="0"/>
              <w:left w:val="nil"/>
              <w:bottom w:val="single" w:color="000000" w:sz="4" w:space="0"/>
              <w:right w:val="single" w:color="000000" w:sz="4" w:space="0"/>
            </w:tcBorders>
            <w:vAlign w:val="center"/>
          </w:tcPr>
          <w:p w14:paraId="61260A4F">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60427A72">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60106335">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EC7C89C">
            <w:pPr>
              <w:jc w:val="center"/>
              <w:rPr>
                <w:color w:val="auto"/>
                <w:kern w:val="2"/>
                <w:highlight w:val="none"/>
              </w:rPr>
            </w:pPr>
          </w:p>
        </w:tc>
      </w:tr>
      <w:tr w14:paraId="17F2B5CB">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51540646">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49AB9F03">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5FA3A634">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7196050E">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748E281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568B580">
            <w:pPr>
              <w:jc w:val="center"/>
              <w:rPr>
                <w:color w:val="auto"/>
                <w:kern w:val="2"/>
                <w:highlight w:val="none"/>
              </w:rPr>
            </w:pPr>
          </w:p>
        </w:tc>
      </w:tr>
      <w:tr w14:paraId="0EDA03D3">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60CD1377">
            <w:pPr>
              <w:jc w:val="center"/>
              <w:rPr>
                <w:color w:val="auto"/>
                <w:kern w:val="2"/>
                <w:highlight w:val="none"/>
              </w:rPr>
            </w:pPr>
            <w:r>
              <w:rPr>
                <w:color w:val="auto"/>
                <w:kern w:val="2"/>
                <w:highlight w:val="none"/>
              </w:rPr>
              <w:t>7</w:t>
            </w:r>
          </w:p>
        </w:tc>
        <w:tc>
          <w:tcPr>
            <w:tcW w:w="2125" w:type="dxa"/>
            <w:tcBorders>
              <w:top w:val="single" w:color="000000" w:sz="4" w:space="0"/>
              <w:left w:val="nil"/>
              <w:bottom w:val="single" w:color="000000" w:sz="4" w:space="0"/>
              <w:right w:val="single" w:color="000000" w:sz="4" w:space="0"/>
            </w:tcBorders>
            <w:vAlign w:val="center"/>
          </w:tcPr>
          <w:p w14:paraId="5C1A8767">
            <w:pPr>
              <w:jc w:val="center"/>
              <w:rPr>
                <w:color w:val="auto"/>
                <w:kern w:val="2"/>
                <w:highlight w:val="none"/>
              </w:rPr>
            </w:pPr>
            <w:r>
              <w:rPr>
                <w:color w:val="auto"/>
                <w:kern w:val="2"/>
                <w:highlight w:val="none"/>
              </w:rPr>
              <w:t>定测</w:t>
            </w:r>
          </w:p>
        </w:tc>
        <w:tc>
          <w:tcPr>
            <w:tcW w:w="923" w:type="dxa"/>
            <w:tcBorders>
              <w:top w:val="single" w:color="000000" w:sz="4" w:space="0"/>
              <w:left w:val="nil"/>
              <w:bottom w:val="single" w:color="000000" w:sz="4" w:space="0"/>
              <w:right w:val="single" w:color="000000" w:sz="4" w:space="0"/>
            </w:tcBorders>
            <w:vAlign w:val="center"/>
          </w:tcPr>
          <w:p w14:paraId="129AE497">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7FB2D01B">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DBA82A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7F077C3E">
            <w:pPr>
              <w:jc w:val="center"/>
              <w:rPr>
                <w:color w:val="auto"/>
                <w:kern w:val="2"/>
                <w:highlight w:val="none"/>
              </w:rPr>
            </w:pPr>
          </w:p>
        </w:tc>
      </w:tr>
      <w:tr w14:paraId="6D7DDCC9">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6FFB6FDF">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5E78CA47">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2C98AA57">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1FE180CF">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8C54060">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23A26B24">
            <w:pPr>
              <w:jc w:val="center"/>
              <w:rPr>
                <w:color w:val="auto"/>
                <w:kern w:val="2"/>
                <w:highlight w:val="none"/>
              </w:rPr>
            </w:pPr>
          </w:p>
        </w:tc>
      </w:tr>
      <w:tr w14:paraId="0C1D3A38">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457981B5">
            <w:pPr>
              <w:jc w:val="center"/>
              <w:rPr>
                <w:color w:val="auto"/>
                <w:kern w:val="2"/>
                <w:highlight w:val="none"/>
              </w:rPr>
            </w:pPr>
            <w:r>
              <w:rPr>
                <w:color w:val="auto"/>
                <w:kern w:val="2"/>
                <w:highlight w:val="none"/>
              </w:rPr>
              <w:t>8</w:t>
            </w:r>
          </w:p>
        </w:tc>
        <w:tc>
          <w:tcPr>
            <w:tcW w:w="2125" w:type="dxa"/>
            <w:tcBorders>
              <w:top w:val="single" w:color="000000" w:sz="4" w:space="0"/>
              <w:left w:val="nil"/>
              <w:bottom w:val="single" w:color="000000" w:sz="4" w:space="0"/>
              <w:right w:val="single" w:color="000000" w:sz="4" w:space="0"/>
            </w:tcBorders>
            <w:vAlign w:val="center"/>
          </w:tcPr>
          <w:p w14:paraId="7AE84BD9">
            <w:pPr>
              <w:jc w:val="center"/>
              <w:rPr>
                <w:color w:val="auto"/>
                <w:kern w:val="2"/>
                <w:highlight w:val="none"/>
              </w:rPr>
            </w:pPr>
            <w:r>
              <w:rPr>
                <w:color w:val="auto"/>
                <w:kern w:val="2"/>
                <w:highlight w:val="none"/>
              </w:rPr>
              <w:t>一次定测(如有)</w:t>
            </w:r>
          </w:p>
        </w:tc>
        <w:tc>
          <w:tcPr>
            <w:tcW w:w="923" w:type="dxa"/>
            <w:tcBorders>
              <w:top w:val="single" w:color="000000" w:sz="4" w:space="0"/>
              <w:left w:val="nil"/>
              <w:bottom w:val="single" w:color="000000" w:sz="4" w:space="0"/>
              <w:right w:val="single" w:color="000000" w:sz="4" w:space="0"/>
            </w:tcBorders>
            <w:vAlign w:val="center"/>
          </w:tcPr>
          <w:p w14:paraId="2F68BEB2">
            <w:pPr>
              <w:jc w:val="center"/>
              <w:rPr>
                <w:color w:val="auto"/>
                <w:kern w:val="2"/>
                <w:highlight w:val="none"/>
              </w:rPr>
            </w:pPr>
            <w:r>
              <w:rPr>
                <w:color w:val="auto"/>
                <w:kern w:val="2"/>
                <w:highlight w:val="none"/>
              </w:rPr>
              <w:t>Km</w:t>
            </w:r>
          </w:p>
        </w:tc>
        <w:tc>
          <w:tcPr>
            <w:tcW w:w="1389" w:type="dxa"/>
            <w:tcBorders>
              <w:top w:val="single" w:color="000000" w:sz="4" w:space="0"/>
              <w:left w:val="nil"/>
              <w:bottom w:val="single" w:color="000000" w:sz="4" w:space="0"/>
              <w:right w:val="single" w:color="000000" w:sz="4" w:space="0"/>
            </w:tcBorders>
            <w:vAlign w:val="center"/>
          </w:tcPr>
          <w:p w14:paraId="73CFCBA7">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4CF86DDC">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12FBF9EA">
            <w:pPr>
              <w:jc w:val="center"/>
              <w:rPr>
                <w:color w:val="auto"/>
                <w:kern w:val="2"/>
                <w:highlight w:val="none"/>
              </w:rPr>
            </w:pPr>
          </w:p>
        </w:tc>
      </w:tr>
      <w:tr w14:paraId="7759F233">
        <w:tblPrEx>
          <w:tblCellMar>
            <w:top w:w="0" w:type="dxa"/>
            <w:left w:w="0" w:type="dxa"/>
            <w:bottom w:w="0" w:type="dxa"/>
            <w:right w:w="0" w:type="dxa"/>
          </w:tblCellMar>
        </w:tblPrEx>
        <w:trPr>
          <w:trHeight w:val="449" w:hRule="atLeast"/>
          <w:jc w:val="center"/>
        </w:trPr>
        <w:tc>
          <w:tcPr>
            <w:tcW w:w="1111" w:type="dxa"/>
            <w:tcBorders>
              <w:top w:val="single" w:color="000000" w:sz="4" w:space="0"/>
              <w:left w:val="single" w:color="000000" w:sz="4" w:space="0"/>
              <w:bottom w:val="single" w:color="000000" w:sz="4" w:space="0"/>
              <w:right w:val="single" w:color="000000" w:sz="4" w:space="0"/>
            </w:tcBorders>
            <w:vAlign w:val="center"/>
          </w:tcPr>
          <w:p w14:paraId="7FBBE883">
            <w:pPr>
              <w:jc w:val="center"/>
              <w:rPr>
                <w:color w:val="auto"/>
                <w:kern w:val="2"/>
                <w:highlight w:val="none"/>
              </w:rPr>
            </w:pPr>
          </w:p>
        </w:tc>
        <w:tc>
          <w:tcPr>
            <w:tcW w:w="2125" w:type="dxa"/>
            <w:tcBorders>
              <w:top w:val="single" w:color="000000" w:sz="4" w:space="0"/>
              <w:left w:val="nil"/>
              <w:bottom w:val="single" w:color="000000" w:sz="4" w:space="0"/>
              <w:right w:val="single" w:color="000000" w:sz="4" w:space="0"/>
            </w:tcBorders>
            <w:vAlign w:val="center"/>
          </w:tcPr>
          <w:p w14:paraId="3504DEE3">
            <w:pPr>
              <w:jc w:val="center"/>
              <w:rPr>
                <w:color w:val="auto"/>
                <w:kern w:val="2"/>
                <w:highlight w:val="none"/>
              </w:rPr>
            </w:pPr>
            <w:r>
              <w:rPr>
                <w:color w:val="auto"/>
                <w:kern w:val="2"/>
                <w:highlight w:val="none"/>
              </w:rPr>
              <w:t>…</w:t>
            </w:r>
          </w:p>
        </w:tc>
        <w:tc>
          <w:tcPr>
            <w:tcW w:w="923" w:type="dxa"/>
            <w:tcBorders>
              <w:top w:val="single" w:color="000000" w:sz="4" w:space="0"/>
              <w:left w:val="nil"/>
              <w:bottom w:val="single" w:color="000000" w:sz="4" w:space="0"/>
              <w:right w:val="single" w:color="000000" w:sz="4" w:space="0"/>
            </w:tcBorders>
            <w:vAlign w:val="center"/>
          </w:tcPr>
          <w:p w14:paraId="4EB73E87">
            <w:pPr>
              <w:jc w:val="center"/>
              <w:rPr>
                <w:color w:val="auto"/>
                <w:kern w:val="2"/>
                <w:highlight w:val="none"/>
              </w:rPr>
            </w:pPr>
          </w:p>
        </w:tc>
        <w:tc>
          <w:tcPr>
            <w:tcW w:w="1389" w:type="dxa"/>
            <w:tcBorders>
              <w:top w:val="single" w:color="000000" w:sz="4" w:space="0"/>
              <w:left w:val="nil"/>
              <w:bottom w:val="single" w:color="000000" w:sz="4" w:space="0"/>
              <w:right w:val="single" w:color="000000" w:sz="4" w:space="0"/>
            </w:tcBorders>
            <w:vAlign w:val="center"/>
          </w:tcPr>
          <w:p w14:paraId="39162BA1">
            <w:pPr>
              <w:jc w:val="center"/>
              <w:rPr>
                <w:color w:val="auto"/>
                <w:kern w:val="2"/>
                <w:highlight w:val="none"/>
              </w:rPr>
            </w:pPr>
          </w:p>
        </w:tc>
        <w:tc>
          <w:tcPr>
            <w:tcW w:w="1388" w:type="dxa"/>
            <w:tcBorders>
              <w:top w:val="single" w:color="000000" w:sz="4" w:space="0"/>
              <w:left w:val="nil"/>
              <w:bottom w:val="single" w:color="000000" w:sz="4" w:space="0"/>
              <w:right w:val="single" w:color="000000" w:sz="4" w:space="0"/>
            </w:tcBorders>
            <w:vAlign w:val="center"/>
          </w:tcPr>
          <w:p w14:paraId="0B46B9BA">
            <w:pPr>
              <w:jc w:val="center"/>
              <w:rPr>
                <w:color w:val="auto"/>
                <w:kern w:val="2"/>
                <w:highlight w:val="none"/>
              </w:rPr>
            </w:pPr>
          </w:p>
        </w:tc>
        <w:tc>
          <w:tcPr>
            <w:tcW w:w="1386" w:type="dxa"/>
            <w:tcBorders>
              <w:top w:val="single" w:color="000000" w:sz="4" w:space="0"/>
              <w:left w:val="nil"/>
              <w:bottom w:val="single" w:color="000000" w:sz="4" w:space="0"/>
              <w:right w:val="single" w:color="000000" w:sz="4" w:space="0"/>
            </w:tcBorders>
            <w:vAlign w:val="center"/>
          </w:tcPr>
          <w:p w14:paraId="457A0E9A">
            <w:pPr>
              <w:jc w:val="center"/>
              <w:rPr>
                <w:color w:val="auto"/>
                <w:kern w:val="2"/>
                <w:highlight w:val="none"/>
              </w:rPr>
            </w:pPr>
          </w:p>
        </w:tc>
      </w:tr>
      <w:tr w14:paraId="3A67A40C">
        <w:tblPrEx>
          <w:tblCellMar>
            <w:top w:w="0" w:type="dxa"/>
            <w:left w:w="0" w:type="dxa"/>
            <w:bottom w:w="0" w:type="dxa"/>
            <w:right w:w="0" w:type="dxa"/>
          </w:tblCellMar>
        </w:tblPrEx>
        <w:trPr>
          <w:trHeight w:val="449" w:hRule="atLeast"/>
          <w:jc w:val="center"/>
        </w:trPr>
        <w:tc>
          <w:tcPr>
            <w:tcW w:w="6936" w:type="dxa"/>
            <w:gridSpan w:val="5"/>
            <w:tcBorders>
              <w:top w:val="single" w:color="000000" w:sz="4" w:space="0"/>
              <w:left w:val="single" w:color="000000" w:sz="4" w:space="0"/>
              <w:bottom w:val="single" w:color="000000" w:sz="4" w:space="0"/>
              <w:right w:val="single" w:color="000000" w:sz="4" w:space="0"/>
            </w:tcBorders>
            <w:vAlign w:val="center"/>
          </w:tcPr>
          <w:p w14:paraId="6F44570E">
            <w:pPr>
              <w:jc w:val="center"/>
              <w:rPr>
                <w:color w:val="auto"/>
                <w:kern w:val="2"/>
                <w:highlight w:val="none"/>
              </w:rPr>
            </w:pPr>
            <w:r>
              <w:rPr>
                <w:b/>
                <w:color w:val="auto"/>
                <w:kern w:val="2"/>
                <w:highlight w:val="none"/>
              </w:rPr>
              <w:t>合计</w:t>
            </w:r>
          </w:p>
        </w:tc>
        <w:tc>
          <w:tcPr>
            <w:tcW w:w="1386" w:type="dxa"/>
            <w:tcBorders>
              <w:top w:val="single" w:color="000000" w:sz="4" w:space="0"/>
              <w:left w:val="nil"/>
              <w:bottom w:val="single" w:color="000000" w:sz="4" w:space="0"/>
              <w:right w:val="single" w:color="000000" w:sz="4" w:space="0"/>
            </w:tcBorders>
            <w:vAlign w:val="center"/>
          </w:tcPr>
          <w:p w14:paraId="506B7CF3">
            <w:pPr>
              <w:jc w:val="center"/>
              <w:rPr>
                <w:color w:val="auto"/>
                <w:kern w:val="2"/>
                <w:highlight w:val="none"/>
              </w:rPr>
            </w:pPr>
          </w:p>
        </w:tc>
      </w:tr>
    </w:tbl>
    <w:p w14:paraId="50C8151E">
      <w:pPr>
        <w:rPr>
          <w:rFonts w:cs="Times New Roman"/>
          <w:color w:val="auto"/>
          <w:sz w:val="18"/>
          <w:szCs w:val="18"/>
          <w:highlight w:val="none"/>
        </w:rPr>
      </w:pPr>
      <w:r>
        <w:rPr>
          <w:rFonts w:hint="eastAsia"/>
          <w:color w:val="auto"/>
          <w:sz w:val="18"/>
          <w:szCs w:val="18"/>
          <w:highlight w:val="none"/>
        </w:rPr>
        <w:t xml:space="preserve"> </w:t>
      </w:r>
    </w:p>
    <w:p w14:paraId="2D4757E9">
      <w:pPr>
        <w:rPr>
          <w:color w:val="auto"/>
          <w:sz w:val="24"/>
          <w:szCs w:val="24"/>
          <w:highlight w:val="none"/>
          <w:lang w:eastAsia="zh-CN"/>
        </w:rPr>
      </w:pPr>
      <w:r>
        <w:rPr>
          <w:rFonts w:hint="eastAsia"/>
          <w:color w:val="auto"/>
          <w:sz w:val="24"/>
          <w:szCs w:val="24"/>
          <w:highlight w:val="none"/>
          <w:lang w:eastAsia="zh-CN"/>
        </w:rPr>
        <w:t>注：本清单格式仅为示例，投标人应根据本招标项目工程特点、按照《公路工程地质勘察规范》、《公路勘测规范》、《公路勘测细则》及合同条款的相关规定，核实勘测工作内容及工作量，分别列出并填写本表各勘测项目的分项及子项。同时，投标人应将详细的计算说明（包括每一分项、子项的计算依据及计算过程等）附在报价文件后面。</w:t>
      </w:r>
    </w:p>
    <w:p w14:paraId="43AE6995">
      <w:pPr>
        <w:spacing w:line="360" w:lineRule="auto"/>
        <w:jc w:val="center"/>
        <w:rPr>
          <w:color w:val="auto"/>
          <w:highlight w:val="none"/>
          <w:lang w:eastAsia="zh-CN"/>
        </w:rPr>
      </w:pPr>
      <w:r>
        <w:rPr>
          <w:b/>
          <w:bCs/>
          <w:color w:val="auto"/>
          <w:sz w:val="28"/>
          <w:szCs w:val="28"/>
          <w:highlight w:val="none"/>
          <w:lang w:eastAsia="zh-CN"/>
        </w:rPr>
        <w:br w:type="page"/>
      </w:r>
    </w:p>
    <w:p w14:paraId="672FC754">
      <w:pPr>
        <w:jc w:val="center"/>
        <w:outlineLvl w:val="9"/>
        <w:rPr>
          <w:b/>
          <w:color w:val="auto"/>
          <w:spacing w:val="-3"/>
          <w:sz w:val="28"/>
          <w:szCs w:val="28"/>
          <w:highlight w:val="none"/>
          <w:lang w:eastAsia="zh-CN"/>
        </w:rPr>
      </w:pPr>
      <w:r>
        <w:rPr>
          <w:rFonts w:hint="eastAsia"/>
          <w:b/>
          <w:color w:val="auto"/>
          <w:spacing w:val="-3"/>
          <w:sz w:val="28"/>
          <w:szCs w:val="28"/>
          <w:highlight w:val="none"/>
          <w:lang w:eastAsia="zh-CN"/>
        </w:rPr>
        <w:t>（三）公路工程设计工作报价清单表</w:t>
      </w:r>
    </w:p>
    <w:p w14:paraId="37E7392F">
      <w:pPr>
        <w:rPr>
          <w:color w:val="auto"/>
          <w:sz w:val="24"/>
          <w:szCs w:val="24"/>
          <w:highlight w:val="none"/>
        </w:rPr>
      </w:pPr>
      <w:r>
        <w:rPr>
          <w:rFonts w:hint="eastAsia"/>
          <w:bCs/>
          <w:color w:val="auto"/>
          <w:highlight w:val="none"/>
          <w:lang w:eastAsia="zh-CN"/>
        </w:rPr>
        <w:t xml:space="preserve">                                                   </w:t>
      </w:r>
      <w:r>
        <w:rPr>
          <w:rFonts w:hint="eastAsia"/>
          <w:bCs/>
          <w:color w:val="auto"/>
          <w:highlight w:val="none"/>
        </w:rPr>
        <w:t>单位：元（人民币）</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1"/>
        <w:gridCol w:w="2392"/>
        <w:gridCol w:w="1614"/>
        <w:gridCol w:w="1271"/>
        <w:gridCol w:w="1262"/>
        <w:gridCol w:w="1223"/>
      </w:tblGrid>
      <w:tr w14:paraId="08DAF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0752CFE">
            <w:pPr>
              <w:jc w:val="center"/>
              <w:rPr>
                <w:rFonts w:ascii="Times New Roman" w:hAnsi="Times New Roman"/>
                <w:b/>
                <w:color w:val="auto"/>
                <w:kern w:val="2"/>
                <w:highlight w:val="none"/>
              </w:rPr>
            </w:pPr>
            <w:r>
              <w:rPr>
                <w:rFonts w:hint="eastAsia"/>
                <w:b/>
                <w:color w:val="auto"/>
                <w:kern w:val="2"/>
                <w:highlight w:val="none"/>
              </w:rPr>
              <w:t>序</w:t>
            </w:r>
            <w:r>
              <w:rPr>
                <w:b/>
                <w:color w:val="auto"/>
                <w:kern w:val="2"/>
                <w:highlight w:val="none"/>
              </w:rPr>
              <w:t>号</w:t>
            </w:r>
          </w:p>
        </w:tc>
        <w:tc>
          <w:tcPr>
            <w:tcW w:w="2392" w:type="dxa"/>
            <w:tcBorders>
              <w:top w:val="single" w:color="auto" w:sz="4" w:space="0"/>
              <w:left w:val="single" w:color="auto" w:sz="4" w:space="0"/>
              <w:bottom w:val="single" w:color="auto" w:sz="4" w:space="0"/>
              <w:right w:val="single" w:color="auto" w:sz="4" w:space="0"/>
            </w:tcBorders>
            <w:vAlign w:val="center"/>
          </w:tcPr>
          <w:p w14:paraId="59311DB6">
            <w:pPr>
              <w:jc w:val="center"/>
              <w:rPr>
                <w:b/>
                <w:color w:val="auto"/>
                <w:kern w:val="2"/>
                <w:highlight w:val="none"/>
              </w:rPr>
            </w:pPr>
            <w:r>
              <w:rPr>
                <w:b/>
                <w:color w:val="auto"/>
                <w:kern w:val="2"/>
                <w:highlight w:val="none"/>
              </w:rPr>
              <w:t>项目</w:t>
            </w:r>
            <w:r>
              <w:rPr>
                <w:rFonts w:hint="eastAsia"/>
                <w:b/>
                <w:color w:val="auto"/>
                <w:kern w:val="2"/>
                <w:highlight w:val="none"/>
              </w:rPr>
              <w:t>名称</w:t>
            </w:r>
          </w:p>
        </w:tc>
        <w:tc>
          <w:tcPr>
            <w:tcW w:w="1614" w:type="dxa"/>
            <w:tcBorders>
              <w:top w:val="single" w:color="auto" w:sz="4" w:space="0"/>
              <w:left w:val="single" w:color="auto" w:sz="4" w:space="0"/>
              <w:bottom w:val="single" w:color="auto" w:sz="4" w:space="0"/>
              <w:right w:val="single" w:color="auto" w:sz="4" w:space="0"/>
            </w:tcBorders>
            <w:vAlign w:val="center"/>
          </w:tcPr>
          <w:p w14:paraId="7DCC4EE5">
            <w:pPr>
              <w:jc w:val="center"/>
              <w:rPr>
                <w:rFonts w:ascii="Times New Roman" w:hAnsi="Times New Roman"/>
                <w:b/>
                <w:color w:val="auto"/>
                <w:kern w:val="2"/>
                <w:highlight w:val="none"/>
              </w:rPr>
            </w:pPr>
            <w:r>
              <w:rPr>
                <w:b/>
                <w:color w:val="auto"/>
                <w:kern w:val="2"/>
                <w:highlight w:val="none"/>
              </w:rPr>
              <w:t>计量单位</w:t>
            </w:r>
          </w:p>
        </w:tc>
        <w:tc>
          <w:tcPr>
            <w:tcW w:w="1271" w:type="dxa"/>
            <w:tcBorders>
              <w:top w:val="single" w:color="auto" w:sz="4" w:space="0"/>
              <w:left w:val="single" w:color="auto" w:sz="4" w:space="0"/>
              <w:bottom w:val="single" w:color="auto" w:sz="4" w:space="0"/>
              <w:right w:val="single" w:color="auto" w:sz="4" w:space="0"/>
            </w:tcBorders>
            <w:vAlign w:val="center"/>
          </w:tcPr>
          <w:p w14:paraId="1E2BBB25">
            <w:pPr>
              <w:jc w:val="center"/>
              <w:rPr>
                <w:b/>
                <w:color w:val="auto"/>
                <w:kern w:val="2"/>
                <w:highlight w:val="none"/>
              </w:rPr>
            </w:pPr>
            <w:r>
              <w:rPr>
                <w:b/>
                <w:color w:val="auto"/>
                <w:kern w:val="2"/>
                <w:highlight w:val="none"/>
              </w:rPr>
              <w:t>实物工作量</w:t>
            </w:r>
          </w:p>
        </w:tc>
        <w:tc>
          <w:tcPr>
            <w:tcW w:w="1262" w:type="dxa"/>
            <w:tcBorders>
              <w:top w:val="single" w:color="auto" w:sz="4" w:space="0"/>
              <w:left w:val="single" w:color="auto" w:sz="4" w:space="0"/>
              <w:bottom w:val="single" w:color="auto" w:sz="4" w:space="0"/>
              <w:right w:val="single" w:color="auto" w:sz="4" w:space="0"/>
            </w:tcBorders>
            <w:vAlign w:val="center"/>
          </w:tcPr>
          <w:p w14:paraId="50C44095">
            <w:pPr>
              <w:jc w:val="center"/>
              <w:rPr>
                <w:b/>
                <w:color w:val="auto"/>
                <w:kern w:val="2"/>
                <w:highlight w:val="none"/>
              </w:rPr>
            </w:pPr>
            <w:r>
              <w:rPr>
                <w:b/>
                <w:color w:val="auto"/>
                <w:kern w:val="2"/>
                <w:highlight w:val="none"/>
              </w:rPr>
              <w:t>单价金额</w:t>
            </w:r>
          </w:p>
        </w:tc>
        <w:tc>
          <w:tcPr>
            <w:tcW w:w="1223" w:type="dxa"/>
            <w:tcBorders>
              <w:top w:val="single" w:color="auto" w:sz="4" w:space="0"/>
              <w:left w:val="single" w:color="auto" w:sz="4" w:space="0"/>
              <w:bottom w:val="single" w:color="auto" w:sz="4" w:space="0"/>
              <w:right w:val="single" w:color="auto" w:sz="4" w:space="0"/>
            </w:tcBorders>
            <w:vAlign w:val="center"/>
          </w:tcPr>
          <w:p w14:paraId="7D22B72B">
            <w:pPr>
              <w:jc w:val="center"/>
              <w:rPr>
                <w:b/>
                <w:color w:val="auto"/>
                <w:kern w:val="2"/>
                <w:highlight w:val="none"/>
              </w:rPr>
            </w:pPr>
            <w:r>
              <w:rPr>
                <w:b/>
                <w:color w:val="auto"/>
                <w:kern w:val="2"/>
                <w:highlight w:val="none"/>
              </w:rPr>
              <w:t>合价金额</w:t>
            </w:r>
          </w:p>
        </w:tc>
      </w:tr>
      <w:tr w14:paraId="203A8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3E0296B">
            <w:pPr>
              <w:rPr>
                <w:b/>
                <w:color w:val="auto"/>
                <w:kern w:val="2"/>
                <w:highlight w:val="none"/>
              </w:rPr>
            </w:pPr>
            <w:r>
              <w:rPr>
                <w:rFonts w:hint="eastAsia"/>
                <w:b/>
                <w:color w:val="auto"/>
                <w:kern w:val="2"/>
                <w:highlight w:val="none"/>
              </w:rPr>
              <w:t>一</w:t>
            </w:r>
          </w:p>
        </w:tc>
        <w:tc>
          <w:tcPr>
            <w:tcW w:w="2392" w:type="dxa"/>
            <w:tcBorders>
              <w:top w:val="single" w:color="auto" w:sz="4" w:space="0"/>
              <w:left w:val="single" w:color="auto" w:sz="4" w:space="0"/>
              <w:bottom w:val="single" w:color="auto" w:sz="4" w:space="0"/>
              <w:right w:val="single" w:color="auto" w:sz="4" w:space="0"/>
            </w:tcBorders>
            <w:vAlign w:val="center"/>
          </w:tcPr>
          <w:p w14:paraId="4F61BD96">
            <w:pPr>
              <w:rPr>
                <w:b/>
                <w:color w:val="auto"/>
                <w:kern w:val="2"/>
                <w:highlight w:val="none"/>
              </w:rPr>
            </w:pPr>
            <w:r>
              <w:rPr>
                <w:rFonts w:hint="eastAsia"/>
                <w:b/>
                <w:color w:val="auto"/>
                <w:kern w:val="2"/>
                <w:highlight w:val="none"/>
              </w:rPr>
              <w:t>初步设计</w:t>
            </w:r>
          </w:p>
        </w:tc>
        <w:tc>
          <w:tcPr>
            <w:tcW w:w="1614" w:type="dxa"/>
            <w:tcBorders>
              <w:top w:val="single" w:color="auto" w:sz="4" w:space="0"/>
              <w:left w:val="single" w:color="auto" w:sz="4" w:space="0"/>
              <w:bottom w:val="single" w:color="auto" w:sz="4" w:space="0"/>
              <w:right w:val="single" w:color="auto" w:sz="4" w:space="0"/>
            </w:tcBorders>
            <w:vAlign w:val="center"/>
          </w:tcPr>
          <w:p w14:paraId="279EEBC1">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3C81BE86">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351F7C6A">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32926622">
            <w:pPr>
              <w:jc w:val="center"/>
              <w:rPr>
                <w:color w:val="auto"/>
                <w:kern w:val="2"/>
                <w:highlight w:val="none"/>
              </w:rPr>
            </w:pPr>
          </w:p>
        </w:tc>
      </w:tr>
      <w:tr w14:paraId="24552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7D92020">
            <w:pPr>
              <w:rPr>
                <w:b/>
                <w:color w:val="auto"/>
                <w:kern w:val="2"/>
                <w:highlight w:val="none"/>
              </w:rPr>
            </w:pPr>
            <w:r>
              <w:rPr>
                <w:rFonts w:hint="eastAsia"/>
                <w:b/>
                <w:color w:val="auto"/>
                <w:kern w:val="2"/>
                <w:highlight w:val="none"/>
              </w:rPr>
              <w:t>1</w:t>
            </w:r>
          </w:p>
        </w:tc>
        <w:tc>
          <w:tcPr>
            <w:tcW w:w="2392" w:type="dxa"/>
            <w:tcBorders>
              <w:top w:val="single" w:color="auto" w:sz="4" w:space="0"/>
              <w:left w:val="single" w:color="auto" w:sz="4" w:space="0"/>
              <w:bottom w:val="single" w:color="auto" w:sz="4" w:space="0"/>
              <w:right w:val="single" w:color="auto" w:sz="4" w:space="0"/>
            </w:tcBorders>
            <w:vAlign w:val="center"/>
          </w:tcPr>
          <w:p w14:paraId="1D95EE65">
            <w:pPr>
              <w:jc w:val="center"/>
              <w:rPr>
                <w:b/>
                <w:color w:val="auto"/>
                <w:kern w:val="2"/>
                <w:highlight w:val="none"/>
              </w:rPr>
            </w:pPr>
            <w:r>
              <w:rPr>
                <w:rFonts w:hint="eastAsia"/>
                <w:b/>
                <w:color w:val="auto"/>
                <w:kern w:val="2"/>
                <w:highlight w:val="none"/>
              </w:rPr>
              <w:t>公路</w:t>
            </w:r>
          </w:p>
        </w:tc>
        <w:tc>
          <w:tcPr>
            <w:tcW w:w="1614" w:type="dxa"/>
            <w:tcBorders>
              <w:top w:val="single" w:color="auto" w:sz="4" w:space="0"/>
              <w:left w:val="single" w:color="auto" w:sz="4" w:space="0"/>
              <w:bottom w:val="single" w:color="auto" w:sz="4" w:space="0"/>
              <w:right w:val="single" w:color="auto" w:sz="4" w:space="0"/>
            </w:tcBorders>
            <w:vAlign w:val="center"/>
          </w:tcPr>
          <w:p w14:paraId="4B7A0E16">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2DA15684">
            <w:pPr>
              <w:jc w:val="center"/>
              <w:rPr>
                <w:rFonts w:ascii="Times New Roman" w:hAnsi="Times New Roman"/>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61E39F10">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20AAB049">
            <w:pPr>
              <w:jc w:val="center"/>
              <w:rPr>
                <w:color w:val="auto"/>
                <w:kern w:val="2"/>
                <w:highlight w:val="none"/>
              </w:rPr>
            </w:pPr>
          </w:p>
        </w:tc>
      </w:tr>
      <w:tr w14:paraId="03144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5D634235">
            <w:pPr>
              <w:jc w:val="center"/>
              <w:rPr>
                <w:color w:val="auto"/>
                <w:kern w:val="2"/>
                <w:highlight w:val="none"/>
              </w:rPr>
            </w:pPr>
            <w:r>
              <w:rPr>
                <w:rFonts w:hint="eastAsia"/>
                <w:color w:val="auto"/>
                <w:kern w:val="2"/>
                <w:highlight w:val="none"/>
              </w:rPr>
              <w:t>-1</w:t>
            </w:r>
          </w:p>
        </w:tc>
        <w:tc>
          <w:tcPr>
            <w:tcW w:w="2392" w:type="dxa"/>
            <w:tcBorders>
              <w:top w:val="single" w:color="auto" w:sz="4" w:space="0"/>
              <w:left w:val="single" w:color="auto" w:sz="4" w:space="0"/>
              <w:bottom w:val="single" w:color="auto" w:sz="4" w:space="0"/>
              <w:right w:val="single" w:color="auto" w:sz="4" w:space="0"/>
            </w:tcBorders>
            <w:vAlign w:val="center"/>
          </w:tcPr>
          <w:p w14:paraId="712C064F">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single" w:color="auto" w:sz="4" w:space="0"/>
              <w:bottom w:val="single" w:color="auto" w:sz="4" w:space="0"/>
              <w:right w:val="single" w:color="auto" w:sz="4" w:space="0"/>
            </w:tcBorders>
            <w:vAlign w:val="center"/>
          </w:tcPr>
          <w:p w14:paraId="3DEC25E3">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0BC0F58D">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C07E554">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4AE5F588">
            <w:pPr>
              <w:jc w:val="center"/>
              <w:rPr>
                <w:color w:val="auto"/>
                <w:kern w:val="2"/>
                <w:highlight w:val="none"/>
              </w:rPr>
            </w:pPr>
          </w:p>
        </w:tc>
      </w:tr>
      <w:tr w14:paraId="763CC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DE7677C">
            <w:pPr>
              <w:jc w:val="center"/>
              <w:rPr>
                <w:color w:val="auto"/>
                <w:kern w:val="2"/>
                <w:highlight w:val="none"/>
              </w:rPr>
            </w:pPr>
            <w:r>
              <w:rPr>
                <w:rFonts w:hint="eastAsia"/>
                <w:color w:val="auto"/>
                <w:kern w:val="2"/>
                <w:highlight w:val="none"/>
              </w:rPr>
              <w:t>-2</w:t>
            </w:r>
          </w:p>
        </w:tc>
        <w:tc>
          <w:tcPr>
            <w:tcW w:w="2392" w:type="dxa"/>
            <w:tcBorders>
              <w:top w:val="single" w:color="auto" w:sz="4" w:space="0"/>
              <w:left w:val="single" w:color="auto" w:sz="4" w:space="0"/>
              <w:bottom w:val="single" w:color="auto" w:sz="4" w:space="0"/>
              <w:right w:val="single" w:color="auto" w:sz="4" w:space="0"/>
            </w:tcBorders>
            <w:vAlign w:val="center"/>
          </w:tcPr>
          <w:p w14:paraId="55F6A355">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single" w:color="auto" w:sz="4" w:space="0"/>
              <w:bottom w:val="single" w:color="auto" w:sz="4" w:space="0"/>
              <w:right w:val="single" w:color="auto" w:sz="4" w:space="0"/>
            </w:tcBorders>
            <w:vAlign w:val="center"/>
          </w:tcPr>
          <w:p w14:paraId="22B591F0">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0F97B986">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139F4E41">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25C535AB">
            <w:pPr>
              <w:jc w:val="center"/>
              <w:rPr>
                <w:color w:val="auto"/>
                <w:kern w:val="2"/>
                <w:highlight w:val="none"/>
              </w:rPr>
            </w:pPr>
          </w:p>
        </w:tc>
      </w:tr>
      <w:tr w14:paraId="189E9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5FE59B3">
            <w:pPr>
              <w:jc w:val="center"/>
              <w:rPr>
                <w:color w:val="auto"/>
                <w:kern w:val="2"/>
                <w:highlight w:val="none"/>
              </w:rPr>
            </w:pPr>
            <w:r>
              <w:rPr>
                <w:rFonts w:hint="eastAsia"/>
                <w:color w:val="auto"/>
                <w:kern w:val="2"/>
                <w:highlight w:val="none"/>
              </w:rPr>
              <w:t>-3</w:t>
            </w:r>
          </w:p>
        </w:tc>
        <w:tc>
          <w:tcPr>
            <w:tcW w:w="2392" w:type="dxa"/>
            <w:tcBorders>
              <w:top w:val="single" w:color="auto" w:sz="4" w:space="0"/>
              <w:left w:val="single" w:color="auto" w:sz="4" w:space="0"/>
              <w:bottom w:val="single" w:color="auto" w:sz="4" w:space="0"/>
              <w:right w:val="single" w:color="auto" w:sz="4" w:space="0"/>
            </w:tcBorders>
            <w:vAlign w:val="center"/>
          </w:tcPr>
          <w:p w14:paraId="12578DB5">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single" w:color="auto" w:sz="4" w:space="0"/>
              <w:bottom w:val="single" w:color="auto" w:sz="4" w:space="0"/>
              <w:right w:val="single" w:color="auto" w:sz="4" w:space="0"/>
            </w:tcBorders>
            <w:vAlign w:val="center"/>
          </w:tcPr>
          <w:p w14:paraId="3433C66B">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715C86BC">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53840097">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686EFD6E">
            <w:pPr>
              <w:jc w:val="center"/>
              <w:rPr>
                <w:color w:val="auto"/>
                <w:kern w:val="2"/>
                <w:highlight w:val="none"/>
              </w:rPr>
            </w:pPr>
          </w:p>
        </w:tc>
      </w:tr>
      <w:tr w14:paraId="74104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BF8EFD4">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099BE9F8">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129498ED">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F06BC0D">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4EDC9A60">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3B56BBA">
            <w:pPr>
              <w:jc w:val="center"/>
              <w:rPr>
                <w:color w:val="auto"/>
                <w:kern w:val="2"/>
                <w:highlight w:val="none"/>
              </w:rPr>
            </w:pPr>
          </w:p>
        </w:tc>
      </w:tr>
      <w:tr w14:paraId="6BB75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33556013">
            <w:pPr>
              <w:rPr>
                <w:b/>
                <w:color w:val="auto"/>
                <w:kern w:val="2"/>
                <w:highlight w:val="none"/>
              </w:rPr>
            </w:pPr>
            <w:r>
              <w:rPr>
                <w:rFonts w:hint="eastAsia"/>
                <w:b/>
                <w:color w:val="auto"/>
                <w:kern w:val="2"/>
                <w:highlight w:val="none"/>
              </w:rPr>
              <w:t>2</w:t>
            </w:r>
          </w:p>
        </w:tc>
        <w:tc>
          <w:tcPr>
            <w:tcW w:w="2392" w:type="dxa"/>
            <w:tcBorders>
              <w:top w:val="single" w:color="auto" w:sz="4" w:space="0"/>
              <w:left w:val="single" w:color="auto" w:sz="4" w:space="0"/>
              <w:bottom w:val="single" w:color="auto" w:sz="4" w:space="0"/>
              <w:right w:val="single" w:color="auto" w:sz="4" w:space="0"/>
            </w:tcBorders>
            <w:vAlign w:val="center"/>
          </w:tcPr>
          <w:p w14:paraId="0CDA8922">
            <w:pPr>
              <w:jc w:val="center"/>
              <w:rPr>
                <w:b/>
                <w:color w:val="auto"/>
                <w:kern w:val="2"/>
                <w:highlight w:val="none"/>
              </w:rPr>
            </w:pPr>
            <w:r>
              <w:rPr>
                <w:rFonts w:hint="eastAsia"/>
                <w:b/>
                <w:color w:val="auto"/>
                <w:kern w:val="2"/>
                <w:highlight w:val="none"/>
              </w:rPr>
              <w:t>桥梁</w:t>
            </w:r>
          </w:p>
        </w:tc>
        <w:tc>
          <w:tcPr>
            <w:tcW w:w="1614" w:type="dxa"/>
            <w:tcBorders>
              <w:top w:val="single" w:color="auto" w:sz="4" w:space="0"/>
              <w:left w:val="single" w:color="auto" w:sz="4" w:space="0"/>
              <w:bottom w:val="single" w:color="auto" w:sz="4" w:space="0"/>
              <w:right w:val="single" w:color="auto" w:sz="4" w:space="0"/>
            </w:tcBorders>
            <w:vAlign w:val="center"/>
          </w:tcPr>
          <w:p w14:paraId="588FE94C">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334BF205">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07E859FA">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6B305FE2">
            <w:pPr>
              <w:jc w:val="center"/>
              <w:rPr>
                <w:color w:val="auto"/>
                <w:kern w:val="2"/>
                <w:highlight w:val="none"/>
              </w:rPr>
            </w:pPr>
          </w:p>
        </w:tc>
      </w:tr>
      <w:tr w14:paraId="5B1C7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DC5B278">
            <w:pPr>
              <w:jc w:val="center"/>
              <w:rPr>
                <w:color w:val="auto"/>
                <w:kern w:val="2"/>
                <w:highlight w:val="none"/>
              </w:rPr>
            </w:pPr>
            <w:r>
              <w:rPr>
                <w:rFonts w:hint="eastAsia"/>
                <w:color w:val="auto"/>
                <w:kern w:val="2"/>
                <w:highlight w:val="none"/>
              </w:rPr>
              <w:t>-1</w:t>
            </w:r>
          </w:p>
        </w:tc>
        <w:tc>
          <w:tcPr>
            <w:tcW w:w="2392" w:type="dxa"/>
            <w:tcBorders>
              <w:top w:val="single" w:color="auto" w:sz="4" w:space="0"/>
              <w:left w:val="single" w:color="auto" w:sz="4" w:space="0"/>
              <w:bottom w:val="single" w:color="auto" w:sz="4" w:space="0"/>
              <w:right w:val="single" w:color="auto" w:sz="4" w:space="0"/>
            </w:tcBorders>
            <w:vAlign w:val="center"/>
          </w:tcPr>
          <w:p w14:paraId="5730E72C">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single" w:color="auto" w:sz="4" w:space="0"/>
              <w:bottom w:val="single" w:color="auto" w:sz="4" w:space="0"/>
              <w:right w:val="single" w:color="auto" w:sz="4" w:space="0"/>
            </w:tcBorders>
            <w:vAlign w:val="center"/>
          </w:tcPr>
          <w:p w14:paraId="5460CFB6">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5B209FD2">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E0EBD92">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4C6D271A">
            <w:pPr>
              <w:jc w:val="center"/>
              <w:rPr>
                <w:color w:val="auto"/>
                <w:kern w:val="2"/>
                <w:highlight w:val="none"/>
              </w:rPr>
            </w:pPr>
          </w:p>
        </w:tc>
      </w:tr>
      <w:tr w14:paraId="0D450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CC80807">
            <w:pPr>
              <w:jc w:val="center"/>
              <w:rPr>
                <w:color w:val="auto"/>
                <w:kern w:val="2"/>
                <w:highlight w:val="none"/>
              </w:rPr>
            </w:pPr>
            <w:r>
              <w:rPr>
                <w:rFonts w:hint="eastAsia"/>
                <w:color w:val="auto"/>
                <w:kern w:val="2"/>
                <w:highlight w:val="none"/>
              </w:rPr>
              <w:t>-2</w:t>
            </w:r>
          </w:p>
        </w:tc>
        <w:tc>
          <w:tcPr>
            <w:tcW w:w="2392" w:type="dxa"/>
            <w:tcBorders>
              <w:top w:val="single" w:color="auto" w:sz="4" w:space="0"/>
              <w:left w:val="single" w:color="auto" w:sz="4" w:space="0"/>
              <w:bottom w:val="single" w:color="auto" w:sz="4" w:space="0"/>
              <w:right w:val="single" w:color="auto" w:sz="4" w:space="0"/>
            </w:tcBorders>
            <w:vAlign w:val="center"/>
          </w:tcPr>
          <w:p w14:paraId="0AF46C41">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single" w:color="auto" w:sz="4" w:space="0"/>
              <w:bottom w:val="single" w:color="auto" w:sz="4" w:space="0"/>
              <w:right w:val="single" w:color="auto" w:sz="4" w:space="0"/>
            </w:tcBorders>
            <w:vAlign w:val="center"/>
          </w:tcPr>
          <w:p w14:paraId="2A752DFB">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52E61C57">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4F50FBB7">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059C95D5">
            <w:pPr>
              <w:jc w:val="center"/>
              <w:rPr>
                <w:color w:val="auto"/>
                <w:kern w:val="2"/>
                <w:highlight w:val="none"/>
              </w:rPr>
            </w:pPr>
          </w:p>
        </w:tc>
      </w:tr>
      <w:tr w14:paraId="0B7F7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59B1B759">
            <w:pPr>
              <w:jc w:val="center"/>
              <w:rPr>
                <w:color w:val="auto"/>
                <w:kern w:val="2"/>
                <w:highlight w:val="none"/>
              </w:rPr>
            </w:pPr>
            <w:r>
              <w:rPr>
                <w:rFonts w:hint="eastAsia"/>
                <w:color w:val="auto"/>
                <w:kern w:val="2"/>
                <w:highlight w:val="none"/>
              </w:rPr>
              <w:t>-3</w:t>
            </w:r>
          </w:p>
        </w:tc>
        <w:tc>
          <w:tcPr>
            <w:tcW w:w="2392" w:type="dxa"/>
            <w:tcBorders>
              <w:top w:val="single" w:color="auto" w:sz="4" w:space="0"/>
              <w:left w:val="single" w:color="auto" w:sz="4" w:space="0"/>
              <w:bottom w:val="single" w:color="auto" w:sz="4" w:space="0"/>
              <w:right w:val="single" w:color="auto" w:sz="4" w:space="0"/>
            </w:tcBorders>
            <w:vAlign w:val="center"/>
          </w:tcPr>
          <w:p w14:paraId="3C1C503C">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single" w:color="auto" w:sz="4" w:space="0"/>
              <w:bottom w:val="single" w:color="auto" w:sz="4" w:space="0"/>
              <w:right w:val="single" w:color="auto" w:sz="4" w:space="0"/>
            </w:tcBorders>
            <w:vAlign w:val="center"/>
          </w:tcPr>
          <w:p w14:paraId="0D163A01">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243F6EF4">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E7757F5">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149163A">
            <w:pPr>
              <w:jc w:val="center"/>
              <w:rPr>
                <w:color w:val="auto"/>
                <w:kern w:val="2"/>
                <w:highlight w:val="none"/>
              </w:rPr>
            </w:pPr>
          </w:p>
        </w:tc>
      </w:tr>
      <w:tr w14:paraId="00F6D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7F28462">
            <w:pPr>
              <w:jc w:val="center"/>
              <w:rPr>
                <w:color w:val="auto"/>
                <w:kern w:val="2"/>
                <w:highlight w:val="none"/>
              </w:rPr>
            </w:pPr>
            <w:r>
              <w:rPr>
                <w:rFonts w:hint="eastAsia"/>
                <w:color w:val="auto"/>
                <w:kern w:val="2"/>
                <w:highlight w:val="none"/>
              </w:rPr>
              <w:t>-a</w:t>
            </w:r>
          </w:p>
        </w:tc>
        <w:tc>
          <w:tcPr>
            <w:tcW w:w="2392" w:type="dxa"/>
            <w:tcBorders>
              <w:top w:val="single" w:color="auto" w:sz="4" w:space="0"/>
              <w:left w:val="single" w:color="auto" w:sz="4" w:space="0"/>
              <w:bottom w:val="single" w:color="auto" w:sz="4" w:space="0"/>
              <w:right w:val="single" w:color="auto" w:sz="4" w:space="0"/>
            </w:tcBorders>
            <w:vAlign w:val="center"/>
          </w:tcPr>
          <w:p w14:paraId="77D42872">
            <w:pPr>
              <w:jc w:val="center"/>
              <w:rPr>
                <w:color w:val="auto"/>
                <w:kern w:val="2"/>
                <w:highlight w:val="none"/>
              </w:rPr>
            </w:pPr>
            <w:r>
              <w:rPr>
                <w:rFonts w:hint="eastAsia"/>
                <w:color w:val="auto"/>
                <w:kern w:val="2"/>
                <w:highlight w:val="none"/>
              </w:rPr>
              <w:t>河槽内桥梁</w:t>
            </w:r>
          </w:p>
        </w:tc>
        <w:tc>
          <w:tcPr>
            <w:tcW w:w="1614" w:type="dxa"/>
            <w:tcBorders>
              <w:top w:val="single" w:color="auto" w:sz="4" w:space="0"/>
              <w:left w:val="single" w:color="auto" w:sz="4" w:space="0"/>
              <w:bottom w:val="single" w:color="auto" w:sz="4" w:space="0"/>
              <w:right w:val="single" w:color="auto" w:sz="4" w:space="0"/>
            </w:tcBorders>
            <w:vAlign w:val="center"/>
          </w:tcPr>
          <w:p w14:paraId="6434B52A">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04C64B9">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14F79735">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270E67CB">
            <w:pPr>
              <w:jc w:val="center"/>
              <w:rPr>
                <w:color w:val="auto"/>
                <w:kern w:val="2"/>
                <w:highlight w:val="none"/>
              </w:rPr>
            </w:pPr>
          </w:p>
        </w:tc>
      </w:tr>
      <w:tr w14:paraId="0A39F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733D2D7B">
            <w:pPr>
              <w:jc w:val="center"/>
              <w:rPr>
                <w:color w:val="auto"/>
                <w:kern w:val="2"/>
                <w:highlight w:val="none"/>
              </w:rPr>
            </w:pPr>
            <w:r>
              <w:rPr>
                <w:rFonts w:hint="eastAsia"/>
                <w:color w:val="auto"/>
                <w:kern w:val="2"/>
                <w:highlight w:val="none"/>
              </w:rPr>
              <w:t>-b</w:t>
            </w:r>
          </w:p>
        </w:tc>
        <w:tc>
          <w:tcPr>
            <w:tcW w:w="2392" w:type="dxa"/>
            <w:tcBorders>
              <w:top w:val="single" w:color="auto" w:sz="4" w:space="0"/>
              <w:left w:val="single" w:color="auto" w:sz="4" w:space="0"/>
              <w:bottom w:val="single" w:color="auto" w:sz="4" w:space="0"/>
              <w:right w:val="single" w:color="auto" w:sz="4" w:space="0"/>
            </w:tcBorders>
            <w:vAlign w:val="center"/>
          </w:tcPr>
          <w:p w14:paraId="7D64CA2C">
            <w:pPr>
              <w:jc w:val="center"/>
              <w:rPr>
                <w:color w:val="auto"/>
                <w:kern w:val="2"/>
                <w:highlight w:val="none"/>
              </w:rPr>
            </w:pPr>
            <w:r>
              <w:rPr>
                <w:rFonts w:hint="eastAsia"/>
                <w:color w:val="auto"/>
                <w:kern w:val="2"/>
                <w:highlight w:val="none"/>
              </w:rPr>
              <w:t>河滩内桥梁</w:t>
            </w:r>
          </w:p>
        </w:tc>
        <w:tc>
          <w:tcPr>
            <w:tcW w:w="1614" w:type="dxa"/>
            <w:tcBorders>
              <w:top w:val="single" w:color="auto" w:sz="4" w:space="0"/>
              <w:left w:val="single" w:color="auto" w:sz="4" w:space="0"/>
              <w:bottom w:val="single" w:color="auto" w:sz="4" w:space="0"/>
              <w:right w:val="single" w:color="auto" w:sz="4" w:space="0"/>
            </w:tcBorders>
            <w:vAlign w:val="center"/>
          </w:tcPr>
          <w:p w14:paraId="6CA02279">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0AD86DC9">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568E91CC">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133562BC">
            <w:pPr>
              <w:jc w:val="center"/>
              <w:rPr>
                <w:color w:val="auto"/>
                <w:kern w:val="2"/>
                <w:highlight w:val="none"/>
              </w:rPr>
            </w:pPr>
          </w:p>
        </w:tc>
      </w:tr>
      <w:tr w14:paraId="5DBC2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C88E757">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0ED99059">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66CE1543">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4819ACAC">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0BF39ECC">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29E73A02">
            <w:pPr>
              <w:jc w:val="center"/>
              <w:rPr>
                <w:color w:val="auto"/>
                <w:kern w:val="2"/>
                <w:highlight w:val="none"/>
              </w:rPr>
            </w:pPr>
          </w:p>
        </w:tc>
      </w:tr>
      <w:tr w14:paraId="45855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CBAA601">
            <w:pPr>
              <w:rPr>
                <w:b/>
                <w:color w:val="auto"/>
                <w:kern w:val="2"/>
                <w:highlight w:val="none"/>
              </w:rPr>
            </w:pPr>
            <w:r>
              <w:rPr>
                <w:rFonts w:hint="eastAsia"/>
                <w:b/>
                <w:color w:val="auto"/>
                <w:kern w:val="2"/>
                <w:highlight w:val="none"/>
              </w:rPr>
              <w:t>3</w:t>
            </w:r>
          </w:p>
        </w:tc>
        <w:tc>
          <w:tcPr>
            <w:tcW w:w="2392" w:type="dxa"/>
            <w:tcBorders>
              <w:top w:val="single" w:color="auto" w:sz="4" w:space="0"/>
              <w:left w:val="single" w:color="auto" w:sz="4" w:space="0"/>
              <w:bottom w:val="single" w:color="auto" w:sz="4" w:space="0"/>
              <w:right w:val="single" w:color="auto" w:sz="4" w:space="0"/>
            </w:tcBorders>
            <w:vAlign w:val="center"/>
          </w:tcPr>
          <w:p w14:paraId="1102809D">
            <w:pPr>
              <w:jc w:val="center"/>
              <w:rPr>
                <w:b/>
                <w:color w:val="auto"/>
                <w:kern w:val="2"/>
                <w:highlight w:val="none"/>
              </w:rPr>
            </w:pPr>
            <w:r>
              <w:rPr>
                <w:rFonts w:hint="eastAsia"/>
                <w:b/>
                <w:color w:val="auto"/>
                <w:kern w:val="2"/>
                <w:highlight w:val="none"/>
              </w:rPr>
              <w:t>隧道</w:t>
            </w:r>
          </w:p>
        </w:tc>
        <w:tc>
          <w:tcPr>
            <w:tcW w:w="1614" w:type="dxa"/>
            <w:tcBorders>
              <w:top w:val="single" w:color="auto" w:sz="4" w:space="0"/>
              <w:left w:val="single" w:color="auto" w:sz="4" w:space="0"/>
              <w:bottom w:val="single" w:color="auto" w:sz="4" w:space="0"/>
              <w:right w:val="single" w:color="auto" w:sz="4" w:space="0"/>
            </w:tcBorders>
            <w:vAlign w:val="center"/>
          </w:tcPr>
          <w:p w14:paraId="3F162A2A">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43730D76">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4184A650">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4F38162">
            <w:pPr>
              <w:jc w:val="center"/>
              <w:rPr>
                <w:color w:val="auto"/>
                <w:kern w:val="2"/>
                <w:highlight w:val="none"/>
              </w:rPr>
            </w:pPr>
          </w:p>
        </w:tc>
      </w:tr>
      <w:tr w14:paraId="29BC2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FCA76E6">
            <w:pPr>
              <w:jc w:val="center"/>
              <w:rPr>
                <w:color w:val="auto"/>
                <w:kern w:val="2"/>
                <w:highlight w:val="none"/>
              </w:rPr>
            </w:pPr>
            <w:r>
              <w:rPr>
                <w:rFonts w:hint="eastAsia"/>
                <w:color w:val="auto"/>
                <w:kern w:val="2"/>
                <w:highlight w:val="none"/>
              </w:rPr>
              <w:t>-1</w:t>
            </w:r>
          </w:p>
        </w:tc>
        <w:tc>
          <w:tcPr>
            <w:tcW w:w="2392" w:type="dxa"/>
            <w:tcBorders>
              <w:top w:val="single" w:color="auto" w:sz="4" w:space="0"/>
              <w:left w:val="single" w:color="auto" w:sz="4" w:space="0"/>
              <w:bottom w:val="single" w:color="auto" w:sz="4" w:space="0"/>
              <w:right w:val="single" w:color="auto" w:sz="4" w:space="0"/>
            </w:tcBorders>
            <w:vAlign w:val="center"/>
          </w:tcPr>
          <w:p w14:paraId="2EAD8554">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single" w:color="auto" w:sz="4" w:space="0"/>
              <w:bottom w:val="single" w:color="auto" w:sz="4" w:space="0"/>
              <w:right w:val="single" w:color="auto" w:sz="4" w:space="0"/>
            </w:tcBorders>
            <w:vAlign w:val="center"/>
          </w:tcPr>
          <w:p w14:paraId="73082C4B">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1566C3E">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CB9675D">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02960C90">
            <w:pPr>
              <w:jc w:val="center"/>
              <w:rPr>
                <w:color w:val="auto"/>
                <w:kern w:val="2"/>
                <w:highlight w:val="none"/>
              </w:rPr>
            </w:pPr>
          </w:p>
        </w:tc>
      </w:tr>
      <w:tr w14:paraId="5DD84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C48F625">
            <w:pPr>
              <w:jc w:val="center"/>
              <w:rPr>
                <w:color w:val="auto"/>
                <w:kern w:val="2"/>
                <w:highlight w:val="none"/>
              </w:rPr>
            </w:pPr>
            <w:r>
              <w:rPr>
                <w:rFonts w:hint="eastAsia"/>
                <w:color w:val="auto"/>
                <w:kern w:val="2"/>
                <w:highlight w:val="none"/>
              </w:rPr>
              <w:t>-2</w:t>
            </w:r>
          </w:p>
        </w:tc>
        <w:tc>
          <w:tcPr>
            <w:tcW w:w="2392" w:type="dxa"/>
            <w:tcBorders>
              <w:top w:val="single" w:color="auto" w:sz="4" w:space="0"/>
              <w:left w:val="single" w:color="auto" w:sz="4" w:space="0"/>
              <w:bottom w:val="single" w:color="auto" w:sz="4" w:space="0"/>
              <w:right w:val="single" w:color="auto" w:sz="4" w:space="0"/>
            </w:tcBorders>
            <w:vAlign w:val="center"/>
          </w:tcPr>
          <w:p w14:paraId="61B41ABD">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single" w:color="auto" w:sz="4" w:space="0"/>
              <w:bottom w:val="single" w:color="auto" w:sz="4" w:space="0"/>
              <w:right w:val="single" w:color="auto" w:sz="4" w:space="0"/>
            </w:tcBorders>
            <w:vAlign w:val="center"/>
          </w:tcPr>
          <w:p w14:paraId="0F24E363">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0D607B8">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0582E69">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0B7E685F">
            <w:pPr>
              <w:jc w:val="center"/>
              <w:rPr>
                <w:color w:val="auto"/>
                <w:kern w:val="2"/>
                <w:highlight w:val="none"/>
              </w:rPr>
            </w:pPr>
          </w:p>
        </w:tc>
      </w:tr>
      <w:tr w14:paraId="31E58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3C701583">
            <w:pPr>
              <w:jc w:val="center"/>
              <w:rPr>
                <w:color w:val="auto"/>
                <w:kern w:val="2"/>
                <w:highlight w:val="none"/>
              </w:rPr>
            </w:pPr>
            <w:r>
              <w:rPr>
                <w:rFonts w:hint="eastAsia"/>
                <w:color w:val="auto"/>
                <w:kern w:val="2"/>
                <w:highlight w:val="none"/>
              </w:rPr>
              <w:t>-3</w:t>
            </w:r>
          </w:p>
        </w:tc>
        <w:tc>
          <w:tcPr>
            <w:tcW w:w="2392" w:type="dxa"/>
            <w:tcBorders>
              <w:top w:val="single" w:color="auto" w:sz="4" w:space="0"/>
              <w:left w:val="single" w:color="auto" w:sz="4" w:space="0"/>
              <w:bottom w:val="single" w:color="auto" w:sz="4" w:space="0"/>
              <w:right w:val="single" w:color="auto" w:sz="4" w:space="0"/>
            </w:tcBorders>
            <w:vAlign w:val="center"/>
          </w:tcPr>
          <w:p w14:paraId="3721666B">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single" w:color="auto" w:sz="4" w:space="0"/>
              <w:bottom w:val="single" w:color="auto" w:sz="4" w:space="0"/>
              <w:right w:val="single" w:color="auto" w:sz="4" w:space="0"/>
            </w:tcBorders>
            <w:vAlign w:val="center"/>
          </w:tcPr>
          <w:p w14:paraId="31E9D68B">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2FBBF341">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38E381A4">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246E4D15">
            <w:pPr>
              <w:jc w:val="center"/>
              <w:rPr>
                <w:color w:val="auto"/>
                <w:kern w:val="2"/>
                <w:highlight w:val="none"/>
              </w:rPr>
            </w:pPr>
          </w:p>
        </w:tc>
      </w:tr>
      <w:tr w14:paraId="35F1D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6CC1B2F">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11347ECD">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12FB4645">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0CD35D6">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5DEFCE89">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3E8B570A">
            <w:pPr>
              <w:jc w:val="center"/>
              <w:rPr>
                <w:color w:val="auto"/>
                <w:kern w:val="2"/>
                <w:highlight w:val="none"/>
              </w:rPr>
            </w:pPr>
          </w:p>
        </w:tc>
      </w:tr>
      <w:tr w14:paraId="65A17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F413739">
            <w:pPr>
              <w:rPr>
                <w:b/>
                <w:color w:val="auto"/>
                <w:kern w:val="2"/>
                <w:highlight w:val="none"/>
              </w:rPr>
            </w:pPr>
            <w:r>
              <w:rPr>
                <w:rFonts w:hint="eastAsia"/>
                <w:b/>
                <w:color w:val="auto"/>
                <w:kern w:val="2"/>
                <w:highlight w:val="none"/>
              </w:rPr>
              <w:t>4</w:t>
            </w:r>
          </w:p>
        </w:tc>
        <w:tc>
          <w:tcPr>
            <w:tcW w:w="2392" w:type="dxa"/>
            <w:tcBorders>
              <w:top w:val="single" w:color="auto" w:sz="4" w:space="0"/>
              <w:left w:val="single" w:color="auto" w:sz="4" w:space="0"/>
              <w:bottom w:val="single" w:color="auto" w:sz="4" w:space="0"/>
              <w:right w:val="single" w:color="auto" w:sz="4" w:space="0"/>
            </w:tcBorders>
            <w:vAlign w:val="center"/>
          </w:tcPr>
          <w:p w14:paraId="162CF1D2">
            <w:pPr>
              <w:jc w:val="center"/>
              <w:rPr>
                <w:b/>
                <w:color w:val="auto"/>
                <w:kern w:val="2"/>
                <w:highlight w:val="none"/>
              </w:rPr>
            </w:pPr>
            <w:r>
              <w:rPr>
                <w:rFonts w:hint="eastAsia"/>
                <w:b/>
                <w:color w:val="auto"/>
                <w:kern w:val="2"/>
                <w:highlight w:val="none"/>
              </w:rPr>
              <w:t>立体交叉</w:t>
            </w:r>
          </w:p>
        </w:tc>
        <w:tc>
          <w:tcPr>
            <w:tcW w:w="1614" w:type="dxa"/>
            <w:tcBorders>
              <w:top w:val="single" w:color="auto" w:sz="4" w:space="0"/>
              <w:left w:val="single" w:color="auto" w:sz="4" w:space="0"/>
              <w:bottom w:val="single" w:color="auto" w:sz="4" w:space="0"/>
              <w:right w:val="single" w:color="auto" w:sz="4" w:space="0"/>
            </w:tcBorders>
            <w:vAlign w:val="center"/>
          </w:tcPr>
          <w:p w14:paraId="2FE73D72">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392FCC35">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01B049EB">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193E0550">
            <w:pPr>
              <w:jc w:val="center"/>
              <w:rPr>
                <w:color w:val="auto"/>
                <w:kern w:val="2"/>
                <w:highlight w:val="none"/>
              </w:rPr>
            </w:pPr>
          </w:p>
        </w:tc>
      </w:tr>
      <w:tr w14:paraId="53905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B216D24">
            <w:pPr>
              <w:jc w:val="center"/>
              <w:rPr>
                <w:color w:val="auto"/>
                <w:kern w:val="2"/>
                <w:highlight w:val="none"/>
              </w:rPr>
            </w:pPr>
            <w:r>
              <w:rPr>
                <w:rFonts w:hint="eastAsia"/>
                <w:color w:val="auto"/>
                <w:kern w:val="2"/>
                <w:highlight w:val="none"/>
              </w:rPr>
              <w:t>-1</w:t>
            </w:r>
          </w:p>
        </w:tc>
        <w:tc>
          <w:tcPr>
            <w:tcW w:w="2392" w:type="dxa"/>
            <w:tcBorders>
              <w:top w:val="single" w:color="auto" w:sz="4" w:space="0"/>
              <w:left w:val="single" w:color="auto" w:sz="4" w:space="0"/>
              <w:bottom w:val="single" w:color="auto" w:sz="4" w:space="0"/>
              <w:right w:val="single" w:color="auto" w:sz="4" w:space="0"/>
            </w:tcBorders>
            <w:vAlign w:val="center"/>
          </w:tcPr>
          <w:p w14:paraId="71A3E427">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single" w:color="auto" w:sz="4" w:space="0"/>
              <w:bottom w:val="single" w:color="auto" w:sz="4" w:space="0"/>
              <w:right w:val="single" w:color="auto" w:sz="4" w:space="0"/>
            </w:tcBorders>
            <w:vAlign w:val="center"/>
          </w:tcPr>
          <w:p w14:paraId="085944C5">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7A4A3494">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1F9AE7FA">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63A4699B">
            <w:pPr>
              <w:jc w:val="center"/>
              <w:rPr>
                <w:color w:val="auto"/>
                <w:kern w:val="2"/>
                <w:highlight w:val="none"/>
              </w:rPr>
            </w:pPr>
          </w:p>
        </w:tc>
      </w:tr>
      <w:tr w14:paraId="37199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16AD42D">
            <w:pPr>
              <w:jc w:val="center"/>
              <w:rPr>
                <w:color w:val="auto"/>
                <w:kern w:val="2"/>
                <w:highlight w:val="none"/>
              </w:rPr>
            </w:pPr>
            <w:r>
              <w:rPr>
                <w:rFonts w:hint="eastAsia"/>
                <w:color w:val="auto"/>
                <w:kern w:val="2"/>
                <w:highlight w:val="none"/>
              </w:rPr>
              <w:t>-2</w:t>
            </w:r>
          </w:p>
        </w:tc>
        <w:tc>
          <w:tcPr>
            <w:tcW w:w="2392" w:type="dxa"/>
            <w:tcBorders>
              <w:top w:val="single" w:color="auto" w:sz="4" w:space="0"/>
              <w:left w:val="single" w:color="auto" w:sz="4" w:space="0"/>
              <w:bottom w:val="single" w:color="auto" w:sz="4" w:space="0"/>
              <w:right w:val="single" w:color="auto" w:sz="4" w:space="0"/>
            </w:tcBorders>
            <w:vAlign w:val="center"/>
          </w:tcPr>
          <w:p w14:paraId="6F9F844B">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single" w:color="auto" w:sz="4" w:space="0"/>
              <w:bottom w:val="single" w:color="auto" w:sz="4" w:space="0"/>
              <w:right w:val="single" w:color="auto" w:sz="4" w:space="0"/>
            </w:tcBorders>
            <w:vAlign w:val="center"/>
          </w:tcPr>
          <w:p w14:paraId="74E60DF2">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4AED9310">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1765327D">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3463B41C">
            <w:pPr>
              <w:jc w:val="center"/>
              <w:rPr>
                <w:color w:val="auto"/>
                <w:kern w:val="2"/>
                <w:highlight w:val="none"/>
              </w:rPr>
            </w:pPr>
          </w:p>
        </w:tc>
      </w:tr>
      <w:tr w14:paraId="569BE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1645C38">
            <w:pPr>
              <w:jc w:val="center"/>
              <w:rPr>
                <w:color w:val="auto"/>
                <w:kern w:val="2"/>
                <w:highlight w:val="none"/>
              </w:rPr>
            </w:pPr>
            <w:r>
              <w:rPr>
                <w:rFonts w:hint="eastAsia"/>
                <w:color w:val="auto"/>
                <w:kern w:val="2"/>
                <w:highlight w:val="none"/>
              </w:rPr>
              <w:t>-3</w:t>
            </w:r>
          </w:p>
        </w:tc>
        <w:tc>
          <w:tcPr>
            <w:tcW w:w="2392" w:type="dxa"/>
            <w:tcBorders>
              <w:top w:val="single" w:color="auto" w:sz="4" w:space="0"/>
              <w:left w:val="single" w:color="auto" w:sz="4" w:space="0"/>
              <w:bottom w:val="single" w:color="auto" w:sz="4" w:space="0"/>
              <w:right w:val="single" w:color="auto" w:sz="4" w:space="0"/>
            </w:tcBorders>
            <w:vAlign w:val="center"/>
          </w:tcPr>
          <w:p w14:paraId="5E095539">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single" w:color="auto" w:sz="4" w:space="0"/>
              <w:bottom w:val="single" w:color="auto" w:sz="4" w:space="0"/>
              <w:right w:val="single" w:color="auto" w:sz="4" w:space="0"/>
            </w:tcBorders>
            <w:vAlign w:val="center"/>
          </w:tcPr>
          <w:p w14:paraId="4D6861AB">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7DF5BD3">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7ADF2C71">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3467EC4B">
            <w:pPr>
              <w:jc w:val="center"/>
              <w:rPr>
                <w:color w:val="auto"/>
                <w:kern w:val="2"/>
                <w:highlight w:val="none"/>
              </w:rPr>
            </w:pPr>
          </w:p>
        </w:tc>
      </w:tr>
      <w:tr w14:paraId="52F68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AB6161F">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33F21309">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711B7422">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461D62BE">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55B74838">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169E6042">
            <w:pPr>
              <w:jc w:val="center"/>
              <w:rPr>
                <w:color w:val="auto"/>
                <w:kern w:val="2"/>
                <w:highlight w:val="none"/>
              </w:rPr>
            </w:pPr>
          </w:p>
        </w:tc>
      </w:tr>
      <w:tr w14:paraId="14245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B598F4A">
            <w:pPr>
              <w:rPr>
                <w:b/>
                <w:color w:val="auto"/>
                <w:kern w:val="2"/>
                <w:highlight w:val="none"/>
              </w:rPr>
            </w:pPr>
            <w:r>
              <w:rPr>
                <w:rFonts w:hint="eastAsia"/>
                <w:b/>
                <w:color w:val="auto"/>
                <w:kern w:val="2"/>
                <w:highlight w:val="none"/>
              </w:rPr>
              <w:t>5</w:t>
            </w:r>
          </w:p>
        </w:tc>
        <w:tc>
          <w:tcPr>
            <w:tcW w:w="2392" w:type="dxa"/>
            <w:tcBorders>
              <w:top w:val="single" w:color="auto" w:sz="4" w:space="0"/>
              <w:left w:val="single" w:color="auto" w:sz="4" w:space="0"/>
              <w:bottom w:val="single" w:color="auto" w:sz="4" w:space="0"/>
              <w:right w:val="single" w:color="auto" w:sz="4" w:space="0"/>
            </w:tcBorders>
            <w:vAlign w:val="center"/>
          </w:tcPr>
          <w:p w14:paraId="0B2BBCB7">
            <w:pPr>
              <w:jc w:val="center"/>
              <w:rPr>
                <w:b/>
                <w:color w:val="auto"/>
                <w:kern w:val="2"/>
                <w:highlight w:val="none"/>
              </w:rPr>
            </w:pPr>
            <w:r>
              <w:rPr>
                <w:rFonts w:hint="eastAsia"/>
                <w:b/>
                <w:color w:val="auto"/>
                <w:kern w:val="2"/>
                <w:highlight w:val="none"/>
              </w:rPr>
              <w:t>交通工程及沿线设施</w:t>
            </w:r>
          </w:p>
        </w:tc>
        <w:tc>
          <w:tcPr>
            <w:tcW w:w="1614" w:type="dxa"/>
            <w:tcBorders>
              <w:top w:val="single" w:color="auto" w:sz="4" w:space="0"/>
              <w:left w:val="single" w:color="auto" w:sz="4" w:space="0"/>
              <w:bottom w:val="single" w:color="auto" w:sz="4" w:space="0"/>
              <w:right w:val="single" w:color="auto" w:sz="4" w:space="0"/>
            </w:tcBorders>
            <w:vAlign w:val="center"/>
          </w:tcPr>
          <w:p w14:paraId="0917ED4A">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81EE23E">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67A7E3CE">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49AF4BBA">
            <w:pPr>
              <w:jc w:val="center"/>
              <w:rPr>
                <w:color w:val="auto"/>
                <w:kern w:val="2"/>
                <w:highlight w:val="none"/>
              </w:rPr>
            </w:pPr>
          </w:p>
        </w:tc>
      </w:tr>
      <w:tr w14:paraId="3E03D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DA0CB00">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56AEADD6">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1CF20F06">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27762CB6">
            <w:pPr>
              <w:jc w:val="center"/>
              <w:rPr>
                <w:rFonts w:ascii="Times New Roman" w:hAnsi="Times New Roman"/>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0218FAFE">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2753EBB">
            <w:pPr>
              <w:jc w:val="center"/>
              <w:rPr>
                <w:color w:val="auto"/>
                <w:kern w:val="2"/>
                <w:highlight w:val="none"/>
              </w:rPr>
            </w:pPr>
          </w:p>
        </w:tc>
      </w:tr>
      <w:tr w14:paraId="61054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713EBC8">
            <w:pPr>
              <w:rPr>
                <w:b/>
                <w:color w:val="auto"/>
                <w:kern w:val="2"/>
                <w:highlight w:val="none"/>
              </w:rPr>
            </w:pPr>
            <w:r>
              <w:rPr>
                <w:rFonts w:hint="eastAsia"/>
                <w:b/>
                <w:color w:val="auto"/>
                <w:kern w:val="2"/>
                <w:highlight w:val="none"/>
              </w:rPr>
              <w:t>6</w:t>
            </w:r>
          </w:p>
        </w:tc>
        <w:tc>
          <w:tcPr>
            <w:tcW w:w="2392" w:type="dxa"/>
            <w:tcBorders>
              <w:top w:val="single" w:color="auto" w:sz="4" w:space="0"/>
              <w:left w:val="single" w:color="auto" w:sz="4" w:space="0"/>
              <w:bottom w:val="single" w:color="auto" w:sz="4" w:space="0"/>
              <w:right w:val="single" w:color="auto" w:sz="4" w:space="0"/>
            </w:tcBorders>
            <w:vAlign w:val="center"/>
          </w:tcPr>
          <w:p w14:paraId="471202BD">
            <w:pPr>
              <w:jc w:val="center"/>
              <w:rPr>
                <w:b/>
                <w:color w:val="auto"/>
                <w:kern w:val="2"/>
                <w:highlight w:val="none"/>
                <w:lang w:eastAsia="zh-CN"/>
              </w:rPr>
            </w:pPr>
            <w:r>
              <w:rPr>
                <w:rFonts w:hint="eastAsia"/>
                <w:b/>
                <w:color w:val="auto"/>
                <w:kern w:val="2"/>
                <w:highlight w:val="none"/>
                <w:lang w:eastAsia="zh-CN"/>
              </w:rPr>
              <w:t>环保、水保及绿化景观设计</w:t>
            </w:r>
          </w:p>
        </w:tc>
        <w:tc>
          <w:tcPr>
            <w:tcW w:w="1614" w:type="dxa"/>
            <w:tcBorders>
              <w:top w:val="single" w:color="auto" w:sz="4" w:space="0"/>
              <w:left w:val="single" w:color="auto" w:sz="4" w:space="0"/>
              <w:bottom w:val="single" w:color="auto" w:sz="4" w:space="0"/>
              <w:right w:val="single" w:color="auto" w:sz="4" w:space="0"/>
            </w:tcBorders>
            <w:vAlign w:val="center"/>
          </w:tcPr>
          <w:p w14:paraId="3C76A53D">
            <w:pPr>
              <w:jc w:val="center"/>
              <w:rPr>
                <w:rFonts w:ascii="Times New Roman" w:hAnsi="Times New Roman"/>
                <w:color w:val="auto"/>
                <w:kern w:val="2"/>
                <w:highlight w:val="none"/>
                <w:lang w:eastAsia="zh-CN"/>
              </w:rPr>
            </w:pPr>
          </w:p>
        </w:tc>
        <w:tc>
          <w:tcPr>
            <w:tcW w:w="1271" w:type="dxa"/>
            <w:tcBorders>
              <w:top w:val="single" w:color="auto" w:sz="4" w:space="0"/>
              <w:left w:val="single" w:color="auto" w:sz="4" w:space="0"/>
              <w:bottom w:val="single" w:color="auto" w:sz="4" w:space="0"/>
              <w:right w:val="single" w:color="auto" w:sz="4" w:space="0"/>
            </w:tcBorders>
            <w:vAlign w:val="center"/>
          </w:tcPr>
          <w:p w14:paraId="35E6F73B">
            <w:pPr>
              <w:jc w:val="center"/>
              <w:rPr>
                <w:color w:val="auto"/>
                <w:kern w:val="2"/>
                <w:highlight w:val="none"/>
                <w:lang w:eastAsia="zh-CN"/>
              </w:rPr>
            </w:pPr>
          </w:p>
        </w:tc>
        <w:tc>
          <w:tcPr>
            <w:tcW w:w="1262" w:type="dxa"/>
            <w:tcBorders>
              <w:top w:val="single" w:color="auto" w:sz="4" w:space="0"/>
              <w:left w:val="single" w:color="auto" w:sz="4" w:space="0"/>
              <w:bottom w:val="single" w:color="auto" w:sz="4" w:space="0"/>
              <w:right w:val="single" w:color="auto" w:sz="4" w:space="0"/>
            </w:tcBorders>
            <w:vAlign w:val="center"/>
          </w:tcPr>
          <w:p w14:paraId="36FDB738">
            <w:pPr>
              <w:jc w:val="center"/>
              <w:rPr>
                <w:color w:val="auto"/>
                <w:kern w:val="2"/>
                <w:highlight w:val="none"/>
                <w:lang w:eastAsia="zh-CN"/>
              </w:rPr>
            </w:pPr>
          </w:p>
        </w:tc>
        <w:tc>
          <w:tcPr>
            <w:tcW w:w="1223" w:type="dxa"/>
            <w:tcBorders>
              <w:top w:val="single" w:color="auto" w:sz="4" w:space="0"/>
              <w:left w:val="single" w:color="auto" w:sz="4" w:space="0"/>
              <w:bottom w:val="single" w:color="auto" w:sz="4" w:space="0"/>
              <w:right w:val="single" w:color="auto" w:sz="4" w:space="0"/>
            </w:tcBorders>
            <w:vAlign w:val="center"/>
          </w:tcPr>
          <w:p w14:paraId="54C45DB4">
            <w:pPr>
              <w:jc w:val="center"/>
              <w:rPr>
                <w:color w:val="auto"/>
                <w:kern w:val="2"/>
                <w:highlight w:val="none"/>
                <w:lang w:eastAsia="zh-CN"/>
              </w:rPr>
            </w:pPr>
          </w:p>
        </w:tc>
      </w:tr>
      <w:tr w14:paraId="6BEF5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8ADAA9E">
            <w:pPr>
              <w:jc w:val="center"/>
              <w:rPr>
                <w:color w:val="auto"/>
                <w:kern w:val="2"/>
                <w:highlight w:val="none"/>
                <w:lang w:eastAsia="zh-CN"/>
              </w:rPr>
            </w:pPr>
          </w:p>
        </w:tc>
        <w:tc>
          <w:tcPr>
            <w:tcW w:w="2392" w:type="dxa"/>
            <w:tcBorders>
              <w:top w:val="single" w:color="auto" w:sz="4" w:space="0"/>
              <w:left w:val="single" w:color="auto" w:sz="4" w:space="0"/>
              <w:bottom w:val="single" w:color="auto" w:sz="4" w:space="0"/>
              <w:right w:val="single" w:color="auto" w:sz="4" w:space="0"/>
            </w:tcBorders>
            <w:vAlign w:val="center"/>
          </w:tcPr>
          <w:p w14:paraId="5C0B3A0B">
            <w:pPr>
              <w:jc w:val="center"/>
              <w:rPr>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5AE27FD1">
            <w:pPr>
              <w:jc w:val="center"/>
              <w:rPr>
                <w:rFonts w:ascii="Times New Roman" w:hAnsi="Times New Roman"/>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29B1596D">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4FC5FCE6">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FB9B325">
            <w:pPr>
              <w:jc w:val="center"/>
              <w:rPr>
                <w:color w:val="auto"/>
                <w:kern w:val="2"/>
                <w:highlight w:val="none"/>
              </w:rPr>
            </w:pPr>
          </w:p>
        </w:tc>
      </w:tr>
      <w:tr w14:paraId="5FF80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15A47F9">
            <w:pPr>
              <w:rPr>
                <w:b/>
                <w:color w:val="auto"/>
                <w:kern w:val="2"/>
                <w:highlight w:val="none"/>
              </w:rPr>
            </w:pPr>
            <w:r>
              <w:rPr>
                <w:rFonts w:hint="eastAsia"/>
                <w:b/>
                <w:color w:val="auto"/>
                <w:kern w:val="2"/>
                <w:highlight w:val="none"/>
              </w:rPr>
              <w:t>7</w:t>
            </w:r>
          </w:p>
        </w:tc>
        <w:tc>
          <w:tcPr>
            <w:tcW w:w="2392" w:type="dxa"/>
            <w:tcBorders>
              <w:top w:val="single" w:color="auto" w:sz="4" w:space="0"/>
              <w:left w:val="single" w:color="auto" w:sz="4" w:space="0"/>
              <w:bottom w:val="single" w:color="auto" w:sz="4" w:space="0"/>
              <w:right w:val="single" w:color="auto" w:sz="4" w:space="0"/>
            </w:tcBorders>
            <w:vAlign w:val="center"/>
          </w:tcPr>
          <w:p w14:paraId="305D7919">
            <w:pPr>
              <w:jc w:val="center"/>
              <w:rPr>
                <w:rFonts w:ascii="Times New Roman" w:hAnsi="Times New Roman"/>
                <w:b/>
                <w:color w:val="auto"/>
                <w:kern w:val="2"/>
                <w:highlight w:val="none"/>
              </w:rPr>
            </w:pPr>
            <w:r>
              <w:rPr>
                <w:rFonts w:hint="eastAsia"/>
                <w:b/>
                <w:color w:val="auto"/>
                <w:kern w:val="2"/>
                <w:highlight w:val="none"/>
              </w:rPr>
              <w:t>专题研究</w:t>
            </w:r>
          </w:p>
        </w:tc>
        <w:tc>
          <w:tcPr>
            <w:tcW w:w="1614" w:type="dxa"/>
            <w:tcBorders>
              <w:top w:val="single" w:color="auto" w:sz="4" w:space="0"/>
              <w:left w:val="single" w:color="auto" w:sz="4" w:space="0"/>
              <w:bottom w:val="single" w:color="auto" w:sz="4" w:space="0"/>
              <w:right w:val="single" w:color="auto" w:sz="4" w:space="0"/>
            </w:tcBorders>
            <w:vAlign w:val="center"/>
          </w:tcPr>
          <w:p w14:paraId="4C2F0AF3">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692FD024">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6F09A32E">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505B8734">
            <w:pPr>
              <w:jc w:val="center"/>
              <w:rPr>
                <w:color w:val="auto"/>
                <w:kern w:val="2"/>
                <w:highlight w:val="none"/>
              </w:rPr>
            </w:pPr>
          </w:p>
        </w:tc>
      </w:tr>
      <w:tr w14:paraId="2C50E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CC49842">
            <w:pPr>
              <w:jc w:val="center"/>
              <w:rPr>
                <w:color w:val="auto"/>
                <w:kern w:val="2"/>
                <w:highlight w:val="none"/>
              </w:rPr>
            </w:pPr>
          </w:p>
        </w:tc>
        <w:tc>
          <w:tcPr>
            <w:tcW w:w="2392" w:type="dxa"/>
            <w:tcBorders>
              <w:top w:val="single" w:color="auto" w:sz="4" w:space="0"/>
              <w:left w:val="single" w:color="auto" w:sz="4" w:space="0"/>
              <w:bottom w:val="single" w:color="auto" w:sz="4" w:space="0"/>
              <w:right w:val="single" w:color="auto" w:sz="4" w:space="0"/>
            </w:tcBorders>
            <w:vAlign w:val="center"/>
          </w:tcPr>
          <w:p w14:paraId="6B0A38A3">
            <w:pPr>
              <w:jc w:val="center"/>
              <w:rPr>
                <w:rFonts w:ascii="Times New Roman" w:hAnsi="Times New Roman"/>
                <w:color w:val="auto"/>
                <w:kern w:val="2"/>
                <w:highlight w:val="none"/>
              </w:rPr>
            </w:pPr>
            <w:r>
              <w:rPr>
                <w:color w:val="auto"/>
                <w:kern w:val="2"/>
                <w:highlight w:val="none"/>
              </w:rPr>
              <w:t>……</w:t>
            </w:r>
          </w:p>
        </w:tc>
        <w:tc>
          <w:tcPr>
            <w:tcW w:w="1614" w:type="dxa"/>
            <w:tcBorders>
              <w:top w:val="single" w:color="auto" w:sz="4" w:space="0"/>
              <w:left w:val="single" w:color="auto" w:sz="4" w:space="0"/>
              <w:bottom w:val="single" w:color="auto" w:sz="4" w:space="0"/>
              <w:right w:val="single" w:color="auto" w:sz="4" w:space="0"/>
            </w:tcBorders>
            <w:vAlign w:val="center"/>
          </w:tcPr>
          <w:p w14:paraId="442FEB62">
            <w:pPr>
              <w:jc w:val="center"/>
              <w:rPr>
                <w:color w:val="auto"/>
                <w:kern w:val="2"/>
                <w:highlight w:val="none"/>
              </w:rPr>
            </w:pPr>
          </w:p>
        </w:tc>
        <w:tc>
          <w:tcPr>
            <w:tcW w:w="1271" w:type="dxa"/>
            <w:tcBorders>
              <w:top w:val="single" w:color="auto" w:sz="4" w:space="0"/>
              <w:left w:val="single" w:color="auto" w:sz="4" w:space="0"/>
              <w:bottom w:val="single" w:color="auto" w:sz="4" w:space="0"/>
              <w:right w:val="single" w:color="auto" w:sz="4" w:space="0"/>
            </w:tcBorders>
            <w:vAlign w:val="center"/>
          </w:tcPr>
          <w:p w14:paraId="09F52060">
            <w:pPr>
              <w:jc w:val="center"/>
              <w:rPr>
                <w:color w:val="auto"/>
                <w:kern w:val="2"/>
                <w:highlight w:val="none"/>
              </w:rPr>
            </w:pPr>
          </w:p>
        </w:tc>
        <w:tc>
          <w:tcPr>
            <w:tcW w:w="1262" w:type="dxa"/>
            <w:tcBorders>
              <w:top w:val="single" w:color="auto" w:sz="4" w:space="0"/>
              <w:left w:val="single" w:color="auto" w:sz="4" w:space="0"/>
              <w:bottom w:val="single" w:color="auto" w:sz="4" w:space="0"/>
              <w:right w:val="single" w:color="auto" w:sz="4" w:space="0"/>
            </w:tcBorders>
            <w:vAlign w:val="center"/>
          </w:tcPr>
          <w:p w14:paraId="42E8D43F">
            <w:pPr>
              <w:jc w:val="center"/>
              <w:rPr>
                <w:color w:val="auto"/>
                <w:kern w:val="2"/>
                <w:highlight w:val="none"/>
              </w:rPr>
            </w:pPr>
          </w:p>
        </w:tc>
        <w:tc>
          <w:tcPr>
            <w:tcW w:w="1223" w:type="dxa"/>
            <w:tcBorders>
              <w:top w:val="single" w:color="auto" w:sz="4" w:space="0"/>
              <w:left w:val="single" w:color="auto" w:sz="4" w:space="0"/>
              <w:bottom w:val="single" w:color="auto" w:sz="4" w:space="0"/>
              <w:right w:val="single" w:color="auto" w:sz="4" w:space="0"/>
            </w:tcBorders>
            <w:vAlign w:val="center"/>
          </w:tcPr>
          <w:p w14:paraId="6F4FAADA">
            <w:pPr>
              <w:jc w:val="center"/>
              <w:rPr>
                <w:color w:val="auto"/>
                <w:kern w:val="2"/>
                <w:highlight w:val="none"/>
              </w:rPr>
            </w:pPr>
          </w:p>
        </w:tc>
      </w:tr>
      <w:tr w14:paraId="50F26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7E7069C4">
            <w:pPr>
              <w:jc w:val="center"/>
              <w:rPr>
                <w:color w:val="auto"/>
                <w:kern w:val="2"/>
                <w:highlight w:val="none"/>
              </w:rPr>
            </w:pPr>
            <w:r>
              <w:rPr>
                <w:rFonts w:hint="eastAsia"/>
                <w:color w:val="auto"/>
                <w:kern w:val="2"/>
                <w:highlight w:val="none"/>
              </w:rPr>
              <w:t>二</w:t>
            </w:r>
          </w:p>
        </w:tc>
        <w:tc>
          <w:tcPr>
            <w:tcW w:w="2392" w:type="dxa"/>
            <w:tcBorders>
              <w:top w:val="single" w:color="auto" w:sz="4" w:space="0"/>
              <w:left w:val="nil"/>
              <w:bottom w:val="single" w:color="auto" w:sz="4" w:space="0"/>
              <w:right w:val="single" w:color="auto" w:sz="4" w:space="0"/>
            </w:tcBorders>
            <w:vAlign w:val="center"/>
          </w:tcPr>
          <w:p w14:paraId="73E83C72">
            <w:pPr>
              <w:jc w:val="center"/>
              <w:rPr>
                <w:color w:val="auto"/>
                <w:kern w:val="2"/>
                <w:highlight w:val="none"/>
              </w:rPr>
            </w:pPr>
            <w:r>
              <w:rPr>
                <w:rFonts w:hint="eastAsia"/>
                <w:color w:val="auto"/>
                <w:kern w:val="2"/>
                <w:highlight w:val="none"/>
              </w:rPr>
              <w:t>施工图设计</w:t>
            </w:r>
          </w:p>
        </w:tc>
        <w:tc>
          <w:tcPr>
            <w:tcW w:w="1614" w:type="dxa"/>
            <w:tcBorders>
              <w:top w:val="single" w:color="auto" w:sz="4" w:space="0"/>
              <w:left w:val="nil"/>
              <w:bottom w:val="single" w:color="auto" w:sz="4" w:space="0"/>
              <w:right w:val="single" w:color="auto" w:sz="4" w:space="0"/>
            </w:tcBorders>
            <w:vAlign w:val="center"/>
          </w:tcPr>
          <w:p w14:paraId="6BC8DA10">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03E2E66">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7F89485D">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3BBDB1A0">
            <w:pPr>
              <w:jc w:val="center"/>
              <w:rPr>
                <w:color w:val="auto"/>
                <w:kern w:val="2"/>
                <w:highlight w:val="none"/>
              </w:rPr>
            </w:pPr>
          </w:p>
        </w:tc>
      </w:tr>
      <w:tr w14:paraId="09E21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39B68E81">
            <w:pPr>
              <w:jc w:val="center"/>
              <w:rPr>
                <w:color w:val="auto"/>
                <w:kern w:val="2"/>
                <w:highlight w:val="none"/>
              </w:rPr>
            </w:pPr>
            <w:r>
              <w:rPr>
                <w:rFonts w:hint="eastAsia"/>
                <w:color w:val="auto"/>
                <w:kern w:val="2"/>
                <w:highlight w:val="none"/>
              </w:rPr>
              <w:t>1</w:t>
            </w:r>
          </w:p>
        </w:tc>
        <w:tc>
          <w:tcPr>
            <w:tcW w:w="2392" w:type="dxa"/>
            <w:tcBorders>
              <w:top w:val="single" w:color="auto" w:sz="4" w:space="0"/>
              <w:left w:val="nil"/>
              <w:bottom w:val="single" w:color="auto" w:sz="4" w:space="0"/>
              <w:right w:val="single" w:color="auto" w:sz="4" w:space="0"/>
            </w:tcBorders>
            <w:vAlign w:val="center"/>
          </w:tcPr>
          <w:p w14:paraId="72262D1B">
            <w:pPr>
              <w:jc w:val="center"/>
              <w:rPr>
                <w:color w:val="auto"/>
                <w:kern w:val="2"/>
                <w:highlight w:val="none"/>
              </w:rPr>
            </w:pPr>
            <w:r>
              <w:rPr>
                <w:rFonts w:hint="eastAsia"/>
                <w:color w:val="auto"/>
                <w:kern w:val="2"/>
                <w:highlight w:val="none"/>
              </w:rPr>
              <w:t>公路</w:t>
            </w:r>
          </w:p>
        </w:tc>
        <w:tc>
          <w:tcPr>
            <w:tcW w:w="1614" w:type="dxa"/>
            <w:tcBorders>
              <w:top w:val="single" w:color="auto" w:sz="4" w:space="0"/>
              <w:left w:val="nil"/>
              <w:bottom w:val="single" w:color="auto" w:sz="4" w:space="0"/>
              <w:right w:val="single" w:color="auto" w:sz="4" w:space="0"/>
            </w:tcBorders>
            <w:vAlign w:val="center"/>
          </w:tcPr>
          <w:p w14:paraId="7739CAFF">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C7EA81C">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3D384537">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3B958814">
            <w:pPr>
              <w:jc w:val="center"/>
              <w:rPr>
                <w:color w:val="auto"/>
                <w:kern w:val="2"/>
                <w:highlight w:val="none"/>
              </w:rPr>
            </w:pPr>
          </w:p>
        </w:tc>
      </w:tr>
      <w:tr w14:paraId="61E78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3614F478">
            <w:pPr>
              <w:jc w:val="center"/>
              <w:rPr>
                <w:color w:val="auto"/>
                <w:kern w:val="2"/>
                <w:highlight w:val="none"/>
              </w:rPr>
            </w:pPr>
            <w:r>
              <w:rPr>
                <w:rFonts w:hint="eastAsia"/>
                <w:color w:val="auto"/>
                <w:kern w:val="2"/>
                <w:highlight w:val="none"/>
              </w:rPr>
              <w:t>-1</w:t>
            </w:r>
          </w:p>
        </w:tc>
        <w:tc>
          <w:tcPr>
            <w:tcW w:w="2392" w:type="dxa"/>
            <w:tcBorders>
              <w:top w:val="single" w:color="auto" w:sz="4" w:space="0"/>
              <w:left w:val="nil"/>
              <w:bottom w:val="single" w:color="auto" w:sz="4" w:space="0"/>
              <w:right w:val="single" w:color="auto" w:sz="4" w:space="0"/>
            </w:tcBorders>
            <w:vAlign w:val="center"/>
          </w:tcPr>
          <w:p w14:paraId="1DDFA0D3">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nil"/>
              <w:bottom w:val="single" w:color="auto" w:sz="4" w:space="0"/>
              <w:right w:val="single" w:color="auto" w:sz="4" w:space="0"/>
            </w:tcBorders>
            <w:vAlign w:val="center"/>
          </w:tcPr>
          <w:p w14:paraId="1601BD1F">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7196E3DF">
            <w:pPr>
              <w:jc w:val="center"/>
              <w:rPr>
                <w:rFonts w:ascii="Times New Roman" w:hAnsi="Times New Roman"/>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12C2F4FC">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2C27099B">
            <w:pPr>
              <w:jc w:val="center"/>
              <w:rPr>
                <w:color w:val="auto"/>
                <w:kern w:val="2"/>
                <w:highlight w:val="none"/>
              </w:rPr>
            </w:pPr>
          </w:p>
        </w:tc>
      </w:tr>
      <w:tr w14:paraId="5A5BA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1042DE3">
            <w:pPr>
              <w:jc w:val="center"/>
              <w:rPr>
                <w:color w:val="auto"/>
                <w:kern w:val="2"/>
                <w:highlight w:val="none"/>
              </w:rPr>
            </w:pPr>
            <w:r>
              <w:rPr>
                <w:rFonts w:hint="eastAsia"/>
                <w:color w:val="auto"/>
                <w:kern w:val="2"/>
                <w:highlight w:val="none"/>
              </w:rPr>
              <w:t>-2</w:t>
            </w:r>
          </w:p>
        </w:tc>
        <w:tc>
          <w:tcPr>
            <w:tcW w:w="2392" w:type="dxa"/>
            <w:tcBorders>
              <w:top w:val="single" w:color="auto" w:sz="4" w:space="0"/>
              <w:left w:val="nil"/>
              <w:bottom w:val="single" w:color="auto" w:sz="4" w:space="0"/>
              <w:right w:val="single" w:color="auto" w:sz="4" w:space="0"/>
            </w:tcBorders>
            <w:vAlign w:val="center"/>
          </w:tcPr>
          <w:p w14:paraId="61281DD3">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nil"/>
              <w:bottom w:val="single" w:color="auto" w:sz="4" w:space="0"/>
              <w:right w:val="single" w:color="auto" w:sz="4" w:space="0"/>
            </w:tcBorders>
            <w:vAlign w:val="center"/>
          </w:tcPr>
          <w:p w14:paraId="6F1F83BB">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31588456">
            <w:pPr>
              <w:jc w:val="center"/>
              <w:rPr>
                <w:rFonts w:ascii="Times New Roman" w:hAnsi="Times New Roman"/>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57399C76">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574C412B">
            <w:pPr>
              <w:jc w:val="center"/>
              <w:rPr>
                <w:color w:val="auto"/>
                <w:kern w:val="2"/>
                <w:highlight w:val="none"/>
              </w:rPr>
            </w:pPr>
          </w:p>
        </w:tc>
      </w:tr>
      <w:tr w14:paraId="2D905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25661CD">
            <w:pPr>
              <w:jc w:val="center"/>
              <w:rPr>
                <w:color w:val="auto"/>
                <w:kern w:val="2"/>
                <w:highlight w:val="none"/>
              </w:rPr>
            </w:pPr>
            <w:r>
              <w:rPr>
                <w:rFonts w:hint="eastAsia"/>
                <w:color w:val="auto"/>
                <w:kern w:val="2"/>
                <w:highlight w:val="none"/>
              </w:rPr>
              <w:t>-3</w:t>
            </w:r>
          </w:p>
        </w:tc>
        <w:tc>
          <w:tcPr>
            <w:tcW w:w="2392" w:type="dxa"/>
            <w:tcBorders>
              <w:top w:val="single" w:color="auto" w:sz="4" w:space="0"/>
              <w:left w:val="nil"/>
              <w:bottom w:val="single" w:color="auto" w:sz="4" w:space="0"/>
              <w:right w:val="single" w:color="auto" w:sz="4" w:space="0"/>
            </w:tcBorders>
            <w:vAlign w:val="center"/>
          </w:tcPr>
          <w:p w14:paraId="1D2E75BE">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nil"/>
              <w:bottom w:val="single" w:color="auto" w:sz="4" w:space="0"/>
              <w:right w:val="single" w:color="auto" w:sz="4" w:space="0"/>
            </w:tcBorders>
            <w:vAlign w:val="center"/>
          </w:tcPr>
          <w:p w14:paraId="5250FEA4">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D67A94C">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4FBCF64D">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E953922">
            <w:pPr>
              <w:jc w:val="center"/>
              <w:rPr>
                <w:color w:val="auto"/>
                <w:kern w:val="2"/>
                <w:highlight w:val="none"/>
              </w:rPr>
            </w:pPr>
          </w:p>
        </w:tc>
      </w:tr>
      <w:tr w14:paraId="5A4E0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78525F7">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59C19618">
            <w:pPr>
              <w:jc w:val="center"/>
              <w:rPr>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344098F8">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ED94944">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4C6C63F6">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A2E2FD5">
            <w:pPr>
              <w:jc w:val="center"/>
              <w:rPr>
                <w:color w:val="auto"/>
                <w:kern w:val="2"/>
                <w:highlight w:val="none"/>
              </w:rPr>
            </w:pPr>
          </w:p>
        </w:tc>
      </w:tr>
      <w:tr w14:paraId="3CAD3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7342714">
            <w:pPr>
              <w:jc w:val="center"/>
              <w:rPr>
                <w:color w:val="auto"/>
                <w:kern w:val="2"/>
                <w:highlight w:val="none"/>
              </w:rPr>
            </w:pPr>
            <w:r>
              <w:rPr>
                <w:rFonts w:hint="eastAsia"/>
                <w:color w:val="auto"/>
                <w:kern w:val="2"/>
                <w:highlight w:val="none"/>
              </w:rPr>
              <w:t>2</w:t>
            </w:r>
          </w:p>
        </w:tc>
        <w:tc>
          <w:tcPr>
            <w:tcW w:w="2392" w:type="dxa"/>
            <w:tcBorders>
              <w:top w:val="single" w:color="auto" w:sz="4" w:space="0"/>
              <w:left w:val="nil"/>
              <w:bottom w:val="single" w:color="auto" w:sz="4" w:space="0"/>
              <w:right w:val="single" w:color="auto" w:sz="4" w:space="0"/>
            </w:tcBorders>
            <w:vAlign w:val="center"/>
          </w:tcPr>
          <w:p w14:paraId="5248C192">
            <w:pPr>
              <w:jc w:val="center"/>
              <w:rPr>
                <w:color w:val="auto"/>
                <w:kern w:val="2"/>
                <w:highlight w:val="none"/>
              </w:rPr>
            </w:pPr>
            <w:r>
              <w:rPr>
                <w:rFonts w:hint="eastAsia"/>
                <w:color w:val="auto"/>
                <w:kern w:val="2"/>
                <w:highlight w:val="none"/>
              </w:rPr>
              <w:t>桥梁</w:t>
            </w:r>
          </w:p>
        </w:tc>
        <w:tc>
          <w:tcPr>
            <w:tcW w:w="1614" w:type="dxa"/>
            <w:tcBorders>
              <w:top w:val="single" w:color="auto" w:sz="4" w:space="0"/>
              <w:left w:val="nil"/>
              <w:bottom w:val="single" w:color="auto" w:sz="4" w:space="0"/>
              <w:right w:val="single" w:color="auto" w:sz="4" w:space="0"/>
            </w:tcBorders>
            <w:vAlign w:val="center"/>
          </w:tcPr>
          <w:p w14:paraId="648FAC11">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4FBC0550">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390B7975">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0D203013">
            <w:pPr>
              <w:jc w:val="center"/>
              <w:rPr>
                <w:color w:val="auto"/>
                <w:kern w:val="2"/>
                <w:highlight w:val="none"/>
              </w:rPr>
            </w:pPr>
          </w:p>
        </w:tc>
      </w:tr>
      <w:tr w14:paraId="2A7E7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2C3457B7">
            <w:pPr>
              <w:jc w:val="center"/>
              <w:rPr>
                <w:color w:val="auto"/>
                <w:kern w:val="2"/>
                <w:highlight w:val="none"/>
              </w:rPr>
            </w:pPr>
            <w:r>
              <w:rPr>
                <w:rFonts w:hint="eastAsia"/>
                <w:color w:val="auto"/>
                <w:kern w:val="2"/>
                <w:highlight w:val="none"/>
              </w:rPr>
              <w:t>-1</w:t>
            </w:r>
          </w:p>
        </w:tc>
        <w:tc>
          <w:tcPr>
            <w:tcW w:w="2392" w:type="dxa"/>
            <w:tcBorders>
              <w:top w:val="single" w:color="auto" w:sz="4" w:space="0"/>
              <w:left w:val="nil"/>
              <w:bottom w:val="single" w:color="auto" w:sz="4" w:space="0"/>
              <w:right w:val="single" w:color="auto" w:sz="4" w:space="0"/>
            </w:tcBorders>
            <w:vAlign w:val="center"/>
          </w:tcPr>
          <w:p w14:paraId="3F545B7B">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nil"/>
              <w:bottom w:val="single" w:color="auto" w:sz="4" w:space="0"/>
              <w:right w:val="single" w:color="auto" w:sz="4" w:space="0"/>
            </w:tcBorders>
            <w:vAlign w:val="center"/>
          </w:tcPr>
          <w:p w14:paraId="5C58CD2F">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4FF645CA">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587D2DCF">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1C333744">
            <w:pPr>
              <w:jc w:val="center"/>
              <w:rPr>
                <w:color w:val="auto"/>
                <w:kern w:val="2"/>
                <w:highlight w:val="none"/>
              </w:rPr>
            </w:pPr>
          </w:p>
        </w:tc>
      </w:tr>
      <w:tr w14:paraId="781DF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88B4912">
            <w:pPr>
              <w:jc w:val="center"/>
              <w:rPr>
                <w:color w:val="auto"/>
                <w:kern w:val="2"/>
                <w:highlight w:val="none"/>
              </w:rPr>
            </w:pPr>
            <w:r>
              <w:rPr>
                <w:rFonts w:hint="eastAsia"/>
                <w:color w:val="auto"/>
                <w:kern w:val="2"/>
                <w:highlight w:val="none"/>
              </w:rPr>
              <w:t>-2</w:t>
            </w:r>
          </w:p>
        </w:tc>
        <w:tc>
          <w:tcPr>
            <w:tcW w:w="2392" w:type="dxa"/>
            <w:tcBorders>
              <w:top w:val="single" w:color="auto" w:sz="4" w:space="0"/>
              <w:left w:val="nil"/>
              <w:bottom w:val="single" w:color="auto" w:sz="4" w:space="0"/>
              <w:right w:val="single" w:color="auto" w:sz="4" w:space="0"/>
            </w:tcBorders>
            <w:vAlign w:val="center"/>
          </w:tcPr>
          <w:p w14:paraId="4A76B62D">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nil"/>
              <w:bottom w:val="single" w:color="auto" w:sz="4" w:space="0"/>
              <w:right w:val="single" w:color="auto" w:sz="4" w:space="0"/>
            </w:tcBorders>
            <w:vAlign w:val="center"/>
          </w:tcPr>
          <w:p w14:paraId="6E09F4F3">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4BB4508D">
            <w:pPr>
              <w:jc w:val="center"/>
              <w:rPr>
                <w:rFonts w:ascii="Times New Roman" w:hAnsi="Times New Roman"/>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5BB4AF10">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6EBBC7C">
            <w:pPr>
              <w:jc w:val="center"/>
              <w:rPr>
                <w:color w:val="auto"/>
                <w:kern w:val="2"/>
                <w:highlight w:val="none"/>
              </w:rPr>
            </w:pPr>
          </w:p>
        </w:tc>
      </w:tr>
      <w:tr w14:paraId="78040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5EAEB8F">
            <w:pPr>
              <w:jc w:val="center"/>
              <w:rPr>
                <w:color w:val="auto"/>
                <w:kern w:val="2"/>
                <w:highlight w:val="none"/>
              </w:rPr>
            </w:pPr>
            <w:r>
              <w:rPr>
                <w:rFonts w:hint="eastAsia"/>
                <w:color w:val="auto"/>
                <w:kern w:val="2"/>
                <w:highlight w:val="none"/>
              </w:rPr>
              <w:t>-3</w:t>
            </w:r>
          </w:p>
        </w:tc>
        <w:tc>
          <w:tcPr>
            <w:tcW w:w="2392" w:type="dxa"/>
            <w:tcBorders>
              <w:top w:val="single" w:color="auto" w:sz="4" w:space="0"/>
              <w:left w:val="nil"/>
              <w:bottom w:val="single" w:color="auto" w:sz="4" w:space="0"/>
              <w:right w:val="single" w:color="auto" w:sz="4" w:space="0"/>
            </w:tcBorders>
            <w:vAlign w:val="center"/>
          </w:tcPr>
          <w:p w14:paraId="25F392CA">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nil"/>
              <w:bottom w:val="single" w:color="auto" w:sz="4" w:space="0"/>
              <w:right w:val="single" w:color="auto" w:sz="4" w:space="0"/>
            </w:tcBorders>
            <w:vAlign w:val="center"/>
          </w:tcPr>
          <w:p w14:paraId="71EF1ECD">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E76183F">
            <w:pPr>
              <w:jc w:val="center"/>
              <w:rPr>
                <w:rFonts w:ascii="Times New Roman" w:hAnsi="Times New Roman"/>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0E5C4E59">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10AE04E">
            <w:pPr>
              <w:jc w:val="center"/>
              <w:rPr>
                <w:color w:val="auto"/>
                <w:kern w:val="2"/>
                <w:highlight w:val="none"/>
              </w:rPr>
            </w:pPr>
          </w:p>
        </w:tc>
      </w:tr>
      <w:tr w14:paraId="17072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5827FF5">
            <w:pPr>
              <w:jc w:val="center"/>
              <w:rPr>
                <w:color w:val="auto"/>
                <w:kern w:val="2"/>
                <w:highlight w:val="none"/>
              </w:rPr>
            </w:pPr>
            <w:r>
              <w:rPr>
                <w:rFonts w:hint="eastAsia"/>
                <w:color w:val="auto"/>
                <w:kern w:val="2"/>
                <w:highlight w:val="none"/>
              </w:rPr>
              <w:t>-a</w:t>
            </w:r>
          </w:p>
        </w:tc>
        <w:tc>
          <w:tcPr>
            <w:tcW w:w="2392" w:type="dxa"/>
            <w:tcBorders>
              <w:top w:val="single" w:color="auto" w:sz="4" w:space="0"/>
              <w:left w:val="nil"/>
              <w:bottom w:val="single" w:color="auto" w:sz="4" w:space="0"/>
              <w:right w:val="single" w:color="auto" w:sz="4" w:space="0"/>
            </w:tcBorders>
            <w:vAlign w:val="center"/>
          </w:tcPr>
          <w:p w14:paraId="303AD4F4">
            <w:pPr>
              <w:jc w:val="center"/>
              <w:rPr>
                <w:color w:val="auto"/>
                <w:kern w:val="2"/>
                <w:highlight w:val="none"/>
              </w:rPr>
            </w:pPr>
            <w:r>
              <w:rPr>
                <w:rFonts w:hint="eastAsia"/>
                <w:color w:val="auto"/>
                <w:kern w:val="2"/>
                <w:highlight w:val="none"/>
              </w:rPr>
              <w:t>河槽内桥梁</w:t>
            </w:r>
          </w:p>
        </w:tc>
        <w:tc>
          <w:tcPr>
            <w:tcW w:w="1614" w:type="dxa"/>
            <w:tcBorders>
              <w:top w:val="single" w:color="auto" w:sz="4" w:space="0"/>
              <w:left w:val="nil"/>
              <w:bottom w:val="single" w:color="auto" w:sz="4" w:space="0"/>
              <w:right w:val="single" w:color="auto" w:sz="4" w:space="0"/>
            </w:tcBorders>
            <w:vAlign w:val="center"/>
          </w:tcPr>
          <w:p w14:paraId="297B70B9">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BAFA5B5">
            <w:pPr>
              <w:jc w:val="center"/>
              <w:rPr>
                <w:rFonts w:ascii="Times New Roman" w:hAnsi="Times New Roman"/>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4184D637">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2B3E523B">
            <w:pPr>
              <w:jc w:val="center"/>
              <w:rPr>
                <w:color w:val="auto"/>
                <w:kern w:val="2"/>
                <w:highlight w:val="none"/>
              </w:rPr>
            </w:pPr>
          </w:p>
        </w:tc>
      </w:tr>
      <w:tr w14:paraId="38FE8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7A7CD35">
            <w:pPr>
              <w:jc w:val="center"/>
              <w:rPr>
                <w:color w:val="auto"/>
                <w:kern w:val="2"/>
                <w:highlight w:val="none"/>
              </w:rPr>
            </w:pPr>
            <w:r>
              <w:rPr>
                <w:rFonts w:hint="eastAsia"/>
                <w:color w:val="auto"/>
                <w:kern w:val="2"/>
                <w:highlight w:val="none"/>
              </w:rPr>
              <w:t>-b</w:t>
            </w:r>
          </w:p>
        </w:tc>
        <w:tc>
          <w:tcPr>
            <w:tcW w:w="2392" w:type="dxa"/>
            <w:tcBorders>
              <w:top w:val="single" w:color="auto" w:sz="4" w:space="0"/>
              <w:left w:val="nil"/>
              <w:bottom w:val="single" w:color="auto" w:sz="4" w:space="0"/>
              <w:right w:val="single" w:color="auto" w:sz="4" w:space="0"/>
            </w:tcBorders>
            <w:vAlign w:val="center"/>
          </w:tcPr>
          <w:p w14:paraId="05A90BE7">
            <w:pPr>
              <w:jc w:val="center"/>
              <w:rPr>
                <w:color w:val="auto"/>
                <w:kern w:val="2"/>
                <w:highlight w:val="none"/>
              </w:rPr>
            </w:pPr>
            <w:r>
              <w:rPr>
                <w:rFonts w:hint="eastAsia"/>
                <w:color w:val="auto"/>
                <w:kern w:val="2"/>
                <w:highlight w:val="none"/>
              </w:rPr>
              <w:t>河滩内桥梁</w:t>
            </w:r>
          </w:p>
        </w:tc>
        <w:tc>
          <w:tcPr>
            <w:tcW w:w="1614" w:type="dxa"/>
            <w:tcBorders>
              <w:top w:val="single" w:color="auto" w:sz="4" w:space="0"/>
              <w:left w:val="nil"/>
              <w:bottom w:val="single" w:color="auto" w:sz="4" w:space="0"/>
              <w:right w:val="single" w:color="auto" w:sz="4" w:space="0"/>
            </w:tcBorders>
            <w:vAlign w:val="center"/>
          </w:tcPr>
          <w:p w14:paraId="2BA1856E">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5675EA7D">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06A1ACAC">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6E8BB43">
            <w:pPr>
              <w:jc w:val="center"/>
              <w:rPr>
                <w:color w:val="auto"/>
                <w:kern w:val="2"/>
                <w:highlight w:val="none"/>
              </w:rPr>
            </w:pPr>
          </w:p>
        </w:tc>
      </w:tr>
      <w:tr w14:paraId="17F3B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98EC33F">
            <w:pPr>
              <w:jc w:val="center"/>
              <w:rPr>
                <w:color w:val="auto"/>
                <w:kern w:val="2"/>
                <w:highlight w:val="none"/>
              </w:rPr>
            </w:pPr>
            <w:r>
              <w:rPr>
                <w:rFonts w:hint="eastAsia"/>
                <w:color w:val="auto"/>
                <w:kern w:val="2"/>
                <w:highlight w:val="none"/>
              </w:rPr>
              <w:t>3</w:t>
            </w:r>
          </w:p>
        </w:tc>
        <w:tc>
          <w:tcPr>
            <w:tcW w:w="2392" w:type="dxa"/>
            <w:tcBorders>
              <w:top w:val="single" w:color="auto" w:sz="4" w:space="0"/>
              <w:left w:val="nil"/>
              <w:bottom w:val="single" w:color="auto" w:sz="4" w:space="0"/>
              <w:right w:val="single" w:color="auto" w:sz="4" w:space="0"/>
            </w:tcBorders>
            <w:vAlign w:val="center"/>
          </w:tcPr>
          <w:p w14:paraId="5F499750">
            <w:pPr>
              <w:jc w:val="center"/>
              <w:rPr>
                <w:color w:val="auto"/>
                <w:kern w:val="2"/>
                <w:highlight w:val="none"/>
              </w:rPr>
            </w:pPr>
            <w:r>
              <w:rPr>
                <w:rFonts w:hint="eastAsia"/>
                <w:color w:val="auto"/>
                <w:kern w:val="2"/>
                <w:highlight w:val="none"/>
              </w:rPr>
              <w:t>隧道</w:t>
            </w:r>
          </w:p>
        </w:tc>
        <w:tc>
          <w:tcPr>
            <w:tcW w:w="1614" w:type="dxa"/>
            <w:tcBorders>
              <w:top w:val="single" w:color="auto" w:sz="4" w:space="0"/>
              <w:left w:val="nil"/>
              <w:bottom w:val="single" w:color="auto" w:sz="4" w:space="0"/>
              <w:right w:val="single" w:color="auto" w:sz="4" w:space="0"/>
            </w:tcBorders>
            <w:vAlign w:val="center"/>
          </w:tcPr>
          <w:p w14:paraId="26FA9534">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D224C4A">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70129ADB">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86AFD99">
            <w:pPr>
              <w:jc w:val="center"/>
              <w:rPr>
                <w:color w:val="auto"/>
                <w:kern w:val="2"/>
                <w:highlight w:val="none"/>
              </w:rPr>
            </w:pPr>
          </w:p>
        </w:tc>
      </w:tr>
      <w:tr w14:paraId="05D92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62F4BD7">
            <w:pPr>
              <w:jc w:val="center"/>
              <w:rPr>
                <w:color w:val="auto"/>
                <w:kern w:val="2"/>
                <w:highlight w:val="none"/>
              </w:rPr>
            </w:pPr>
            <w:r>
              <w:rPr>
                <w:rFonts w:hint="eastAsia"/>
                <w:color w:val="auto"/>
                <w:kern w:val="2"/>
                <w:highlight w:val="none"/>
              </w:rPr>
              <w:t>-1</w:t>
            </w:r>
          </w:p>
        </w:tc>
        <w:tc>
          <w:tcPr>
            <w:tcW w:w="2392" w:type="dxa"/>
            <w:tcBorders>
              <w:top w:val="single" w:color="auto" w:sz="4" w:space="0"/>
              <w:left w:val="nil"/>
              <w:bottom w:val="single" w:color="auto" w:sz="4" w:space="0"/>
              <w:right w:val="single" w:color="auto" w:sz="4" w:space="0"/>
            </w:tcBorders>
            <w:vAlign w:val="center"/>
          </w:tcPr>
          <w:p w14:paraId="307627B0">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nil"/>
              <w:bottom w:val="single" w:color="auto" w:sz="4" w:space="0"/>
              <w:right w:val="single" w:color="auto" w:sz="4" w:space="0"/>
            </w:tcBorders>
            <w:vAlign w:val="center"/>
          </w:tcPr>
          <w:p w14:paraId="3B509CCE">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5746A9B1">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02D952C8">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20B8A809">
            <w:pPr>
              <w:jc w:val="center"/>
              <w:rPr>
                <w:color w:val="auto"/>
                <w:kern w:val="2"/>
                <w:highlight w:val="none"/>
              </w:rPr>
            </w:pPr>
          </w:p>
        </w:tc>
      </w:tr>
      <w:tr w14:paraId="247B6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9D0333A">
            <w:pPr>
              <w:jc w:val="center"/>
              <w:rPr>
                <w:color w:val="auto"/>
                <w:kern w:val="2"/>
                <w:highlight w:val="none"/>
              </w:rPr>
            </w:pPr>
            <w:r>
              <w:rPr>
                <w:rFonts w:hint="eastAsia"/>
                <w:color w:val="auto"/>
                <w:kern w:val="2"/>
                <w:highlight w:val="none"/>
              </w:rPr>
              <w:t>-2</w:t>
            </w:r>
          </w:p>
        </w:tc>
        <w:tc>
          <w:tcPr>
            <w:tcW w:w="2392" w:type="dxa"/>
            <w:tcBorders>
              <w:top w:val="single" w:color="auto" w:sz="4" w:space="0"/>
              <w:left w:val="nil"/>
              <w:bottom w:val="single" w:color="auto" w:sz="4" w:space="0"/>
              <w:right w:val="single" w:color="auto" w:sz="4" w:space="0"/>
            </w:tcBorders>
            <w:vAlign w:val="center"/>
          </w:tcPr>
          <w:p w14:paraId="7A8D257A">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nil"/>
              <w:bottom w:val="single" w:color="auto" w:sz="4" w:space="0"/>
              <w:right w:val="single" w:color="auto" w:sz="4" w:space="0"/>
            </w:tcBorders>
            <w:vAlign w:val="center"/>
          </w:tcPr>
          <w:p w14:paraId="3A90B978">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6B7835A1">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3534F680">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1DC292A9">
            <w:pPr>
              <w:jc w:val="center"/>
              <w:rPr>
                <w:color w:val="auto"/>
                <w:kern w:val="2"/>
                <w:highlight w:val="none"/>
              </w:rPr>
            </w:pPr>
          </w:p>
        </w:tc>
      </w:tr>
      <w:tr w14:paraId="00342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785A88C">
            <w:pPr>
              <w:jc w:val="center"/>
              <w:rPr>
                <w:color w:val="auto"/>
                <w:kern w:val="2"/>
                <w:highlight w:val="none"/>
              </w:rPr>
            </w:pPr>
            <w:r>
              <w:rPr>
                <w:rFonts w:hint="eastAsia"/>
                <w:color w:val="auto"/>
                <w:kern w:val="2"/>
                <w:highlight w:val="none"/>
              </w:rPr>
              <w:t>-3</w:t>
            </w:r>
          </w:p>
        </w:tc>
        <w:tc>
          <w:tcPr>
            <w:tcW w:w="2392" w:type="dxa"/>
            <w:tcBorders>
              <w:top w:val="single" w:color="auto" w:sz="4" w:space="0"/>
              <w:left w:val="nil"/>
              <w:bottom w:val="single" w:color="auto" w:sz="4" w:space="0"/>
              <w:right w:val="single" w:color="auto" w:sz="4" w:space="0"/>
            </w:tcBorders>
            <w:vAlign w:val="center"/>
          </w:tcPr>
          <w:p w14:paraId="52A99E5A">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nil"/>
              <w:bottom w:val="single" w:color="auto" w:sz="4" w:space="0"/>
              <w:right w:val="single" w:color="auto" w:sz="4" w:space="0"/>
            </w:tcBorders>
            <w:vAlign w:val="center"/>
          </w:tcPr>
          <w:p w14:paraId="5A525687">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3497CDCA">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179E9DA1">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0B60280E">
            <w:pPr>
              <w:jc w:val="center"/>
              <w:rPr>
                <w:color w:val="auto"/>
                <w:kern w:val="2"/>
                <w:highlight w:val="none"/>
              </w:rPr>
            </w:pPr>
          </w:p>
        </w:tc>
      </w:tr>
      <w:tr w14:paraId="0EBC2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72E83DEF">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22BD1E04">
            <w:pPr>
              <w:jc w:val="center"/>
              <w:rPr>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66D6AA67">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15E5424D">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313AF025">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C1B4FBB">
            <w:pPr>
              <w:jc w:val="center"/>
              <w:rPr>
                <w:color w:val="auto"/>
                <w:kern w:val="2"/>
                <w:highlight w:val="none"/>
              </w:rPr>
            </w:pPr>
          </w:p>
        </w:tc>
      </w:tr>
      <w:tr w14:paraId="4125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2BEB6DD">
            <w:pPr>
              <w:jc w:val="center"/>
              <w:rPr>
                <w:color w:val="auto"/>
                <w:kern w:val="2"/>
                <w:highlight w:val="none"/>
              </w:rPr>
            </w:pPr>
            <w:r>
              <w:rPr>
                <w:rFonts w:hint="eastAsia"/>
                <w:color w:val="auto"/>
                <w:kern w:val="2"/>
                <w:highlight w:val="none"/>
              </w:rPr>
              <w:t>4</w:t>
            </w:r>
          </w:p>
        </w:tc>
        <w:tc>
          <w:tcPr>
            <w:tcW w:w="2392" w:type="dxa"/>
            <w:tcBorders>
              <w:top w:val="single" w:color="auto" w:sz="4" w:space="0"/>
              <w:left w:val="nil"/>
              <w:bottom w:val="single" w:color="auto" w:sz="4" w:space="0"/>
              <w:right w:val="single" w:color="auto" w:sz="4" w:space="0"/>
            </w:tcBorders>
            <w:vAlign w:val="center"/>
          </w:tcPr>
          <w:p w14:paraId="691D23D6">
            <w:pPr>
              <w:jc w:val="center"/>
              <w:rPr>
                <w:color w:val="auto"/>
                <w:kern w:val="2"/>
                <w:highlight w:val="none"/>
              </w:rPr>
            </w:pPr>
            <w:r>
              <w:rPr>
                <w:rFonts w:hint="eastAsia"/>
                <w:color w:val="auto"/>
                <w:kern w:val="2"/>
                <w:highlight w:val="none"/>
              </w:rPr>
              <w:t>立体交叉</w:t>
            </w:r>
          </w:p>
        </w:tc>
        <w:tc>
          <w:tcPr>
            <w:tcW w:w="1614" w:type="dxa"/>
            <w:tcBorders>
              <w:top w:val="single" w:color="auto" w:sz="4" w:space="0"/>
              <w:left w:val="nil"/>
              <w:bottom w:val="single" w:color="auto" w:sz="4" w:space="0"/>
              <w:right w:val="single" w:color="auto" w:sz="4" w:space="0"/>
            </w:tcBorders>
            <w:vAlign w:val="center"/>
          </w:tcPr>
          <w:p w14:paraId="029B3D1D">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49A0023">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6B60DB27">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89877A2">
            <w:pPr>
              <w:jc w:val="center"/>
              <w:rPr>
                <w:color w:val="auto"/>
                <w:kern w:val="2"/>
                <w:highlight w:val="none"/>
              </w:rPr>
            </w:pPr>
          </w:p>
        </w:tc>
      </w:tr>
      <w:tr w14:paraId="1709C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6EF95F6">
            <w:pPr>
              <w:jc w:val="center"/>
              <w:rPr>
                <w:color w:val="auto"/>
                <w:kern w:val="2"/>
                <w:highlight w:val="none"/>
              </w:rPr>
            </w:pPr>
            <w:r>
              <w:rPr>
                <w:rFonts w:hint="eastAsia"/>
                <w:color w:val="auto"/>
                <w:kern w:val="2"/>
                <w:highlight w:val="none"/>
              </w:rPr>
              <w:t>-1</w:t>
            </w:r>
          </w:p>
        </w:tc>
        <w:tc>
          <w:tcPr>
            <w:tcW w:w="2392" w:type="dxa"/>
            <w:tcBorders>
              <w:top w:val="single" w:color="auto" w:sz="4" w:space="0"/>
              <w:left w:val="nil"/>
              <w:bottom w:val="single" w:color="auto" w:sz="4" w:space="0"/>
              <w:right w:val="single" w:color="auto" w:sz="4" w:space="0"/>
            </w:tcBorders>
            <w:vAlign w:val="center"/>
          </w:tcPr>
          <w:p w14:paraId="7B0500F5">
            <w:pPr>
              <w:jc w:val="center"/>
              <w:rPr>
                <w:color w:val="auto"/>
                <w:kern w:val="2"/>
                <w:highlight w:val="none"/>
              </w:rPr>
            </w:pPr>
            <w:r>
              <w:rPr>
                <w:rFonts w:hint="eastAsia"/>
                <w:color w:val="auto"/>
                <w:kern w:val="2"/>
                <w:highlight w:val="none"/>
              </w:rPr>
              <w:t>Ⅰ级</w:t>
            </w:r>
          </w:p>
        </w:tc>
        <w:tc>
          <w:tcPr>
            <w:tcW w:w="1614" w:type="dxa"/>
            <w:tcBorders>
              <w:top w:val="single" w:color="auto" w:sz="4" w:space="0"/>
              <w:left w:val="nil"/>
              <w:bottom w:val="single" w:color="auto" w:sz="4" w:space="0"/>
              <w:right w:val="single" w:color="auto" w:sz="4" w:space="0"/>
            </w:tcBorders>
            <w:vAlign w:val="center"/>
          </w:tcPr>
          <w:p w14:paraId="33ED174E">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19E9A70B">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51CF0559">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01476A47">
            <w:pPr>
              <w:jc w:val="center"/>
              <w:rPr>
                <w:color w:val="auto"/>
                <w:kern w:val="2"/>
                <w:highlight w:val="none"/>
              </w:rPr>
            </w:pPr>
          </w:p>
        </w:tc>
      </w:tr>
      <w:tr w14:paraId="7951D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16F77A9">
            <w:pPr>
              <w:jc w:val="center"/>
              <w:rPr>
                <w:color w:val="auto"/>
                <w:kern w:val="2"/>
                <w:highlight w:val="none"/>
              </w:rPr>
            </w:pPr>
            <w:r>
              <w:rPr>
                <w:rFonts w:hint="eastAsia"/>
                <w:color w:val="auto"/>
                <w:kern w:val="2"/>
                <w:highlight w:val="none"/>
              </w:rPr>
              <w:t>-2</w:t>
            </w:r>
          </w:p>
        </w:tc>
        <w:tc>
          <w:tcPr>
            <w:tcW w:w="2392" w:type="dxa"/>
            <w:tcBorders>
              <w:top w:val="single" w:color="auto" w:sz="4" w:space="0"/>
              <w:left w:val="nil"/>
              <w:bottom w:val="single" w:color="auto" w:sz="4" w:space="0"/>
              <w:right w:val="single" w:color="auto" w:sz="4" w:space="0"/>
            </w:tcBorders>
            <w:vAlign w:val="center"/>
          </w:tcPr>
          <w:p w14:paraId="671768EA">
            <w:pPr>
              <w:jc w:val="center"/>
              <w:rPr>
                <w:color w:val="auto"/>
                <w:kern w:val="2"/>
                <w:highlight w:val="none"/>
              </w:rPr>
            </w:pPr>
            <w:r>
              <w:rPr>
                <w:rFonts w:hint="eastAsia"/>
                <w:color w:val="auto"/>
                <w:kern w:val="2"/>
                <w:highlight w:val="none"/>
              </w:rPr>
              <w:t>Ⅱ级</w:t>
            </w:r>
          </w:p>
        </w:tc>
        <w:tc>
          <w:tcPr>
            <w:tcW w:w="1614" w:type="dxa"/>
            <w:tcBorders>
              <w:top w:val="single" w:color="auto" w:sz="4" w:space="0"/>
              <w:left w:val="nil"/>
              <w:bottom w:val="single" w:color="auto" w:sz="4" w:space="0"/>
              <w:right w:val="single" w:color="auto" w:sz="4" w:space="0"/>
            </w:tcBorders>
            <w:vAlign w:val="center"/>
          </w:tcPr>
          <w:p w14:paraId="4E9C0FA2">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FD2B8B1">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68EE41BC">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0F123D5D">
            <w:pPr>
              <w:jc w:val="center"/>
              <w:rPr>
                <w:color w:val="auto"/>
                <w:kern w:val="2"/>
                <w:highlight w:val="none"/>
              </w:rPr>
            </w:pPr>
          </w:p>
        </w:tc>
      </w:tr>
      <w:tr w14:paraId="67795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0C1B87E">
            <w:pPr>
              <w:jc w:val="center"/>
              <w:rPr>
                <w:color w:val="auto"/>
                <w:kern w:val="2"/>
                <w:highlight w:val="none"/>
              </w:rPr>
            </w:pPr>
            <w:r>
              <w:rPr>
                <w:rFonts w:hint="eastAsia"/>
                <w:color w:val="auto"/>
                <w:kern w:val="2"/>
                <w:highlight w:val="none"/>
              </w:rPr>
              <w:t>-3</w:t>
            </w:r>
          </w:p>
        </w:tc>
        <w:tc>
          <w:tcPr>
            <w:tcW w:w="2392" w:type="dxa"/>
            <w:tcBorders>
              <w:top w:val="single" w:color="auto" w:sz="4" w:space="0"/>
              <w:left w:val="nil"/>
              <w:bottom w:val="single" w:color="auto" w:sz="4" w:space="0"/>
              <w:right w:val="single" w:color="auto" w:sz="4" w:space="0"/>
            </w:tcBorders>
            <w:vAlign w:val="center"/>
          </w:tcPr>
          <w:p w14:paraId="60CB6FA1">
            <w:pPr>
              <w:jc w:val="center"/>
              <w:rPr>
                <w:color w:val="auto"/>
                <w:kern w:val="2"/>
                <w:highlight w:val="none"/>
              </w:rPr>
            </w:pPr>
            <w:r>
              <w:rPr>
                <w:rFonts w:hint="eastAsia"/>
                <w:color w:val="auto"/>
                <w:kern w:val="2"/>
                <w:highlight w:val="none"/>
              </w:rPr>
              <w:t>Ⅲ级</w:t>
            </w:r>
          </w:p>
        </w:tc>
        <w:tc>
          <w:tcPr>
            <w:tcW w:w="1614" w:type="dxa"/>
            <w:tcBorders>
              <w:top w:val="single" w:color="auto" w:sz="4" w:space="0"/>
              <w:left w:val="nil"/>
              <w:bottom w:val="single" w:color="auto" w:sz="4" w:space="0"/>
              <w:right w:val="single" w:color="auto" w:sz="4" w:space="0"/>
            </w:tcBorders>
            <w:vAlign w:val="center"/>
          </w:tcPr>
          <w:p w14:paraId="2A86BE45">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E897AE9">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4643A6A2">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21DDE293">
            <w:pPr>
              <w:jc w:val="center"/>
              <w:rPr>
                <w:color w:val="auto"/>
                <w:kern w:val="2"/>
                <w:highlight w:val="none"/>
              </w:rPr>
            </w:pPr>
          </w:p>
        </w:tc>
      </w:tr>
      <w:tr w14:paraId="73B04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6F16A778">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53A4A2DC">
            <w:pPr>
              <w:jc w:val="center"/>
              <w:rPr>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5D080193">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3E8ED0A4">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297529E4">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4F66223">
            <w:pPr>
              <w:jc w:val="center"/>
              <w:rPr>
                <w:color w:val="auto"/>
                <w:kern w:val="2"/>
                <w:highlight w:val="none"/>
              </w:rPr>
            </w:pPr>
          </w:p>
        </w:tc>
      </w:tr>
      <w:tr w14:paraId="3E242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D07F954">
            <w:pPr>
              <w:jc w:val="center"/>
              <w:rPr>
                <w:color w:val="auto"/>
                <w:kern w:val="2"/>
                <w:highlight w:val="none"/>
              </w:rPr>
            </w:pPr>
            <w:r>
              <w:rPr>
                <w:rFonts w:hint="eastAsia"/>
                <w:color w:val="auto"/>
                <w:kern w:val="2"/>
                <w:highlight w:val="none"/>
              </w:rPr>
              <w:t>5</w:t>
            </w:r>
          </w:p>
        </w:tc>
        <w:tc>
          <w:tcPr>
            <w:tcW w:w="2392" w:type="dxa"/>
            <w:tcBorders>
              <w:top w:val="single" w:color="auto" w:sz="4" w:space="0"/>
              <w:left w:val="nil"/>
              <w:bottom w:val="single" w:color="auto" w:sz="4" w:space="0"/>
              <w:right w:val="single" w:color="auto" w:sz="4" w:space="0"/>
            </w:tcBorders>
            <w:vAlign w:val="center"/>
          </w:tcPr>
          <w:p w14:paraId="40E6B65E">
            <w:pPr>
              <w:jc w:val="center"/>
              <w:rPr>
                <w:color w:val="auto"/>
                <w:kern w:val="2"/>
                <w:highlight w:val="none"/>
              </w:rPr>
            </w:pPr>
            <w:r>
              <w:rPr>
                <w:rFonts w:hint="eastAsia"/>
                <w:color w:val="auto"/>
                <w:kern w:val="2"/>
                <w:highlight w:val="none"/>
              </w:rPr>
              <w:t>交通工程及沿线设施</w:t>
            </w:r>
          </w:p>
        </w:tc>
        <w:tc>
          <w:tcPr>
            <w:tcW w:w="1614" w:type="dxa"/>
            <w:tcBorders>
              <w:top w:val="single" w:color="auto" w:sz="4" w:space="0"/>
              <w:left w:val="nil"/>
              <w:bottom w:val="single" w:color="auto" w:sz="4" w:space="0"/>
              <w:right w:val="single" w:color="auto" w:sz="4" w:space="0"/>
            </w:tcBorders>
            <w:vAlign w:val="center"/>
          </w:tcPr>
          <w:p w14:paraId="37F8151D">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4D1DEB47">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0BD19ECA">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D8166A6">
            <w:pPr>
              <w:jc w:val="center"/>
              <w:rPr>
                <w:color w:val="auto"/>
                <w:kern w:val="2"/>
                <w:highlight w:val="none"/>
              </w:rPr>
            </w:pPr>
          </w:p>
        </w:tc>
      </w:tr>
      <w:tr w14:paraId="4D0D1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748C2563">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330AAA72">
            <w:pPr>
              <w:jc w:val="center"/>
              <w:rPr>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2F478AAB">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39D2C800">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2EA1AA25">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C2930EC">
            <w:pPr>
              <w:jc w:val="center"/>
              <w:rPr>
                <w:color w:val="auto"/>
                <w:kern w:val="2"/>
                <w:highlight w:val="none"/>
              </w:rPr>
            </w:pPr>
          </w:p>
        </w:tc>
      </w:tr>
      <w:tr w14:paraId="41CBD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08FEB42B">
            <w:pPr>
              <w:jc w:val="center"/>
              <w:rPr>
                <w:color w:val="auto"/>
                <w:kern w:val="2"/>
                <w:highlight w:val="none"/>
              </w:rPr>
            </w:pPr>
            <w:r>
              <w:rPr>
                <w:rFonts w:hint="eastAsia"/>
                <w:color w:val="auto"/>
                <w:kern w:val="2"/>
                <w:highlight w:val="none"/>
              </w:rPr>
              <w:t>6</w:t>
            </w:r>
          </w:p>
        </w:tc>
        <w:tc>
          <w:tcPr>
            <w:tcW w:w="2392" w:type="dxa"/>
            <w:tcBorders>
              <w:top w:val="single" w:color="auto" w:sz="4" w:space="0"/>
              <w:left w:val="nil"/>
              <w:bottom w:val="single" w:color="auto" w:sz="4" w:space="0"/>
              <w:right w:val="single" w:color="auto" w:sz="4" w:space="0"/>
            </w:tcBorders>
            <w:vAlign w:val="center"/>
          </w:tcPr>
          <w:p w14:paraId="527D2ECA">
            <w:pPr>
              <w:jc w:val="center"/>
              <w:rPr>
                <w:color w:val="auto"/>
                <w:kern w:val="2"/>
                <w:highlight w:val="none"/>
                <w:lang w:eastAsia="zh-CN"/>
              </w:rPr>
            </w:pPr>
            <w:r>
              <w:rPr>
                <w:rFonts w:hint="eastAsia"/>
                <w:color w:val="auto"/>
                <w:kern w:val="2"/>
                <w:highlight w:val="none"/>
                <w:lang w:eastAsia="zh-CN"/>
              </w:rPr>
              <w:t>环保、水保及绿化景观设计</w:t>
            </w:r>
          </w:p>
        </w:tc>
        <w:tc>
          <w:tcPr>
            <w:tcW w:w="1614" w:type="dxa"/>
            <w:tcBorders>
              <w:top w:val="single" w:color="auto" w:sz="4" w:space="0"/>
              <w:left w:val="nil"/>
              <w:bottom w:val="single" w:color="auto" w:sz="4" w:space="0"/>
              <w:right w:val="single" w:color="auto" w:sz="4" w:space="0"/>
            </w:tcBorders>
            <w:vAlign w:val="center"/>
          </w:tcPr>
          <w:p w14:paraId="3CA3C496">
            <w:pPr>
              <w:jc w:val="center"/>
              <w:rPr>
                <w:rFonts w:ascii="Times New Roman" w:hAnsi="Times New Roman"/>
                <w:color w:val="auto"/>
                <w:kern w:val="2"/>
                <w:highlight w:val="none"/>
                <w:lang w:eastAsia="zh-CN"/>
              </w:rPr>
            </w:pPr>
          </w:p>
        </w:tc>
        <w:tc>
          <w:tcPr>
            <w:tcW w:w="1271" w:type="dxa"/>
            <w:tcBorders>
              <w:top w:val="single" w:color="auto" w:sz="4" w:space="0"/>
              <w:left w:val="nil"/>
              <w:bottom w:val="single" w:color="auto" w:sz="4" w:space="0"/>
              <w:right w:val="single" w:color="auto" w:sz="4" w:space="0"/>
            </w:tcBorders>
            <w:vAlign w:val="center"/>
          </w:tcPr>
          <w:p w14:paraId="52FC8CF3">
            <w:pPr>
              <w:jc w:val="center"/>
              <w:rPr>
                <w:color w:val="auto"/>
                <w:kern w:val="2"/>
                <w:highlight w:val="none"/>
                <w:lang w:eastAsia="zh-CN"/>
              </w:rPr>
            </w:pPr>
          </w:p>
        </w:tc>
        <w:tc>
          <w:tcPr>
            <w:tcW w:w="1262" w:type="dxa"/>
            <w:tcBorders>
              <w:top w:val="single" w:color="auto" w:sz="4" w:space="0"/>
              <w:left w:val="nil"/>
              <w:bottom w:val="single" w:color="auto" w:sz="4" w:space="0"/>
              <w:right w:val="single" w:color="auto" w:sz="4" w:space="0"/>
            </w:tcBorders>
            <w:vAlign w:val="center"/>
          </w:tcPr>
          <w:p w14:paraId="3AE51A9B">
            <w:pPr>
              <w:jc w:val="center"/>
              <w:rPr>
                <w:color w:val="auto"/>
                <w:kern w:val="2"/>
                <w:highlight w:val="none"/>
                <w:lang w:eastAsia="zh-CN"/>
              </w:rPr>
            </w:pPr>
          </w:p>
        </w:tc>
        <w:tc>
          <w:tcPr>
            <w:tcW w:w="1223" w:type="dxa"/>
            <w:tcBorders>
              <w:top w:val="single" w:color="auto" w:sz="4" w:space="0"/>
              <w:left w:val="nil"/>
              <w:bottom w:val="single" w:color="auto" w:sz="4" w:space="0"/>
              <w:right w:val="single" w:color="auto" w:sz="4" w:space="0"/>
            </w:tcBorders>
            <w:vAlign w:val="center"/>
          </w:tcPr>
          <w:p w14:paraId="7D7F649B">
            <w:pPr>
              <w:jc w:val="center"/>
              <w:rPr>
                <w:color w:val="auto"/>
                <w:kern w:val="2"/>
                <w:highlight w:val="none"/>
                <w:lang w:eastAsia="zh-CN"/>
              </w:rPr>
            </w:pPr>
          </w:p>
        </w:tc>
      </w:tr>
      <w:tr w14:paraId="7252E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13D1606E">
            <w:pPr>
              <w:jc w:val="center"/>
              <w:rPr>
                <w:color w:val="auto"/>
                <w:kern w:val="2"/>
                <w:highlight w:val="none"/>
                <w:lang w:eastAsia="zh-CN"/>
              </w:rPr>
            </w:pPr>
          </w:p>
        </w:tc>
        <w:tc>
          <w:tcPr>
            <w:tcW w:w="2392" w:type="dxa"/>
            <w:tcBorders>
              <w:top w:val="single" w:color="auto" w:sz="4" w:space="0"/>
              <w:left w:val="nil"/>
              <w:bottom w:val="single" w:color="auto" w:sz="4" w:space="0"/>
              <w:right w:val="single" w:color="auto" w:sz="4" w:space="0"/>
            </w:tcBorders>
            <w:vAlign w:val="center"/>
          </w:tcPr>
          <w:p w14:paraId="094FBA07">
            <w:pPr>
              <w:jc w:val="center"/>
              <w:rPr>
                <w:rFonts w:ascii="Times New Roman" w:hAnsi="Times New Roman"/>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55489B9A">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10910FFF">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360C5EDB">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4AF37AD6">
            <w:pPr>
              <w:jc w:val="center"/>
              <w:rPr>
                <w:color w:val="auto"/>
                <w:kern w:val="2"/>
                <w:highlight w:val="none"/>
              </w:rPr>
            </w:pPr>
          </w:p>
        </w:tc>
      </w:tr>
      <w:tr w14:paraId="362E6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4CDB34DF">
            <w:pPr>
              <w:jc w:val="center"/>
              <w:rPr>
                <w:color w:val="auto"/>
                <w:kern w:val="2"/>
                <w:highlight w:val="none"/>
              </w:rPr>
            </w:pPr>
            <w:r>
              <w:rPr>
                <w:rFonts w:hint="eastAsia"/>
                <w:color w:val="auto"/>
                <w:kern w:val="2"/>
                <w:highlight w:val="none"/>
              </w:rPr>
              <w:t>7</w:t>
            </w:r>
          </w:p>
        </w:tc>
        <w:tc>
          <w:tcPr>
            <w:tcW w:w="2392" w:type="dxa"/>
            <w:tcBorders>
              <w:top w:val="single" w:color="auto" w:sz="4" w:space="0"/>
              <w:left w:val="nil"/>
              <w:bottom w:val="single" w:color="auto" w:sz="4" w:space="0"/>
              <w:right w:val="single" w:color="auto" w:sz="4" w:space="0"/>
            </w:tcBorders>
            <w:vAlign w:val="center"/>
          </w:tcPr>
          <w:p w14:paraId="1819D9F7">
            <w:pPr>
              <w:jc w:val="center"/>
              <w:rPr>
                <w:color w:val="auto"/>
                <w:kern w:val="2"/>
                <w:highlight w:val="none"/>
              </w:rPr>
            </w:pPr>
            <w:r>
              <w:rPr>
                <w:rFonts w:hint="eastAsia"/>
                <w:color w:val="auto"/>
                <w:kern w:val="2"/>
                <w:highlight w:val="none"/>
              </w:rPr>
              <w:t>专题研究</w:t>
            </w:r>
          </w:p>
        </w:tc>
        <w:tc>
          <w:tcPr>
            <w:tcW w:w="1614" w:type="dxa"/>
            <w:tcBorders>
              <w:top w:val="single" w:color="auto" w:sz="4" w:space="0"/>
              <w:left w:val="nil"/>
              <w:bottom w:val="single" w:color="auto" w:sz="4" w:space="0"/>
              <w:right w:val="single" w:color="auto" w:sz="4" w:space="0"/>
            </w:tcBorders>
            <w:vAlign w:val="center"/>
          </w:tcPr>
          <w:p w14:paraId="1DA449B9">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20B137D5">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787C1DEB">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522270AD">
            <w:pPr>
              <w:jc w:val="center"/>
              <w:rPr>
                <w:color w:val="auto"/>
                <w:kern w:val="2"/>
                <w:highlight w:val="none"/>
              </w:rPr>
            </w:pPr>
          </w:p>
        </w:tc>
      </w:tr>
      <w:tr w14:paraId="061B3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5A1382A1">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12810FF0">
            <w:pPr>
              <w:jc w:val="center"/>
              <w:rPr>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6B51E3E9">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04DEB2E7">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0A2B9432">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28F0C88B">
            <w:pPr>
              <w:jc w:val="center"/>
              <w:rPr>
                <w:color w:val="auto"/>
                <w:kern w:val="2"/>
                <w:highlight w:val="none"/>
              </w:rPr>
            </w:pPr>
          </w:p>
        </w:tc>
      </w:tr>
      <w:tr w14:paraId="3AD2E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5AE0BAF1">
            <w:pPr>
              <w:jc w:val="center"/>
              <w:rPr>
                <w:color w:val="auto"/>
                <w:kern w:val="2"/>
                <w:highlight w:val="none"/>
              </w:rPr>
            </w:pPr>
            <w:r>
              <w:rPr>
                <w:rFonts w:hint="eastAsia"/>
                <w:color w:val="auto"/>
                <w:kern w:val="2"/>
                <w:highlight w:val="none"/>
              </w:rPr>
              <w:t>三</w:t>
            </w:r>
          </w:p>
        </w:tc>
        <w:tc>
          <w:tcPr>
            <w:tcW w:w="2392" w:type="dxa"/>
            <w:tcBorders>
              <w:top w:val="single" w:color="auto" w:sz="4" w:space="0"/>
              <w:left w:val="nil"/>
              <w:bottom w:val="single" w:color="auto" w:sz="4" w:space="0"/>
              <w:right w:val="single" w:color="auto" w:sz="4" w:space="0"/>
            </w:tcBorders>
            <w:vAlign w:val="center"/>
          </w:tcPr>
          <w:p w14:paraId="10D826FA">
            <w:pPr>
              <w:jc w:val="center"/>
              <w:rPr>
                <w:color w:val="auto"/>
                <w:kern w:val="2"/>
                <w:highlight w:val="none"/>
              </w:rPr>
            </w:pPr>
            <w:r>
              <w:rPr>
                <w:rFonts w:hint="eastAsia"/>
                <w:color w:val="auto"/>
                <w:kern w:val="2"/>
                <w:highlight w:val="none"/>
              </w:rPr>
              <w:t>其他</w:t>
            </w:r>
          </w:p>
        </w:tc>
        <w:tc>
          <w:tcPr>
            <w:tcW w:w="1614" w:type="dxa"/>
            <w:tcBorders>
              <w:top w:val="single" w:color="auto" w:sz="4" w:space="0"/>
              <w:left w:val="nil"/>
              <w:bottom w:val="single" w:color="auto" w:sz="4" w:space="0"/>
              <w:right w:val="single" w:color="auto" w:sz="4" w:space="0"/>
            </w:tcBorders>
            <w:vAlign w:val="center"/>
          </w:tcPr>
          <w:p w14:paraId="206A658F">
            <w:pPr>
              <w:jc w:val="center"/>
              <w:rPr>
                <w:rFonts w:ascii="Times New Roman" w:hAnsi="Times New Roman"/>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41F0C731">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1B9774F5">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67DA96B8">
            <w:pPr>
              <w:jc w:val="center"/>
              <w:rPr>
                <w:color w:val="auto"/>
                <w:kern w:val="2"/>
                <w:highlight w:val="none"/>
              </w:rPr>
            </w:pPr>
          </w:p>
        </w:tc>
      </w:tr>
      <w:tr w14:paraId="2FE74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81" w:type="dxa"/>
            <w:tcBorders>
              <w:top w:val="single" w:color="auto" w:sz="4" w:space="0"/>
              <w:left w:val="single" w:color="auto" w:sz="4" w:space="0"/>
              <w:bottom w:val="single" w:color="auto" w:sz="4" w:space="0"/>
              <w:right w:val="single" w:color="auto" w:sz="4" w:space="0"/>
            </w:tcBorders>
            <w:vAlign w:val="center"/>
          </w:tcPr>
          <w:p w14:paraId="5F0153E9">
            <w:pPr>
              <w:jc w:val="center"/>
              <w:rPr>
                <w:color w:val="auto"/>
                <w:kern w:val="2"/>
                <w:highlight w:val="none"/>
              </w:rPr>
            </w:pPr>
          </w:p>
        </w:tc>
        <w:tc>
          <w:tcPr>
            <w:tcW w:w="2392" w:type="dxa"/>
            <w:tcBorders>
              <w:top w:val="single" w:color="auto" w:sz="4" w:space="0"/>
              <w:left w:val="nil"/>
              <w:bottom w:val="single" w:color="auto" w:sz="4" w:space="0"/>
              <w:right w:val="single" w:color="auto" w:sz="4" w:space="0"/>
            </w:tcBorders>
            <w:vAlign w:val="center"/>
          </w:tcPr>
          <w:p w14:paraId="756C309D">
            <w:pPr>
              <w:jc w:val="center"/>
              <w:rPr>
                <w:rFonts w:ascii="Times New Roman" w:hAnsi="Times New Roman"/>
                <w:color w:val="auto"/>
                <w:kern w:val="2"/>
                <w:highlight w:val="none"/>
              </w:rPr>
            </w:pPr>
            <w:r>
              <w:rPr>
                <w:color w:val="auto"/>
                <w:kern w:val="2"/>
                <w:highlight w:val="none"/>
              </w:rPr>
              <w:t>……</w:t>
            </w:r>
          </w:p>
        </w:tc>
        <w:tc>
          <w:tcPr>
            <w:tcW w:w="1614" w:type="dxa"/>
            <w:tcBorders>
              <w:top w:val="single" w:color="auto" w:sz="4" w:space="0"/>
              <w:left w:val="nil"/>
              <w:bottom w:val="single" w:color="auto" w:sz="4" w:space="0"/>
              <w:right w:val="single" w:color="auto" w:sz="4" w:space="0"/>
            </w:tcBorders>
            <w:vAlign w:val="center"/>
          </w:tcPr>
          <w:p w14:paraId="68A7A198">
            <w:pPr>
              <w:jc w:val="center"/>
              <w:rPr>
                <w:color w:val="auto"/>
                <w:kern w:val="2"/>
                <w:highlight w:val="none"/>
              </w:rPr>
            </w:pPr>
          </w:p>
        </w:tc>
        <w:tc>
          <w:tcPr>
            <w:tcW w:w="1271" w:type="dxa"/>
            <w:tcBorders>
              <w:top w:val="single" w:color="auto" w:sz="4" w:space="0"/>
              <w:left w:val="nil"/>
              <w:bottom w:val="single" w:color="auto" w:sz="4" w:space="0"/>
              <w:right w:val="single" w:color="auto" w:sz="4" w:space="0"/>
            </w:tcBorders>
            <w:vAlign w:val="center"/>
          </w:tcPr>
          <w:p w14:paraId="6471EFF3">
            <w:pPr>
              <w:jc w:val="center"/>
              <w:rPr>
                <w:color w:val="auto"/>
                <w:kern w:val="2"/>
                <w:highlight w:val="none"/>
              </w:rPr>
            </w:pPr>
          </w:p>
        </w:tc>
        <w:tc>
          <w:tcPr>
            <w:tcW w:w="1262" w:type="dxa"/>
            <w:tcBorders>
              <w:top w:val="single" w:color="auto" w:sz="4" w:space="0"/>
              <w:left w:val="nil"/>
              <w:bottom w:val="single" w:color="auto" w:sz="4" w:space="0"/>
              <w:right w:val="single" w:color="auto" w:sz="4" w:space="0"/>
            </w:tcBorders>
            <w:vAlign w:val="center"/>
          </w:tcPr>
          <w:p w14:paraId="7B4C688E">
            <w:pPr>
              <w:jc w:val="center"/>
              <w:rPr>
                <w:color w:val="auto"/>
                <w:kern w:val="2"/>
                <w:highlight w:val="none"/>
              </w:rPr>
            </w:pPr>
          </w:p>
        </w:tc>
        <w:tc>
          <w:tcPr>
            <w:tcW w:w="1223" w:type="dxa"/>
            <w:tcBorders>
              <w:top w:val="single" w:color="auto" w:sz="4" w:space="0"/>
              <w:left w:val="nil"/>
              <w:bottom w:val="single" w:color="auto" w:sz="4" w:space="0"/>
              <w:right w:val="single" w:color="auto" w:sz="4" w:space="0"/>
            </w:tcBorders>
            <w:vAlign w:val="center"/>
          </w:tcPr>
          <w:p w14:paraId="71E2AFD1">
            <w:pPr>
              <w:jc w:val="center"/>
              <w:rPr>
                <w:color w:val="auto"/>
                <w:kern w:val="2"/>
                <w:highlight w:val="none"/>
              </w:rPr>
            </w:pPr>
          </w:p>
        </w:tc>
      </w:tr>
      <w:tr w14:paraId="7DA9A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8543" w:type="dxa"/>
            <w:gridSpan w:val="6"/>
            <w:tcBorders>
              <w:top w:val="single" w:color="auto" w:sz="4" w:space="0"/>
              <w:left w:val="single" w:color="auto" w:sz="4" w:space="0"/>
              <w:bottom w:val="single" w:color="auto" w:sz="4" w:space="0"/>
              <w:right w:val="single" w:color="auto" w:sz="4" w:space="0"/>
            </w:tcBorders>
            <w:vAlign w:val="center"/>
          </w:tcPr>
          <w:p w14:paraId="16F24F7B">
            <w:pPr>
              <w:jc w:val="center"/>
              <w:rPr>
                <w:b/>
                <w:color w:val="auto"/>
                <w:kern w:val="2"/>
                <w:highlight w:val="none"/>
              </w:rPr>
            </w:pPr>
            <w:r>
              <w:rPr>
                <w:rFonts w:hint="eastAsia"/>
                <w:b/>
                <w:color w:val="auto"/>
                <w:kern w:val="2"/>
                <w:highlight w:val="none"/>
              </w:rPr>
              <w:t xml:space="preserve">合 </w:t>
            </w:r>
            <w:r>
              <w:rPr>
                <w:b/>
                <w:color w:val="auto"/>
                <w:kern w:val="2"/>
                <w:highlight w:val="none"/>
              </w:rPr>
              <w:t xml:space="preserve">  </w:t>
            </w:r>
            <w:r>
              <w:rPr>
                <w:rFonts w:hint="eastAsia"/>
                <w:b/>
                <w:color w:val="auto"/>
                <w:kern w:val="2"/>
                <w:highlight w:val="none"/>
              </w:rPr>
              <w:t>计：</w:t>
            </w:r>
          </w:p>
        </w:tc>
      </w:tr>
    </w:tbl>
    <w:p w14:paraId="72189F92">
      <w:pPr>
        <w:rPr>
          <w:rFonts w:cs="Times New Roman"/>
          <w:color w:val="auto"/>
          <w:sz w:val="18"/>
          <w:szCs w:val="18"/>
          <w:highlight w:val="none"/>
        </w:rPr>
      </w:pPr>
      <w:r>
        <w:rPr>
          <w:rFonts w:hint="eastAsia"/>
          <w:color w:val="auto"/>
          <w:sz w:val="18"/>
          <w:szCs w:val="18"/>
          <w:highlight w:val="none"/>
        </w:rPr>
        <w:t xml:space="preserve"> </w:t>
      </w:r>
    </w:p>
    <w:p w14:paraId="5BF55A53">
      <w:pPr>
        <w:rPr>
          <w:color w:val="auto"/>
          <w:sz w:val="24"/>
          <w:szCs w:val="24"/>
          <w:highlight w:val="none"/>
          <w:lang w:eastAsia="zh-CN"/>
        </w:rPr>
      </w:pPr>
      <w:r>
        <w:rPr>
          <w:rFonts w:hint="eastAsia"/>
          <w:color w:val="auto"/>
          <w:sz w:val="24"/>
          <w:szCs w:val="24"/>
          <w:highlight w:val="none"/>
          <w:lang w:eastAsia="zh-CN"/>
        </w:rPr>
        <w:t>注：1．本清单格式仅为示例，投标人应根据本招标项目工程特点和设计工作内容，分别列出并填写本表各设计项目的分项及子项。</w:t>
      </w:r>
    </w:p>
    <w:p w14:paraId="4DAED86D">
      <w:pPr>
        <w:rPr>
          <w:color w:val="auto"/>
          <w:sz w:val="24"/>
          <w:szCs w:val="24"/>
          <w:highlight w:val="none"/>
          <w:lang w:eastAsia="zh-CN"/>
        </w:rPr>
      </w:pPr>
      <w:r>
        <w:rPr>
          <w:rFonts w:hint="eastAsia"/>
          <w:color w:val="auto"/>
          <w:sz w:val="24"/>
          <w:szCs w:val="24"/>
          <w:highlight w:val="none"/>
          <w:lang w:eastAsia="zh-CN"/>
        </w:rPr>
        <w:t>2．本清单表中“其他”是指工程设计实际需要或提供相关服务收取的费用，包括主体设计协调费、采用标准设计和复用设计费、非标准设备设计文件编制费、施工图预算编制费、竣工图编制费等。</w:t>
      </w:r>
    </w:p>
    <w:p w14:paraId="46D5E8D4">
      <w:pPr>
        <w:rPr>
          <w:color w:val="auto"/>
          <w:sz w:val="24"/>
          <w:szCs w:val="24"/>
          <w:highlight w:val="none"/>
          <w:lang w:eastAsia="zh-CN"/>
        </w:rPr>
      </w:pPr>
      <w:r>
        <w:rPr>
          <w:rFonts w:hint="eastAsia"/>
          <w:color w:val="auto"/>
          <w:sz w:val="24"/>
          <w:szCs w:val="24"/>
          <w:highlight w:val="none"/>
          <w:lang w:eastAsia="zh-CN"/>
        </w:rPr>
        <w:t>3．投标人应将详细的计算说明（包括每一分项、子项的计算依据及计算过程等）附在报价文件后面。</w:t>
      </w:r>
    </w:p>
    <w:p w14:paraId="7D8DA098">
      <w:pPr>
        <w:kinsoku/>
        <w:autoSpaceDE/>
        <w:autoSpaceDN/>
        <w:adjustRightInd/>
        <w:snapToGrid/>
        <w:textAlignment w:val="auto"/>
        <w:rPr>
          <w:color w:val="auto"/>
          <w:highlight w:val="none"/>
          <w:lang w:eastAsia="zh-CN"/>
        </w:rPr>
      </w:pPr>
      <w:r>
        <w:rPr>
          <w:color w:val="auto"/>
          <w:highlight w:val="none"/>
          <w:lang w:eastAsia="zh-CN"/>
        </w:rPr>
        <w:br w:type="page"/>
      </w:r>
    </w:p>
    <w:p w14:paraId="613651D7">
      <w:pPr>
        <w:jc w:val="center"/>
        <w:outlineLvl w:val="9"/>
        <w:rPr>
          <w:b/>
          <w:color w:val="auto"/>
          <w:spacing w:val="-3"/>
          <w:sz w:val="28"/>
          <w:szCs w:val="28"/>
          <w:highlight w:val="none"/>
          <w:lang w:eastAsia="zh-CN"/>
        </w:rPr>
      </w:pPr>
      <w:r>
        <w:rPr>
          <w:rFonts w:hint="eastAsia"/>
          <w:b/>
          <w:color w:val="auto"/>
          <w:spacing w:val="-3"/>
          <w:sz w:val="28"/>
          <w:szCs w:val="28"/>
          <w:highlight w:val="none"/>
          <w:lang w:eastAsia="zh-CN"/>
        </w:rPr>
        <w:t>（四）报价清单汇总表</w:t>
      </w:r>
    </w:p>
    <w:p w14:paraId="760995F2">
      <w:pPr>
        <w:ind w:firstLine="630" w:firstLineChars="300"/>
        <w:rPr>
          <w:color w:val="auto"/>
          <w:sz w:val="24"/>
          <w:szCs w:val="24"/>
          <w:highlight w:val="none"/>
          <w:lang w:eastAsia="zh-CN"/>
        </w:rPr>
      </w:pPr>
      <w:r>
        <w:rPr>
          <w:rFonts w:hint="eastAsia"/>
          <w:color w:val="auto"/>
          <w:highlight w:val="none"/>
          <w:lang w:eastAsia="zh-CN"/>
        </w:rPr>
        <w:t xml:space="preserve">                                         单位：万元（人民币）</w:t>
      </w:r>
    </w:p>
    <w:tbl>
      <w:tblPr>
        <w:tblStyle w:val="15"/>
        <w:tblW w:w="86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4"/>
        <w:gridCol w:w="2160"/>
        <w:gridCol w:w="2340"/>
        <w:gridCol w:w="3211"/>
      </w:tblGrid>
      <w:tr w14:paraId="0BCBB0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0" w:hRule="atLeast"/>
          <w:jc w:val="center"/>
        </w:trPr>
        <w:tc>
          <w:tcPr>
            <w:tcW w:w="894" w:type="dxa"/>
            <w:tcBorders>
              <w:top w:val="single" w:color="auto" w:sz="4" w:space="0"/>
              <w:left w:val="single" w:color="auto" w:sz="4" w:space="0"/>
              <w:bottom w:val="single" w:color="auto" w:sz="4" w:space="0"/>
              <w:right w:val="single" w:color="auto" w:sz="4" w:space="0"/>
            </w:tcBorders>
            <w:vAlign w:val="center"/>
          </w:tcPr>
          <w:p w14:paraId="364E6B9E">
            <w:pPr>
              <w:jc w:val="center"/>
              <w:rPr>
                <w:b/>
                <w:color w:val="auto"/>
                <w:kern w:val="2"/>
                <w:highlight w:val="none"/>
              </w:rPr>
            </w:pPr>
            <w:r>
              <w:rPr>
                <w:rFonts w:hint="eastAsia"/>
                <w:b/>
                <w:color w:val="auto"/>
                <w:kern w:val="2"/>
                <w:highlight w:val="none"/>
              </w:rPr>
              <w:t>序 号</w:t>
            </w:r>
          </w:p>
        </w:tc>
        <w:tc>
          <w:tcPr>
            <w:tcW w:w="2160" w:type="dxa"/>
            <w:tcBorders>
              <w:top w:val="single" w:color="auto" w:sz="4" w:space="0"/>
              <w:left w:val="single" w:color="auto" w:sz="4" w:space="0"/>
              <w:bottom w:val="single" w:color="auto" w:sz="4" w:space="0"/>
              <w:right w:val="single" w:color="auto" w:sz="4" w:space="0"/>
            </w:tcBorders>
            <w:vAlign w:val="center"/>
          </w:tcPr>
          <w:p w14:paraId="23FE318E">
            <w:pPr>
              <w:jc w:val="center"/>
              <w:rPr>
                <w:b/>
                <w:color w:val="auto"/>
                <w:kern w:val="2"/>
                <w:highlight w:val="none"/>
              </w:rPr>
            </w:pPr>
            <w:r>
              <w:rPr>
                <w:rFonts w:hint="eastAsia"/>
                <w:b/>
                <w:color w:val="auto"/>
                <w:kern w:val="2"/>
                <w:highlight w:val="none"/>
              </w:rPr>
              <w:t>项 目</w:t>
            </w:r>
          </w:p>
        </w:tc>
        <w:tc>
          <w:tcPr>
            <w:tcW w:w="2340" w:type="dxa"/>
            <w:tcBorders>
              <w:top w:val="single" w:color="auto" w:sz="4" w:space="0"/>
              <w:left w:val="single" w:color="auto" w:sz="4" w:space="0"/>
              <w:bottom w:val="single" w:color="auto" w:sz="4" w:space="0"/>
              <w:right w:val="single" w:color="auto" w:sz="4" w:space="0"/>
            </w:tcBorders>
            <w:vAlign w:val="center"/>
          </w:tcPr>
          <w:p w14:paraId="0FE3BD8F">
            <w:pPr>
              <w:jc w:val="center"/>
              <w:rPr>
                <w:b/>
                <w:color w:val="auto"/>
                <w:kern w:val="2"/>
                <w:highlight w:val="none"/>
              </w:rPr>
            </w:pPr>
            <w:r>
              <w:rPr>
                <w:rFonts w:hint="eastAsia"/>
                <w:b/>
                <w:color w:val="auto"/>
                <w:kern w:val="2"/>
                <w:highlight w:val="none"/>
              </w:rPr>
              <w:t>费用合计</w:t>
            </w:r>
          </w:p>
        </w:tc>
        <w:tc>
          <w:tcPr>
            <w:tcW w:w="3211" w:type="dxa"/>
            <w:tcBorders>
              <w:top w:val="single" w:color="auto" w:sz="4" w:space="0"/>
              <w:left w:val="single" w:color="auto" w:sz="4" w:space="0"/>
              <w:bottom w:val="single" w:color="auto" w:sz="4" w:space="0"/>
              <w:right w:val="single" w:color="auto" w:sz="4" w:space="0"/>
            </w:tcBorders>
            <w:vAlign w:val="center"/>
          </w:tcPr>
          <w:p w14:paraId="224DAA5B">
            <w:pPr>
              <w:jc w:val="center"/>
              <w:rPr>
                <w:b/>
                <w:color w:val="auto"/>
                <w:kern w:val="2"/>
                <w:highlight w:val="none"/>
              </w:rPr>
            </w:pPr>
            <w:r>
              <w:rPr>
                <w:rFonts w:hint="eastAsia"/>
                <w:b/>
                <w:color w:val="auto"/>
                <w:kern w:val="2"/>
                <w:highlight w:val="none"/>
              </w:rPr>
              <w:t>备 注</w:t>
            </w:r>
          </w:p>
        </w:tc>
      </w:tr>
      <w:tr w14:paraId="38797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0" w:hRule="atLeast"/>
          <w:jc w:val="center"/>
        </w:trPr>
        <w:tc>
          <w:tcPr>
            <w:tcW w:w="894" w:type="dxa"/>
            <w:tcBorders>
              <w:top w:val="single" w:color="auto" w:sz="4" w:space="0"/>
              <w:left w:val="single" w:color="auto" w:sz="4" w:space="0"/>
              <w:bottom w:val="single" w:color="auto" w:sz="4" w:space="0"/>
              <w:right w:val="single" w:color="auto" w:sz="4" w:space="0"/>
            </w:tcBorders>
            <w:vAlign w:val="center"/>
          </w:tcPr>
          <w:p w14:paraId="5B60904F">
            <w:pPr>
              <w:jc w:val="center"/>
              <w:rPr>
                <w:b/>
                <w:color w:val="auto"/>
                <w:kern w:val="2"/>
                <w:highlight w:val="none"/>
              </w:rPr>
            </w:pPr>
            <w:r>
              <w:rPr>
                <w:rFonts w:hint="eastAsia"/>
                <w:color w:val="auto"/>
                <w:kern w:val="2"/>
                <w:highlight w:val="none"/>
              </w:rPr>
              <w:t>⑴</w:t>
            </w:r>
          </w:p>
        </w:tc>
        <w:tc>
          <w:tcPr>
            <w:tcW w:w="2160" w:type="dxa"/>
            <w:tcBorders>
              <w:top w:val="single" w:color="auto" w:sz="4" w:space="0"/>
              <w:left w:val="single" w:color="auto" w:sz="4" w:space="0"/>
              <w:bottom w:val="single" w:color="auto" w:sz="4" w:space="0"/>
              <w:right w:val="single" w:color="auto" w:sz="4" w:space="0"/>
            </w:tcBorders>
            <w:vAlign w:val="center"/>
          </w:tcPr>
          <w:p w14:paraId="26C21C66">
            <w:pPr>
              <w:jc w:val="center"/>
              <w:rPr>
                <w:color w:val="auto"/>
                <w:kern w:val="2"/>
                <w:highlight w:val="none"/>
              </w:rPr>
            </w:pPr>
            <w:r>
              <w:rPr>
                <w:rFonts w:hint="eastAsia"/>
                <w:color w:val="auto"/>
                <w:kern w:val="2"/>
                <w:highlight w:val="none"/>
              </w:rPr>
              <w:t>公路工程勘察</w:t>
            </w:r>
          </w:p>
        </w:tc>
        <w:tc>
          <w:tcPr>
            <w:tcW w:w="2340" w:type="dxa"/>
            <w:tcBorders>
              <w:top w:val="single" w:color="auto" w:sz="4" w:space="0"/>
              <w:left w:val="single" w:color="auto" w:sz="4" w:space="0"/>
              <w:bottom w:val="single" w:color="auto" w:sz="4" w:space="0"/>
              <w:right w:val="single" w:color="auto" w:sz="4" w:space="0"/>
            </w:tcBorders>
            <w:vAlign w:val="center"/>
          </w:tcPr>
          <w:p w14:paraId="1B1BBD07">
            <w:pPr>
              <w:jc w:val="center"/>
              <w:rPr>
                <w:b/>
                <w:color w:val="auto"/>
                <w:kern w:val="2"/>
                <w:highlight w:val="none"/>
              </w:rPr>
            </w:pPr>
          </w:p>
        </w:tc>
        <w:tc>
          <w:tcPr>
            <w:tcW w:w="3211" w:type="dxa"/>
            <w:tcBorders>
              <w:top w:val="single" w:color="auto" w:sz="4" w:space="0"/>
              <w:left w:val="single" w:color="auto" w:sz="4" w:space="0"/>
              <w:bottom w:val="single" w:color="auto" w:sz="4" w:space="0"/>
              <w:right w:val="single" w:color="auto" w:sz="4" w:space="0"/>
            </w:tcBorders>
            <w:vAlign w:val="center"/>
          </w:tcPr>
          <w:p w14:paraId="574A6A0D">
            <w:pPr>
              <w:jc w:val="center"/>
              <w:rPr>
                <w:b/>
                <w:color w:val="auto"/>
                <w:kern w:val="2"/>
                <w:highlight w:val="none"/>
              </w:rPr>
            </w:pPr>
          </w:p>
        </w:tc>
      </w:tr>
      <w:tr w14:paraId="42119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0" w:hRule="atLeast"/>
          <w:jc w:val="center"/>
        </w:trPr>
        <w:tc>
          <w:tcPr>
            <w:tcW w:w="894" w:type="dxa"/>
            <w:tcBorders>
              <w:top w:val="single" w:color="auto" w:sz="4" w:space="0"/>
              <w:left w:val="single" w:color="auto" w:sz="4" w:space="0"/>
              <w:bottom w:val="single" w:color="auto" w:sz="4" w:space="0"/>
              <w:right w:val="single" w:color="auto" w:sz="4" w:space="0"/>
            </w:tcBorders>
            <w:vAlign w:val="center"/>
          </w:tcPr>
          <w:p w14:paraId="1618D550">
            <w:pPr>
              <w:jc w:val="center"/>
              <w:rPr>
                <w:color w:val="auto"/>
                <w:kern w:val="2"/>
                <w:highlight w:val="none"/>
              </w:rPr>
            </w:pPr>
            <w:r>
              <w:rPr>
                <w:rFonts w:hint="eastAsia"/>
                <w:color w:val="auto"/>
                <w:kern w:val="2"/>
                <w:highlight w:val="none"/>
              </w:rPr>
              <w:t>⑵</w:t>
            </w:r>
          </w:p>
        </w:tc>
        <w:tc>
          <w:tcPr>
            <w:tcW w:w="2160" w:type="dxa"/>
            <w:tcBorders>
              <w:top w:val="single" w:color="auto" w:sz="4" w:space="0"/>
              <w:left w:val="single" w:color="auto" w:sz="4" w:space="0"/>
              <w:bottom w:val="single" w:color="auto" w:sz="4" w:space="0"/>
              <w:right w:val="single" w:color="auto" w:sz="4" w:space="0"/>
            </w:tcBorders>
            <w:vAlign w:val="center"/>
          </w:tcPr>
          <w:p w14:paraId="7613E7C1">
            <w:pPr>
              <w:jc w:val="center"/>
              <w:rPr>
                <w:color w:val="auto"/>
                <w:kern w:val="2"/>
                <w:highlight w:val="none"/>
              </w:rPr>
            </w:pPr>
            <w:r>
              <w:rPr>
                <w:rFonts w:hint="eastAsia"/>
                <w:color w:val="auto"/>
                <w:kern w:val="2"/>
                <w:highlight w:val="none"/>
              </w:rPr>
              <w:t>公路工程设计</w:t>
            </w:r>
          </w:p>
        </w:tc>
        <w:tc>
          <w:tcPr>
            <w:tcW w:w="2340" w:type="dxa"/>
            <w:tcBorders>
              <w:top w:val="single" w:color="auto" w:sz="4" w:space="0"/>
              <w:left w:val="single" w:color="auto" w:sz="4" w:space="0"/>
              <w:bottom w:val="single" w:color="auto" w:sz="4" w:space="0"/>
              <w:right w:val="single" w:color="auto" w:sz="4" w:space="0"/>
            </w:tcBorders>
            <w:vAlign w:val="center"/>
          </w:tcPr>
          <w:p w14:paraId="37758F4D">
            <w:pPr>
              <w:jc w:val="center"/>
              <w:rPr>
                <w:color w:val="auto"/>
                <w:kern w:val="2"/>
                <w:highlight w:val="none"/>
              </w:rPr>
            </w:pPr>
          </w:p>
        </w:tc>
        <w:tc>
          <w:tcPr>
            <w:tcW w:w="3211" w:type="dxa"/>
            <w:tcBorders>
              <w:top w:val="single" w:color="auto" w:sz="4" w:space="0"/>
              <w:left w:val="single" w:color="auto" w:sz="4" w:space="0"/>
              <w:bottom w:val="single" w:color="auto" w:sz="4" w:space="0"/>
              <w:right w:val="single" w:color="auto" w:sz="4" w:space="0"/>
            </w:tcBorders>
            <w:vAlign w:val="center"/>
          </w:tcPr>
          <w:p w14:paraId="4E45A725">
            <w:pPr>
              <w:jc w:val="center"/>
              <w:rPr>
                <w:color w:val="auto"/>
                <w:kern w:val="2"/>
                <w:highlight w:val="none"/>
              </w:rPr>
            </w:pPr>
          </w:p>
        </w:tc>
      </w:tr>
      <w:tr w14:paraId="19CB5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0" w:hRule="atLeast"/>
          <w:jc w:val="center"/>
        </w:trPr>
        <w:tc>
          <w:tcPr>
            <w:tcW w:w="894" w:type="dxa"/>
            <w:tcBorders>
              <w:top w:val="single" w:color="auto" w:sz="4" w:space="0"/>
              <w:left w:val="single" w:color="auto" w:sz="4" w:space="0"/>
              <w:bottom w:val="single" w:color="auto" w:sz="4" w:space="0"/>
              <w:right w:val="single" w:color="auto" w:sz="4" w:space="0"/>
            </w:tcBorders>
            <w:vAlign w:val="center"/>
          </w:tcPr>
          <w:p w14:paraId="2C6DA16D">
            <w:pPr>
              <w:jc w:val="center"/>
              <w:rPr>
                <w:color w:val="auto"/>
                <w:kern w:val="2"/>
                <w:highlight w:val="none"/>
              </w:rPr>
            </w:pPr>
            <w:r>
              <w:rPr>
                <w:rFonts w:hint="eastAsia"/>
                <w:color w:val="auto"/>
                <w:kern w:val="2"/>
                <w:highlight w:val="none"/>
              </w:rPr>
              <w:t>⑶</w:t>
            </w:r>
          </w:p>
        </w:tc>
        <w:tc>
          <w:tcPr>
            <w:tcW w:w="2160" w:type="dxa"/>
            <w:tcBorders>
              <w:top w:val="single" w:color="auto" w:sz="4" w:space="0"/>
              <w:left w:val="single" w:color="auto" w:sz="4" w:space="0"/>
              <w:bottom w:val="single" w:color="auto" w:sz="4" w:space="0"/>
              <w:right w:val="single" w:color="auto" w:sz="4" w:space="0"/>
            </w:tcBorders>
            <w:vAlign w:val="center"/>
          </w:tcPr>
          <w:p w14:paraId="1C4D097A">
            <w:pPr>
              <w:jc w:val="center"/>
              <w:rPr>
                <w:color w:val="auto"/>
                <w:kern w:val="2"/>
                <w:highlight w:val="none"/>
              </w:rPr>
            </w:pPr>
            <w:r>
              <w:rPr>
                <w:rFonts w:hint="eastAsia"/>
                <w:color w:val="auto"/>
                <w:kern w:val="2"/>
                <w:highlight w:val="none"/>
              </w:rPr>
              <w:t>投标总报价</w:t>
            </w:r>
          </w:p>
        </w:tc>
        <w:tc>
          <w:tcPr>
            <w:tcW w:w="2340" w:type="dxa"/>
            <w:tcBorders>
              <w:top w:val="single" w:color="auto" w:sz="4" w:space="0"/>
              <w:left w:val="single" w:color="auto" w:sz="4" w:space="0"/>
              <w:bottom w:val="single" w:color="auto" w:sz="4" w:space="0"/>
              <w:right w:val="single" w:color="auto" w:sz="4" w:space="0"/>
            </w:tcBorders>
            <w:vAlign w:val="center"/>
          </w:tcPr>
          <w:p w14:paraId="2926C491">
            <w:pPr>
              <w:jc w:val="center"/>
              <w:rPr>
                <w:color w:val="auto"/>
                <w:kern w:val="2"/>
                <w:highlight w:val="none"/>
              </w:rPr>
            </w:pPr>
          </w:p>
        </w:tc>
        <w:tc>
          <w:tcPr>
            <w:tcW w:w="3211" w:type="dxa"/>
            <w:tcBorders>
              <w:top w:val="single" w:color="auto" w:sz="4" w:space="0"/>
              <w:left w:val="single" w:color="auto" w:sz="4" w:space="0"/>
              <w:bottom w:val="single" w:color="auto" w:sz="4" w:space="0"/>
              <w:right w:val="single" w:color="auto" w:sz="4" w:space="0"/>
            </w:tcBorders>
            <w:vAlign w:val="center"/>
          </w:tcPr>
          <w:p w14:paraId="2C82CA3C">
            <w:pPr>
              <w:jc w:val="center"/>
              <w:rPr>
                <w:color w:val="auto"/>
                <w:kern w:val="2"/>
                <w:highlight w:val="none"/>
              </w:rPr>
            </w:pPr>
            <w:r>
              <w:rPr>
                <w:rFonts w:hint="eastAsia"/>
                <w:color w:val="auto"/>
                <w:kern w:val="2"/>
                <w:highlight w:val="none"/>
              </w:rPr>
              <w:t>⑶=⑴+⑵</w:t>
            </w:r>
          </w:p>
        </w:tc>
      </w:tr>
    </w:tbl>
    <w:p w14:paraId="71C8EFE2">
      <w:pPr>
        <w:spacing w:line="360" w:lineRule="auto"/>
        <w:jc w:val="right"/>
        <w:rPr>
          <w:rFonts w:cs="Times New Roman"/>
          <w:color w:val="auto"/>
          <w:sz w:val="18"/>
          <w:szCs w:val="18"/>
          <w:highlight w:val="none"/>
        </w:rPr>
      </w:pPr>
      <w:r>
        <w:rPr>
          <w:rFonts w:hint="eastAsia"/>
          <w:color w:val="auto"/>
          <w:sz w:val="18"/>
          <w:szCs w:val="18"/>
          <w:highlight w:val="none"/>
        </w:rPr>
        <w:t xml:space="preserve"> </w:t>
      </w:r>
    </w:p>
    <w:p w14:paraId="33FC9A14">
      <w:pPr>
        <w:rPr>
          <w:color w:val="auto"/>
          <w:sz w:val="24"/>
          <w:szCs w:val="24"/>
          <w:highlight w:val="none"/>
          <w:lang w:eastAsia="zh-CN"/>
        </w:rPr>
      </w:pPr>
      <w:r>
        <w:rPr>
          <w:rFonts w:hint="eastAsia"/>
          <w:color w:val="auto"/>
          <w:sz w:val="24"/>
          <w:szCs w:val="24"/>
          <w:highlight w:val="none"/>
          <w:lang w:eastAsia="zh-CN"/>
        </w:rPr>
        <w:t>注：本报价清单汇总表格式仅为示例，投标人应根据本招标项目工程特点和设计工作内容，分别列出并填写本表各分项及子项。</w:t>
      </w:r>
    </w:p>
    <w:p w14:paraId="27F1A93E">
      <w:pPr>
        <w:spacing w:line="360" w:lineRule="auto"/>
        <w:jc w:val="center"/>
        <w:rPr>
          <w:rFonts w:ascii="Times New Roman" w:hAnsi="Times New Roman"/>
          <w:color w:val="auto"/>
          <w:sz w:val="24"/>
          <w:szCs w:val="24"/>
          <w:highlight w:val="none"/>
          <w:lang w:eastAsia="zh-CN"/>
        </w:rPr>
      </w:pPr>
      <w:r>
        <w:rPr>
          <w:color w:val="auto"/>
          <w:highlight w:val="none"/>
          <w:lang w:eastAsia="zh-CN"/>
        </w:rPr>
        <w:t xml:space="preserve"> </w:t>
      </w:r>
    </w:p>
    <w:p w14:paraId="53819523">
      <w:pPr>
        <w:rPr>
          <w:color w:val="auto"/>
          <w:highlight w:val="none"/>
          <w:lang w:eastAsia="zh-CN"/>
        </w:rPr>
      </w:pPr>
    </w:p>
    <w:p w14:paraId="048F0210">
      <w:pPr>
        <w:rPr>
          <w:color w:val="auto"/>
          <w:highlight w:val="none"/>
          <w:lang w:eastAsia="zh-CN"/>
        </w:rPr>
      </w:pPr>
    </w:p>
    <w:p w14:paraId="4BCD87DD">
      <w:pPr>
        <w:rPr>
          <w:color w:val="auto"/>
          <w:highlight w:val="none"/>
          <w:lang w:eastAsia="zh-CN"/>
        </w:rPr>
      </w:pPr>
    </w:p>
    <w:p w14:paraId="6CC57A32">
      <w:pPr>
        <w:rPr>
          <w:color w:val="auto"/>
          <w:highlight w:val="none"/>
          <w:lang w:eastAsia="zh-CN"/>
        </w:rPr>
      </w:pPr>
    </w:p>
    <w:p w14:paraId="6FBEBCE3">
      <w:pPr>
        <w:kinsoku/>
        <w:jc w:val="center"/>
        <w:rPr>
          <w:rFonts w:ascii="宋体" w:hAnsi="宋体" w:eastAsia="宋体" w:cs="宋体"/>
          <w:color w:val="auto"/>
          <w:sz w:val="24"/>
          <w:szCs w:val="24"/>
          <w:highlight w:val="none"/>
          <w:lang w:eastAsia="zh-CN"/>
        </w:rPr>
      </w:pPr>
    </w:p>
    <w:sectPr>
      <w:headerReference r:id="rId63" w:type="default"/>
      <w:footerReference r:id="rId64" w:type="default"/>
      <w:pgSz w:w="11907" w:h="16841"/>
      <w:pgMar w:top="1173" w:right="1555" w:bottom="1014" w:left="1615" w:header="862" w:footer="853"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F5722E">
    <w:pPr>
      <w:spacing w:line="171" w:lineRule="auto"/>
      <w:ind w:left="4226"/>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77B85">
    <w:pPr>
      <w:pStyle w:val="9"/>
    </w:pPr>
    <w:r>
      <w:rPr>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4178927">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74178927">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DD9E8">
    <w:pPr>
      <w:pStyle w:val="9"/>
    </w:pPr>
    <w:r>
      <w:rPr>
        <w:lang w:eastAsia="zh-CN"/>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12B9569">
                          <w:pPr>
                            <w:pStyle w:val="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212B9569">
                    <w:pPr>
                      <w:pStyle w:val="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58DDC5">
    <w:pPr>
      <w:pStyle w:val="9"/>
    </w:pPr>
    <w:r>
      <w:rPr>
        <w:lang w:eastAsia="zh-CN"/>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D5AB242">
                          <w:pPr>
                            <w:pStyle w:val="9"/>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8V5Q0wAgAAYw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A8V5Q0wAgAAYwQAAA4AAAAAAAAAAQAgAAAAHwEAAGRycy9lMm9Eb2MueG1sUEsFBgAA&#10;AAAGAAYAWQEAAMEFAAAAAA==&#10;">
              <v:fill on="f" focussize="0,0"/>
              <v:stroke on="f" weight="0.5pt"/>
              <v:imagedata o:title=""/>
              <o:lock v:ext="edit" aspectratio="f"/>
              <v:textbox inset="0mm,0mm,0mm,0mm" style="mso-fit-shape-to-text:t;">
                <w:txbxContent>
                  <w:p w14:paraId="0D5AB242">
                    <w:pPr>
                      <w:pStyle w:val="9"/>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31D51">
    <w:pPr>
      <w:pStyle w:val="9"/>
    </w:pPr>
    <w:r>
      <w:rPr>
        <w:lang w:eastAsia="zh-CN"/>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9206C05">
                          <w:pPr>
                            <w:pStyle w:val="9"/>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tZlUyAgAAY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W1mVTICAABjBAAADgAAAAAAAAABACAAAAAfAQAAZHJzL2Uyb0RvYy54bWxQSwUG&#10;AAAAAAYABgBZAQAAwwUAAAAA&#10;">
              <v:fill on="f" focussize="0,0"/>
              <v:stroke on="f" weight="0.5pt"/>
              <v:imagedata o:title=""/>
              <o:lock v:ext="edit" aspectratio="f"/>
              <v:textbox inset="0mm,0mm,0mm,0mm" style="mso-fit-shape-to-text:t;">
                <w:txbxContent>
                  <w:p w14:paraId="09206C05">
                    <w:pPr>
                      <w:pStyle w:val="9"/>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132767">
    <w:pPr>
      <w:pStyle w:val="9"/>
    </w:pPr>
    <w:r>
      <w:rPr>
        <w:lang w:eastAsia="zh-CN"/>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1A005E9">
                          <w:pPr>
                            <w:pStyle w:val="9"/>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KXd1k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pd3WTICAABlBAAADgAAAAAAAAABACAAAAAfAQAAZHJzL2Uyb0RvYy54bWxQSwUG&#10;AAAAAAYABgBZAQAAwwUAAAAA&#10;">
              <v:fill on="f" focussize="0,0"/>
              <v:stroke on="f" weight="0.5pt"/>
              <v:imagedata o:title=""/>
              <o:lock v:ext="edit" aspectratio="f"/>
              <v:textbox inset="0mm,0mm,0mm,0mm" style="mso-fit-shape-to-text:t;">
                <w:txbxContent>
                  <w:p w14:paraId="51A005E9">
                    <w:pPr>
                      <w:pStyle w:val="9"/>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B9A56A">
    <w:pPr>
      <w:spacing w:line="174" w:lineRule="auto"/>
      <w:ind w:left="4364"/>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5019F72">
                          <w:pPr>
                            <w:pStyle w:val="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h+NUM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h+NUMzAgAAZQQAAA4AAAAAAAAAAQAgAAAAHwEAAGRycy9lMm9Eb2MueG1sUEsF&#10;BgAAAAAGAAYAWQEAAMQFAAAAAA==&#10;">
              <v:fill on="f" focussize="0,0"/>
              <v:stroke on="f" weight="0.5pt"/>
              <v:imagedata o:title=""/>
              <o:lock v:ext="edit" aspectratio="f"/>
              <v:textbox inset="0mm,0mm,0mm,0mm" style="mso-fit-shape-to-text:t;">
                <w:txbxContent>
                  <w:p w14:paraId="55019F72">
                    <w:pPr>
                      <w:pStyle w:val="9"/>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EB87C">
    <w:pPr>
      <w:spacing w:line="174" w:lineRule="auto"/>
      <w:ind w:left="4280"/>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3A96B08">
                          <w:pPr>
                            <w:pStyle w:val="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j+QQz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KKZQsdPP76f&#10;fj6cfn0juINArfUzxN1bRIbunekwNsO9x2Xk3VVOxV8wIvBD3uNFXtEFwuOj6WQ6zeHi8A0H4GeP&#10;z63z4b0wikSjoA79S7Kyw8aHPnQIidm0WTdSph5KTdqCXr1+m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j+QQzAgAAZQQAAA4AAAAAAAAAAQAgAAAAHwEAAGRycy9lMm9Eb2MueG1sUEsF&#10;BgAAAAAGAAYAWQEAAMQFAAAAAA==&#10;">
              <v:fill on="f" focussize="0,0"/>
              <v:stroke on="f" weight="0.5pt"/>
              <v:imagedata o:title=""/>
              <o:lock v:ext="edit" aspectratio="f"/>
              <v:textbox inset="0mm,0mm,0mm,0mm" style="mso-fit-shape-to-text:t;">
                <w:txbxContent>
                  <w:p w14:paraId="73A96B08">
                    <w:pPr>
                      <w:pStyle w:val="9"/>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994563">
    <w:pPr>
      <w:spacing w:line="174" w:lineRule="auto"/>
      <w:ind w:left="4280"/>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0ADFAB">
                          <w:pPr>
                            <w:pStyle w:val="9"/>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QKux4z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pFSWaKXT8/OP7&#10;+efv869vBHcQqLF+jrgHi8jQvjMtxma497iMvNvSqfgLRgR+yHu6yCvaQHh8NJvOZmO4OHzDAfjZ&#10;03PrfHgvjCLRyKlD/5Ks7Lj1oQsdQmI2bTa1lKmHUpMmp9dvr8b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QKux4zAgAAZQQAAA4AAAAAAAAAAQAgAAAAHwEAAGRycy9lMm9Eb2MueG1sUEsF&#10;BgAAAAAGAAYAWQEAAMQFAAAAAA==&#10;">
              <v:fill on="f" focussize="0,0"/>
              <v:stroke on="f" weight="0.5pt"/>
              <v:imagedata o:title=""/>
              <o:lock v:ext="edit" aspectratio="f"/>
              <v:textbox inset="0mm,0mm,0mm,0mm" style="mso-fit-shape-to-text:t;">
                <w:txbxContent>
                  <w:p w14:paraId="350ADFAB">
                    <w:pPr>
                      <w:pStyle w:val="9"/>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397BD">
    <w:pPr>
      <w:spacing w:line="174" w:lineRule="auto"/>
      <w:ind w:left="4280"/>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81C3A16">
                          <w:pPr>
                            <w:pStyle w:val="9"/>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owfDAy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jB8MDICAABlBAAADgAAAAAAAAABACAAAAAfAQAAZHJzL2Uyb0RvYy54bWxQSwUG&#10;AAAAAAYABgBZAQAAwwUAAAAA&#10;">
              <v:fill on="f" focussize="0,0"/>
              <v:stroke on="f" weight="0.5pt"/>
              <v:imagedata o:title=""/>
              <o:lock v:ext="edit" aspectratio="f"/>
              <v:textbox inset="0mm,0mm,0mm,0mm" style="mso-fit-shape-to-text:t;">
                <w:txbxContent>
                  <w:p w14:paraId="381C3A16">
                    <w:pPr>
                      <w:pStyle w:val="9"/>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D215B">
    <w:pPr>
      <w:spacing w:line="174" w:lineRule="auto"/>
      <w:ind w:left="428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50C0FAC">
                          <w:pPr>
                            <w:pStyle w:val="9"/>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ZPioz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DZPiozAgAAZQQAAA4AAAAAAAAAAQAgAAAAHwEAAGRycy9lMm9Eb2MueG1sUEsF&#10;BgAAAAAGAAYAWQEAAMQFAAAAAA==&#10;">
              <v:fill on="f" focussize="0,0"/>
              <v:stroke on="f" weight="0.5pt"/>
              <v:imagedata o:title=""/>
              <o:lock v:ext="edit" aspectratio="f"/>
              <v:textbox inset="0mm,0mm,0mm,0mm" style="mso-fit-shape-to-text:t;">
                <w:txbxContent>
                  <w:p w14:paraId="550C0FAC">
                    <w:pPr>
                      <w:pStyle w:val="9"/>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AA0CE">
    <w:pPr>
      <w:spacing w:line="174" w:lineRule="auto"/>
      <w:ind w:left="428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BC4D8A5">
                          <w:pPr>
                            <w:pStyle w:val="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YK5b8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grlvzICAABlBAAADgAAAAAAAAABACAAAAAfAQAAZHJzL2Uyb0RvYy54bWxQSwUG&#10;AAAAAAYABgBZAQAAwwUAAAAA&#10;">
              <v:fill on="f" focussize="0,0"/>
              <v:stroke on="f" weight="0.5pt"/>
              <v:imagedata o:title=""/>
              <o:lock v:ext="edit" aspectratio="f"/>
              <v:textbox inset="0mm,0mm,0mm,0mm" style="mso-fit-shape-to-text:t;">
                <w:txbxContent>
                  <w:p w14:paraId="6BC4D8A5">
                    <w:pPr>
                      <w:pStyle w:val="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49780">
    <w:pPr>
      <w:spacing w:line="174" w:lineRule="auto"/>
      <w:ind w:left="428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515897C">
                          <w:pPr>
                            <w:pStyle w:val="9"/>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8XnjgzAgAAZQ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8XnjgzAgAAZQQAAA4AAAAAAAAAAQAgAAAAHwEAAGRycy9lMm9Eb2MueG1sUEsF&#10;BgAAAAAGAAYAWQEAAMQFAAAAAA==&#10;">
              <v:fill on="f" focussize="0,0"/>
              <v:stroke on="f" weight="0.5pt"/>
              <v:imagedata o:title=""/>
              <o:lock v:ext="edit" aspectratio="f"/>
              <v:textbox inset="0mm,0mm,0mm,0mm" style="mso-fit-shape-to-text:t;">
                <w:txbxContent>
                  <w:p w14:paraId="2515897C">
                    <w:pPr>
                      <w:pStyle w:val="9"/>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76721">
    <w:pPr>
      <w:spacing w:line="174" w:lineRule="auto"/>
      <w:ind w:left="428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702D276">
                          <w:pPr>
                            <w:pStyle w:val="9"/>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mKUn8zAgAAZQQAAA4AAABkcnMvZTJvRG9jLnhtbK1UzY7TMBC+I/EO&#10;lu80aRd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69pkQzhY6fvn87&#10;/fh1+vmV4A4CtdbPEPdgERm6t6bD2Az3HpeRd1c5FX/BiMAPeY8XeUUXCI+PppPpNIeLwzccgJ89&#10;PrfOh3fCKBKNgjr0L8nKDhsf+tAhJGbTZt1ImXooNWkLen31J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mKUn8zAgAAZQQAAA4AAAAAAAAAAQAgAAAAHwEAAGRycy9lMm9Eb2MueG1sUEsF&#10;BgAAAAAGAAYAWQEAAMQFAAAAAA==&#10;">
              <v:fill on="f" focussize="0,0"/>
              <v:stroke on="f" weight="0.5pt"/>
              <v:imagedata o:title=""/>
              <o:lock v:ext="edit" aspectratio="f"/>
              <v:textbox inset="0mm,0mm,0mm,0mm" style="mso-fit-shape-to-text:t;">
                <w:txbxContent>
                  <w:p w14:paraId="6702D276">
                    <w:pPr>
                      <w:pStyle w:val="9"/>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18B89">
    <w:pPr>
      <w:spacing w:line="174" w:lineRule="auto"/>
      <w:ind w:left="428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B45B17D">
                          <w:pPr>
                            <w:pStyle w:val="9"/>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jEGUzAgAAZQQAAA4AAAAAAAAAAQAgAAAAHwEAAGRycy9lMm9Eb2MueG1sUEsF&#10;BgAAAAAGAAYAWQEAAMQFAAAAAA==&#10;">
              <v:fill on="f" focussize="0,0"/>
              <v:stroke on="f" weight="0.5pt"/>
              <v:imagedata o:title=""/>
              <o:lock v:ext="edit" aspectratio="f"/>
              <v:textbox inset="0mm,0mm,0mm,0mm" style="mso-fit-shape-to-text:t;">
                <w:txbxContent>
                  <w:p w14:paraId="6B45B17D">
                    <w:pPr>
                      <w:pStyle w:val="9"/>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38A352">
    <w:pPr>
      <w:spacing w:line="174" w:lineRule="auto"/>
      <w:ind w:left="4284"/>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7940271">
                          <w:pPr>
                            <w:pStyle w:val="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164h8y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XriHzICAABlBAAADgAAAAAAAAABACAAAAAfAQAAZHJzL2Uyb0RvYy54bWxQSwUG&#10;AAAAAAYABgBZAQAAwwUAAAAA&#10;">
              <v:fill on="f" focussize="0,0"/>
              <v:stroke on="f" weight="0.5pt"/>
              <v:imagedata o:title=""/>
              <o:lock v:ext="edit" aspectratio="f"/>
              <v:textbox inset="0mm,0mm,0mm,0mm" style="mso-fit-shape-to-text:t;">
                <w:txbxContent>
                  <w:p w14:paraId="07940271">
                    <w:pPr>
                      <w:pStyle w:val="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63075">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4D30B2B">
                          <w:pPr>
                            <w:pStyle w:val="9"/>
                          </w:pPr>
                          <w:r>
                            <w:fldChar w:fldCharType="begin"/>
                          </w:r>
                          <w:r>
                            <w:instrText xml:space="preserve"> PAGE  \* MERGEFORMAT </w:instrText>
                          </w:r>
                          <w:r>
                            <w:fldChar w:fldCharType="separate"/>
                          </w:r>
                          <w:r>
                            <w:t>105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hdABcz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6dUK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hdABczAgAAZQQAAA4AAAAAAAAAAQAgAAAAHwEAAGRycy9lMm9Eb2MueG1sUEsF&#10;BgAAAAAGAAYAWQEAAMQFAAAAAA==&#10;">
              <v:fill on="f" focussize="0,0"/>
              <v:stroke on="f" weight="0.5pt"/>
              <v:imagedata o:title=""/>
              <o:lock v:ext="edit" aspectratio="f"/>
              <v:textbox inset="0mm,0mm,0mm,0mm" style="mso-fit-shape-to-text:t;">
                <w:txbxContent>
                  <w:p w14:paraId="54D30B2B">
                    <w:pPr>
                      <w:pStyle w:val="9"/>
                    </w:pPr>
                    <w:r>
                      <w:fldChar w:fldCharType="begin"/>
                    </w:r>
                    <w:r>
                      <w:instrText xml:space="preserve"> PAGE  \* MERGEFORMAT </w:instrText>
                    </w:r>
                    <w:r>
                      <w:fldChar w:fldCharType="separate"/>
                    </w:r>
                    <w:r>
                      <w:t>105</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53244">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F3DC430">
                          <w:pPr>
                            <w:pStyle w:val="9"/>
                          </w:pPr>
                          <w:r>
                            <w:fldChar w:fldCharType="begin"/>
                          </w:r>
                          <w:r>
                            <w:instrText xml:space="preserve"> PAGE  \* MERGEFORMAT </w:instrText>
                          </w:r>
                          <w:r>
                            <w:fldChar w:fldCharType="separate"/>
                          </w:r>
                          <w:r>
                            <w:t>106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0Qg0zAgAAZQQAAA4AAABkcnMvZTJvRG9jLnhtbK1UzY7TMBC+I/EO&#10;lu80aVcs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r65okQzhY6fvn87&#10;/fh1+vmV4A4CtdbPEPdgERm6t6bD2Az3HpeRd1c5FX/BiMAPeY8XeUUXCI+PppPpNIeLwzccgJ89&#10;PrfOh3fCKBKNgjr0L8nKDhsf+tAhJGbTZt1ImXooNWkLen31O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K0Qg0zAgAAZQQAAA4AAAAAAAAAAQAgAAAAHwEAAGRycy9lMm9Eb2MueG1sUEsF&#10;BgAAAAAGAAYAWQEAAMQFAAAAAA==&#10;">
              <v:fill on="f" focussize="0,0"/>
              <v:stroke on="f" weight="0.5pt"/>
              <v:imagedata o:title=""/>
              <o:lock v:ext="edit" aspectratio="f"/>
              <v:textbox inset="0mm,0mm,0mm,0mm" style="mso-fit-shape-to-text:t;">
                <w:txbxContent>
                  <w:p w14:paraId="7F3DC430">
                    <w:pPr>
                      <w:pStyle w:val="9"/>
                    </w:pPr>
                    <w:r>
                      <w:fldChar w:fldCharType="begin"/>
                    </w:r>
                    <w:r>
                      <w:instrText xml:space="preserve"> PAGE  \* MERGEFORMAT </w:instrText>
                    </w:r>
                    <w:r>
                      <w:fldChar w:fldCharType="separate"/>
                    </w:r>
                    <w:r>
                      <w:t>106</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2FA2F5">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A246B15">
                          <w:pPr>
                            <w:pStyle w:val="9"/>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7AzFAzAgAAZQQAAA4AAABkcnMvZTJvRG9jLnhtbK1UzY7TMBC+I/EO&#10;lu80adEu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r65okQzhY6fvn87&#10;/fh1+vmV4A4CtdbPEPdgERm6t6bD2Az3HpeRd1c5FX/BiMAPeY8XeUUXCI+PppPpNIeLwzccgJ89&#10;PrfOh3fCKBKNgjr0L8nKDhsf+tAhJGbTZt1ImXooNWkLev36K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7AzFAzAgAAZQQAAA4AAAAAAAAAAQAgAAAAHwEAAGRycy9lMm9Eb2MueG1sUEsF&#10;BgAAAAAGAAYAWQEAAMQFAAAAAA==&#10;">
              <v:fill on="f" focussize="0,0"/>
              <v:stroke on="f" weight="0.5pt"/>
              <v:imagedata o:title=""/>
              <o:lock v:ext="edit" aspectratio="f"/>
              <v:textbox inset="0mm,0mm,0mm,0mm" style="mso-fit-shape-to-text:t;">
                <w:txbxContent>
                  <w:p w14:paraId="7A246B15">
                    <w:pPr>
                      <w:pStyle w:val="9"/>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5FA66">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9FC4B55">
                          <w:pPr>
                            <w:pStyle w:val="9"/>
                          </w:pPr>
                          <w:r>
                            <w:fldChar w:fldCharType="begin"/>
                          </w:r>
                          <w:r>
                            <w:instrText xml:space="preserve"> PAGE  \* MERGEFORMAT </w:instrText>
                          </w:r>
                          <w:r>
                            <w:fldChar w:fldCharType="separate"/>
                          </w:r>
                          <w:r>
                            <w:t>110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oTSWQzAgAAZQ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fU6KZQsdP37+d&#10;fvw6/fxKcAeBWutniHuwiAzdW9NhbIZ7j8vIu6ucir9gROCHvMeLvKILhMdH08l0msPF4RsOwM8e&#10;n1vnwzthFIlGQR36l2Rlh40PfegQErNps26kTD2UmrQFvXr9J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oTSWQzAgAAZQQAAA4AAAAAAAAAAQAgAAAAHwEAAGRycy9lMm9Eb2MueG1sUEsF&#10;BgAAAAAGAAYAWQEAAMQFAAAAAA==&#10;">
              <v:fill on="f" focussize="0,0"/>
              <v:stroke on="f" weight="0.5pt"/>
              <v:imagedata o:title=""/>
              <o:lock v:ext="edit" aspectratio="f"/>
              <v:textbox inset="0mm,0mm,0mm,0mm" style="mso-fit-shape-to-text:t;">
                <w:txbxContent>
                  <w:p w14:paraId="29FC4B55">
                    <w:pPr>
                      <w:pStyle w:val="9"/>
                    </w:pPr>
                    <w:r>
                      <w:fldChar w:fldCharType="begin"/>
                    </w:r>
                    <w:r>
                      <w:instrText xml:space="preserve"> PAGE  \* MERGEFORMAT </w:instrText>
                    </w:r>
                    <w:r>
                      <w:fldChar w:fldCharType="separate"/>
                    </w:r>
                    <w:r>
                      <w:t>110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F7641">
    <w:pPr>
      <w:spacing w:line="174" w:lineRule="auto"/>
      <w:ind w:left="425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78" name="文本框 7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91E7638">
                          <w:pPr>
                            <w:pStyle w:val="9"/>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zAkvEz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zAkvEzAgAAZQQAAA4AAAAAAAAAAQAgAAAAHwEAAGRycy9lMm9Eb2MueG1sUEsF&#10;BgAAAAAGAAYAWQEAAMQFAAAAAA==&#10;">
              <v:fill on="f" focussize="0,0"/>
              <v:stroke on="f" weight="0.5pt"/>
              <v:imagedata o:title=""/>
              <o:lock v:ext="edit" aspectratio="f"/>
              <v:textbox inset="0mm,0mm,0mm,0mm" style="mso-fit-shape-to-text:t;">
                <w:txbxContent>
                  <w:p w14:paraId="791E7638">
                    <w:pPr>
                      <w:pStyle w:val="9"/>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1F10C7">
    <w:pPr>
      <w:spacing w:line="174" w:lineRule="auto"/>
      <w:ind w:left="425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82" name="文本框 8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895F9D2">
                          <w:pPr>
                            <w:pStyle w:val="9"/>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DmMU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gOYxTICAABlBAAADgAAAAAAAAABACAAAAAfAQAAZHJzL2Uyb0RvYy54bWxQSwUG&#10;AAAAAAYABgBZAQAAwwUAAAAA&#10;">
              <v:fill on="f" focussize="0,0"/>
              <v:stroke on="f" weight="0.5pt"/>
              <v:imagedata o:title=""/>
              <o:lock v:ext="edit" aspectratio="f"/>
              <v:textbox inset="0mm,0mm,0mm,0mm" style="mso-fit-shape-to-text:t;">
                <w:txbxContent>
                  <w:p w14:paraId="5895F9D2">
                    <w:pPr>
                      <w:pStyle w:val="9"/>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44F5C2">
    <w:pPr>
      <w:spacing w:line="174" w:lineRule="auto"/>
      <w:ind w:left="425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83" name="文本框 8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DEE2007">
                          <w:pPr>
                            <w:pStyle w:val="9"/>
                          </w:pPr>
                          <w:r>
                            <w:fldChar w:fldCharType="begin"/>
                          </w:r>
                          <w:r>
                            <w:instrText xml:space="preserve"> PAGE  \* MERGEFORMAT </w:instrText>
                          </w:r>
                          <w:r>
                            <w:fldChar w:fldCharType="separate"/>
                          </w:r>
                          <w:r>
                            <w:t>121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zq2t8zAgAAZ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ZFSWaKXT8/OP7&#10;+efv869vBHcQqLF+jrgHi8jQvjMtxma497iMvNvSqfgLRgR+yHu6yCvaQHh8NJvOZmO4OHzDAfjZ&#10;03PrfHgvjCLRyKlD/5Ks7Lj1oQsdQmI2bTa1lKmHUpMmp9dXb8f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zq2t8zAgAAZQQAAA4AAAAAAAAAAQAgAAAAHwEAAGRycy9lMm9Eb2MueG1sUEsF&#10;BgAAAAAGAAYAWQEAAMQFAAAAAA==&#10;">
              <v:fill on="f" focussize="0,0"/>
              <v:stroke on="f" weight="0.5pt"/>
              <v:imagedata o:title=""/>
              <o:lock v:ext="edit" aspectratio="f"/>
              <v:textbox inset="0mm,0mm,0mm,0mm" style="mso-fit-shape-to-text:t;">
                <w:txbxContent>
                  <w:p w14:paraId="4DEE2007">
                    <w:pPr>
                      <w:pStyle w:val="9"/>
                    </w:pPr>
                    <w:r>
                      <w:fldChar w:fldCharType="begin"/>
                    </w:r>
                    <w:r>
                      <w:instrText xml:space="preserve"> PAGE  \* MERGEFORMAT </w:instrText>
                    </w:r>
                    <w:r>
                      <w:fldChar w:fldCharType="separate"/>
                    </w:r>
                    <w:r>
                      <w:t>121</w:t>
                    </w:r>
                    <w:r>
                      <w:fldChar w:fldCharType="end"/>
                    </w:r>
                  </w:p>
                </w:txbxContent>
              </v:textbox>
            </v:shape>
          </w:pict>
        </mc:Fallback>
      </mc:AlternateContent>
    </w:r>
    <w:r>
      <w:rPr>
        <w:rFonts w:ascii="Times New Roman" w:hAnsi="Times New Roman" w:eastAsia="Times New Roman" w:cs="Times New Roman"/>
        <w:spacing w:val="-9"/>
        <w:sz w:val="18"/>
        <w:szCs w:val="18"/>
      </w:rPr>
      <w:t>119</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DC3EC">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06501E1">
                          <w:pPr>
                            <w:pStyle w:val="9"/>
                          </w:pPr>
                          <w:r>
                            <w:fldChar w:fldCharType="begin"/>
                          </w:r>
                          <w:r>
                            <w:instrText xml:space="preserve"> PAGE  \* MERGEFORMAT </w:instrText>
                          </w:r>
                          <w:r>
                            <w:fldChar w:fldCharType="separate"/>
                          </w:r>
                          <w:r>
                            <w:t>123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p3Fpgz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fUKKZQsdPP76f&#10;fj6cfn0juINArfUzxN1bRIbunekwNsO9x2Xk3VVOxV8wIvBD3uNFXtEFwuOj6WQ6zeHi8A0H4GeP&#10;z63z4b0wikSjoA79S7Kyw8aHPnQIidm0WTdSph5KTdqCXr1+m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p3FpgzAgAAZQQAAA4AAAAAAAAAAQAgAAAAHwEAAGRycy9lMm9Eb2MueG1sUEsF&#10;BgAAAAAGAAYAWQEAAMQFAAAAAA==&#10;">
              <v:fill on="f" focussize="0,0"/>
              <v:stroke on="f" weight="0.5pt"/>
              <v:imagedata o:title=""/>
              <o:lock v:ext="edit" aspectratio="f"/>
              <v:textbox inset="0mm,0mm,0mm,0mm" style="mso-fit-shape-to-text:t;">
                <w:txbxContent>
                  <w:p w14:paraId="506501E1">
                    <w:pPr>
                      <w:pStyle w:val="9"/>
                    </w:pPr>
                    <w:r>
                      <w:fldChar w:fldCharType="begin"/>
                    </w:r>
                    <w:r>
                      <w:instrText xml:space="preserve"> PAGE  \* MERGEFORMAT </w:instrText>
                    </w:r>
                    <w:r>
                      <w:fldChar w:fldCharType="separate"/>
                    </w:r>
                    <w:r>
                      <w:t>123</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BB00D8">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5900830">
                          <w:pPr>
                            <w:pStyle w:val="9"/>
                          </w:pPr>
                          <w:r>
                            <w:fldChar w:fldCharType="begin"/>
                          </w:r>
                          <w:r>
                            <w:instrText xml:space="preserve"> PAGE  \* MERGEFORMAT </w:instrText>
                          </w:r>
                          <w:r>
                            <w:fldChar w:fldCharType="separate"/>
                          </w:r>
                          <w:r>
                            <w:t>124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CeVIIz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CeVIIzAgAAZQQAAA4AAAAAAAAAAQAgAAAAHwEAAGRycy9lMm9Eb2MueG1sUEsF&#10;BgAAAAAGAAYAWQEAAMQFAAAAAA==&#10;">
              <v:fill on="f" focussize="0,0"/>
              <v:stroke on="f" weight="0.5pt"/>
              <v:imagedata o:title=""/>
              <o:lock v:ext="edit" aspectratio="f"/>
              <v:textbox inset="0mm,0mm,0mm,0mm" style="mso-fit-shape-to-text:t;">
                <w:txbxContent>
                  <w:p w14:paraId="35900830">
                    <w:pPr>
                      <w:pStyle w:val="9"/>
                    </w:pPr>
                    <w:r>
                      <w:fldChar w:fldCharType="begin"/>
                    </w:r>
                    <w:r>
                      <w:instrText xml:space="preserve"> PAGE  \* MERGEFORMAT </w:instrText>
                    </w:r>
                    <w:r>
                      <w:fldChar w:fldCharType="separate"/>
                    </w:r>
                    <w:r>
                      <w:t>124</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E3038C">
    <w:pPr>
      <w:spacing w:line="174" w:lineRule="auto"/>
      <w:ind w:left="419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86" name="文本框 8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E254204">
                          <w:pPr>
                            <w:pStyle w:val="9"/>
                          </w:pPr>
                          <w:r>
                            <w:fldChar w:fldCharType="begin"/>
                          </w:r>
                          <w:r>
                            <w:instrText xml:space="preserve"> PAGE  \* MERGEFORMAT </w:instrText>
                          </w:r>
                          <w:r>
                            <w:fldChar w:fldCharType="separate"/>
                          </w:r>
                          <w:r>
                            <w:t>125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6kk6wy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qSTrDICAABlBAAADgAAAAAAAAABACAAAAAfAQAAZHJzL2Uyb0RvYy54bWxQSwUG&#10;AAAAAAYABgBZAQAAwwUAAAAA&#10;">
              <v:fill on="f" focussize="0,0"/>
              <v:stroke on="f" weight="0.5pt"/>
              <v:imagedata o:title=""/>
              <o:lock v:ext="edit" aspectratio="f"/>
              <v:textbox inset="0mm,0mm,0mm,0mm" style="mso-fit-shape-to-text:t;">
                <w:txbxContent>
                  <w:p w14:paraId="1E254204">
                    <w:pPr>
                      <w:pStyle w:val="9"/>
                    </w:pPr>
                    <w:r>
                      <w:fldChar w:fldCharType="begin"/>
                    </w:r>
                    <w:r>
                      <w:instrText xml:space="preserve"> PAGE  \* MERGEFORMAT </w:instrText>
                    </w:r>
                    <w:r>
                      <w:fldChar w:fldCharType="separate"/>
                    </w:r>
                    <w:r>
                      <w:t>125</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020F2">
    <w:pPr>
      <w:spacing w:line="174" w:lineRule="auto"/>
      <w:ind w:left="419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F80B307">
                          <w:pPr>
                            <w:pStyle w:val="9"/>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RN0bYz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f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RN0bYzAgAAZQQAAA4AAAAAAAAAAQAgAAAAHwEAAGRycy9lMm9Eb2MueG1sUEsF&#10;BgAAAAAGAAYAWQEAAMQFAAAAAA==&#10;">
              <v:fill on="f" focussize="0,0"/>
              <v:stroke on="f" weight="0.5pt"/>
              <v:imagedata o:title=""/>
              <o:lock v:ext="edit" aspectratio="f"/>
              <v:textbox inset="0mm,0mm,0mm,0mm" style="mso-fit-shape-to-text:t;">
                <w:txbxContent>
                  <w:p w14:paraId="5F80B307">
                    <w:pPr>
                      <w:pStyle w:val="9"/>
                    </w:pPr>
                    <w:r>
                      <w:fldChar w:fldCharType="begin"/>
                    </w:r>
                    <w:r>
                      <w:instrText xml:space="preserve"> PAGE  \* MERGEFORMAT </w:instrText>
                    </w:r>
                    <w:r>
                      <w:fldChar w:fldCharType="separate"/>
                    </w:r>
                    <w:r>
                      <w:t>127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67E62">
    <w:pPr>
      <w:spacing w:line="174" w:lineRule="auto"/>
      <w:ind w:left="419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59F5E0E">
                          <w:pPr>
                            <w:pStyle w:val="9"/>
                          </w:pPr>
                          <w:r>
                            <w:fldChar w:fldCharType="begin"/>
                          </w:r>
                          <w:r>
                            <w:instrText xml:space="preserve"> PAGE  \* MERGEFORMAT </w:instrText>
                          </w:r>
                          <w:r>
                            <w:fldChar w:fldCharType="separate"/>
                          </w:r>
                          <w:r>
                            <w:t>129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KeCiMyAgAAZ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p4KIzICAABlBAAADgAAAAAAAAABACAAAAAfAQAAZHJzL2Uyb0RvYy54bWxQSwUG&#10;AAAAAAYABgBZAQAAwwUAAAAA&#10;">
              <v:fill on="f" focussize="0,0"/>
              <v:stroke on="f" weight="0.5pt"/>
              <v:imagedata o:title=""/>
              <o:lock v:ext="edit" aspectratio="f"/>
              <v:textbox inset="0mm,0mm,0mm,0mm" style="mso-fit-shape-to-text:t;">
                <w:txbxContent>
                  <w:p w14:paraId="259F5E0E">
                    <w:pPr>
                      <w:pStyle w:val="9"/>
                    </w:pPr>
                    <w:r>
                      <w:fldChar w:fldCharType="begin"/>
                    </w:r>
                    <w:r>
                      <w:instrText xml:space="preserve"> PAGE  \* MERGEFORMAT </w:instrText>
                    </w:r>
                    <w:r>
                      <w:fldChar w:fldCharType="separate"/>
                    </w:r>
                    <w:r>
                      <w:t>129</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5C9E0">
    <w:pPr>
      <w:spacing w:line="174" w:lineRule="auto"/>
      <w:ind w:left="4279"/>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F458910">
                          <w:pPr>
                            <w:pStyle w:val="9"/>
                          </w:pPr>
                          <w:r>
                            <w:fldChar w:fldCharType="begin"/>
                          </w:r>
                          <w:r>
                            <w:instrText xml:space="preserve"> PAGE  \* MERGEFORMAT </w:instrText>
                          </w:r>
                          <w:r>
                            <w:fldChar w:fldCharType="separate"/>
                          </w:r>
                          <w:r>
                            <w:t>130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h3SDkz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fUq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h3SDkzAgAAZQQAAA4AAAAAAAAAAQAgAAAAHwEAAGRycy9lMm9Eb2MueG1sUEsF&#10;BgAAAAAGAAYAWQEAAMQFAAAAAA==&#10;">
              <v:fill on="f" focussize="0,0"/>
              <v:stroke on="f" weight="0.5pt"/>
              <v:imagedata o:title=""/>
              <o:lock v:ext="edit" aspectratio="f"/>
              <v:textbox inset="0mm,0mm,0mm,0mm" style="mso-fit-shape-to-text:t;">
                <w:txbxContent>
                  <w:p w14:paraId="0F458910">
                    <w:pPr>
                      <w:pStyle w:val="9"/>
                    </w:pPr>
                    <w:r>
                      <w:fldChar w:fldCharType="begin"/>
                    </w:r>
                    <w:r>
                      <w:instrText xml:space="preserve"> PAGE  \* MERGEFORMAT </w:instrText>
                    </w:r>
                    <w:r>
                      <w:fldChar w:fldCharType="separate"/>
                    </w:r>
                    <w:r>
                      <w:t>130</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78994">
    <w:pPr>
      <w:spacing w:line="174" w:lineRule="auto"/>
      <w:ind w:left="4281"/>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67EAB4B">
                          <w:pPr>
                            <w:pStyle w:val="9"/>
                          </w:pPr>
                          <w:r>
                            <w:fldChar w:fldCharType="begin"/>
                          </w:r>
                          <w:r>
                            <w:instrText xml:space="preserve"> PAGE  \* MERGEFORMAT </w:instrText>
                          </w:r>
                          <w:r>
                            <w:fldChar w:fldCharType="separate"/>
                          </w:r>
                          <w:r>
                            <w:t>132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Q9JAyAgAAZQQAAA4AAABkcnMvZTJvRG9jLnhtbK1UzY7TMBC+I/EO&#10;lu80aRGrUj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z1D0kDICAABlBAAADgAAAAAAAAABACAAAAAfAQAAZHJzL2Uyb0RvYy54bWxQSwUG&#10;AAAAAAYABgBZAQAAwwUAAAAA&#10;">
              <v:fill on="f" focussize="0,0"/>
              <v:stroke on="f" weight="0.5pt"/>
              <v:imagedata o:title=""/>
              <o:lock v:ext="edit" aspectratio="f"/>
              <v:textbox inset="0mm,0mm,0mm,0mm" style="mso-fit-shape-to-text:t;">
                <w:txbxContent>
                  <w:p w14:paraId="667EAB4B">
                    <w:pPr>
                      <w:pStyle w:val="9"/>
                    </w:pPr>
                    <w:r>
                      <w:fldChar w:fldCharType="begin"/>
                    </w:r>
                    <w:r>
                      <w:instrText xml:space="preserve"> PAGE  \* MERGEFORMAT </w:instrText>
                    </w:r>
                    <w:r>
                      <w:fldChar w:fldCharType="separate"/>
                    </w:r>
                    <w:r>
                      <w:t>132</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F4069">
    <w:pPr>
      <w:spacing w:line="174" w:lineRule="auto"/>
      <w:ind w:left="4279"/>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87C81A9">
                          <w:pPr>
                            <w:pStyle w:val="9"/>
                          </w:pPr>
                          <w:r>
                            <w:fldChar w:fldCharType="begin"/>
                          </w:r>
                          <w:r>
                            <w:instrText xml:space="preserve"> PAGE  \* MERGEFORMAT </w:instrText>
                          </w:r>
                          <w:r>
                            <w:fldChar w:fldCharType="separate"/>
                          </w:r>
                          <w:r>
                            <w:t>134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FqM74z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FqM74zAgAAZQQAAA4AAAAAAAAAAQAgAAAAHwEAAGRycy9lMm9Eb2MueG1sUEsF&#10;BgAAAAAGAAYAWQEAAMQFAAAAAA==&#10;">
              <v:fill on="f" focussize="0,0"/>
              <v:stroke on="f" weight="0.5pt"/>
              <v:imagedata o:title=""/>
              <o:lock v:ext="edit" aspectratio="f"/>
              <v:textbox inset="0mm,0mm,0mm,0mm" style="mso-fit-shape-to-text:t;">
                <w:txbxContent>
                  <w:p w14:paraId="487C81A9">
                    <w:pPr>
                      <w:pStyle w:val="9"/>
                    </w:pPr>
                    <w:r>
                      <w:fldChar w:fldCharType="begin"/>
                    </w:r>
                    <w:r>
                      <w:instrText xml:space="preserve"> PAGE  \* MERGEFORMAT </w:instrText>
                    </w:r>
                    <w:r>
                      <w:fldChar w:fldCharType="separate"/>
                    </w:r>
                    <w:r>
                      <w:t>134</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84F4E">
    <w:pPr>
      <w:spacing w:line="174" w:lineRule="auto"/>
      <w:ind w:left="4279"/>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14044FB">
                          <w:pPr>
                            <w:pStyle w:val="9"/>
                          </w:pPr>
                          <w:r>
                            <w:fldChar w:fldCharType="begin"/>
                          </w:r>
                          <w:r>
                            <w:instrText xml:space="preserve"> PAGE  \* MERGEFORMAT </w:instrText>
                          </w:r>
                          <w:r>
                            <w:fldChar w:fldCharType="separate"/>
                          </w:r>
                          <w:r>
                            <w:t>135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uDcaQzAgAAZQQAAA4AAABkcnMvZTJvRG9jLnhtbK1UzY7TMBC+I/EO&#10;lu80aVesSt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r65okQzhY6fvn87&#10;/fh1+vmV4A4CtdbPEPdgERm6t6bD2Az3HpeRd1c5FX/BiMAPeY8XeUUXCI+PppPpNIeLwzccgJ89&#10;PrfOh3fCKBKNgjr0L8nKDhsf+tAhJGbTZt1ImXooNWkLen31O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uDcaQzAgAAZQQAAA4AAAAAAAAAAQAgAAAAHwEAAGRycy9lMm9Eb2MueG1sUEsF&#10;BgAAAAAGAAYAWQEAAMQFAAAAAA==&#10;">
              <v:fill on="f" focussize="0,0"/>
              <v:stroke on="f" weight="0.5pt"/>
              <v:imagedata o:title=""/>
              <o:lock v:ext="edit" aspectratio="f"/>
              <v:textbox inset="0mm,0mm,0mm,0mm" style="mso-fit-shape-to-text:t;">
                <w:txbxContent>
                  <w:p w14:paraId="214044FB">
                    <w:pPr>
                      <w:pStyle w:val="9"/>
                    </w:pPr>
                    <w:r>
                      <w:fldChar w:fldCharType="begin"/>
                    </w:r>
                    <w:r>
                      <w:instrText xml:space="preserve"> PAGE  \* MERGEFORMAT </w:instrText>
                    </w:r>
                    <w:r>
                      <w:fldChar w:fldCharType="separate"/>
                    </w:r>
                    <w:r>
                      <w:t>135</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01EF7">
    <w:pPr>
      <w:spacing w:line="174" w:lineRule="auto"/>
      <w:ind w:left="4199"/>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9639181">
                          <w:pPr>
                            <w:pStyle w:val="9"/>
                          </w:pPr>
                          <w:r>
                            <w:fldChar w:fldCharType="begin"/>
                          </w:r>
                          <w:r>
                            <w:instrText xml:space="preserve"> PAGE  \* MERGEFORMAT </w:instrText>
                          </w:r>
                          <w:r>
                            <w:fldChar w:fldCharType="separate"/>
                          </w:r>
                          <w:r>
                            <w:t>137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0eveMzAgAAZQQAAA4AAAAAAAAAAQAgAAAAHwEAAGRycy9lMm9Eb2MueG1sUEsF&#10;BgAAAAAGAAYAWQEAAMQFAAAAAA==&#10;">
              <v:fill on="f" focussize="0,0"/>
              <v:stroke on="f" weight="0.5pt"/>
              <v:imagedata o:title=""/>
              <o:lock v:ext="edit" aspectratio="f"/>
              <v:textbox inset="0mm,0mm,0mm,0mm" style="mso-fit-shape-to-text:t;">
                <w:txbxContent>
                  <w:p w14:paraId="09639181">
                    <w:pPr>
                      <w:pStyle w:val="9"/>
                    </w:pPr>
                    <w:r>
                      <w:fldChar w:fldCharType="begin"/>
                    </w:r>
                    <w:r>
                      <w:instrText xml:space="preserve"> PAGE  \* MERGEFORMAT </w:instrText>
                    </w:r>
                    <w:r>
                      <w:fldChar w:fldCharType="separate"/>
                    </w:r>
                    <w:r>
                      <w:t>137</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24D88">
    <w:pPr>
      <w:spacing w:line="174" w:lineRule="auto"/>
      <w:ind w:left="419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CC8D70B">
                          <w:pPr>
                            <w:pStyle w:val="9"/>
                          </w:pPr>
                          <w:r>
                            <w:fldChar w:fldCharType="begin"/>
                          </w:r>
                          <w:r>
                            <w:instrText xml:space="preserve"> PAGE  \* MERGEFORMAT </w:instrText>
                          </w:r>
                          <w:r>
                            <w:fldChar w:fldCharType="separate"/>
                          </w:r>
                          <w:r>
                            <w:t>143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f3//kzAgAAZQQAAA4AAABkcnMvZTJvRG9jLnhtbK1UzY7TMBC+I/EO&#10;lu80adGuSt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f3//kzAgAAZQQAAA4AAAAAAAAAAQAgAAAAHwEAAGRycy9lMm9Eb2MueG1sUEsF&#10;BgAAAAAGAAYAWQEAAMQFAAAAAA==&#10;">
              <v:fill on="f" focussize="0,0"/>
              <v:stroke on="f" weight="0.5pt"/>
              <v:imagedata o:title=""/>
              <o:lock v:ext="edit" aspectratio="f"/>
              <v:textbox inset="0mm,0mm,0mm,0mm" style="mso-fit-shape-to-text:t;">
                <w:txbxContent>
                  <w:p w14:paraId="3CC8D70B">
                    <w:pPr>
                      <w:pStyle w:val="9"/>
                    </w:pPr>
                    <w:r>
                      <w:fldChar w:fldCharType="begin"/>
                    </w:r>
                    <w:r>
                      <w:instrText xml:space="preserve"> PAGE  \* MERGEFORMAT </w:instrText>
                    </w:r>
                    <w:r>
                      <w:fldChar w:fldCharType="separate"/>
                    </w:r>
                    <w:r>
                      <w:t>143</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6E43E">
    <w:pPr>
      <w:spacing w:line="174" w:lineRule="auto"/>
      <w:ind w:left="4195"/>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0383DB0">
                          <w:pPr>
                            <w:pStyle w:val="9"/>
                          </w:pPr>
                          <w:r>
                            <w:fldChar w:fldCharType="begin"/>
                          </w:r>
                          <w:r>
                            <w:instrText xml:space="preserve"> PAGE  \* MERGEFORMAT </w:instrText>
                          </w:r>
                          <w:r>
                            <w:fldChar w:fldCharType="separate"/>
                          </w:r>
                          <w:r>
                            <w:t>144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NONczAgAAZQQAAA4AAAAAAAAAAQAgAAAAHwEAAGRycy9lMm9Eb2MueG1sUEsF&#10;BgAAAAAGAAYAWQEAAMQFAAAAAA==&#10;">
              <v:fill on="f" focussize="0,0"/>
              <v:stroke on="f" weight="0.5pt"/>
              <v:imagedata o:title=""/>
              <o:lock v:ext="edit" aspectratio="f"/>
              <v:textbox inset="0mm,0mm,0mm,0mm" style="mso-fit-shape-to-text:t;">
                <w:txbxContent>
                  <w:p w14:paraId="00383DB0">
                    <w:pPr>
                      <w:pStyle w:val="9"/>
                    </w:pPr>
                    <w:r>
                      <w:fldChar w:fldCharType="begin"/>
                    </w:r>
                    <w:r>
                      <w:instrText xml:space="preserve"> PAGE  \* MERGEFORMAT </w:instrText>
                    </w:r>
                    <w:r>
                      <w:fldChar w:fldCharType="separate"/>
                    </w:r>
                    <w:r>
                      <w:t>144</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422C5">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1D9B9B2">
                          <w:pPr>
                            <w:pStyle w:val="9"/>
                          </w:pPr>
                          <w:r>
                            <w:fldChar w:fldCharType="begin"/>
                          </w:r>
                          <w:r>
                            <w:instrText xml:space="preserve"> PAGE  \* MERGEFORMAT </w:instrText>
                          </w:r>
                          <w:r>
                            <w:fldChar w:fldCharType="separate"/>
                          </w:r>
                          <w:r>
                            <w:t>146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Mkes0zAgAAZQQAAA4AAAAAAAAAAQAgAAAAHwEAAGRycy9lMm9Eb2MueG1sUEsF&#10;BgAAAAAGAAYAWQEAAMQFAAAAAA==&#10;">
              <v:fill on="f" focussize="0,0"/>
              <v:stroke on="f" weight="0.5pt"/>
              <v:imagedata o:title=""/>
              <o:lock v:ext="edit" aspectratio="f"/>
              <v:textbox inset="0mm,0mm,0mm,0mm" style="mso-fit-shape-to-text:t;">
                <w:txbxContent>
                  <w:p w14:paraId="11D9B9B2">
                    <w:pPr>
                      <w:pStyle w:val="9"/>
                    </w:pPr>
                    <w:r>
                      <w:fldChar w:fldCharType="begin"/>
                    </w:r>
                    <w:r>
                      <w:instrText xml:space="preserve"> PAGE  \* MERGEFORMAT </w:instrText>
                    </w:r>
                    <w:r>
                      <w:fldChar w:fldCharType="separate"/>
                    </w:r>
                    <w:r>
                      <w:t>146</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C4B95">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7C975E">
                          <w:pPr>
                            <w:pStyle w:val="9"/>
                          </w:pPr>
                          <w:r>
                            <w:fldChar w:fldCharType="begin"/>
                          </w:r>
                          <w:r>
                            <w:instrText xml:space="preserve"> PAGE  \* MERGEFORMAT </w:instrText>
                          </w:r>
                          <w:r>
                            <w:fldChar w:fldCharType="separate"/>
                          </w:r>
                          <w:r>
                            <w:t>147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X3oVgz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X3oVgzAgAAZQQAAA4AAAAAAAAAAQAgAAAAHwEAAGRycy9lMm9Eb2MueG1sUEsF&#10;BgAAAAAGAAYAWQEAAMQFAAAAAA==&#10;">
              <v:fill on="f" focussize="0,0"/>
              <v:stroke on="f" weight="0.5pt"/>
              <v:imagedata o:title=""/>
              <o:lock v:ext="edit" aspectratio="f"/>
              <v:textbox inset="0mm,0mm,0mm,0mm" style="mso-fit-shape-to-text:t;">
                <w:txbxContent>
                  <w:p w14:paraId="377C975E">
                    <w:pPr>
                      <w:pStyle w:val="9"/>
                    </w:pPr>
                    <w:r>
                      <w:fldChar w:fldCharType="begin"/>
                    </w:r>
                    <w:r>
                      <w:instrText xml:space="preserve"> PAGE  \* MERGEFORMAT </w:instrText>
                    </w:r>
                    <w:r>
                      <w:fldChar w:fldCharType="separate"/>
                    </w:r>
                    <w:r>
                      <w:t>147</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3B8B5">
    <w:pPr>
      <w:spacing w:line="174" w:lineRule="auto"/>
      <w:ind w:left="4252"/>
      <w:rPr>
        <w:rFonts w:ascii="Times New Roman" w:hAnsi="Times New Roman" w:eastAsia="Times New Roman" w:cs="Times New Roman"/>
        <w:sz w:val="18"/>
        <w:szCs w:val="18"/>
      </w:rPr>
    </w:pPr>
    <w:r>
      <w:rPr>
        <w:sz w:val="18"/>
        <w:lang w:eastAsia="zh-CN"/>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02F1FB">
                          <w:pPr>
                            <w:pStyle w:val="9"/>
                          </w:pPr>
                          <w:r>
                            <w:fldChar w:fldCharType="begin"/>
                          </w:r>
                          <w:r>
                            <w:instrText xml:space="preserve"> PAGE  \* MERGEFORMAT </w:instrText>
                          </w:r>
                          <w:r>
                            <w:fldChar w:fldCharType="separate"/>
                          </w:r>
                          <w:r>
                            <w:t>154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38ADICAABnBAAADgAAAAAAAAABACAAAAAfAQAAZHJzL2Uyb0RvYy54bWxQSwUG&#10;AAAAAAYABgBZAQAAwwUAAAAA&#10;">
              <v:fill on="f" focussize="0,0"/>
              <v:stroke on="f" weight="0.5pt"/>
              <v:imagedata o:title=""/>
              <o:lock v:ext="edit" aspectratio="f"/>
              <v:textbox inset="0mm,0mm,0mm,0mm" style="mso-fit-shape-to-text:t;">
                <w:txbxContent>
                  <w:p w14:paraId="1C02F1FB">
                    <w:pPr>
                      <w:pStyle w:val="9"/>
                    </w:pPr>
                    <w:r>
                      <w:fldChar w:fldCharType="begin"/>
                    </w:r>
                    <w:r>
                      <w:instrText xml:space="preserve"> PAGE  \* MERGEFORMAT </w:instrText>
                    </w:r>
                    <w:r>
                      <w:fldChar w:fldCharType="separate"/>
                    </w:r>
                    <w:r>
                      <w:t>154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9A31BC">
    <w:pPr>
      <w:pStyle w:val="1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7BD20">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83CCB">
    <w:pPr>
      <w:pStyle w:val="1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31EAF">
    <w:pPr>
      <w:pStyle w:val="1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1E533">
    <w:pPr>
      <w:pStyle w:val="1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F7B94">
    <w:pPr>
      <w:pStyle w:val="1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E643B1">
    <w:pPr>
      <w:pStyle w:val="1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7E70B">
    <w:pPr>
      <w:pStyle w:val="1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82AA58">
    <w:pPr>
      <w:pStyle w:val="10"/>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251AE">
    <w:pPr>
      <w:pStyle w:val="10"/>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30F2A">
    <w:pPr>
      <w:pStyle w:val="10"/>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7A552">
    <w:pPr>
      <w:pStyle w:val="10"/>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32C255">
    <w:pPr>
      <w:pStyle w:val="10"/>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2B3BB2">
    <w:pPr>
      <w:pStyle w:val="10"/>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655BD">
    <w:pPr>
      <w:pStyle w:val="10"/>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A53F2E">
    <w:pPr>
      <w:pStyle w:val="10"/>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F9248">
    <w:pPr>
      <w:pStyle w:val="10"/>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44ABF">
    <w:pPr>
      <w:pStyle w:val="10"/>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C2C6EC">
    <w:pPr>
      <w:pStyle w:val="10"/>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513A9E">
    <w:pPr>
      <w:pStyle w:val="10"/>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F6DC72">
    <w:pPr>
      <w:pStyle w:val="10"/>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E37EAC">
    <w:pPr>
      <w:pStyle w:val="10"/>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E5DC4E">
    <w:pPr>
      <w:pStyle w:val="10"/>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7AAA9">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73ADF5"/>
    <w:multiLevelType w:val="singleLevel"/>
    <w:tmpl w:val="C173ADF5"/>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hideSpellingErrors/>
  <w:documentProtection w:enforcement="0"/>
  <w:defaultTabStop w:val="420"/>
  <w:noPunctuationKerning w:val="1"/>
  <w:characterSpacingControl w:val="doNotCompress"/>
  <w:compat>
    <w:spaceForUL/>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129"/>
    <w:rsid w:val="000350CF"/>
    <w:rsid w:val="00046F93"/>
    <w:rsid w:val="00061259"/>
    <w:rsid w:val="0008235E"/>
    <w:rsid w:val="00095930"/>
    <w:rsid w:val="000B51D0"/>
    <w:rsid w:val="000C4B89"/>
    <w:rsid w:val="000C76BC"/>
    <w:rsid w:val="000C7B22"/>
    <w:rsid w:val="00117B83"/>
    <w:rsid w:val="00125EA5"/>
    <w:rsid w:val="0014136F"/>
    <w:rsid w:val="001514EC"/>
    <w:rsid w:val="00152A1B"/>
    <w:rsid w:val="00152C98"/>
    <w:rsid w:val="00154957"/>
    <w:rsid w:val="00177F06"/>
    <w:rsid w:val="001B755F"/>
    <w:rsid w:val="001C7EDE"/>
    <w:rsid w:val="0025467C"/>
    <w:rsid w:val="00263AF6"/>
    <w:rsid w:val="00274FA0"/>
    <w:rsid w:val="002943D9"/>
    <w:rsid w:val="002951AD"/>
    <w:rsid w:val="002A2832"/>
    <w:rsid w:val="002B5804"/>
    <w:rsid w:val="002B63E0"/>
    <w:rsid w:val="00325631"/>
    <w:rsid w:val="0034425D"/>
    <w:rsid w:val="00345A16"/>
    <w:rsid w:val="00363144"/>
    <w:rsid w:val="003674DF"/>
    <w:rsid w:val="00370FEC"/>
    <w:rsid w:val="003A5D4E"/>
    <w:rsid w:val="003B2ABA"/>
    <w:rsid w:val="003E158A"/>
    <w:rsid w:val="003F04AF"/>
    <w:rsid w:val="0046793F"/>
    <w:rsid w:val="00493BB4"/>
    <w:rsid w:val="004A0FB2"/>
    <w:rsid w:val="004F358A"/>
    <w:rsid w:val="005207E3"/>
    <w:rsid w:val="00524FE4"/>
    <w:rsid w:val="00532BC3"/>
    <w:rsid w:val="005460F8"/>
    <w:rsid w:val="0055645D"/>
    <w:rsid w:val="00565AA3"/>
    <w:rsid w:val="00596D37"/>
    <w:rsid w:val="005E04C0"/>
    <w:rsid w:val="00667C8F"/>
    <w:rsid w:val="006A0AA4"/>
    <w:rsid w:val="006A4AD7"/>
    <w:rsid w:val="006A53DE"/>
    <w:rsid w:val="006A57D1"/>
    <w:rsid w:val="006C403C"/>
    <w:rsid w:val="006F2C16"/>
    <w:rsid w:val="00723E3B"/>
    <w:rsid w:val="0074387C"/>
    <w:rsid w:val="00746DE4"/>
    <w:rsid w:val="00791662"/>
    <w:rsid w:val="007957E4"/>
    <w:rsid w:val="007A2068"/>
    <w:rsid w:val="007B1EF8"/>
    <w:rsid w:val="007C3FE0"/>
    <w:rsid w:val="007E005B"/>
    <w:rsid w:val="008009B0"/>
    <w:rsid w:val="008064AD"/>
    <w:rsid w:val="00821221"/>
    <w:rsid w:val="00842CAF"/>
    <w:rsid w:val="00862C44"/>
    <w:rsid w:val="0086333C"/>
    <w:rsid w:val="00870944"/>
    <w:rsid w:val="00894391"/>
    <w:rsid w:val="00924FAB"/>
    <w:rsid w:val="009444C8"/>
    <w:rsid w:val="00944C66"/>
    <w:rsid w:val="0095377C"/>
    <w:rsid w:val="00966085"/>
    <w:rsid w:val="00986DC9"/>
    <w:rsid w:val="00995A1C"/>
    <w:rsid w:val="009B72CD"/>
    <w:rsid w:val="009C345A"/>
    <w:rsid w:val="009D5CD2"/>
    <w:rsid w:val="009D7C6E"/>
    <w:rsid w:val="009E125A"/>
    <w:rsid w:val="009E68F2"/>
    <w:rsid w:val="00A16CCB"/>
    <w:rsid w:val="00A26514"/>
    <w:rsid w:val="00A3141E"/>
    <w:rsid w:val="00AB1E4F"/>
    <w:rsid w:val="00AB6BF6"/>
    <w:rsid w:val="00AC40C9"/>
    <w:rsid w:val="00AE0D83"/>
    <w:rsid w:val="00B145F0"/>
    <w:rsid w:val="00B208BC"/>
    <w:rsid w:val="00B346CE"/>
    <w:rsid w:val="00B56A9B"/>
    <w:rsid w:val="00B94C65"/>
    <w:rsid w:val="00BE39E6"/>
    <w:rsid w:val="00BF600B"/>
    <w:rsid w:val="00C020F9"/>
    <w:rsid w:val="00C12343"/>
    <w:rsid w:val="00C32143"/>
    <w:rsid w:val="00C84129"/>
    <w:rsid w:val="00CC3EF8"/>
    <w:rsid w:val="00CD2F66"/>
    <w:rsid w:val="00CF3238"/>
    <w:rsid w:val="00D04EDB"/>
    <w:rsid w:val="00D24A63"/>
    <w:rsid w:val="00D40BB2"/>
    <w:rsid w:val="00D7397B"/>
    <w:rsid w:val="00D94123"/>
    <w:rsid w:val="00DC7297"/>
    <w:rsid w:val="00DD72F0"/>
    <w:rsid w:val="00E30FAC"/>
    <w:rsid w:val="00E566D5"/>
    <w:rsid w:val="00E81E93"/>
    <w:rsid w:val="00E9106C"/>
    <w:rsid w:val="00EB1C0E"/>
    <w:rsid w:val="00EC4CD9"/>
    <w:rsid w:val="00EC5AB5"/>
    <w:rsid w:val="00EC7E2D"/>
    <w:rsid w:val="00F20BDA"/>
    <w:rsid w:val="00F20FD4"/>
    <w:rsid w:val="00F321E0"/>
    <w:rsid w:val="00F50B94"/>
    <w:rsid w:val="00F53E7A"/>
    <w:rsid w:val="00F831B6"/>
    <w:rsid w:val="00F911B1"/>
    <w:rsid w:val="00FB5F73"/>
    <w:rsid w:val="00FC0823"/>
    <w:rsid w:val="00FD622E"/>
    <w:rsid w:val="01001B66"/>
    <w:rsid w:val="015B6D94"/>
    <w:rsid w:val="01E1495A"/>
    <w:rsid w:val="01F01F8D"/>
    <w:rsid w:val="01FD609D"/>
    <w:rsid w:val="02054F52"/>
    <w:rsid w:val="020C615A"/>
    <w:rsid w:val="025308EF"/>
    <w:rsid w:val="02595BF1"/>
    <w:rsid w:val="02A86FB1"/>
    <w:rsid w:val="02BA21E0"/>
    <w:rsid w:val="02E74952"/>
    <w:rsid w:val="02ED6365"/>
    <w:rsid w:val="030F42DA"/>
    <w:rsid w:val="031E276F"/>
    <w:rsid w:val="034A2073"/>
    <w:rsid w:val="035F0010"/>
    <w:rsid w:val="03867D4B"/>
    <w:rsid w:val="038A17A5"/>
    <w:rsid w:val="03927A94"/>
    <w:rsid w:val="039504BE"/>
    <w:rsid w:val="03B6017D"/>
    <w:rsid w:val="03FC3B32"/>
    <w:rsid w:val="040D490D"/>
    <w:rsid w:val="042A53CA"/>
    <w:rsid w:val="047333D2"/>
    <w:rsid w:val="04C04179"/>
    <w:rsid w:val="04D57CB8"/>
    <w:rsid w:val="05144CB9"/>
    <w:rsid w:val="051E7ADC"/>
    <w:rsid w:val="054D142B"/>
    <w:rsid w:val="055F2CFC"/>
    <w:rsid w:val="056637F7"/>
    <w:rsid w:val="056A0AB5"/>
    <w:rsid w:val="056A1C9B"/>
    <w:rsid w:val="056D1AA6"/>
    <w:rsid w:val="056E3C57"/>
    <w:rsid w:val="057A7E37"/>
    <w:rsid w:val="05953E92"/>
    <w:rsid w:val="05C759FB"/>
    <w:rsid w:val="05DB144E"/>
    <w:rsid w:val="060C4C23"/>
    <w:rsid w:val="062742CF"/>
    <w:rsid w:val="06361B7E"/>
    <w:rsid w:val="063B2DBE"/>
    <w:rsid w:val="063D4CBA"/>
    <w:rsid w:val="064E058F"/>
    <w:rsid w:val="06823015"/>
    <w:rsid w:val="06A030C2"/>
    <w:rsid w:val="06B17456"/>
    <w:rsid w:val="06C91868"/>
    <w:rsid w:val="06D51397"/>
    <w:rsid w:val="06E95B65"/>
    <w:rsid w:val="06FB2296"/>
    <w:rsid w:val="07190DE4"/>
    <w:rsid w:val="07541100"/>
    <w:rsid w:val="075A0829"/>
    <w:rsid w:val="077D02FC"/>
    <w:rsid w:val="078801B7"/>
    <w:rsid w:val="07D272FA"/>
    <w:rsid w:val="08122176"/>
    <w:rsid w:val="08242BFC"/>
    <w:rsid w:val="082B01F2"/>
    <w:rsid w:val="084E7652"/>
    <w:rsid w:val="084F566D"/>
    <w:rsid w:val="086329D2"/>
    <w:rsid w:val="08DC72D4"/>
    <w:rsid w:val="08E41C36"/>
    <w:rsid w:val="08FF0187"/>
    <w:rsid w:val="09170382"/>
    <w:rsid w:val="092B5AD2"/>
    <w:rsid w:val="09641F93"/>
    <w:rsid w:val="0A12530B"/>
    <w:rsid w:val="0A1A07E6"/>
    <w:rsid w:val="0A3F7F89"/>
    <w:rsid w:val="0A8773E4"/>
    <w:rsid w:val="0AA33275"/>
    <w:rsid w:val="0AD7716B"/>
    <w:rsid w:val="0AD81455"/>
    <w:rsid w:val="0AF004B0"/>
    <w:rsid w:val="0AF6568A"/>
    <w:rsid w:val="0B094D81"/>
    <w:rsid w:val="0B256BB9"/>
    <w:rsid w:val="0B270381"/>
    <w:rsid w:val="0B39368B"/>
    <w:rsid w:val="0B4A786C"/>
    <w:rsid w:val="0B6F31C3"/>
    <w:rsid w:val="0BA2691C"/>
    <w:rsid w:val="0BB772BD"/>
    <w:rsid w:val="0C3A135C"/>
    <w:rsid w:val="0C4548C9"/>
    <w:rsid w:val="0C653F5B"/>
    <w:rsid w:val="0C6649C2"/>
    <w:rsid w:val="0C9709D9"/>
    <w:rsid w:val="0CAF0A31"/>
    <w:rsid w:val="0CC550C6"/>
    <w:rsid w:val="0CE82647"/>
    <w:rsid w:val="0D083516"/>
    <w:rsid w:val="0D4E2564"/>
    <w:rsid w:val="0D7E5469"/>
    <w:rsid w:val="0D84748A"/>
    <w:rsid w:val="0DD30B7C"/>
    <w:rsid w:val="0DFE6F9F"/>
    <w:rsid w:val="0E146FEF"/>
    <w:rsid w:val="0E2C5B70"/>
    <w:rsid w:val="0E437CC0"/>
    <w:rsid w:val="0E5758F0"/>
    <w:rsid w:val="0E83091E"/>
    <w:rsid w:val="0E987C5F"/>
    <w:rsid w:val="0EB5630C"/>
    <w:rsid w:val="0EBA3152"/>
    <w:rsid w:val="0EC8358F"/>
    <w:rsid w:val="0EC87A33"/>
    <w:rsid w:val="0F1551DF"/>
    <w:rsid w:val="0F30565D"/>
    <w:rsid w:val="0F566DED"/>
    <w:rsid w:val="0F5F12CE"/>
    <w:rsid w:val="0F89761F"/>
    <w:rsid w:val="0FA958B6"/>
    <w:rsid w:val="0FB30C37"/>
    <w:rsid w:val="0FE64614"/>
    <w:rsid w:val="0FF7412C"/>
    <w:rsid w:val="100448CE"/>
    <w:rsid w:val="10096E60"/>
    <w:rsid w:val="100F0245"/>
    <w:rsid w:val="10176755"/>
    <w:rsid w:val="10233173"/>
    <w:rsid w:val="10343BF8"/>
    <w:rsid w:val="105B0F5A"/>
    <w:rsid w:val="105D0EB6"/>
    <w:rsid w:val="10840B88"/>
    <w:rsid w:val="108C0C88"/>
    <w:rsid w:val="10B62239"/>
    <w:rsid w:val="11396DFB"/>
    <w:rsid w:val="11692E07"/>
    <w:rsid w:val="11743B70"/>
    <w:rsid w:val="117B3780"/>
    <w:rsid w:val="118A77C7"/>
    <w:rsid w:val="11925FC1"/>
    <w:rsid w:val="11B31A31"/>
    <w:rsid w:val="11CA7A1A"/>
    <w:rsid w:val="11CB6AFA"/>
    <w:rsid w:val="11EF3086"/>
    <w:rsid w:val="11F8062F"/>
    <w:rsid w:val="122942A7"/>
    <w:rsid w:val="124C46BA"/>
    <w:rsid w:val="126C7719"/>
    <w:rsid w:val="127D5D0F"/>
    <w:rsid w:val="12825D0A"/>
    <w:rsid w:val="128E47CA"/>
    <w:rsid w:val="12901A06"/>
    <w:rsid w:val="12910C6D"/>
    <w:rsid w:val="12937C8C"/>
    <w:rsid w:val="12A0597B"/>
    <w:rsid w:val="12BB3B36"/>
    <w:rsid w:val="12C87155"/>
    <w:rsid w:val="12DD0B6F"/>
    <w:rsid w:val="12EA7F78"/>
    <w:rsid w:val="13394A5B"/>
    <w:rsid w:val="135E0219"/>
    <w:rsid w:val="1360023A"/>
    <w:rsid w:val="136D6ABE"/>
    <w:rsid w:val="13795E5C"/>
    <w:rsid w:val="137D5290"/>
    <w:rsid w:val="13924063"/>
    <w:rsid w:val="1393718E"/>
    <w:rsid w:val="13AC5B97"/>
    <w:rsid w:val="13CA4919"/>
    <w:rsid w:val="13EA459B"/>
    <w:rsid w:val="144A5D9E"/>
    <w:rsid w:val="1468384A"/>
    <w:rsid w:val="14B957B2"/>
    <w:rsid w:val="14F7697C"/>
    <w:rsid w:val="1544580C"/>
    <w:rsid w:val="154E1C63"/>
    <w:rsid w:val="15500DF1"/>
    <w:rsid w:val="15533B0A"/>
    <w:rsid w:val="156E3C1D"/>
    <w:rsid w:val="15842905"/>
    <w:rsid w:val="159C398E"/>
    <w:rsid w:val="15B075C6"/>
    <w:rsid w:val="15BC1451"/>
    <w:rsid w:val="15D55C6E"/>
    <w:rsid w:val="15E6565B"/>
    <w:rsid w:val="15EE7D7F"/>
    <w:rsid w:val="15FB249C"/>
    <w:rsid w:val="15FE3F1E"/>
    <w:rsid w:val="16007AB2"/>
    <w:rsid w:val="164817EB"/>
    <w:rsid w:val="167F05A4"/>
    <w:rsid w:val="16806361"/>
    <w:rsid w:val="1681190B"/>
    <w:rsid w:val="168B3820"/>
    <w:rsid w:val="169E1B3A"/>
    <w:rsid w:val="17005FBC"/>
    <w:rsid w:val="17103D25"/>
    <w:rsid w:val="171E4694"/>
    <w:rsid w:val="172151A7"/>
    <w:rsid w:val="172915F5"/>
    <w:rsid w:val="17347B09"/>
    <w:rsid w:val="175977D3"/>
    <w:rsid w:val="176278FA"/>
    <w:rsid w:val="17784622"/>
    <w:rsid w:val="178C102A"/>
    <w:rsid w:val="17AA44AA"/>
    <w:rsid w:val="17C25ADF"/>
    <w:rsid w:val="17DE3C67"/>
    <w:rsid w:val="17FA6EAF"/>
    <w:rsid w:val="17FD6F6C"/>
    <w:rsid w:val="180715CC"/>
    <w:rsid w:val="1807759E"/>
    <w:rsid w:val="18207F2E"/>
    <w:rsid w:val="183F6F1A"/>
    <w:rsid w:val="184053F5"/>
    <w:rsid w:val="185463E7"/>
    <w:rsid w:val="187B08B7"/>
    <w:rsid w:val="188F7779"/>
    <w:rsid w:val="189A5A8D"/>
    <w:rsid w:val="18A37DD2"/>
    <w:rsid w:val="18AA2C8E"/>
    <w:rsid w:val="18BA3025"/>
    <w:rsid w:val="18E72B38"/>
    <w:rsid w:val="18F465B9"/>
    <w:rsid w:val="19043EF9"/>
    <w:rsid w:val="19124904"/>
    <w:rsid w:val="1941466A"/>
    <w:rsid w:val="19665982"/>
    <w:rsid w:val="1968700C"/>
    <w:rsid w:val="197C6E4A"/>
    <w:rsid w:val="19811475"/>
    <w:rsid w:val="19BA2CBF"/>
    <w:rsid w:val="19DB061A"/>
    <w:rsid w:val="19DE5E98"/>
    <w:rsid w:val="1A1913AB"/>
    <w:rsid w:val="1AA82C77"/>
    <w:rsid w:val="1AB57681"/>
    <w:rsid w:val="1ABF5C9C"/>
    <w:rsid w:val="1AC76DF0"/>
    <w:rsid w:val="1AF01D56"/>
    <w:rsid w:val="1AF24BE0"/>
    <w:rsid w:val="1AF271EC"/>
    <w:rsid w:val="1AF81F25"/>
    <w:rsid w:val="1B026D4D"/>
    <w:rsid w:val="1B042B2E"/>
    <w:rsid w:val="1B2744F4"/>
    <w:rsid w:val="1B440441"/>
    <w:rsid w:val="1B487F31"/>
    <w:rsid w:val="1B5876A2"/>
    <w:rsid w:val="1B600D27"/>
    <w:rsid w:val="1B7E1B04"/>
    <w:rsid w:val="1B9443C5"/>
    <w:rsid w:val="1B9B4505"/>
    <w:rsid w:val="1BA86144"/>
    <w:rsid w:val="1BA869C7"/>
    <w:rsid w:val="1BAC6712"/>
    <w:rsid w:val="1BBD002A"/>
    <w:rsid w:val="1BC03B41"/>
    <w:rsid w:val="1BDB0FA5"/>
    <w:rsid w:val="1BE870E9"/>
    <w:rsid w:val="1BF800DA"/>
    <w:rsid w:val="1C384B2F"/>
    <w:rsid w:val="1C4C53C0"/>
    <w:rsid w:val="1C746F5A"/>
    <w:rsid w:val="1C7805C8"/>
    <w:rsid w:val="1C7D1864"/>
    <w:rsid w:val="1CC83229"/>
    <w:rsid w:val="1CD550E9"/>
    <w:rsid w:val="1CE30EC6"/>
    <w:rsid w:val="1D057D11"/>
    <w:rsid w:val="1D4260CC"/>
    <w:rsid w:val="1D57445C"/>
    <w:rsid w:val="1D6D1ED1"/>
    <w:rsid w:val="1D867F3E"/>
    <w:rsid w:val="1D9045AF"/>
    <w:rsid w:val="1DA37992"/>
    <w:rsid w:val="1DAB72A4"/>
    <w:rsid w:val="1DBC60D0"/>
    <w:rsid w:val="1E1B2345"/>
    <w:rsid w:val="1E6257AE"/>
    <w:rsid w:val="1E982F7E"/>
    <w:rsid w:val="1E990AA4"/>
    <w:rsid w:val="1EB77B79"/>
    <w:rsid w:val="1EDA1028"/>
    <w:rsid w:val="1F006516"/>
    <w:rsid w:val="1F0F0268"/>
    <w:rsid w:val="1F51312D"/>
    <w:rsid w:val="1F521A61"/>
    <w:rsid w:val="1F6F0F65"/>
    <w:rsid w:val="1F7312F5"/>
    <w:rsid w:val="1F850636"/>
    <w:rsid w:val="1FBC2C9C"/>
    <w:rsid w:val="1FF27DC6"/>
    <w:rsid w:val="200770BD"/>
    <w:rsid w:val="204977F8"/>
    <w:rsid w:val="205A1F06"/>
    <w:rsid w:val="206407FD"/>
    <w:rsid w:val="20646707"/>
    <w:rsid w:val="208E5AB1"/>
    <w:rsid w:val="20DC314F"/>
    <w:rsid w:val="20E645CA"/>
    <w:rsid w:val="20EA5156"/>
    <w:rsid w:val="21224C83"/>
    <w:rsid w:val="2137680F"/>
    <w:rsid w:val="21413899"/>
    <w:rsid w:val="214C2AFA"/>
    <w:rsid w:val="215F3175"/>
    <w:rsid w:val="21694BF3"/>
    <w:rsid w:val="21717AB6"/>
    <w:rsid w:val="21751354"/>
    <w:rsid w:val="21857DC6"/>
    <w:rsid w:val="218C669E"/>
    <w:rsid w:val="2190618E"/>
    <w:rsid w:val="21971EE3"/>
    <w:rsid w:val="21997535"/>
    <w:rsid w:val="219B57C9"/>
    <w:rsid w:val="219E4D4F"/>
    <w:rsid w:val="21B315B7"/>
    <w:rsid w:val="21C127EB"/>
    <w:rsid w:val="21CA5B44"/>
    <w:rsid w:val="21D27B51"/>
    <w:rsid w:val="21F939AD"/>
    <w:rsid w:val="221B2C24"/>
    <w:rsid w:val="223A3F16"/>
    <w:rsid w:val="22737F8A"/>
    <w:rsid w:val="233F4DD2"/>
    <w:rsid w:val="234F2190"/>
    <w:rsid w:val="23750E48"/>
    <w:rsid w:val="2376237B"/>
    <w:rsid w:val="237646A6"/>
    <w:rsid w:val="23825FAA"/>
    <w:rsid w:val="23A203FB"/>
    <w:rsid w:val="23A47D06"/>
    <w:rsid w:val="23AB399C"/>
    <w:rsid w:val="23C72304"/>
    <w:rsid w:val="23DC45C3"/>
    <w:rsid w:val="23F01166"/>
    <w:rsid w:val="23F06CFD"/>
    <w:rsid w:val="23F76221"/>
    <w:rsid w:val="241906BD"/>
    <w:rsid w:val="241B2D61"/>
    <w:rsid w:val="241F37F9"/>
    <w:rsid w:val="24274E22"/>
    <w:rsid w:val="24471934"/>
    <w:rsid w:val="24904B88"/>
    <w:rsid w:val="24997A50"/>
    <w:rsid w:val="24A67A27"/>
    <w:rsid w:val="24A756CB"/>
    <w:rsid w:val="24B56B61"/>
    <w:rsid w:val="24B771A7"/>
    <w:rsid w:val="24E000F6"/>
    <w:rsid w:val="251130A9"/>
    <w:rsid w:val="251568FE"/>
    <w:rsid w:val="251B47FC"/>
    <w:rsid w:val="252A7D7C"/>
    <w:rsid w:val="25553B78"/>
    <w:rsid w:val="255A0588"/>
    <w:rsid w:val="25723CAB"/>
    <w:rsid w:val="257E3A21"/>
    <w:rsid w:val="258E0C37"/>
    <w:rsid w:val="259C2031"/>
    <w:rsid w:val="25B327FF"/>
    <w:rsid w:val="25B35117"/>
    <w:rsid w:val="25EF3DCB"/>
    <w:rsid w:val="25F80884"/>
    <w:rsid w:val="26094F01"/>
    <w:rsid w:val="262F2F49"/>
    <w:rsid w:val="264F6F26"/>
    <w:rsid w:val="26572ACD"/>
    <w:rsid w:val="265E2CFF"/>
    <w:rsid w:val="266876DA"/>
    <w:rsid w:val="267E39BD"/>
    <w:rsid w:val="2681079B"/>
    <w:rsid w:val="26850EB0"/>
    <w:rsid w:val="26A25800"/>
    <w:rsid w:val="26C562C8"/>
    <w:rsid w:val="26DD2B60"/>
    <w:rsid w:val="26DD7622"/>
    <w:rsid w:val="26DE31EC"/>
    <w:rsid w:val="26DF337D"/>
    <w:rsid w:val="26F92A28"/>
    <w:rsid w:val="27046100"/>
    <w:rsid w:val="27182EAE"/>
    <w:rsid w:val="272A498F"/>
    <w:rsid w:val="2749750B"/>
    <w:rsid w:val="275E0DE5"/>
    <w:rsid w:val="276B4A96"/>
    <w:rsid w:val="27725098"/>
    <w:rsid w:val="2789789E"/>
    <w:rsid w:val="27A16033"/>
    <w:rsid w:val="27BA1DF1"/>
    <w:rsid w:val="27CC0335"/>
    <w:rsid w:val="27E05829"/>
    <w:rsid w:val="2812143D"/>
    <w:rsid w:val="28326FC3"/>
    <w:rsid w:val="284C64E6"/>
    <w:rsid w:val="286454FC"/>
    <w:rsid w:val="28951901"/>
    <w:rsid w:val="28D75E7F"/>
    <w:rsid w:val="28DB0637"/>
    <w:rsid w:val="28EA0757"/>
    <w:rsid w:val="28F614AB"/>
    <w:rsid w:val="29252DE4"/>
    <w:rsid w:val="292559B5"/>
    <w:rsid w:val="29514FB8"/>
    <w:rsid w:val="29620ABE"/>
    <w:rsid w:val="296315D6"/>
    <w:rsid w:val="29BC4B37"/>
    <w:rsid w:val="29C16846"/>
    <w:rsid w:val="29C55F3E"/>
    <w:rsid w:val="29DE70E7"/>
    <w:rsid w:val="29E6185C"/>
    <w:rsid w:val="2A0D1FB9"/>
    <w:rsid w:val="2A81612B"/>
    <w:rsid w:val="2AB54336"/>
    <w:rsid w:val="2AC427C6"/>
    <w:rsid w:val="2AD37B70"/>
    <w:rsid w:val="2AF0631D"/>
    <w:rsid w:val="2B044801"/>
    <w:rsid w:val="2B0B2D29"/>
    <w:rsid w:val="2B132E66"/>
    <w:rsid w:val="2B362BF3"/>
    <w:rsid w:val="2B5B4387"/>
    <w:rsid w:val="2B7625E1"/>
    <w:rsid w:val="2B8D223A"/>
    <w:rsid w:val="2B9A3712"/>
    <w:rsid w:val="2BA20995"/>
    <w:rsid w:val="2BBE15E2"/>
    <w:rsid w:val="2BFC5462"/>
    <w:rsid w:val="2C163E61"/>
    <w:rsid w:val="2C55747C"/>
    <w:rsid w:val="2C627A2D"/>
    <w:rsid w:val="2C725257"/>
    <w:rsid w:val="2C7827B8"/>
    <w:rsid w:val="2CD177B2"/>
    <w:rsid w:val="2CD9414F"/>
    <w:rsid w:val="2CE83FC1"/>
    <w:rsid w:val="2CF26BB3"/>
    <w:rsid w:val="2D191C7C"/>
    <w:rsid w:val="2D5E35E4"/>
    <w:rsid w:val="2D81640F"/>
    <w:rsid w:val="2D821BBD"/>
    <w:rsid w:val="2D957F46"/>
    <w:rsid w:val="2DA90EB5"/>
    <w:rsid w:val="2DDD1E91"/>
    <w:rsid w:val="2E1848FC"/>
    <w:rsid w:val="2E535759"/>
    <w:rsid w:val="2E9335DF"/>
    <w:rsid w:val="2ECB4447"/>
    <w:rsid w:val="2EE44E2E"/>
    <w:rsid w:val="2EEE32BC"/>
    <w:rsid w:val="2F484282"/>
    <w:rsid w:val="2F5800FF"/>
    <w:rsid w:val="2F5E1127"/>
    <w:rsid w:val="2F8F217B"/>
    <w:rsid w:val="2F9C4660"/>
    <w:rsid w:val="2FC279D2"/>
    <w:rsid w:val="2FF975F4"/>
    <w:rsid w:val="30286057"/>
    <w:rsid w:val="302F0E08"/>
    <w:rsid w:val="302F2A38"/>
    <w:rsid w:val="305667F5"/>
    <w:rsid w:val="305708EA"/>
    <w:rsid w:val="309A7A3E"/>
    <w:rsid w:val="30DF4A3C"/>
    <w:rsid w:val="3132789A"/>
    <w:rsid w:val="31436D73"/>
    <w:rsid w:val="315216B2"/>
    <w:rsid w:val="316311C9"/>
    <w:rsid w:val="31B40B66"/>
    <w:rsid w:val="31BF1AB8"/>
    <w:rsid w:val="31C22153"/>
    <w:rsid w:val="31DE4686"/>
    <w:rsid w:val="32125138"/>
    <w:rsid w:val="321E5B75"/>
    <w:rsid w:val="322518E6"/>
    <w:rsid w:val="32382656"/>
    <w:rsid w:val="323F1C36"/>
    <w:rsid w:val="325D030E"/>
    <w:rsid w:val="32AD579D"/>
    <w:rsid w:val="32B05ACE"/>
    <w:rsid w:val="32B15668"/>
    <w:rsid w:val="32DD2181"/>
    <w:rsid w:val="32F64634"/>
    <w:rsid w:val="33150500"/>
    <w:rsid w:val="33844E91"/>
    <w:rsid w:val="3387625C"/>
    <w:rsid w:val="338866DE"/>
    <w:rsid w:val="338D04DD"/>
    <w:rsid w:val="339A5F22"/>
    <w:rsid w:val="33A90E1D"/>
    <w:rsid w:val="33BB327D"/>
    <w:rsid w:val="33D60378"/>
    <w:rsid w:val="33DC1707"/>
    <w:rsid w:val="33DD3477"/>
    <w:rsid w:val="33E10ACB"/>
    <w:rsid w:val="33ED56C2"/>
    <w:rsid w:val="34173AF7"/>
    <w:rsid w:val="34495916"/>
    <w:rsid w:val="345B262C"/>
    <w:rsid w:val="3465490B"/>
    <w:rsid w:val="347C2CBA"/>
    <w:rsid w:val="34825E0A"/>
    <w:rsid w:val="3489363D"/>
    <w:rsid w:val="348A1163"/>
    <w:rsid w:val="349F13D6"/>
    <w:rsid w:val="34CF7657"/>
    <w:rsid w:val="34EF21EB"/>
    <w:rsid w:val="35140AD8"/>
    <w:rsid w:val="35302274"/>
    <w:rsid w:val="353D6260"/>
    <w:rsid w:val="35571045"/>
    <w:rsid w:val="35702107"/>
    <w:rsid w:val="357716E7"/>
    <w:rsid w:val="357A4D33"/>
    <w:rsid w:val="35855B64"/>
    <w:rsid w:val="359D4169"/>
    <w:rsid w:val="35DF7739"/>
    <w:rsid w:val="35E5295E"/>
    <w:rsid w:val="361C3A47"/>
    <w:rsid w:val="362B2522"/>
    <w:rsid w:val="36656A72"/>
    <w:rsid w:val="366E2AEA"/>
    <w:rsid w:val="36783969"/>
    <w:rsid w:val="367E55AC"/>
    <w:rsid w:val="36806E54"/>
    <w:rsid w:val="36B434EB"/>
    <w:rsid w:val="36BD137C"/>
    <w:rsid w:val="36CE5337"/>
    <w:rsid w:val="36D04E2D"/>
    <w:rsid w:val="37152631"/>
    <w:rsid w:val="37167122"/>
    <w:rsid w:val="373213E2"/>
    <w:rsid w:val="374603E0"/>
    <w:rsid w:val="3812046C"/>
    <w:rsid w:val="38545EE9"/>
    <w:rsid w:val="385E093C"/>
    <w:rsid w:val="386D5023"/>
    <w:rsid w:val="386E2DF5"/>
    <w:rsid w:val="387700FC"/>
    <w:rsid w:val="38983E4E"/>
    <w:rsid w:val="38C42F04"/>
    <w:rsid w:val="38C91EDE"/>
    <w:rsid w:val="38CA7D80"/>
    <w:rsid w:val="38D56870"/>
    <w:rsid w:val="38E15F1D"/>
    <w:rsid w:val="38E63EB3"/>
    <w:rsid w:val="39113643"/>
    <w:rsid w:val="39116875"/>
    <w:rsid w:val="39272820"/>
    <w:rsid w:val="39316051"/>
    <w:rsid w:val="394445BA"/>
    <w:rsid w:val="39657AA9"/>
    <w:rsid w:val="3970002D"/>
    <w:rsid w:val="397318E8"/>
    <w:rsid w:val="39AA1A47"/>
    <w:rsid w:val="39B13E07"/>
    <w:rsid w:val="39BD3961"/>
    <w:rsid w:val="39DE5A4C"/>
    <w:rsid w:val="39FD0783"/>
    <w:rsid w:val="3A396F6B"/>
    <w:rsid w:val="3A3B0B97"/>
    <w:rsid w:val="3A824DB6"/>
    <w:rsid w:val="3A8723CC"/>
    <w:rsid w:val="3A8E0752"/>
    <w:rsid w:val="3A932DF2"/>
    <w:rsid w:val="3AAD60B3"/>
    <w:rsid w:val="3AEE2535"/>
    <w:rsid w:val="3AF534E6"/>
    <w:rsid w:val="3B5D137F"/>
    <w:rsid w:val="3B8A781E"/>
    <w:rsid w:val="3B8C4327"/>
    <w:rsid w:val="3BBA4322"/>
    <w:rsid w:val="3BBB17DC"/>
    <w:rsid w:val="3C027831"/>
    <w:rsid w:val="3C1E100C"/>
    <w:rsid w:val="3C803B80"/>
    <w:rsid w:val="3C905633"/>
    <w:rsid w:val="3C971AE4"/>
    <w:rsid w:val="3C9755B1"/>
    <w:rsid w:val="3CD411CD"/>
    <w:rsid w:val="3CDA6666"/>
    <w:rsid w:val="3CF01335"/>
    <w:rsid w:val="3CF42891"/>
    <w:rsid w:val="3D3918E3"/>
    <w:rsid w:val="3D4A3F4C"/>
    <w:rsid w:val="3D7D6EF6"/>
    <w:rsid w:val="3DC20F0F"/>
    <w:rsid w:val="3DC94740"/>
    <w:rsid w:val="3DDF42CD"/>
    <w:rsid w:val="3DDF46DF"/>
    <w:rsid w:val="3DE03BA2"/>
    <w:rsid w:val="3DE5658D"/>
    <w:rsid w:val="3DE93FE1"/>
    <w:rsid w:val="3DF67F84"/>
    <w:rsid w:val="3E03501D"/>
    <w:rsid w:val="3E1B21D4"/>
    <w:rsid w:val="3E221460"/>
    <w:rsid w:val="3E244320"/>
    <w:rsid w:val="3E372F9F"/>
    <w:rsid w:val="3E4C3E35"/>
    <w:rsid w:val="3E4D53B4"/>
    <w:rsid w:val="3E4E6111"/>
    <w:rsid w:val="3E5325C6"/>
    <w:rsid w:val="3E6D6330"/>
    <w:rsid w:val="3ED27799"/>
    <w:rsid w:val="3EF9046A"/>
    <w:rsid w:val="3F44046C"/>
    <w:rsid w:val="3F441B14"/>
    <w:rsid w:val="3F4426B2"/>
    <w:rsid w:val="3F7857D1"/>
    <w:rsid w:val="3F8F587F"/>
    <w:rsid w:val="3FA5377A"/>
    <w:rsid w:val="3FC4619E"/>
    <w:rsid w:val="400159AA"/>
    <w:rsid w:val="40274478"/>
    <w:rsid w:val="402D5E96"/>
    <w:rsid w:val="405D76A1"/>
    <w:rsid w:val="4065146E"/>
    <w:rsid w:val="40D82A90"/>
    <w:rsid w:val="40DE2154"/>
    <w:rsid w:val="413C5593"/>
    <w:rsid w:val="41466412"/>
    <w:rsid w:val="4153338C"/>
    <w:rsid w:val="417B4290"/>
    <w:rsid w:val="41855D01"/>
    <w:rsid w:val="419B6A3A"/>
    <w:rsid w:val="419B6D4B"/>
    <w:rsid w:val="41AD502C"/>
    <w:rsid w:val="41C77552"/>
    <w:rsid w:val="41EC0D67"/>
    <w:rsid w:val="42056D56"/>
    <w:rsid w:val="4216246A"/>
    <w:rsid w:val="425A520B"/>
    <w:rsid w:val="425A621B"/>
    <w:rsid w:val="425C5EED"/>
    <w:rsid w:val="429E4757"/>
    <w:rsid w:val="42A87384"/>
    <w:rsid w:val="42B62C93"/>
    <w:rsid w:val="42C77231"/>
    <w:rsid w:val="42D0566D"/>
    <w:rsid w:val="42DE4F24"/>
    <w:rsid w:val="42ED1BED"/>
    <w:rsid w:val="4301163F"/>
    <w:rsid w:val="4330052B"/>
    <w:rsid w:val="43691167"/>
    <w:rsid w:val="437B05F4"/>
    <w:rsid w:val="43867396"/>
    <w:rsid w:val="439471AF"/>
    <w:rsid w:val="43A7763B"/>
    <w:rsid w:val="43DD305D"/>
    <w:rsid w:val="440962F5"/>
    <w:rsid w:val="440E1E3A"/>
    <w:rsid w:val="443F0452"/>
    <w:rsid w:val="44565E2A"/>
    <w:rsid w:val="44592FA7"/>
    <w:rsid w:val="446E2DED"/>
    <w:rsid w:val="4479751F"/>
    <w:rsid w:val="44965583"/>
    <w:rsid w:val="44F4700B"/>
    <w:rsid w:val="450E44FF"/>
    <w:rsid w:val="45232EC1"/>
    <w:rsid w:val="456C67DF"/>
    <w:rsid w:val="45A87B87"/>
    <w:rsid w:val="45E701C3"/>
    <w:rsid w:val="45F70334"/>
    <w:rsid w:val="460C0966"/>
    <w:rsid w:val="461C4E18"/>
    <w:rsid w:val="461E795D"/>
    <w:rsid w:val="463061A1"/>
    <w:rsid w:val="465515D1"/>
    <w:rsid w:val="46566B9A"/>
    <w:rsid w:val="46592743"/>
    <w:rsid w:val="46F95AEB"/>
    <w:rsid w:val="46FA0816"/>
    <w:rsid w:val="46FC7C9E"/>
    <w:rsid w:val="47047C8E"/>
    <w:rsid w:val="47134122"/>
    <w:rsid w:val="473C355E"/>
    <w:rsid w:val="47424128"/>
    <w:rsid w:val="47581FE8"/>
    <w:rsid w:val="475E0161"/>
    <w:rsid w:val="479D346C"/>
    <w:rsid w:val="47A6371A"/>
    <w:rsid w:val="47AE2C9B"/>
    <w:rsid w:val="47B12E23"/>
    <w:rsid w:val="47D75B8A"/>
    <w:rsid w:val="47F161DD"/>
    <w:rsid w:val="47F40640"/>
    <w:rsid w:val="481334F1"/>
    <w:rsid w:val="48272928"/>
    <w:rsid w:val="482A25E9"/>
    <w:rsid w:val="48315726"/>
    <w:rsid w:val="48435459"/>
    <w:rsid w:val="485E29B0"/>
    <w:rsid w:val="4868311F"/>
    <w:rsid w:val="48AC74A2"/>
    <w:rsid w:val="48DB7923"/>
    <w:rsid w:val="48ED143C"/>
    <w:rsid w:val="491F22BA"/>
    <w:rsid w:val="49331890"/>
    <w:rsid w:val="494476DB"/>
    <w:rsid w:val="49484020"/>
    <w:rsid w:val="498872D5"/>
    <w:rsid w:val="49D12082"/>
    <w:rsid w:val="49E36EF3"/>
    <w:rsid w:val="49E7024F"/>
    <w:rsid w:val="4A01742E"/>
    <w:rsid w:val="4A172AD7"/>
    <w:rsid w:val="4A296BD1"/>
    <w:rsid w:val="4A3B0644"/>
    <w:rsid w:val="4A526669"/>
    <w:rsid w:val="4A8138AB"/>
    <w:rsid w:val="4A857FAB"/>
    <w:rsid w:val="4ABE5084"/>
    <w:rsid w:val="4ACE583E"/>
    <w:rsid w:val="4AF225DA"/>
    <w:rsid w:val="4B0918DB"/>
    <w:rsid w:val="4B0B5E8E"/>
    <w:rsid w:val="4B174894"/>
    <w:rsid w:val="4B2D3436"/>
    <w:rsid w:val="4B346643"/>
    <w:rsid w:val="4B4749F9"/>
    <w:rsid w:val="4B634A1D"/>
    <w:rsid w:val="4B784D60"/>
    <w:rsid w:val="4B7F4E2F"/>
    <w:rsid w:val="4B8D35BB"/>
    <w:rsid w:val="4BA34342"/>
    <w:rsid w:val="4BC871E5"/>
    <w:rsid w:val="4BDB06A3"/>
    <w:rsid w:val="4C093B2B"/>
    <w:rsid w:val="4C156EBE"/>
    <w:rsid w:val="4C80651B"/>
    <w:rsid w:val="4C93180F"/>
    <w:rsid w:val="4CC31F2D"/>
    <w:rsid w:val="4CC61D2C"/>
    <w:rsid w:val="4CD82614"/>
    <w:rsid w:val="4CEB5D58"/>
    <w:rsid w:val="4CF805A8"/>
    <w:rsid w:val="4D094ED6"/>
    <w:rsid w:val="4D2C6390"/>
    <w:rsid w:val="4D3A08EF"/>
    <w:rsid w:val="4D404BF1"/>
    <w:rsid w:val="4D4E6D7A"/>
    <w:rsid w:val="4D7020FE"/>
    <w:rsid w:val="4D8825E1"/>
    <w:rsid w:val="4D883876"/>
    <w:rsid w:val="4DA7479D"/>
    <w:rsid w:val="4DAA25FF"/>
    <w:rsid w:val="4DBF5582"/>
    <w:rsid w:val="4DFA07B6"/>
    <w:rsid w:val="4DFB2A31"/>
    <w:rsid w:val="4E465CA3"/>
    <w:rsid w:val="4E72085C"/>
    <w:rsid w:val="4EB42846"/>
    <w:rsid w:val="4ED7003C"/>
    <w:rsid w:val="4EEE16B2"/>
    <w:rsid w:val="4F111E0D"/>
    <w:rsid w:val="4F145FCA"/>
    <w:rsid w:val="4F2215D0"/>
    <w:rsid w:val="4F8B2F51"/>
    <w:rsid w:val="4F9B5B7A"/>
    <w:rsid w:val="4FCC5A56"/>
    <w:rsid w:val="4FE438A2"/>
    <w:rsid w:val="4FF57980"/>
    <w:rsid w:val="50147786"/>
    <w:rsid w:val="50150625"/>
    <w:rsid w:val="501C4F0D"/>
    <w:rsid w:val="50245B70"/>
    <w:rsid w:val="50380B0C"/>
    <w:rsid w:val="505B2128"/>
    <w:rsid w:val="50680222"/>
    <w:rsid w:val="507B4011"/>
    <w:rsid w:val="508F4404"/>
    <w:rsid w:val="509239E2"/>
    <w:rsid w:val="50A5479F"/>
    <w:rsid w:val="50DF170F"/>
    <w:rsid w:val="50E22B52"/>
    <w:rsid w:val="510247DE"/>
    <w:rsid w:val="510269CE"/>
    <w:rsid w:val="51081D48"/>
    <w:rsid w:val="511D092D"/>
    <w:rsid w:val="51412457"/>
    <w:rsid w:val="516E081B"/>
    <w:rsid w:val="52110A39"/>
    <w:rsid w:val="521D4F6D"/>
    <w:rsid w:val="52495EEE"/>
    <w:rsid w:val="526E7576"/>
    <w:rsid w:val="527411C4"/>
    <w:rsid w:val="52857403"/>
    <w:rsid w:val="529C694C"/>
    <w:rsid w:val="529D22EE"/>
    <w:rsid w:val="52B61649"/>
    <w:rsid w:val="52FD33E0"/>
    <w:rsid w:val="532A5B93"/>
    <w:rsid w:val="5346248F"/>
    <w:rsid w:val="534C79D0"/>
    <w:rsid w:val="534F3F30"/>
    <w:rsid w:val="535914C6"/>
    <w:rsid w:val="535C0653"/>
    <w:rsid w:val="538F59F6"/>
    <w:rsid w:val="539518A9"/>
    <w:rsid w:val="5398661A"/>
    <w:rsid w:val="53AD2FCC"/>
    <w:rsid w:val="53D62F23"/>
    <w:rsid w:val="53E8590D"/>
    <w:rsid w:val="53F42A19"/>
    <w:rsid w:val="53FD74E0"/>
    <w:rsid w:val="540E3ED0"/>
    <w:rsid w:val="54107BDD"/>
    <w:rsid w:val="542B7E0E"/>
    <w:rsid w:val="54872DEE"/>
    <w:rsid w:val="549517D1"/>
    <w:rsid w:val="54A019B1"/>
    <w:rsid w:val="54A86D6F"/>
    <w:rsid w:val="54B40213"/>
    <w:rsid w:val="54D91DF2"/>
    <w:rsid w:val="54F56ADF"/>
    <w:rsid w:val="54FB1595"/>
    <w:rsid w:val="552222BA"/>
    <w:rsid w:val="55236D3E"/>
    <w:rsid w:val="558D0DCD"/>
    <w:rsid w:val="55977EAB"/>
    <w:rsid w:val="559E7614"/>
    <w:rsid w:val="55A040F5"/>
    <w:rsid w:val="55AD3F41"/>
    <w:rsid w:val="55AF05D2"/>
    <w:rsid w:val="55CE6366"/>
    <w:rsid w:val="55E95CD5"/>
    <w:rsid w:val="55F7664B"/>
    <w:rsid w:val="562465E2"/>
    <w:rsid w:val="566E6661"/>
    <w:rsid w:val="56784A1E"/>
    <w:rsid w:val="567D247D"/>
    <w:rsid w:val="56B95742"/>
    <w:rsid w:val="56C66CCF"/>
    <w:rsid w:val="56D85106"/>
    <w:rsid w:val="56D906E3"/>
    <w:rsid w:val="56E72CFA"/>
    <w:rsid w:val="570524FE"/>
    <w:rsid w:val="572B1A69"/>
    <w:rsid w:val="572C2FA1"/>
    <w:rsid w:val="57545446"/>
    <w:rsid w:val="57A858DC"/>
    <w:rsid w:val="57AC3163"/>
    <w:rsid w:val="57C24AFE"/>
    <w:rsid w:val="57E17F30"/>
    <w:rsid w:val="582232DD"/>
    <w:rsid w:val="5822790B"/>
    <w:rsid w:val="583F79EB"/>
    <w:rsid w:val="584C4139"/>
    <w:rsid w:val="5861548F"/>
    <w:rsid w:val="588D2A5C"/>
    <w:rsid w:val="58950CD8"/>
    <w:rsid w:val="58A61818"/>
    <w:rsid w:val="58A81A34"/>
    <w:rsid w:val="58B02697"/>
    <w:rsid w:val="58B67A9B"/>
    <w:rsid w:val="58C56CB7"/>
    <w:rsid w:val="58D44CFC"/>
    <w:rsid w:val="58F96AF1"/>
    <w:rsid w:val="590D02E9"/>
    <w:rsid w:val="59213594"/>
    <w:rsid w:val="592F03B7"/>
    <w:rsid w:val="59457F07"/>
    <w:rsid w:val="59925DF2"/>
    <w:rsid w:val="59CD7C93"/>
    <w:rsid w:val="59D47E2E"/>
    <w:rsid w:val="59DF695F"/>
    <w:rsid w:val="59DF76D7"/>
    <w:rsid w:val="59E24E9D"/>
    <w:rsid w:val="5A04524C"/>
    <w:rsid w:val="5A0A57FF"/>
    <w:rsid w:val="5A634509"/>
    <w:rsid w:val="5A651556"/>
    <w:rsid w:val="5AA005D1"/>
    <w:rsid w:val="5AE94B3E"/>
    <w:rsid w:val="5AF34ABD"/>
    <w:rsid w:val="5B0C4325"/>
    <w:rsid w:val="5B515489"/>
    <w:rsid w:val="5B706DAF"/>
    <w:rsid w:val="5B89006B"/>
    <w:rsid w:val="5B9E0ECC"/>
    <w:rsid w:val="5BA76FE6"/>
    <w:rsid w:val="5BC8216B"/>
    <w:rsid w:val="5BE21EEE"/>
    <w:rsid w:val="5BF913A2"/>
    <w:rsid w:val="5BFE4F6F"/>
    <w:rsid w:val="5C1D335D"/>
    <w:rsid w:val="5D076F21"/>
    <w:rsid w:val="5D211DB5"/>
    <w:rsid w:val="5D2F3F6C"/>
    <w:rsid w:val="5D6337A5"/>
    <w:rsid w:val="5D6725DF"/>
    <w:rsid w:val="5D6D6DA8"/>
    <w:rsid w:val="5D796845"/>
    <w:rsid w:val="5D7D2004"/>
    <w:rsid w:val="5D8234CA"/>
    <w:rsid w:val="5D966D74"/>
    <w:rsid w:val="5D9F646C"/>
    <w:rsid w:val="5DA44D9E"/>
    <w:rsid w:val="5DA53B10"/>
    <w:rsid w:val="5DE33377"/>
    <w:rsid w:val="5E055233"/>
    <w:rsid w:val="5E207FC0"/>
    <w:rsid w:val="5E4044BD"/>
    <w:rsid w:val="5E503BBD"/>
    <w:rsid w:val="5E525F9E"/>
    <w:rsid w:val="5E53789D"/>
    <w:rsid w:val="5E575A76"/>
    <w:rsid w:val="5E9E2432"/>
    <w:rsid w:val="5E9E4667"/>
    <w:rsid w:val="5EA9720E"/>
    <w:rsid w:val="5EB420DF"/>
    <w:rsid w:val="5EBC4022"/>
    <w:rsid w:val="5ECE7DD0"/>
    <w:rsid w:val="5EFF17CF"/>
    <w:rsid w:val="5F080F7F"/>
    <w:rsid w:val="5F134680"/>
    <w:rsid w:val="5F1C2834"/>
    <w:rsid w:val="5F297B33"/>
    <w:rsid w:val="5F503D12"/>
    <w:rsid w:val="5F5521EA"/>
    <w:rsid w:val="5F750C91"/>
    <w:rsid w:val="5F88611B"/>
    <w:rsid w:val="5F8A4894"/>
    <w:rsid w:val="5F8B2697"/>
    <w:rsid w:val="5FA14253"/>
    <w:rsid w:val="5FB8032D"/>
    <w:rsid w:val="5FC50609"/>
    <w:rsid w:val="5FD40C2B"/>
    <w:rsid w:val="5FE60307"/>
    <w:rsid w:val="60211D98"/>
    <w:rsid w:val="606371D1"/>
    <w:rsid w:val="60795A64"/>
    <w:rsid w:val="608E59B3"/>
    <w:rsid w:val="609739B4"/>
    <w:rsid w:val="60B63147"/>
    <w:rsid w:val="60B96500"/>
    <w:rsid w:val="61520A88"/>
    <w:rsid w:val="620C07C2"/>
    <w:rsid w:val="62146D6D"/>
    <w:rsid w:val="6220263B"/>
    <w:rsid w:val="62213805"/>
    <w:rsid w:val="62241D2F"/>
    <w:rsid w:val="622A170C"/>
    <w:rsid w:val="62431C38"/>
    <w:rsid w:val="62721147"/>
    <w:rsid w:val="6295188B"/>
    <w:rsid w:val="62AC6B3E"/>
    <w:rsid w:val="62B1722F"/>
    <w:rsid w:val="62BA0AE5"/>
    <w:rsid w:val="62BF5811"/>
    <w:rsid w:val="62CE0268"/>
    <w:rsid w:val="63243CF9"/>
    <w:rsid w:val="63614F08"/>
    <w:rsid w:val="6386043D"/>
    <w:rsid w:val="639305A3"/>
    <w:rsid w:val="63AB4186"/>
    <w:rsid w:val="63D7471A"/>
    <w:rsid w:val="63E21829"/>
    <w:rsid w:val="63FD17F6"/>
    <w:rsid w:val="64063AB3"/>
    <w:rsid w:val="64086C57"/>
    <w:rsid w:val="641919DC"/>
    <w:rsid w:val="642B6FB7"/>
    <w:rsid w:val="64754794"/>
    <w:rsid w:val="647F2405"/>
    <w:rsid w:val="64D37E39"/>
    <w:rsid w:val="64D539FE"/>
    <w:rsid w:val="64E3351C"/>
    <w:rsid w:val="64E66DF4"/>
    <w:rsid w:val="65042353"/>
    <w:rsid w:val="65181CEF"/>
    <w:rsid w:val="651C3C63"/>
    <w:rsid w:val="653908EB"/>
    <w:rsid w:val="657B7B0D"/>
    <w:rsid w:val="659B28B6"/>
    <w:rsid w:val="65B84BB9"/>
    <w:rsid w:val="65C165F6"/>
    <w:rsid w:val="65E5017A"/>
    <w:rsid w:val="65F8567D"/>
    <w:rsid w:val="66281727"/>
    <w:rsid w:val="66815016"/>
    <w:rsid w:val="669A06E8"/>
    <w:rsid w:val="66AE7E43"/>
    <w:rsid w:val="66EF68CF"/>
    <w:rsid w:val="66F127F8"/>
    <w:rsid w:val="671B325F"/>
    <w:rsid w:val="67704A67"/>
    <w:rsid w:val="677874C4"/>
    <w:rsid w:val="678C30B5"/>
    <w:rsid w:val="67D26A10"/>
    <w:rsid w:val="67F117A8"/>
    <w:rsid w:val="67F43D56"/>
    <w:rsid w:val="67FD625D"/>
    <w:rsid w:val="680734FE"/>
    <w:rsid w:val="682855D5"/>
    <w:rsid w:val="682A2C53"/>
    <w:rsid w:val="683267A0"/>
    <w:rsid w:val="683C70E7"/>
    <w:rsid w:val="68415F39"/>
    <w:rsid w:val="68481CB4"/>
    <w:rsid w:val="68584458"/>
    <w:rsid w:val="687D514A"/>
    <w:rsid w:val="68823C33"/>
    <w:rsid w:val="68946690"/>
    <w:rsid w:val="68A0350F"/>
    <w:rsid w:val="68B60018"/>
    <w:rsid w:val="6937182D"/>
    <w:rsid w:val="693F59F2"/>
    <w:rsid w:val="69466C17"/>
    <w:rsid w:val="6951757E"/>
    <w:rsid w:val="69756E9E"/>
    <w:rsid w:val="69A5383F"/>
    <w:rsid w:val="69A9560C"/>
    <w:rsid w:val="69B63885"/>
    <w:rsid w:val="69D02B99"/>
    <w:rsid w:val="69D07516"/>
    <w:rsid w:val="6A3A1929"/>
    <w:rsid w:val="6A5F2A84"/>
    <w:rsid w:val="6A697B8D"/>
    <w:rsid w:val="6A923A69"/>
    <w:rsid w:val="6AA037D0"/>
    <w:rsid w:val="6AA87B5B"/>
    <w:rsid w:val="6ADE08A2"/>
    <w:rsid w:val="6AE61F7B"/>
    <w:rsid w:val="6AF7052B"/>
    <w:rsid w:val="6B104EE7"/>
    <w:rsid w:val="6B111453"/>
    <w:rsid w:val="6B265296"/>
    <w:rsid w:val="6B315878"/>
    <w:rsid w:val="6B3C54D1"/>
    <w:rsid w:val="6B555497"/>
    <w:rsid w:val="6B630500"/>
    <w:rsid w:val="6B7D195F"/>
    <w:rsid w:val="6B7E2AD2"/>
    <w:rsid w:val="6B800FF9"/>
    <w:rsid w:val="6B80504A"/>
    <w:rsid w:val="6B990896"/>
    <w:rsid w:val="6BAA5094"/>
    <w:rsid w:val="6BD00EFF"/>
    <w:rsid w:val="6BE51D9B"/>
    <w:rsid w:val="6C141D47"/>
    <w:rsid w:val="6C296590"/>
    <w:rsid w:val="6C3E5380"/>
    <w:rsid w:val="6C4C04D0"/>
    <w:rsid w:val="6C5B4564"/>
    <w:rsid w:val="6C72358B"/>
    <w:rsid w:val="6C77456B"/>
    <w:rsid w:val="6C7F057E"/>
    <w:rsid w:val="6C8B3C11"/>
    <w:rsid w:val="6C9078D2"/>
    <w:rsid w:val="6C961BE6"/>
    <w:rsid w:val="6C9B6688"/>
    <w:rsid w:val="6C9D0489"/>
    <w:rsid w:val="6CD417E7"/>
    <w:rsid w:val="6CE22E2B"/>
    <w:rsid w:val="6CF46B9E"/>
    <w:rsid w:val="6CF52916"/>
    <w:rsid w:val="6D00068F"/>
    <w:rsid w:val="6D4F3208"/>
    <w:rsid w:val="6D4F525E"/>
    <w:rsid w:val="6DA33B84"/>
    <w:rsid w:val="6DA77DB7"/>
    <w:rsid w:val="6DAB5BDF"/>
    <w:rsid w:val="6DB6785C"/>
    <w:rsid w:val="6E016BB6"/>
    <w:rsid w:val="6E160D96"/>
    <w:rsid w:val="6E31797E"/>
    <w:rsid w:val="6E3828B1"/>
    <w:rsid w:val="6E72228A"/>
    <w:rsid w:val="6E7D71C4"/>
    <w:rsid w:val="6E9543B1"/>
    <w:rsid w:val="6EDD3AFA"/>
    <w:rsid w:val="6F1654F2"/>
    <w:rsid w:val="6F181DAF"/>
    <w:rsid w:val="6F420CF5"/>
    <w:rsid w:val="6F7E6BF3"/>
    <w:rsid w:val="6F965739"/>
    <w:rsid w:val="6F967962"/>
    <w:rsid w:val="6FA97229"/>
    <w:rsid w:val="6FC07769"/>
    <w:rsid w:val="6FD15B87"/>
    <w:rsid w:val="6FFE2617"/>
    <w:rsid w:val="700211A5"/>
    <w:rsid w:val="70046BA3"/>
    <w:rsid w:val="701E15EE"/>
    <w:rsid w:val="70344E5F"/>
    <w:rsid w:val="706146B1"/>
    <w:rsid w:val="706531EB"/>
    <w:rsid w:val="709541F4"/>
    <w:rsid w:val="70BF74C3"/>
    <w:rsid w:val="70D54F38"/>
    <w:rsid w:val="70DF5DB7"/>
    <w:rsid w:val="70E20B3E"/>
    <w:rsid w:val="70F02B0F"/>
    <w:rsid w:val="71223FCF"/>
    <w:rsid w:val="714038B4"/>
    <w:rsid w:val="71791D68"/>
    <w:rsid w:val="717B174D"/>
    <w:rsid w:val="71825C11"/>
    <w:rsid w:val="719941B8"/>
    <w:rsid w:val="71B92164"/>
    <w:rsid w:val="71C254BD"/>
    <w:rsid w:val="71C942C6"/>
    <w:rsid w:val="71E47AEB"/>
    <w:rsid w:val="72004DA8"/>
    <w:rsid w:val="723314F1"/>
    <w:rsid w:val="723E6D56"/>
    <w:rsid w:val="72475FCF"/>
    <w:rsid w:val="725C482C"/>
    <w:rsid w:val="725E2DC6"/>
    <w:rsid w:val="726C0D52"/>
    <w:rsid w:val="727A02F8"/>
    <w:rsid w:val="72B265A2"/>
    <w:rsid w:val="72B400FC"/>
    <w:rsid w:val="72BB4362"/>
    <w:rsid w:val="72DE34A1"/>
    <w:rsid w:val="732B0E40"/>
    <w:rsid w:val="733A72D5"/>
    <w:rsid w:val="733C0236"/>
    <w:rsid w:val="734B27AA"/>
    <w:rsid w:val="734D4DE5"/>
    <w:rsid w:val="73600DF5"/>
    <w:rsid w:val="73613DC2"/>
    <w:rsid w:val="73634A7D"/>
    <w:rsid w:val="7368184F"/>
    <w:rsid w:val="737629FD"/>
    <w:rsid w:val="737756DC"/>
    <w:rsid w:val="739E0321"/>
    <w:rsid w:val="73B37C57"/>
    <w:rsid w:val="73CB43D1"/>
    <w:rsid w:val="73D019E7"/>
    <w:rsid w:val="73D613AB"/>
    <w:rsid w:val="73ED07EB"/>
    <w:rsid w:val="74041A81"/>
    <w:rsid w:val="74043A9C"/>
    <w:rsid w:val="741152AF"/>
    <w:rsid w:val="74682EF9"/>
    <w:rsid w:val="746B1BF9"/>
    <w:rsid w:val="74704814"/>
    <w:rsid w:val="74831A34"/>
    <w:rsid w:val="74944905"/>
    <w:rsid w:val="749D75FC"/>
    <w:rsid w:val="74AF0CF8"/>
    <w:rsid w:val="74BF4EC8"/>
    <w:rsid w:val="74C43129"/>
    <w:rsid w:val="74C72DEA"/>
    <w:rsid w:val="74D61899"/>
    <w:rsid w:val="751F349A"/>
    <w:rsid w:val="752A5F89"/>
    <w:rsid w:val="7549555D"/>
    <w:rsid w:val="756679EC"/>
    <w:rsid w:val="75875317"/>
    <w:rsid w:val="75924901"/>
    <w:rsid w:val="75A20C58"/>
    <w:rsid w:val="75D40049"/>
    <w:rsid w:val="75F463FF"/>
    <w:rsid w:val="760479EA"/>
    <w:rsid w:val="760C31AA"/>
    <w:rsid w:val="762543CB"/>
    <w:rsid w:val="763A2754"/>
    <w:rsid w:val="763B0338"/>
    <w:rsid w:val="764F3ACF"/>
    <w:rsid w:val="766A2C65"/>
    <w:rsid w:val="769D6829"/>
    <w:rsid w:val="76A01DB8"/>
    <w:rsid w:val="76A80B95"/>
    <w:rsid w:val="76C770D1"/>
    <w:rsid w:val="76D340C7"/>
    <w:rsid w:val="76D66F5D"/>
    <w:rsid w:val="77400C32"/>
    <w:rsid w:val="7750356B"/>
    <w:rsid w:val="77591C5E"/>
    <w:rsid w:val="776D5ECB"/>
    <w:rsid w:val="77884AB3"/>
    <w:rsid w:val="77951B06"/>
    <w:rsid w:val="77B533CE"/>
    <w:rsid w:val="77C6362F"/>
    <w:rsid w:val="77F84EAE"/>
    <w:rsid w:val="780F6F82"/>
    <w:rsid w:val="784139C6"/>
    <w:rsid w:val="787648A7"/>
    <w:rsid w:val="787677ED"/>
    <w:rsid w:val="78C76F8C"/>
    <w:rsid w:val="78D27CC5"/>
    <w:rsid w:val="791F682C"/>
    <w:rsid w:val="792955B3"/>
    <w:rsid w:val="798B30D0"/>
    <w:rsid w:val="799728E1"/>
    <w:rsid w:val="79C7027F"/>
    <w:rsid w:val="79C72DD6"/>
    <w:rsid w:val="79CE0777"/>
    <w:rsid w:val="7A1A7578"/>
    <w:rsid w:val="7A347300"/>
    <w:rsid w:val="7A3634C2"/>
    <w:rsid w:val="7AA16A07"/>
    <w:rsid w:val="7AB931D5"/>
    <w:rsid w:val="7AC676A0"/>
    <w:rsid w:val="7ACE27CD"/>
    <w:rsid w:val="7AD61FD9"/>
    <w:rsid w:val="7B083579"/>
    <w:rsid w:val="7B5F7507"/>
    <w:rsid w:val="7BC0478B"/>
    <w:rsid w:val="7BC40083"/>
    <w:rsid w:val="7BD67367"/>
    <w:rsid w:val="7BF60675"/>
    <w:rsid w:val="7C21696A"/>
    <w:rsid w:val="7C227142"/>
    <w:rsid w:val="7C7C7C1E"/>
    <w:rsid w:val="7C871995"/>
    <w:rsid w:val="7CA36059"/>
    <w:rsid w:val="7CAB3E12"/>
    <w:rsid w:val="7CB93A97"/>
    <w:rsid w:val="7CD1486A"/>
    <w:rsid w:val="7CED2B0F"/>
    <w:rsid w:val="7CF825E3"/>
    <w:rsid w:val="7D2C0325"/>
    <w:rsid w:val="7D5267C8"/>
    <w:rsid w:val="7D5D18DC"/>
    <w:rsid w:val="7D78001F"/>
    <w:rsid w:val="7D8555F0"/>
    <w:rsid w:val="7DC46119"/>
    <w:rsid w:val="7DE1316F"/>
    <w:rsid w:val="7E2D6C10"/>
    <w:rsid w:val="7E4E1C03"/>
    <w:rsid w:val="7E5751DF"/>
    <w:rsid w:val="7E9247D6"/>
    <w:rsid w:val="7EC64112"/>
    <w:rsid w:val="7F10538E"/>
    <w:rsid w:val="7F2D5F40"/>
    <w:rsid w:val="7F345520"/>
    <w:rsid w:val="7F3D43D5"/>
    <w:rsid w:val="7F420881"/>
    <w:rsid w:val="7F6D6F0A"/>
    <w:rsid w:val="7F78525E"/>
    <w:rsid w:val="7F9A4CEF"/>
    <w:rsid w:val="7FB14DC3"/>
    <w:rsid w:val="7FB57EFD"/>
    <w:rsid w:val="7FB90F14"/>
    <w:rsid w:val="7FB946BB"/>
    <w:rsid w:val="7FF202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3">
    <w:name w:val="heading 2"/>
    <w:basedOn w:val="1"/>
    <w:next w:val="1"/>
    <w:qFormat/>
    <w:uiPriority w:val="0"/>
    <w:pPr>
      <w:keepNext/>
      <w:keepLines/>
      <w:spacing w:before="40" w:after="40" w:line="415" w:lineRule="auto"/>
      <w:jc w:val="center"/>
      <w:outlineLvl w:val="1"/>
    </w:pPr>
    <w:rPr>
      <w:rFonts w:eastAsia="黑体"/>
      <w:b/>
      <w:bCs/>
      <w:sz w:val="44"/>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paragraph" w:styleId="2">
    <w:name w:val="heading 4"/>
    <w:basedOn w:val="1"/>
    <w:next w:val="1"/>
    <w:qFormat/>
    <w:uiPriority w:val="0"/>
    <w:pPr>
      <w:keepNext/>
      <w:keepLines/>
      <w:spacing w:before="280" w:after="290" w:line="374" w:lineRule="auto"/>
      <w:outlineLvl w:val="3"/>
    </w:pPr>
    <w:rPr>
      <w:rFonts w:eastAsia="黑体"/>
      <w:b/>
      <w:bCs/>
      <w:sz w:val="28"/>
      <w:szCs w:val="28"/>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qFormat/>
    <w:uiPriority w:val="0"/>
  </w:style>
  <w:style w:type="paragraph" w:styleId="6">
    <w:name w:val="Body Text"/>
    <w:basedOn w:val="1"/>
    <w:semiHidden/>
    <w:qFormat/>
    <w:uiPriority w:val="0"/>
    <w:rPr>
      <w:rFonts w:ascii="Arial Unicode MS" w:hAnsi="Arial Unicode MS" w:eastAsia="Arial Unicode MS" w:cs="Arial Unicode MS"/>
      <w:sz w:val="25"/>
      <w:szCs w:val="25"/>
    </w:rPr>
  </w:style>
  <w:style w:type="paragraph" w:styleId="7">
    <w:name w:val="toc 3"/>
    <w:basedOn w:val="1"/>
    <w:next w:val="1"/>
    <w:qFormat/>
    <w:uiPriority w:val="0"/>
    <w:pPr>
      <w:ind w:left="840" w:leftChars="400"/>
    </w:pPr>
  </w:style>
  <w:style w:type="paragraph" w:styleId="8">
    <w:name w:val="Balloon Text"/>
    <w:basedOn w:val="1"/>
    <w:link w:val="29"/>
    <w:qFormat/>
    <w:uiPriority w:val="0"/>
    <w:rPr>
      <w:sz w:val="18"/>
      <w:szCs w:val="18"/>
    </w:rPr>
  </w:style>
  <w:style w:type="paragraph" w:styleId="9">
    <w:name w:val="footer"/>
    <w:basedOn w:val="1"/>
    <w:qFormat/>
    <w:uiPriority w:val="0"/>
    <w:pPr>
      <w:tabs>
        <w:tab w:val="center" w:pos="4153"/>
        <w:tab w:val="right" w:pos="8306"/>
      </w:tabs>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11">
    <w:name w:val="toc 1"/>
    <w:basedOn w:val="1"/>
    <w:next w:val="1"/>
    <w:qFormat/>
    <w:uiPriority w:val="0"/>
  </w:style>
  <w:style w:type="paragraph" w:styleId="12">
    <w:name w:val="toc 2"/>
    <w:basedOn w:val="1"/>
    <w:next w:val="1"/>
    <w:qFormat/>
    <w:uiPriority w:val="0"/>
    <w:pPr>
      <w:ind w:left="420" w:leftChars="200"/>
    </w:pPr>
  </w:style>
  <w:style w:type="paragraph" w:styleId="13">
    <w:name w:val="Body Text 2"/>
    <w:basedOn w:val="1"/>
    <w:unhideWhenUsed/>
    <w:qFormat/>
    <w:uiPriority w:val="99"/>
    <w:pPr>
      <w:spacing w:line="500" w:lineRule="exact"/>
    </w:pPr>
  </w:style>
  <w:style w:type="paragraph" w:styleId="14">
    <w:name w:val="Normal (Web)"/>
    <w:basedOn w:val="1"/>
    <w:unhideWhenUsed/>
    <w:qFormat/>
    <w:uiPriority w:val="99"/>
    <w:pPr>
      <w:spacing w:beforeAutospacing="1" w:afterAutospacing="1"/>
    </w:pPr>
    <w:rPr>
      <w:rFonts w:cs="Times New Roman"/>
      <w:sz w:val="24"/>
      <w:lang w:eastAsia="zh-CN"/>
    </w:rPr>
  </w:style>
  <w:style w:type="table" w:styleId="16">
    <w:name w:val="Table Grid"/>
    <w:basedOn w:val="15"/>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8">
    <w:name w:val="Hyperlink"/>
    <w:basedOn w:val="17"/>
    <w:qFormat/>
    <w:uiPriority w:val="0"/>
    <w:rPr>
      <w:color w:val="0000FF" w:themeColor="hyperlink"/>
      <w:u w:val="single"/>
      <w14:textFill>
        <w14:solidFill>
          <w14:schemeClr w14:val="hlink"/>
        </w14:solidFill>
      </w14:textFill>
    </w:rPr>
  </w:style>
  <w:style w:type="character" w:styleId="19">
    <w:name w:val="annotation reference"/>
    <w:basedOn w:val="17"/>
    <w:qFormat/>
    <w:uiPriority w:val="0"/>
    <w:rPr>
      <w:sz w:val="21"/>
      <w:szCs w:val="21"/>
    </w:rPr>
  </w:style>
  <w:style w:type="paragraph" w:customStyle="1" w:styleId="20">
    <w:name w:val="正文正"/>
    <w:basedOn w:val="1"/>
    <w:qFormat/>
    <w:uiPriority w:val="99"/>
    <w:pPr>
      <w:spacing w:line="560" w:lineRule="exact"/>
      <w:ind w:firstLine="561"/>
    </w:pPr>
    <w:rPr>
      <w:rFonts w:ascii="Calibri" w:hAnsi="Calibri" w:cs="Calibri"/>
      <w:sz w:val="28"/>
      <w:szCs w:val="28"/>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黑体" w:hAnsi="黑体" w:eastAsia="黑体" w:cs="黑体"/>
      <w:sz w:val="28"/>
      <w:szCs w:val="28"/>
    </w:rPr>
  </w:style>
  <w:style w:type="paragraph" w:customStyle="1" w:styleId="23">
    <w:name w:val="WPSOffice手动目录 1"/>
    <w:qFormat/>
    <w:uiPriority w:val="0"/>
    <w:rPr>
      <w:rFonts w:ascii="Arial" w:hAnsi="Arial" w:eastAsia="Arial" w:cs="Arial"/>
      <w:lang w:val="en-US" w:eastAsia="zh-CN" w:bidi="ar-SA"/>
    </w:rPr>
  </w:style>
  <w:style w:type="paragraph" w:customStyle="1" w:styleId="24">
    <w:name w:val="WPSOffice手动目录 2"/>
    <w:qFormat/>
    <w:uiPriority w:val="0"/>
    <w:pPr>
      <w:ind w:left="200" w:leftChars="200"/>
    </w:pPr>
    <w:rPr>
      <w:rFonts w:ascii="Arial" w:hAnsi="Arial" w:eastAsia="Arial" w:cs="Arial"/>
      <w:lang w:val="en-US" w:eastAsia="zh-CN" w:bidi="ar-SA"/>
    </w:rPr>
  </w:style>
  <w:style w:type="paragraph" w:customStyle="1" w:styleId="25">
    <w:name w:val="WPSOffice手动目录 3"/>
    <w:qFormat/>
    <w:uiPriority w:val="0"/>
    <w:pPr>
      <w:ind w:left="400" w:leftChars="400"/>
    </w:pPr>
    <w:rPr>
      <w:rFonts w:ascii="Arial" w:hAnsi="Arial" w:eastAsia="Arial" w:cs="Arial"/>
      <w:lang w:val="en-US" w:eastAsia="zh-CN" w:bidi="ar-SA"/>
    </w:rPr>
  </w:style>
  <w:style w:type="paragraph" w:customStyle="1" w:styleId="26">
    <w:name w:val="正文 New New New"/>
    <w:qFormat/>
    <w:uiPriority w:val="0"/>
    <w:pPr>
      <w:widowControl w:val="0"/>
      <w:spacing w:after="200" w:line="276" w:lineRule="auto"/>
    </w:pPr>
    <w:rPr>
      <w:rFonts w:ascii="Times New Roman" w:hAnsi="Times New Roman" w:eastAsia="宋体" w:cs="Times New Roman"/>
      <w:sz w:val="22"/>
      <w:szCs w:val="22"/>
      <w:lang w:val="en-US" w:eastAsia="en-US" w:bidi="ar-SA"/>
    </w:rPr>
  </w:style>
  <w:style w:type="paragraph" w:customStyle="1" w:styleId="27">
    <w:name w:val="列出段落7"/>
    <w:basedOn w:val="1"/>
    <w:unhideWhenUsed/>
    <w:qFormat/>
    <w:uiPriority w:val="99"/>
    <w:pPr>
      <w:ind w:firstLine="420" w:firstLineChars="200"/>
    </w:pPr>
  </w:style>
  <w:style w:type="paragraph" w:customStyle="1" w:styleId="28">
    <w:name w:val="Table Paragraph"/>
    <w:basedOn w:val="1"/>
    <w:qFormat/>
    <w:uiPriority w:val="1"/>
  </w:style>
  <w:style w:type="character" w:customStyle="1" w:styleId="29">
    <w:name w:val="批注框文本 字符"/>
    <w:basedOn w:val="17"/>
    <w:link w:val="8"/>
    <w:qFormat/>
    <w:uiPriority w:val="0"/>
    <w:rPr>
      <w:rFonts w:ascii="Arial" w:hAnsi="Arial" w:eastAsia="Arial" w:cs="Arial"/>
      <w:snapToGrid w:val="0"/>
      <w:color w:val="000000"/>
      <w:sz w:val="18"/>
      <w:szCs w:val="18"/>
      <w:lang w:eastAsia="en-US"/>
    </w:rPr>
  </w:style>
  <w:style w:type="paragraph" w:customStyle="1" w:styleId="30">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bCs w:val="0"/>
      <w:sz w:val="28"/>
      <w:szCs w:val="20"/>
    </w:rPr>
  </w:style>
  <w:style w:type="paragraph" w:customStyle="1" w:styleId="31">
    <w:name w:val="Default"/>
    <w:qFormat/>
    <w:uiPriority w:val="0"/>
    <w:pPr>
      <w:widowControl w:val="0"/>
      <w:autoSpaceDE w:val="0"/>
      <w:autoSpaceDN w:val="0"/>
      <w:adjustRightInd w:val="0"/>
      <w:spacing w:line="360" w:lineRule="auto"/>
    </w:pPr>
    <w:rPr>
      <w:rFonts w:ascii="宋体" w:hAnsi="Times New Roman" w:eastAsia="宋体" w:cs="宋体"/>
      <w:color w:val="000000"/>
      <w:sz w:val="24"/>
      <w:szCs w:val="24"/>
      <w:lang w:val="en-US" w:eastAsia="zh-CN" w:bidi="ar-SA"/>
    </w:rPr>
  </w:style>
  <w:style w:type="paragraph" w:customStyle="1" w:styleId="32">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paragraph" w:customStyle="1" w:styleId="33">
    <w:name w:val="Revision"/>
    <w:hidden/>
    <w:semiHidden/>
    <w:qFormat/>
    <w:uiPriority w:val="99"/>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0" Type="http://schemas.openxmlformats.org/officeDocument/2006/relationships/fontTable" Target="fontTable.xml"/><Relationship Id="rId7" Type="http://schemas.openxmlformats.org/officeDocument/2006/relationships/header" Target="header2.xml"/><Relationship Id="rId69" Type="http://schemas.openxmlformats.org/officeDocument/2006/relationships/numbering" Target="numbering.xml"/><Relationship Id="rId68" Type="http://schemas.openxmlformats.org/officeDocument/2006/relationships/customXml" Target="../customXml/item1.xml"/><Relationship Id="rId67" Type="http://schemas.openxmlformats.org/officeDocument/2006/relationships/image" Target="media/image2.png"/><Relationship Id="rId66" Type="http://schemas.openxmlformats.org/officeDocument/2006/relationships/image" Target="media/image1.png"/><Relationship Id="rId65" Type="http://schemas.openxmlformats.org/officeDocument/2006/relationships/theme" Target="theme/theme1.xml"/><Relationship Id="rId64" Type="http://schemas.openxmlformats.org/officeDocument/2006/relationships/footer" Target="footer38.xml"/><Relationship Id="rId63" Type="http://schemas.openxmlformats.org/officeDocument/2006/relationships/header" Target="header24.xml"/><Relationship Id="rId62" Type="http://schemas.openxmlformats.org/officeDocument/2006/relationships/footer" Target="footer37.xml"/><Relationship Id="rId61" Type="http://schemas.openxmlformats.org/officeDocument/2006/relationships/footer" Target="footer36.xml"/><Relationship Id="rId60" Type="http://schemas.openxmlformats.org/officeDocument/2006/relationships/header" Target="header23.xml"/><Relationship Id="rId6" Type="http://schemas.openxmlformats.org/officeDocument/2006/relationships/footer" Target="footer3.xml"/><Relationship Id="rId59" Type="http://schemas.openxmlformats.org/officeDocument/2006/relationships/footer" Target="footer35.xml"/><Relationship Id="rId58" Type="http://schemas.openxmlformats.org/officeDocument/2006/relationships/footer" Target="footer34.xml"/><Relationship Id="rId57" Type="http://schemas.openxmlformats.org/officeDocument/2006/relationships/header" Target="header22.xml"/><Relationship Id="rId56" Type="http://schemas.openxmlformats.org/officeDocument/2006/relationships/footer" Target="footer33.xml"/><Relationship Id="rId55" Type="http://schemas.openxmlformats.org/officeDocument/2006/relationships/header" Target="header21.xml"/><Relationship Id="rId54" Type="http://schemas.openxmlformats.org/officeDocument/2006/relationships/footer" Target="footer32.xml"/><Relationship Id="rId53" Type="http://schemas.openxmlformats.org/officeDocument/2006/relationships/header" Target="header20.xml"/><Relationship Id="rId52" Type="http://schemas.openxmlformats.org/officeDocument/2006/relationships/footer" Target="footer31.xml"/><Relationship Id="rId51" Type="http://schemas.openxmlformats.org/officeDocument/2006/relationships/header" Target="header19.xml"/><Relationship Id="rId50" Type="http://schemas.openxmlformats.org/officeDocument/2006/relationships/footer" Target="footer30.xml"/><Relationship Id="rId5" Type="http://schemas.openxmlformats.org/officeDocument/2006/relationships/footer" Target="footer2.xml"/><Relationship Id="rId49" Type="http://schemas.openxmlformats.org/officeDocument/2006/relationships/header" Target="header18.xml"/><Relationship Id="rId48" Type="http://schemas.openxmlformats.org/officeDocument/2006/relationships/footer" Target="footer29.xml"/><Relationship Id="rId47" Type="http://schemas.openxmlformats.org/officeDocument/2006/relationships/header" Target="header17.xml"/><Relationship Id="rId46" Type="http://schemas.openxmlformats.org/officeDocument/2006/relationships/footer" Target="footer28.xml"/><Relationship Id="rId45" Type="http://schemas.openxmlformats.org/officeDocument/2006/relationships/footer" Target="footer27.xml"/><Relationship Id="rId44" Type="http://schemas.openxmlformats.org/officeDocument/2006/relationships/footer" Target="footer26.xml"/><Relationship Id="rId43" Type="http://schemas.openxmlformats.org/officeDocument/2006/relationships/footer" Target="footer25.xml"/><Relationship Id="rId42" Type="http://schemas.openxmlformats.org/officeDocument/2006/relationships/footer" Target="footer24.xml"/><Relationship Id="rId41" Type="http://schemas.openxmlformats.org/officeDocument/2006/relationships/footer" Target="footer23.xml"/><Relationship Id="rId40" Type="http://schemas.openxmlformats.org/officeDocument/2006/relationships/footer" Target="footer22.xml"/><Relationship Id="rId4" Type="http://schemas.openxmlformats.org/officeDocument/2006/relationships/header" Target="header1.xml"/><Relationship Id="rId39" Type="http://schemas.openxmlformats.org/officeDocument/2006/relationships/header" Target="header16.xml"/><Relationship Id="rId38" Type="http://schemas.openxmlformats.org/officeDocument/2006/relationships/footer" Target="footer21.xml"/><Relationship Id="rId37" Type="http://schemas.openxmlformats.org/officeDocument/2006/relationships/header" Target="header15.xml"/><Relationship Id="rId36" Type="http://schemas.openxmlformats.org/officeDocument/2006/relationships/footer" Target="footer20.xml"/><Relationship Id="rId35" Type="http://schemas.openxmlformats.org/officeDocument/2006/relationships/header" Target="header14.xml"/><Relationship Id="rId34" Type="http://schemas.openxmlformats.org/officeDocument/2006/relationships/footer" Target="footer19.xml"/><Relationship Id="rId33" Type="http://schemas.openxmlformats.org/officeDocument/2006/relationships/header" Target="header13.xml"/><Relationship Id="rId32" Type="http://schemas.openxmlformats.org/officeDocument/2006/relationships/footer" Target="footer18.xml"/><Relationship Id="rId31" Type="http://schemas.openxmlformats.org/officeDocument/2006/relationships/footer" Target="footer17.xml"/><Relationship Id="rId30" Type="http://schemas.openxmlformats.org/officeDocument/2006/relationships/header" Target="header12.xml"/><Relationship Id="rId3" Type="http://schemas.openxmlformats.org/officeDocument/2006/relationships/footer" Target="footer1.xml"/><Relationship Id="rId29" Type="http://schemas.openxmlformats.org/officeDocument/2006/relationships/footer" Target="footer16.xml"/><Relationship Id="rId28" Type="http://schemas.openxmlformats.org/officeDocument/2006/relationships/header" Target="header11.xml"/><Relationship Id="rId27" Type="http://schemas.openxmlformats.org/officeDocument/2006/relationships/footer" Target="footer15.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157</Pages>
  <Words>3705</Words>
  <Characters>4428</Characters>
  <Lines>780</Lines>
  <Paragraphs>219</Paragraphs>
  <TotalTime>1</TotalTime>
  <ScaleCrop>false</ScaleCrop>
  <LinksUpToDate>false</LinksUpToDate>
  <CharactersWithSpaces>4881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2025-05-07T11:11:00Z</dcterms:created>
  <dc:creator>袁静</dc:creator>
  <cp:lastModifiedBy>馒头沾酱吃</cp:lastModifiedBy>
  <dcterms:modified xsi:type="dcterms:W3CDTF">2025-05-28T07:14:01Z</dcterms:modified>
  <dc:title>公路工程标准施工招标文件</dc:title>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2024-12-16T16:00:17Z</vt:filetime>
  </property>
  <property fmtid="{D5CDD505-2E9C-101B-9397-08002B2CF9AE}" pid="4" name="KSOProductBuildVer">
    <vt:lpwstr>2052-12.1.0.20784</vt:lpwstr>
  </property>
  <property fmtid="{D5CDD505-2E9C-101B-9397-08002B2CF9AE}" pid="5" name="ICV">
    <vt:lpwstr>FEC9C4CD6C8244808D2E29A444603341_13</vt:lpwstr>
  </property>
  <property fmtid="{D5CDD505-2E9C-101B-9397-08002B2CF9AE}" pid="6" name="KSOTemplateDocerSaveRecord">
    <vt:lpwstr>eyJoZGlkIjoiMTFiOTQ0ZjQ1NTRiYjdlNjdiMjAxZDJmNmQwMzQ4YWQiLCJ1c2VySWQiOiI4MDExOTE3MjIifQ==</vt:lpwstr>
  </property>
</Properties>
</file>